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Planeación del Parcial para informática II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Hacer diagramas e ilustraciones para un mayo entendimiento del trabajo.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 lograr una correcta comprensión e imaginación, en la ilustración, comparar con las estructuras M presentadas en el documento guía del parcial.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Hacer función para el relleno de las matrices de nxn tamaño con el centro vacío.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Hacer funciones para rotar estas matrices.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Estudiar el funcionamiento y relación de los elementos K (Llave) &amp; X (Cerradura).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Comprender el relacionamiento con el elemento K respecto a las matrices expresadas en la llave X.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Hacer esto de manera ordenada. De surgir nuevos ítems, se agregaran de su manera respectiva en esta lista.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