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pStyle w:val="Heading1"/>
      </w:pPr>
      <w:r>
        <w:rPr>
          <w:sz w:val="36"/>
          <w:szCs w:val="36"/>
        </w:rPr>
        <w:t xml:space="preserve">Relatório de Prospecção Tecnológica: GraphRAG vs RAG</w:t>
      </w:r>
    </w:p>
    <w:p>
      <w:r>
        <w:t xml:space="preserve">Oct 25, 2026 · Felipe Colaço Emmendoerfer</w:t>
      </w:r>
    </w:p>
    <w:p>
      <w:r>
        <w:rPr>
          <w:b w:val="0"/>
          <w:i w:val="0"/>
        </w:rPr>
        <w:t xml:space="preserve">Disciplina: Engenharia de Software · Prospecção Teórica e Tecnológica</w:t>
      </w:r>
    </w:p>
    <w:p>
      <w:r>
        <w:rPr>
          <w:b w:val="0"/>
          <w:i w:val="0"/>
        </w:rPr>
        <w:t xml:space="preserve">Código-fonte: https://github.com/FelipeEmmendoerfer/prospeccao-tecnologica</w:t>
      </w:r>
    </w:p>
    <w:p>
      <w:pPr>
        <w:pStyle w:val="Heading2"/>
      </w:pPr>
      <w:r>
        <w:t xml:space="preserve">1. Introdução e contextualização</w:t>
      </w:r>
    </w:p>
    <w:p>
      <w:pPr>
        <w:pStyle w:val="Heading3"/>
      </w:pPr>
      <w:r>
        <w:t xml:space="preserve">1.1 Definição do objeto</w:t>
      </w:r>
    </w:p>
    <w:p>
      <w:r>
        <w:rPr>
          <w:b w:val="0"/>
          <w:i w:val="0"/>
        </w:rPr>
        <w:t xml:space="preserve">Este trabalho estuda o GraphRAG, uma variação da técnica RAG (Retrieval-Augmented Generation, ou geração aumentada por recuperação). No RAG tradicional, antes de responder o sistema procura nos documentos os trechos mais parecidos com a pergunta e entrega esses trechos ao modelo de linguagem junto com ela. Assim o modelo responde com base no material fornecido, e não só no que aprendeu no treinamento.</w:t>
      </w:r>
    </w:p>
    <w:p>
      <w:r>
        <w:rPr>
          <w:b w:val="0"/>
          <w:i w:val="0"/>
        </w:rPr>
        <w:t xml:space="preserve">O GraphRAG, proposto pela Microsoft Research em 2024, acrescenta uma etapa antes das perguntas: o próprio modelo de linguagem lê os documentos e monta um grafo de conhecimento, com as entidades citadas (sistemas, componentes, pessoas, decisões, incidentes) e as relações entre elas. Depois agrupa o grafo em comunidades de assuntos relacionados e escreve um resumo de cada uma. Na hora da pergunta, a busca usa esse grafo e esses resumos, e não apenas a semelhança entre textos.</w:t>
      </w:r>
    </w:p>
    <w:p>
      <w:r>
        <w:rPr>
          <w:b w:val="0"/>
          <w:i w:val="0"/>
        </w:rPr>
        <w:t xml:space="preserve">A implementação estudada é a biblioteca de código aberto Microsoft GraphRAG, na versão 3.3.0, rodando inteiramente no computador local com modelos servidos pelo Ollama, sem nenhuma API paga.</w:t>
      </w:r>
    </w:p>
    <w:p>
      <w:pPr>
        <w:pStyle w:val="Heading3"/>
      </w:pPr>
      <w:r>
        <w:t xml:space="preserve">1.2 Motivação</w:t>
      </w:r>
    </w:p>
    <w:p>
      <w:r>
        <w:rPr>
          <w:b w:val="0"/>
          <w:i w:val="0"/>
        </w:rPr>
        <w:t xml:space="preserve">Modelos de linguagem já fazem parte do dia a dia da Engenharia de Software, em assistentes de código, chatbots de suporte e buscas em documentação interna. Eles têm dois problemas conhecidos: não conhecem os dados privados de uma empresa e, quando não sabem algo, tendem a inventar uma resposta plausível, o que gera alucinações em grande parte dos casos. O RAG virou o padrão de mercado para contornar os dois, porque liga o modelo aos documentos da própria empresa.</w:t>
      </w:r>
    </w:p>
    <w:p>
      <w:r>
        <w:rPr>
          <w:b w:val="0"/>
          <w:i w:val="0"/>
        </w:rPr>
        <w:t xml:space="preserve">Em um time de software, porém, o conhecimento fica espalhado. A escolha de um banco de dados está num registro de decisão de arquitetura (ADR), a queda do sistema está num postmortem, a ação corretiva está na ata de uma reunião e o limite de latência está no documento de requisitos. Perguntas reais, como "por que o sistema caiu e o que foi decidido depois?", exigem juntar vários desses documentos. É exatamente nesse tipo de pergunta que o RAG tradicional costuma falhar e que o GraphRAG promete ganhar.</w:t>
      </w:r>
    </w:p>
    <w:p>
      <w:r>
        <w:rPr>
          <w:b w:val="0"/>
          <w:i w:val="0"/>
        </w:rPr>
        <w:t xml:space="preserve">Rodar tudo localmente também tem motivo prático. Documentos internos costumam ser confidenciais, e uma solução que não envia nada para fora e não tem custo por chamada é mais fácil de adotar. Por isso o trabalho testa se um modelo pequeno, que cabe numa GPU de notebook, é suficiente para a técnica funcionar.</w:t>
      </w:r>
    </w:p>
    <w:p>
      <w:pPr>
        <w:pStyle w:val="Heading3"/>
      </w:pPr>
      <w:r>
        <w:t xml:space="preserve">1.3 Problema que resolve</w:t>
      </w:r>
    </w:p>
    <w:p>
      <w:r>
        <w:rPr>
          <w:b w:val="0"/>
          <w:i w:val="0"/>
        </w:rPr>
        <w:t xml:space="preserve">O RAG vetorial busca trechos parecidos com a pergunta. Isso funciona bem quando a resposta está em um único trecho, mas falha em dois casos: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Perguntas multi-hop</w:t>
      </w:r>
      <w:r>
        <w:rPr>
          <w:b w:val="0"/>
          <w:i w:val="0"/>
        </w:rPr>
        <w:t xml:space="preserve">, cuja resposta depende de ligar fatos que estão em documentos diferentes. Cada trecho isolado pode não se parecer com a pergunta, e então não é recuperado.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Perguntas globais</w:t>
      </w:r>
      <w:r>
        <w:rPr>
          <w:b w:val="0"/>
          <w:i w:val="0"/>
        </w:rPr>
        <w:t xml:space="preserve">, sobre o conjunto inteiro de documentos, como "quais são os principais riscos técnicos do sistema?". Nenhum trecho sozinho responde, e a busca por semelhança devolve só alguns pedaços soltos.</w:t>
      </w:r>
    </w:p>
    <w:p>
      <w:r>
        <w:rPr>
          <w:b w:val="0"/>
          <w:i w:val="0"/>
        </w:rPr>
        <w:t xml:space="preserve">O GraphRAG ataca o primeiro caso com a busca Local, que parte das entidades citadas na pergunta e segue suas conexões no grafo, e o segundo com a busca Global, que combina os resumos das comunidades. O preço é a indexação: montar o grafo exige muitas chamadas ao modelo de linguagem, enquanto o RAG vetorial só precisa calcular embeddings. Saber se esse custo compensa é o ponto central deste trabalho.</w:t>
      </w:r>
    </w:p>
    <w:p>
      <w:pPr>
        <w:pStyle w:val="Heading3"/>
      </w:pPr>
      <w:r>
        <w:t xml:space="preserve">1.4 Objetivo e pergunta do trabalho</w:t>
      </w:r>
    </w:p>
    <w:p>
      <w:r>
        <w:rPr>
          <w:b w:val="0"/>
          <w:i w:val="0"/>
        </w:rPr>
        <w:t xml:space="preserve">A pergunta do trabalho é em que tipos de pergunta o GraphRAG responde melhor que o RAG vetorial, e quanto isso custa em tempo e chamadas ao LLM.</w:t>
      </w:r>
    </w:p>
    <w:p>
      <w:r>
        <w:rPr>
          <w:b w:val="0"/>
          <w:i w:val="0"/>
        </w:rPr>
        <w:t xml:space="preserve">Em vez de construir uma aplicação completa, o trabalho monta um experimento controlado. Um corpus pequeno, formado por dois relatos reais de incidentes de software (a falha global causada pela CrowdStrike em 2024 e a interrupção da Cloudflare em 2025), é indexado uma vez, e o mesmo conjunto de perguntas é feito a quatro métodos: o modelo sem recuperação, o RAG vetorial e as buscas Local e Global do GraphRAG. As perguntas e as respostas esperadas são escritas antes de rodar qualquer método e cobrem perguntas pontuais, multi-hop, globais e sem resposta no corpus.</w:t>
      </w:r>
    </w:p>
    <w:p>
      <w:r>
        <w:rPr>
          <w:b w:val="0"/>
          <w:i w:val="0"/>
        </w:rPr>
        <w:t xml:space="preserve">Além da qualidade das respostas, são medidos os custos: tempo de indexação, número de chamadas ao LLM, tamanho do índice e latência de cada consulta. O objetivo final é chegar a uma regra de decisão, do tipo "use GraphRAG quando... e prefira o RAG vetorial quando...", apoiada nos números medidos.</w:t>
      </w:r>
    </w:p>
    <w:p>
      <w:pPr>
        <w:pStyle w:val="Heading3"/>
        <w:rPr>
          <w:b/>
          <w:bCs/>
        </w:rPr>
      </w:pPr>
      <w:r>
        <w:rPr>
          <w:b/>
          <w:bCs/>
        </w:rPr>
        <w:t xml:space="preserve">1.5 Escopo do trabalho</w:t>
      </w:r>
    </w:p>
    <w:p>
      <w:r>
        <w:rPr>
          <w:b w:val="0"/>
        </w:rPr>
        <w:t xml:space="preserve">O escopo foi reduzido de propósito, seguindo a orientação do professor: a prioridade é demonstrar o ganho e o custo do GraphRAG, e não construir um sistema completo. Por isso: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 grafo não é construído do zero.</w:t>
      </w:r>
      <w:r>
        <w:rPr>
          <w:b w:val="0"/>
        </w:rPr>
        <w:t xml:space="preserve"> O trabalho usa a biblioteca Microsoft GraphRAG, que já faz a extração de entidades, a detecção de comunidades e as buscas.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 interface não é o foco.</w:t>
      </w:r>
      <w:r>
        <w:rPr>
          <w:b w:val="0"/>
        </w:rPr>
        <w:t xml:space="preserve"> O aplicativo em Streamlit herdado do projeto original foi congelado e serve só para visualizar o grafo; o experimento roda pela linha de comando.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 infraestrutura é a mínima necessária.</w:t>
      </w:r>
      <w:r>
        <w:rPr>
          <w:b w:val="0"/>
        </w:rPr>
        <w:t xml:space="preserve"> Um único modelo local (qwen3.5:4b) e um único modelo de embeddings (nomic-embed-text), servidos pelo Ollama, atendem a todos os métodos.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 corpus é pequeno e controlado.</w:t>
      </w:r>
      <w:r>
        <w:rPr>
          <w:b w:val="0"/>
        </w:rPr>
        <w:t xml:space="preserve"> Dois documentos, cerca de 7.500 tokens no total, para que a indexação caiba no prazo e para que cada resposta possa ser conferida contra o texto.</w:t>
      </w:r>
    </w:p>
    <w:p>
      <w:pPr>
        <w:pStyle w:val="Heading2"/>
      </w:pPr>
      <w:r>
        <w:t xml:space="preserve">2. Fundamentação teórica</w:t>
      </w:r>
    </w:p>
    <w:p>
      <w:pPr>
        <w:pStyle w:val="Heading3"/>
      </w:pPr>
      <w:r>
        <w:t xml:space="preserve">2.1 Histórico e evolução</w:t>
      </w:r>
    </w:p>
    <w:p>
      <w:r>
        <w:rPr>
          <w:b w:val="0"/>
          <w:i w:val="0"/>
        </w:rPr>
        <w:t xml:space="preserve">A evolução até o GraphRAG passa por três ideias que surgiram separadas e acabaram se juntando.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Modelos de linguagem.</w:t>
      </w:r>
      <w:r>
        <w:rPr>
          <w:b w:val="0"/>
          <w:i w:val="0"/>
        </w:rPr>
        <w:t xml:space="preserve"> A arquitetura Transformer, de 2017 [5], permitiu treinar modelos cada vez maiores, que culminaram nos LLMs populares a partir do ChatGPT, no fim de 2022. Esses modelos guardam o conhecimento nos próprios parâmetros, congelado na data do treinamento, e alucinam quando a informação falta [6].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Recuperação de informação.</w:t>
      </w:r>
      <w:r>
        <w:rPr>
          <w:b w:val="0"/>
          <w:i w:val="0"/>
        </w:rPr>
        <w:t xml:space="preserve"> Em 2020, a busca densa por embeddings mostrou que vetores aprendidos encontram passagens relevantes melhor que a busca por palavras-chave [7]. No mesmo ano, Lewis et al. [1] juntaram um buscador e um gerador num único modelo e deram o nome RAG à técnica. Com a popularização dos LLMs, o RAG virou o padrão para conectar modelos a documentos privados, apoiado por bancos de dados vetoriais.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Grafos de conhecimento.</w:t>
      </w:r>
      <w:r>
        <w:rPr>
          <w:b w:val="0"/>
          <w:i w:val="0"/>
        </w:rPr>
        <w:t xml:space="preserve"> A ideia de representar fatos como entidades ligadas por relações é bem mais antiga e ganhou escala na indústria com o Knowledge Graph do Google, em 2012 [8]. O problema sempre foi o custo de montar e manter esses grafos manualmente.</w:t>
      </w:r>
    </w:p>
    <w:p>
      <w:r>
        <w:rPr>
          <w:b w:val="0"/>
          <w:i w:val="0"/>
        </w:rPr>
        <w:t xml:space="preserve">O GraphRAG junta as três: usa o LLM para construir o grafo de conhecimento automaticamente a partir dos textos e depois usa o grafo para recuperar o contexto que o LLM recebe. A Microsoft Research publicou o artigo em abril de 2024 [2] e abriu o código no mesmo ano [3]. Desde então a biblioteca ganhou novos modos de busca, como o DRIFT, e uma variante de indexação mais barata, o LazyGraphRAG, além de várias versões; a usada aqui é a 3.3.0. No mesmo período surgiram outras implementações de RAG com grafos, que serão comparadas no bloco 3.</w:t>
      </w:r>
    </w:p>
    <w:p>
      <w:pPr>
        <w:pStyle w:val="Heading3"/>
        <w:rPr>
          <w:b/>
          <w:bCs/>
        </w:rPr>
      </w:pPr>
      <w:r>
        <w:rPr>
          <w:b/>
          <w:bCs/>
        </w:rPr>
        <w:t xml:space="preserve">2.2 RAG convencional: recuperação e geração</w:t>
      </w:r>
    </w:p>
    <w:p>
      <w:r>
        <w:rPr>
          <w:b w:val="0"/>
        </w:rPr>
        <w:t xml:space="preserve">O RAG convencional, também chamado de RAG vetorial, combina dois componentes. O </w:t>
      </w:r>
      <w:r>
        <w:rPr>
          <w:b/>
        </w:rPr>
        <w:t xml:space="preserve">recuperador</w:t>
      </w:r>
      <w:r>
        <w:rPr>
          <w:b w:val="0"/>
        </w:rPr>
        <w:t xml:space="preserve"> encontra nos documentos os trechos relevantes para a pergunta. O </w:t>
      </w:r>
      <w:r>
        <w:rPr>
          <w:b/>
        </w:rPr>
        <w:t xml:space="preserve">gerador</w:t>
      </w:r>
      <w:r>
        <w:rPr>
          <w:b w:val="0"/>
        </w:rPr>
        <w:t xml:space="preserve">, que é o LLM, escreve a resposta usando esses trechos como contexto. O funcionamento tem duas partes: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Indexação</w:t>
      </w:r>
      <w:r>
        <w:rPr>
          <w:b w:val="0"/>
        </w:rPr>
        <w:t xml:space="preserve">, feita uma vez: os documentos são divididos em chunks, cada chunk vira um embedding e os vetores são guardados num banco vetorial.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Consulta</w:t>
      </w:r>
      <w:r>
        <w:rPr>
          <w:b w:val="0"/>
        </w:rPr>
        <w:t xml:space="preserve">, a cada pergunta: a pergunta também vira um embedding, o banco devolve os chunks mais próximos (os top-k, por similaridade de cosseno) e esses chunks entram no prompt junto com a pergunta e as instruções. O LLM gera a resposta a partir desse contexto.</w:t>
      </w:r>
    </w:p>
    <w:p>
      <w:r>
        <w:rPr>
          <w:b w:val="0"/>
        </w:rPr>
        <w:t xml:space="preserve">As duas etapas têm papéis diferentes. A recuperação decide o que o modelo vai ver: se o trecho certo não for recuperado, o gerador não tem como acertar e pode inventar. A geração decide como o contexto é usado: um modelo pequeno ou um prompt sem regras claras pode ignorar o contexto ou completá-lo com suposições.</w:t>
      </w:r>
    </w:p>
    <w:p>
      <w:r>
        <w:rPr>
          <w:b w:val="0"/>
        </w:rPr>
        <w:t xml:space="preserve">A abordagem </w:t>
      </w:r>
      <w:r>
        <w:rPr>
          <w:b/>
        </w:rPr>
        <w:t xml:space="preserve">sem recuperação externa</w:t>
      </w:r>
      <w:r>
        <w:rPr>
          <w:b w:val="0"/>
        </w:rPr>
        <w:t xml:space="preserve"> pula a primeira etapa: a pergunta vai direto ao LLM, que responde só com o que aprendeu no treinamento. Ela não tem acesso a documentos privados nem a fatos posteriores ao treinamento, e é onde as alucinações aparecem com mais facilidade. Neste trabalho ela serve de linha de base.</w:t>
      </w:r>
    </w:p>
    <w:p>
      <w:r>
        <w:rPr>
          <w:b w:val="0"/>
        </w:rPr>
        <w:t xml:space="preserve">O limite do RAG vetorial está na própria busca por semelhança. Ela encontra bem um trecho que se parece com a pergunta, mas não sabe que dois trechos diferentes falam da mesma entidade, nem consegue resumir o conjunto inteiro dos documentos. É esse limite que motiva o uso de grafos de conhecimento.</w:t>
      </w:r>
    </w:p>
    <w:p>
      <w:pPr>
        <w:pStyle w:val="Heading3"/>
        <w:rPr>
          <w:b/>
          <w:bCs/>
        </w:rPr>
      </w:pPr>
      <w:r>
        <w:rPr>
          <w:b/>
          <w:bCs/>
        </w:rPr>
        <w:t xml:space="preserve">2.3 Grafos de conhecimento</w:t>
      </w:r>
    </w:p>
    <w:p>
      <w:r>
        <w:rPr>
          <w:b w:val="0"/>
        </w:rPr>
        <w:t xml:space="preserve">Um grafo de conhecimento representa fatos como uma rede: os </w:t>
      </w:r>
      <w:r>
        <w:rPr>
          <w:b/>
        </w:rPr>
        <w:t xml:space="preserve">nós</w:t>
      </w:r>
      <w:r>
        <w:rPr>
          <w:b w:val="0"/>
        </w:rPr>
        <w:t xml:space="preserve"> são entidades (empresas, pessoas, sistemas, eventos) e as </w:t>
      </w:r>
      <w:r>
        <w:rPr>
          <w:b/>
        </w:rPr>
        <w:t xml:space="preserve">arestas</w:t>
      </w:r>
      <w:r>
        <w:rPr>
          <w:b w:val="0"/>
        </w:rPr>
        <w:t xml:space="preserve"> são as relações entre elas, cada uma com uma descrição. Cada fato pode ser lido como uma tripla sujeito, relação e objeto. No corpus deste trabalho, por exemplo, "Delta Air Lines processou CrowdStrike" e "Channel File 291 derrubou Falcon Sensor" são duas arestas; como CrowdStrike e Falcon Sensor aparecem nas duas cadeias, o grafo liga fatos que no texto estão em seções distantes.</w:t>
      </w:r>
    </w:p>
    <w:p>
      <w:r>
        <w:rPr>
          <w:b w:val="0"/>
        </w:rPr>
        <w:t xml:space="preserve">Essa estrutura traz duas vantagens para a recuperação. A primeira é a navegação: a partir de uma entidade citada na pergunta, é possível seguir as arestas até fatos relacionados, o que atende às perguntas multi-hop. A segunda é o agrupamento: entidades muito conectadas formam comunidades, que podem ser resumidas e respondem a perguntas sobre o conjunto.</w:t>
      </w:r>
    </w:p>
    <w:p>
      <w:r>
        <w:rPr>
          <w:b w:val="0"/>
        </w:rPr>
        <w:t xml:space="preserve">O problema histórico dos grafos de conhecimento é o custo de construção, que dependia de especialistas e de ontologias definidas à mão. O GraphRAG troca esse trabalho manual por extração automática feita pelo LLM. O grafo sai mais barato, mas mais ruidoso: entidades duplicadas, relações erradas e entidades inventadas, como as observadas no teste de fumaça (seção 4.8).</w:t>
      </w:r>
    </w:p>
    <w:p>
      <w:pPr>
        <w:pStyle w:val="Heading3"/>
      </w:pPr>
      <w:r>
        <w:t xml:space="preserve">2.4 GraphRAG: arquitetura e funcionamento</w:t>
      </w:r>
    </w:p>
    <w:p>
      <w:r>
        <w:rPr>
          <w:b w:val="0"/>
          <w:i w:val="0"/>
        </w:rPr>
        <w:t xml:space="preserve">O GraphRAG funciona em duas fases: uma indexação, feita uma vez e cara, e as consultas, feitas a cada pergunta. A Figura 1 resume o fluxo com os valores usados neste trabalho.</w:t>
      </w:r>
    </w:p>
    <w:p>
      <w:pPr>
        <w:jc w:val="center"/>
      </w:pPr>
      <w:r>
        <w:drawing>
          <wp:inline distT="0" distB="0" distL="0" distR="0">
            <wp:extent cx="5943600" cy="3144693"/>
            <wp:effectExtent l="0" t="0" r="0" b="0"/>
            <wp:docPr id="1" name="Picture 1" descr=""/>
            <wp:cNvGraphicFramePr/>
            <a:graphic>
              <a:graphicData uri="http://schemas.openxmlformats.org/drawingml/2006/picture">
                <pic:pic>
                  <pic:nvPicPr>
                    <pic:cNvPr id="0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Fase 1: indexação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Divisão em chunks.</w:t>
      </w:r>
      <w:r>
        <w:rPr>
          <w:b w:val="0"/>
          <w:i w:val="0"/>
        </w:rPr>
        <w:t xml:space="preserve"> Os documentos são cortados em pedaços de 800 tokens, com 200 tokens de sobreposição para não partir uma frase importante ao meio.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Extração do grafo. Para cada chunk, o LLM recebe um prompt pedindo as entidades (com nome, tipo e descrição) e as relações entre elas. Os tipos de entidade são configuráveis; aqui foram usados organization, person, system, component, incident e event. O gleaning é uma passada extra em que o modelo é perguntado se esqueceu alguma entidade.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Resumo das descrições.</w:t>
      </w:r>
      <w:r>
        <w:rPr>
          <w:b w:val="0"/>
          <w:i w:val="0"/>
        </w:rPr>
        <w:t xml:space="preserve"> A mesma entidade aparece em vários chunks com descrições diferentes. O LLM junta essas descrições num texto único por entidade e por relação.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Detecção de comunidades.</w:t>
      </w:r>
      <w:r>
        <w:rPr>
          <w:b w:val="0"/>
          <w:i w:val="0"/>
        </w:rPr>
        <w:t xml:space="preserve"> O algoritmo de Leiden [4] agrupa o grafo em comunidades, conjuntos de entidades mais conectadas entre si do que com o resto. O agrupamento é hierárquico: comunidades grandes se dividem em menores.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Relatórios de comunidade.</w:t>
      </w:r>
      <w:r>
        <w:rPr>
          <w:b w:val="0"/>
          <w:i w:val="0"/>
        </w:rPr>
        <w:t xml:space="preserve"> Para cada comunidade, o LLM escreve um relatório com título, resumo e principais achados. É isso que permite responder perguntas sobre o corpus inteiro.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Embeddings.</w:t>
      </w:r>
      <w:r>
        <w:rPr>
          <w:b w:val="0"/>
          <w:i w:val="0"/>
        </w:rPr>
        <w:t xml:space="preserve"> Os chunks, as descrições das entidades e os relatórios viram vetores, guardados no banco vetorial LanceDB. Tabelas e grafo ficam em arquivos parquet.</w:t>
      </w:r>
    </w:p>
    <w:p>
      <w:r>
        <w:rPr>
          <w:b w:val="0"/>
          <w:i w:val="0"/>
        </w:rPr>
        <w:t xml:space="preserve">O RAG vetorial usa só o primeiro e o último passo: chunks e embeddings. Todo o resto, e quase todas as chamadas ao LLM, é custo exclusivo do GraphRAG.</w:t>
      </w:r>
    </w:p>
    <w:p>
      <w:pPr>
        <w:pStyle w:val="Heading4"/>
      </w:pPr>
      <w:r>
        <w:t xml:space="preserve">Fase 2: consulta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Sem recuperação.</w:t>
      </w:r>
      <w:r>
        <w:rPr>
          <w:b w:val="0"/>
          <w:i w:val="0"/>
        </w:rPr>
        <w:t xml:space="preserve"> A pergunta vai direto ao modelo. Serve de linha de base para medir o quanto cada método de recuperação ajuda e quanto o modelo inventa sozinho.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Basic (RAG vetorial).</w:t>
      </w:r>
      <w:r>
        <w:rPr>
          <w:b w:val="0"/>
          <w:i w:val="0"/>
        </w:rPr>
        <w:t xml:space="preserve"> A pergunta vira um embedding, o sistema busca os chunks mais próximos e os coloca no prompt.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Local.</w:t>
      </w:r>
      <w:r>
        <w:rPr>
          <w:b w:val="0"/>
          <w:i w:val="0"/>
        </w:rPr>
        <w:t xml:space="preserve"> O sistema encontra as entidades mais parecidas com a pergunta e monta o contexto com elas, suas relações, os vizinhos no grafo, os chunks de onde vieram e os relatórios das comunidades a que pertencem. É o método indicado para perguntas sobre entidades específicas e para perguntas multi-hop.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Global.</w:t>
      </w:r>
      <w:r>
        <w:rPr>
          <w:b w:val="0"/>
          <w:i w:val="0"/>
        </w:rPr>
        <w:t xml:space="preserve"> Funciona em map-reduce. Na etapa map, cada lote de relatórios de comunidade gera uma lista de pontos relevantes com uma nota de importância; na etapa reduce, os pontos mais bem avaliados são combinados na resposta final. É o método indicado para perguntas sobre o corpus inteiro, e o mais caro na consulta, porque faz várias chamadas ao LLM por pergunta.</w:t>
      </w:r>
    </w:p>
    <w:p>
      <w:r>
        <w:rPr>
          <w:b w:val="0"/>
          <w:i w:val="0"/>
        </w:rPr>
        <w:t xml:space="preserve">Nos dois casos o papel do LLM é diferente. Na indexação ele trabalha como extrator e redator de resumos, e a qualidade do grafo depende dele. Na consulta ele trabalha como gerador, e deve se limitar ao contexto recebido. Um erro cometido na indexação fica gravado no grafo e pode reaparecer em todas as respostas que usarem aquele trecho, o que foi observado no teste de fumaça (seção 4.8).</w:t>
      </w:r>
    </w:p>
    <w:p>
      <w:pPr>
        <w:pStyle w:val="Heading3"/>
      </w:pPr>
      <w:r>
        <w:t xml:space="preserve">2.5 Conceitos-chave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051"/>
        <w:gridCol w:w="6308"/>
      </w:tblGrid>
      <w:tr>
        <w:trPr>
          <w:trHeight w:val="942" w:hRule="atLeast"/>
          <w:tblHeader/>
        </w:trPr>
        <w:tc>
          <w:tcPr>
            <w:tcW w:w="3051" w:type="dxa"/>
            <w:shd w:val="clear" w:color="auto" w:fill="F2F2F2"/>
          </w:tcPr>
          <w:p>
            <w:r>
              <w:t xml:space="preserve">Termo</w:t>
            </w:r>
          </w:p>
        </w:tc>
        <w:tc>
          <w:tcPr>
            <w:tcW w:w="6308" w:type="dxa"/>
            <w:shd w:val="clear" w:color="auto" w:fill="F2F2F2"/>
          </w:tcPr>
          <w:p>
            <w:r>
              <w:t xml:space="preserve">Significado</w:t>
            </w:r>
          </w:p>
        </w:tc>
      </w:tr>
      <w:tr>
        <w:tc>
          <w:tcPr>
            <w:tcW w:w="3051" w:type="dxa"/>
          </w:tcPr>
          <w:p>
            <w:r>
              <w:t xml:space="preserve">LLM</w:t>
            </w:r>
          </w:p>
        </w:tc>
        <w:tc>
          <w:tcPr>
            <w:tcW w:w="6308" w:type="dxa"/>
          </w:tcPr>
          <w:p>
            <w:r>
              <w:t xml:space="preserve">Modelo de linguagem de grande porte, treinado para prever o próximo token de um texto. Aqui, o qwen3.5:4b.</w:t>
            </w:r>
          </w:p>
        </w:tc>
      </w:tr>
      <w:tr>
        <w:tc>
          <w:tcPr>
            <w:tcW w:w="3051" w:type="dxa"/>
          </w:tcPr>
          <w:p>
            <w:r>
              <w:t xml:space="preserve">Token</w:t>
            </w:r>
          </w:p>
        </w:tc>
        <w:tc>
          <w:tcPr>
            <w:tcW w:w="6308" w:type="dxa"/>
          </w:tcPr>
          <w:p>
            <w:r>
              <w:t xml:space="preserve">Unidade de texto que o modelo processa, em geral um pedaço de palavra. Limites de tamanho são medidos em tokens.</w:t>
            </w:r>
          </w:p>
        </w:tc>
      </w:tr>
      <w:tr>
        <w:tc>
          <w:tcPr>
            <w:tcW w:w="3051" w:type="dxa"/>
          </w:tcPr>
          <w:p>
            <w:r>
              <w:t xml:space="preserve">Janela de contexto</w:t>
            </w:r>
          </w:p>
        </w:tc>
        <w:tc>
          <w:tcPr>
            <w:tcW w:w="6308" w:type="dxa"/>
          </w:tcPr>
          <w:p>
            <w:r>
              <w:t xml:space="preserve">Quantidade máxima de tokens (prompt mais resposta) que o modelo considera de uma vez. No Ollama é o parâmetro num_ctx.</w:t>
            </w:r>
          </w:p>
        </w:tc>
      </w:tr>
      <w:tr>
        <w:tc>
          <w:tcPr>
            <w:tcW w:w="3051" w:type="dxa"/>
          </w:tcPr>
          <w:p>
            <w:r>
              <w:t xml:space="preserve">Alucinação</w:t>
            </w:r>
          </w:p>
        </w:tc>
        <w:tc>
          <w:tcPr>
            <w:tcW w:w="6308" w:type="dxa"/>
          </w:tcPr>
          <w:p>
            <w:r>
              <w:t xml:space="preserve">Resposta fluente e plausível, mas sem apoio nos dados ou simplesmente falsa.</w:t>
            </w:r>
          </w:p>
        </w:tc>
      </w:tr>
      <w:tr>
        <w:tc>
          <w:tcPr>
            <w:tcW w:w="3051" w:type="dxa"/>
          </w:tcPr>
          <w:p>
            <w:r>
              <w:t xml:space="preserve">Embedding</w:t>
            </w:r>
          </w:p>
        </w:tc>
        <w:tc>
          <w:tcPr>
            <w:tcW w:w="6308" w:type="dxa"/>
          </w:tcPr>
          <w:p>
            <w:r>
              <w:t xml:space="preserve">Vetor de números que representa o significado de um texto. Textos parecidos geram vetores próximos.</w:t>
            </w:r>
          </w:p>
        </w:tc>
      </w:tr>
      <w:tr>
        <w:tc>
          <w:tcPr>
            <w:tcW w:w="3051" w:type="dxa"/>
          </w:tcPr>
          <w:p>
            <w:r>
              <w:t xml:space="preserve">Chunk</w:t>
            </w:r>
          </w:p>
        </w:tc>
        <w:tc>
          <w:tcPr>
            <w:tcW w:w="6308" w:type="dxa"/>
          </w:tcPr>
          <w:p>
            <w:r>
              <w:t xml:space="preserve">Pedaço de documento usado como unidade de indexação e recuperação (no GraphRAG, text unit).</w:t>
            </w:r>
          </w:p>
        </w:tc>
      </w:tr>
      <w:tr>
        <w:tc>
          <w:tcPr>
            <w:tcW w:w="3051" w:type="dxa"/>
          </w:tcPr>
          <w:p>
            <w:r>
              <w:t xml:space="preserve">Banco vetorial</w:t>
            </w:r>
          </w:p>
        </w:tc>
        <w:tc>
          <w:tcPr>
            <w:tcW w:w="6308" w:type="dxa"/>
          </w:tcPr>
          <w:p>
            <w:r>
              <w:t xml:space="preserve">Banco de dados que busca vetores por proximidade. O GraphRAG usa o LanceDB.</w:t>
            </w:r>
          </w:p>
        </w:tc>
      </w:tr>
      <w:tr>
        <w:tc>
          <w:tcPr>
            <w:tcW w:w="3051" w:type="dxa"/>
          </w:tcPr>
          <w:p>
            <w:r>
              <w:t xml:space="preserve">RAG</w:t>
            </w:r>
          </w:p>
        </w:tc>
        <w:tc>
          <w:tcPr>
            <w:tcW w:w="6308" w:type="dxa"/>
          </w:tcPr>
          <w:p>
            <w:r>
              <w:t xml:space="preserve">Técnica que recupera trechos relevantes e os entrega ao LLM junto com a pergunta.</w:t>
            </w:r>
          </w:p>
        </w:tc>
      </w:tr>
      <w:tr>
        <w:tc>
          <w:tcPr>
            <w:tcW w:w="3051" w:type="dxa"/>
          </w:tcPr>
          <w:p>
            <w:r>
              <w:t xml:space="preserve">Grafo de conhecimento</w:t>
            </w:r>
          </w:p>
        </w:tc>
        <w:tc>
          <w:tcPr>
            <w:tcW w:w="6308" w:type="dxa"/>
          </w:tcPr>
          <w:p>
            <w:r>
              <w:t xml:space="preserve">Representação de fatos como nós (entidades) ligados por arestas (relações).</w:t>
            </w:r>
          </w:p>
        </w:tc>
      </w:tr>
      <w:tr>
        <w:tc>
          <w:tcPr>
            <w:tcW w:w="3051" w:type="dxa"/>
          </w:tcPr>
          <w:p>
            <w:r>
              <w:t xml:space="preserve">Entidade</w:t>
            </w:r>
          </w:p>
        </w:tc>
        <w:tc>
          <w:tcPr>
            <w:tcW w:w="6308" w:type="dxa"/>
          </w:tcPr>
          <w:p>
            <w:r>
              <w:t xml:space="preserve">Algo nomeado no texto, como um sistema, pessoa, decisão ou incidente; vira um nó do grafo.</w:t>
            </w:r>
          </w:p>
        </w:tc>
      </w:tr>
      <w:tr>
        <w:tc>
          <w:tcPr>
            <w:tcW w:w="3051" w:type="dxa"/>
          </w:tcPr>
          <w:p>
            <w:r>
              <w:t xml:space="preserve">Relação</w:t>
            </w:r>
          </w:p>
        </w:tc>
        <w:tc>
          <w:tcPr>
            <w:tcW w:w="6308" w:type="dxa"/>
          </w:tcPr>
          <w:p>
            <w:r>
              <w:t xml:space="preserve">Ligação descrita entre duas entidades, como "o ADR-003 escolheu o PostgreSQL"; vira uma aresta. (Exemplo do teste fumaça)</w:t>
            </w:r>
          </w:p>
        </w:tc>
      </w:tr>
      <w:tr>
        <w:tc>
          <w:tcPr>
            <w:tcW w:w="3051" w:type="dxa"/>
          </w:tcPr>
          <w:p>
            <w:r>
              <w:t xml:space="preserve">Gleaning</w:t>
            </w:r>
          </w:p>
        </w:tc>
        <w:tc>
          <w:tcPr>
            <w:tcW w:w="6308" w:type="dxa"/>
          </w:tcPr>
          <w:p>
            <w:r>
              <w:t xml:space="preserve">Passada extra de extração em que o LLM procura entidades que deixou de fora.</w:t>
            </w:r>
          </w:p>
        </w:tc>
      </w:tr>
      <w:tr>
        <w:tc>
          <w:tcPr>
            <w:tcW w:w="3051" w:type="dxa"/>
          </w:tcPr>
          <w:p>
            <w:r>
              <w:t xml:space="preserve">Comunidade</w:t>
            </w:r>
          </w:p>
        </w:tc>
        <w:tc>
          <w:tcPr>
            <w:tcW w:w="6308" w:type="dxa"/>
          </w:tcPr>
          <w:p>
            <w:r>
              <w:t xml:space="preserve">Grupo de entidades mais conectadas entre si do que com o resto do grafo.</w:t>
            </w:r>
          </w:p>
        </w:tc>
      </w:tr>
      <w:tr>
        <w:tc>
          <w:tcPr>
            <w:tcW w:w="3051" w:type="dxa"/>
          </w:tcPr>
          <w:p>
            <w:r>
              <w:t xml:space="preserve">Algoritmo de Leiden</w:t>
            </w:r>
          </w:p>
        </w:tc>
        <w:tc>
          <w:tcPr>
            <w:tcW w:w="6308" w:type="dxa"/>
          </w:tcPr>
          <w:p>
            <w:r>
              <w:t xml:space="preserve">Algoritmo de detecção de comunidades em grafos, sucessor do Louvain.</w:t>
            </w:r>
          </w:p>
        </w:tc>
      </w:tr>
      <w:tr>
        <w:tc>
          <w:tcPr>
            <w:tcW w:w="3051" w:type="dxa"/>
          </w:tcPr>
          <w:p>
            <w:r>
              <w:t xml:space="preserve">Relatório de comunidade</w:t>
            </w:r>
          </w:p>
        </w:tc>
        <w:tc>
          <w:tcPr>
            <w:tcW w:w="6308" w:type="dxa"/>
          </w:tcPr>
          <w:p>
            <w:r>
              <w:t xml:space="preserve">Resumo de uma comunidade escrito pelo LLM durante a indexação.</w:t>
            </w:r>
          </w:p>
        </w:tc>
      </w:tr>
      <w:tr>
        <w:tc>
          <w:tcPr>
            <w:tcW w:w="3051" w:type="dxa"/>
          </w:tcPr>
          <w:p>
            <w:r>
              <w:t xml:space="preserve">Map-reduce</w:t>
            </w:r>
          </w:p>
        </w:tc>
        <w:tc>
          <w:tcPr>
            <w:tcW w:w="6308" w:type="dxa"/>
          </w:tcPr>
          <w:p>
            <w:r>
              <w:t xml:space="preserve">Estratégia em que várias partes são processadas separadamente (map) e depois combinadas (reduce).</w:t>
            </w:r>
          </w:p>
        </w:tc>
      </w:tr>
      <w:tr>
        <w:tc>
          <w:tcPr>
            <w:tcW w:w="3051" w:type="dxa"/>
          </w:tcPr>
          <w:p>
            <w:r>
              <w:t xml:space="preserve">Pergunta multi-hop</w:t>
            </w:r>
          </w:p>
        </w:tc>
        <w:tc>
          <w:tcPr>
            <w:tcW w:w="6308" w:type="dxa"/>
          </w:tcPr>
          <w:p>
            <w:r>
              <w:t xml:space="preserve">Pergunta cuja resposta exige encadear fatos de mais de uma fonte.</w:t>
            </w:r>
          </w:p>
        </w:tc>
      </w:tr>
      <w:tr>
        <w:tc>
          <w:tcPr>
            <w:tcW w:w="3051" w:type="dxa"/>
          </w:tcPr>
          <w:p>
            <w:r>
              <w:t xml:space="preserve">Temperature</w:t>
            </w:r>
          </w:p>
        </w:tc>
        <w:tc>
          <w:tcPr>
            <w:tcW w:w="6308" w:type="dxa"/>
          </w:tcPr>
          <w:p>
            <w:r>
              <w:t xml:space="preserve">Parâmetro de aleatoriedade da geração. Com 0, o modelo escolhe sempre o token mais provável.</w:t>
            </w:r>
          </w:p>
        </w:tc>
      </w:tr>
      <w:tr>
        <w:tc>
          <w:tcPr>
            <w:tcW w:w="3051" w:type="dxa"/>
          </w:tcPr>
          <w:p>
            <w:r>
              <w:t xml:space="preserve">Modo thinking</w:t>
            </w:r>
          </w:p>
        </w:tc>
        <w:tc>
          <w:tcPr>
            <w:tcW w:w="6308" w:type="dxa"/>
          </w:tcPr>
          <w:p>
            <w:r>
              <w:t xml:space="preserve">Recurso de alguns modelos de gerar um raciocínio interno antes da resposta, gastando tokens.</w:t>
            </w:r>
          </w:p>
        </w:tc>
      </w:tr>
      <w:tr>
        <w:tc>
          <w:tcPr>
            <w:tcW w:w="3051" w:type="dxa"/>
          </w:tcPr>
          <w:p>
            <w:r>
              <w:t xml:space="preserve">Ollama</w:t>
            </w:r>
          </w:p>
        </w:tc>
        <w:tc>
          <w:tcPr>
            <w:tcW w:w="6308" w:type="dxa"/>
          </w:tcPr>
          <w:p>
            <w:r>
              <w:t xml:space="preserve">Ferramenta que baixa e serve modelos de linguagem localmente por uma API HTTP.</w:t>
            </w:r>
          </w:p>
        </w:tc>
      </w:tr>
      <w:tr>
        <w:tc>
          <w:tcPr>
            <w:tcW w:w="3051" w:type="dxa"/>
          </w:tcPr>
          <w:p>
            <w:r>
              <w:t xml:space="preserve">LiteLLM</w:t>
            </w:r>
          </w:p>
        </w:tc>
        <w:tc>
          <w:tcPr>
            <w:tcW w:w="6308" w:type="dxa"/>
          </w:tcPr>
          <w:p>
            <w:r>
              <w:t xml:space="preserve">Biblioteca que padroniza chamadas a provedores de LLM; o GraphRAG a usa para falar com o Ollama.</w:t>
            </w:r>
          </w:p>
        </w:tc>
      </w:tr>
      <w:tr>
        <w:tc>
          <w:tcPr>
            <w:tcW w:w="3051" w:type="dxa"/>
          </w:tcPr>
          <w:p>
            <w:r>
              <w:t xml:space="preserve">ADR</w:t>
            </w:r>
          </w:p>
        </w:tc>
        <w:tc>
          <w:tcPr>
            <w:tcW w:w="6308" w:type="dxa"/>
          </w:tcPr>
          <w:p>
            <w:r>
              <w:t xml:space="preserve">Architecture Decision Record: registro curto de uma decisão de arquitetura, seu contexto e suas consequências.</w:t>
            </w:r>
          </w:p>
        </w:tc>
      </w:tr>
      <w:tr>
        <w:tc>
          <w:tcPr>
            <w:tcW w:w="3051" w:type="dxa"/>
          </w:tcPr>
          <w:p>
            <w:r>
              <w:t xml:space="preserve">Postmortem</w:t>
            </w:r>
          </w:p>
        </w:tc>
        <w:tc>
          <w:tcPr>
            <w:tcW w:w="6308" w:type="dxa"/>
          </w:tcPr>
          <w:p>
            <w:r>
              <w:t xml:space="preserve">Relatório escrito após um incidente, com linha do tempo, causas e ações corretivas.</w:t>
            </w:r>
          </w:p>
        </w:tc>
      </w:tr>
    </w:tbl>
    <w:p>
      <w:pPr>
        <w:pStyle w:val="Heading2"/>
      </w:pPr>
      <w:r>
        <w:t xml:space="preserve">3. Análise comparativa</w:t>
      </w:r>
    </w:p>
    <w:p>
      <w:r>
        <w:rPr>
          <w:b/>
          <w:color w:val="B45F06"/>
        </w:rPr>
        <w:t xml:space="preserve">[A FAZER] </w:t>
      </w:r>
      <w:r>
        <w:rPr>
          <w:i/>
          <w:color w:val="6B7280"/>
        </w:rPr>
        <w:t xml:space="preserve">Bloco a ser escrito depois que o corpus de teste e as perguntas forem definidos e o benchmark for executado, porque a comparação depende desses resultados.</w:t>
      </w:r>
    </w:p>
    <w:p>
      <w:pPr>
        <w:pStyle w:val="Heading3"/>
      </w:pPr>
      <w:r>
        <w:t xml:space="preserve">3.1 Estado da arte vs. alternativas</w:t>
      </w:r>
    </w:p>
    <w:p>
      <w:r>
        <w:rPr>
          <w:b w:val="0"/>
          <w:i w:val="0"/>
        </w:rPr>
        <w:t xml:space="preserve">Comparação entre três abordagens: sem recuperação externa, RAG vetorial tradicional e GraphRAG (buscas Local e Global), com base nos números do benchmark (seção 4.7).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Alternativas medidas no experimento: o modelo sem recuperação e o RAG vetorial (busca Basic).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Alternativas de mercado para citar, sem medir: outras implementações de RAG com grafos, como LightRAG e Neo4j GraphRAG.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Critérios sugeridos: qualidade por tipo de pergunta, custo de indexação, latência, explicabilidade, custo de atualizar o índice quando um documento muda e privacidade.</w:t>
      </w:r>
    </w:p>
    <w:p>
      <w:pPr>
        <w:pStyle w:val="Heading3"/>
      </w:pPr>
      <w:r>
        <w:t xml:space="preserve">3.2 Vantagens e limitações</w:t>
      </w:r>
    </w:p>
    <w:p>
      <w:r>
        <w:rPr>
          <w:b w:val="0"/>
          <w:i w:val="0"/>
        </w:rPr>
        <w:t xml:space="preserve">Análise crítica por cenário de uso: quando o GraphRAG compensa, quando empata e quando não vale o custo. Deve aproveitar as limitações observadas no grafo (seção 4.8) e no benchmark.</w:t>
      </w:r>
    </w:p>
    <w:p>
      <w:pPr>
        <w:pStyle w:val="Heading2"/>
      </w:pPr>
      <w:r>
        <w:t xml:space="preserve">4. Aplicação prática (PoC)</w:t>
      </w:r>
    </w:p>
    <w:p>
      <w:r>
        <w:rPr>
          <w:b w:val="0"/>
          <w:i w:val="0"/>
        </w:rPr>
        <w:t xml:space="preserve">O pipeline GraphRAG local foi validado de ponta a ponta e está pronto para o benchmark. Este bloco registra o ambiente, os parâmetros fixados para o experimento, os trechos de código que implementam essas escolhas e os problemas corrigidos durante o teste de fumaça, para que os resultados possam ser reproduzidos.</w:t>
      </w:r>
    </w:p>
    <w:p>
      <w:pPr>
        <w:pStyle w:val="Heading3"/>
      </w:pPr>
      <w:r>
        <w:t xml:space="preserve">4.1 Ambiente de desenvolvimento</w:t>
      </w:r>
    </w:p>
    <w:p>
      <w:r>
        <w:t xml:space="preserve">Tudo roda localmente, sem API paga, num computador pessoal com GPU dedicada.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051"/>
        <w:gridCol w:w="6308"/>
      </w:tblGrid>
      <w:tr>
        <w:trPr>
          <w:tblHeader/>
        </w:trPr>
        <w:tc>
          <w:tcPr>
            <w:tcW w:w="3051" w:type="dxa"/>
            <w:shd w:val="clear" w:color="auto" w:fill="F2F2F2"/>
          </w:tcPr>
          <w:p>
            <w:r>
              <w:t xml:space="preserve">Item</w:t>
            </w:r>
          </w:p>
        </w:tc>
        <w:tc>
          <w:tcPr>
            <w:tcW w:w="6308" w:type="dxa"/>
            <w:shd w:val="clear" w:color="auto" w:fill="F2F2F2"/>
          </w:tcPr>
          <w:p>
            <w:r>
              <w:t xml:space="preserve">Valor</w:t>
            </w:r>
          </w:p>
        </w:tc>
      </w:tr>
      <w:tr>
        <w:tc>
          <w:tcPr>
            <w:tcW w:w="3051" w:type="dxa"/>
          </w:tcPr>
          <w:p>
            <w:r>
              <w:t xml:space="preserve">Sistema operacional</w:t>
            </w:r>
          </w:p>
        </w:tc>
        <w:tc>
          <w:tcPr>
            <w:tcW w:w="6308" w:type="dxa"/>
          </w:tcPr>
          <w:p>
            <w:r>
              <w:t xml:space="preserve">Windows 11 Home</w:t>
            </w:r>
          </w:p>
        </w:tc>
      </w:tr>
      <w:tr>
        <w:tc>
          <w:tcPr>
            <w:tcW w:w="3051" w:type="dxa"/>
          </w:tcPr>
          <w:p>
            <w:r>
              <w:t xml:space="preserve">CPU</w:t>
            </w:r>
          </w:p>
        </w:tc>
        <w:tc>
          <w:tcPr>
            <w:tcW w:w="6308" w:type="dxa"/>
          </w:tcPr>
          <w:p>
            <w:r>
              <w:t xml:space="preserve">Intel Core i7-13620H (13ª geração)</w:t>
            </w:r>
          </w:p>
        </w:tc>
      </w:tr>
      <w:tr>
        <w:tc>
          <w:tcPr>
            <w:tcW w:w="3051" w:type="dxa"/>
          </w:tcPr>
          <w:p>
            <w:r>
              <w:t xml:space="preserve">RAM</w:t>
            </w:r>
          </w:p>
        </w:tc>
        <w:tc>
          <w:tcPr>
            <w:tcW w:w="6308" w:type="dxa"/>
          </w:tcPr>
          <w:p>
            <w:r>
              <w:t xml:space="preserve">16 GB DDR5 </w:t>
            </w:r>
          </w:p>
        </w:tc>
      </w:tr>
      <w:tr>
        <w:tc>
          <w:tcPr>
            <w:tcW w:w="3051" w:type="dxa"/>
          </w:tcPr>
          <w:p>
            <w:r>
              <w:t xml:space="preserve">GPU</w:t>
            </w:r>
          </w:p>
        </w:tc>
        <w:tc>
          <w:tcPr>
            <w:tcW w:w="6308" w:type="dxa"/>
          </w:tcPr>
          <w:p>
            <w:r>
              <w:t xml:space="preserve">NVIDIA GeForce RTX 4060 Laptop GPU, 8 GB de VRAM</w:t>
            </w:r>
          </w:p>
        </w:tc>
      </w:tr>
      <w:tr>
        <w:tc>
          <w:tcPr>
            <w:tcW w:w="3051" w:type="dxa"/>
          </w:tcPr>
          <w:p>
            <w:r>
              <w:t xml:space="preserve">Python</w:t>
            </w:r>
          </w:p>
        </w:tc>
        <w:tc>
          <w:tcPr>
            <w:tcW w:w="6308" w:type="dxa"/>
          </w:tcPr>
          <w:p>
            <w:r>
              <w:t xml:space="preserve">3.12.10, em ambiente virtual dedicado</w:t>
            </w:r>
          </w:p>
        </w:tc>
      </w:tr>
      <w:tr>
        <w:tc>
          <w:tcPr>
            <w:tcW w:w="3051" w:type="dxa"/>
          </w:tcPr>
          <w:p>
            <w:r>
              <w:t xml:space="preserve">Microsoft GraphRAG</w:t>
            </w:r>
          </w:p>
        </w:tc>
        <w:tc>
          <w:tcPr>
            <w:tcW w:w="6308" w:type="dxa"/>
          </w:tcPr>
          <w:p>
            <w:r>
              <w:t xml:space="preserve">3.3.0</w:t>
            </w:r>
          </w:p>
        </w:tc>
      </w:tr>
      <w:tr>
        <w:tc>
          <w:tcPr>
            <w:tcW w:w="3051" w:type="dxa"/>
          </w:tcPr>
          <w:p>
            <w:r>
              <w:t xml:space="preserve">Ollama</w:t>
            </w:r>
          </w:p>
        </w:tc>
        <w:tc>
          <w:tcPr>
            <w:tcW w:w="6308" w:type="dxa"/>
          </w:tcPr>
          <w:p>
            <w:r>
              <w:t xml:space="preserve">0.40.6</w:t>
            </w:r>
          </w:p>
        </w:tc>
      </w:tr>
      <w:tr>
        <w:tc>
          <w:tcPr>
            <w:tcW w:w="3051" w:type="dxa"/>
          </w:tcPr>
          <w:p>
            <w:r>
              <w:t xml:space="preserve">LiteLLM</w:t>
            </w:r>
          </w:p>
        </w:tc>
        <w:tc>
          <w:tcPr>
            <w:tcW w:w="6308" w:type="dxa"/>
          </w:tcPr>
          <w:p>
            <w:r>
              <w:t xml:space="preserve">1.100.1 (camada que o GraphRAG usa para chamar o Ollama)</w:t>
            </w:r>
          </w:p>
        </w:tc>
      </w:tr>
    </w:tbl>
    <w:p>
      <w:pPr>
        <w:pStyle w:val="Heading3"/>
      </w:pPr>
      <w:r>
        <w:t xml:space="preserve">4.2 Modelos e indexação</w:t>
      </w:r>
    </w:p>
    <w:p>
      <w:r>
        <w:t xml:space="preserve">O mesmo modelo e os mesmos chunks e embeddings servem a todos os métodos, o que mantém a comparação justa. Os valores abaixo estão em </w:t>
      </w:r>
      <w:r>
        <w:rPr>
          <w:rStyle w:val="CodeChar"/>
        </w:rPr>
        <w:t xml:space="preserve">ragtest/settings.yaml</w:t>
      </w:r>
      <w:r>
        <w:t xml:space="preserve">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096"/>
        <w:gridCol w:w="2654"/>
        <w:gridCol w:w="4609"/>
      </w:tblGrid>
      <w:tr>
        <w:trPr>
          <w:tblHeader/>
        </w:trPr>
        <w:tc>
          <w:tcPr>
            <w:tcW w:w="2096" w:type="dxa"/>
            <w:shd w:val="clear" w:color="auto" w:fill="F2F2F2"/>
          </w:tcPr>
          <w:p>
            <w:r>
              <w:t xml:space="preserve">Parâmetro</w:t>
            </w:r>
          </w:p>
        </w:tc>
        <w:tc>
          <w:tcPr>
            <w:tcW w:w="2654" w:type="dxa"/>
            <w:shd w:val="clear" w:color="auto" w:fill="F2F2F2"/>
          </w:tcPr>
          <w:p>
            <w:r>
              <w:t xml:space="preserve">Valor</w:t>
            </w:r>
          </w:p>
        </w:tc>
        <w:tc>
          <w:tcPr>
            <w:tcW w:w="4609" w:type="dxa"/>
            <w:shd w:val="clear" w:color="auto" w:fill="F2F2F2"/>
          </w:tcPr>
          <w:p>
            <w:r>
              <w:t xml:space="preserve">Motivo</w:t>
            </w:r>
          </w:p>
        </w:tc>
      </w:tr>
      <w:tr>
        <w:tc>
          <w:tcPr>
            <w:tcW w:w="2096" w:type="dxa"/>
          </w:tcPr>
          <w:p>
            <w:r>
              <w:t xml:space="preserve">Modelo de linguagem</w:t>
            </w:r>
          </w:p>
        </w:tc>
        <w:tc>
          <w:tcPr>
            <w:tcW w:w="2654" w:type="dxa"/>
          </w:tcPr>
          <w:p>
            <w:r>
              <w:rPr>
                <w:rStyle w:val="CodeChar"/>
              </w:rPr>
              <w:t xml:space="preserve">qwen3.5:4b</w:t>
            </w:r>
            <w:r>
              <w:t xml:space="preserve"> (Ollama)</w:t>
            </w:r>
          </w:p>
        </w:tc>
        <w:tc>
          <w:tcPr>
            <w:tcW w:w="4609" w:type="dxa"/>
          </w:tcPr>
          <w:p>
            <w:r>
              <w:t xml:space="preserve">Leve e roda inteiro na GPU</w:t>
            </w:r>
          </w:p>
        </w:tc>
      </w:tr>
      <w:tr>
        <w:tc>
          <w:tcPr>
            <w:tcW w:w="2096" w:type="dxa"/>
          </w:tcPr>
          <w:p>
            <w:r>
              <w:t xml:space="preserve">Modelo de embeddings</w:t>
            </w:r>
          </w:p>
        </w:tc>
        <w:tc>
          <w:tcPr>
            <w:tcW w:w="2654" w:type="dxa"/>
          </w:tcPr>
          <w:p>
            <w:r>
              <w:rPr>
                <w:rStyle w:val="CodeChar"/>
              </w:rPr>
              <w:t xml:space="preserve">nomic-embed-text</w:t>
            </w:r>
            <w:r>
              <w:t xml:space="preserve"> (vetores de 768 dimensões)</w:t>
            </w:r>
          </w:p>
        </w:tc>
        <w:tc>
          <w:tcPr>
            <w:tcW w:w="4609" w:type="dxa"/>
          </w:tcPr>
          <w:p>
            <w:r>
              <w:t xml:space="preserve">Padrão local do Ollama</w:t>
            </w:r>
          </w:p>
        </w:tc>
      </w:tr>
      <w:tr>
        <w:tc>
          <w:tcPr>
            <w:tcW w:w="2096" w:type="dxa"/>
          </w:tcPr>
          <w:p>
            <w:r>
              <w:rPr>
                <w:rStyle w:val="CodeChar"/>
              </w:rPr>
              <w:t xml:space="preserve">temperature</w:t>
            </w:r>
          </w:p>
        </w:tc>
        <w:tc>
          <w:tcPr>
            <w:tcW w:w="2654" w:type="dxa"/>
          </w:tcPr>
          <w:p>
            <w:r>
              <w:t xml:space="preserve">0</w:t>
            </w:r>
          </w:p>
        </w:tc>
        <w:tc>
          <w:tcPr>
            <w:tcW w:w="4609" w:type="dxa"/>
          </w:tcPr>
          <w:p>
            <w:r>
              <w:t xml:space="preserve">Respostas reproduzíveis entre execuções</w:t>
            </w:r>
          </w:p>
        </w:tc>
      </w:tr>
      <w:tr>
        <w:tc>
          <w:tcPr>
            <w:tcW w:w="2096" w:type="dxa"/>
          </w:tcPr>
          <w:p>
            <w:r>
              <w:t xml:space="preserve">Modo thinking</w:t>
            </w:r>
          </w:p>
        </w:tc>
        <w:tc>
          <w:tcPr>
            <w:tcW w:w="2654" w:type="dxa"/>
          </w:tcPr>
          <w:p>
            <w:r>
              <w:t xml:space="preserve">Desligado (</w:t>
            </w:r>
            <w:r>
              <w:rPr>
                <w:rStyle w:val="CodeChar"/>
              </w:rPr>
              <w:t xml:space="preserve">reasoning_effort: none</w:t>
            </w:r>
            <w:r>
              <w:t xml:space="preserve">)</w:t>
            </w:r>
          </w:p>
        </w:tc>
        <w:tc>
          <w:tcPr>
            <w:tcW w:w="4609" w:type="dxa"/>
          </w:tcPr>
          <w:p>
            <w:r>
              <w:t xml:space="preserve">Ligado, o raciocínio consumia toda a resposta</w:t>
            </w:r>
          </w:p>
        </w:tc>
      </w:tr>
      <w:tr>
        <w:tc>
          <w:tcPr>
            <w:tcW w:w="2096" w:type="dxa"/>
          </w:tcPr>
          <w:p>
            <w:r>
              <w:rPr>
                <w:rStyle w:val="CodeChar"/>
              </w:rPr>
              <w:t xml:space="preserve">max_tokens</w:t>
            </w:r>
          </w:p>
        </w:tc>
        <w:tc>
          <w:tcPr>
            <w:tcW w:w="2654" w:type="dxa"/>
          </w:tcPr>
          <w:p>
            <w:r>
              <w:t xml:space="preserve">4000</w:t>
            </w:r>
          </w:p>
        </w:tc>
        <w:tc>
          <w:tcPr>
            <w:tcW w:w="4609" w:type="dxa"/>
          </w:tcPr>
          <w:p>
            <w:r>
              <w:t xml:space="preserve">Com 2000, a lista de relações era cortada</w:t>
            </w:r>
          </w:p>
        </w:tc>
      </w:tr>
      <w:tr>
        <w:tc>
          <w:tcPr>
            <w:tcW w:w="2096" w:type="dxa"/>
          </w:tcPr>
          <w:p>
            <w:r>
              <w:rPr>
                <w:rStyle w:val="CodeChar"/>
              </w:rPr>
              <w:t xml:space="preserve">num_ctx</w:t>
            </w:r>
            <w:r>
              <w:t xml:space="preserve"> (janela de contexto)</w:t>
            </w:r>
          </w:p>
        </w:tc>
        <w:tc>
          <w:tcPr>
            <w:tcW w:w="2654" w:type="dxa"/>
          </w:tcPr>
          <w:p>
            <w:r>
              <w:t xml:space="preserve">12288 tokens</w:t>
            </w:r>
          </w:p>
        </w:tc>
        <w:tc>
          <w:tcPr>
            <w:tcW w:w="4609" w:type="dxa"/>
          </w:tcPr>
          <w:p>
            <w:r>
              <w:t xml:space="preserve">Precisa caber o prompt (até cerca de 5.500) mais a resposta (4.000)</w:t>
            </w:r>
          </w:p>
        </w:tc>
      </w:tr>
      <w:tr>
        <w:tc>
          <w:tcPr>
            <w:tcW w:w="2096" w:type="dxa"/>
          </w:tcPr>
          <w:p>
            <w:r>
              <w:t xml:space="preserve">Chunking</w:t>
            </w:r>
          </w:p>
        </w:tc>
        <w:tc>
          <w:tcPr>
            <w:tcW w:w="2654" w:type="dxa"/>
          </w:tcPr>
          <w:p>
            <w:r>
              <w:t xml:space="preserve">800 tokens, sobreposição de 200</w:t>
            </w:r>
          </w:p>
        </w:tc>
        <w:tc>
          <w:tcPr>
            <w:tcW w:w="4609" w:type="dxa"/>
          </w:tcPr>
          <w:p>
            <w:r>
              <w:t xml:space="preserve">Padrão mantido, registrado como parâmetro</w:t>
            </w:r>
          </w:p>
        </w:tc>
      </w:tr>
      <w:tr>
        <w:tc>
          <w:tcPr>
            <w:tcW w:w="2096" w:type="dxa"/>
          </w:tcPr>
          <w:p>
            <w:r>
              <w:rPr>
                <w:rStyle w:val="CodeChar"/>
              </w:rPr>
              <w:t xml:space="preserve">max_gleanings</w:t>
            </w:r>
          </w:p>
        </w:tc>
        <w:tc>
          <w:tcPr>
            <w:tcW w:w="2654" w:type="dxa"/>
          </w:tcPr>
          <w:p>
            <w:r>
              <w:t xml:space="preserve">1</w:t>
            </w:r>
          </w:p>
        </w:tc>
        <w:tc>
          <w:tcPr>
            <w:tcW w:w="4609" w:type="dxa"/>
          </w:tcPr>
          <w:p>
            <w:r>
              <w:t xml:space="preserve">Cada passada extra repete a extração do chunk</w:t>
            </w:r>
          </w:p>
        </w:tc>
      </w:tr>
      <w:tr>
        <w:tc>
          <w:tcPr>
            <w:tcW w:w="2096" w:type="dxa"/>
          </w:tcPr>
          <w:p>
            <w:r>
              <w:rPr>
                <w:rStyle w:val="CodeChar"/>
              </w:rPr>
              <w:t xml:space="preserve">entity_types</w:t>
            </w:r>
          </w:p>
        </w:tc>
        <w:tc>
          <w:tcPr>
            <w:tcW w:w="2654" w:type="dxa"/>
          </w:tcPr>
          <w:p>
            <w:r>
              <w:t xml:space="preserve">organization, person, system, component, incident, event</w:t>
            </w:r>
          </w:p>
        </w:tc>
        <w:tc>
          <w:tcPr>
            <w:tcW w:w="4609" w:type="dxa"/>
          </w:tcPr>
          <w:p>
            <w:r>
              <w:t xml:space="preserve">Descrevem relatos de incidentes: empresas, pessoas, sistemas, componentes e eventos</w:t>
            </w:r>
          </w:p>
        </w:tc>
      </w:tr>
      <w:tr>
        <w:tc>
          <w:tcPr>
            <w:tcW w:w="2096" w:type="dxa"/>
          </w:tcPr>
          <w:p>
            <w:r>
              <w:t xml:space="preserve">Extração de claims</w:t>
            </w:r>
          </w:p>
        </w:tc>
        <w:tc>
          <w:tcPr>
            <w:tcW w:w="2654" w:type="dxa"/>
          </w:tcPr>
          <w:p>
            <w:r>
              <w:t xml:space="preserve">Desligada</w:t>
            </w:r>
          </w:p>
        </w:tc>
        <w:tc>
          <w:tcPr>
            <w:tcW w:w="4609" w:type="dxa"/>
          </w:tcPr>
          <w:p>
            <w:r>
              <w:t xml:space="preserve">Fora do escopo</w:t>
            </w:r>
          </w:p>
        </w:tc>
      </w:tr>
      <w:tr>
        <w:tc>
          <w:tcPr>
            <w:tcW w:w="2096" w:type="dxa"/>
          </w:tcPr>
          <w:p>
            <w:r>
              <w:t xml:space="preserve">Idioma</w:t>
            </w:r>
          </w:p>
        </w:tc>
        <w:tc>
          <w:tcPr>
            <w:tcW w:w="2654" w:type="dxa"/>
          </w:tcPr>
          <w:p>
            <w:r>
              <w:t xml:space="preserve">Corpus, perguntas e respostas em português</w:t>
            </w:r>
          </w:p>
        </w:tc>
        <w:tc>
          <w:tcPr>
            <w:tcW w:w="4609" w:type="dxa"/>
          </w:tcPr>
          <w:p>
            <w:r>
              <w:t xml:space="preserve">Pergunta e texto no mesmo idioma, sem etapa de tradução</w:t>
            </w:r>
          </w:p>
        </w:tc>
      </w:tr>
    </w:tbl>
    <w:p>
      <w:r>
        <w:t xml:space="preserve">Os prompts de extração de entidades não foram alterados.</w:t>
      </w:r>
    </w:p>
    <w:p>
      <w:pPr>
        <w:pStyle w:val="Heading3"/>
      </w:pPr>
      <w:r>
        <w:t xml:space="preserve">4.3 Configuração da consulta</w:t>
      </w:r>
    </w:p>
    <w:p>
      <w:r>
        <w:t xml:space="preserve">Os métodos comparados recebem as mesmas regras e o mesmo formato de resposta, para que a diferença medida venha da recuperação e não do prompt.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077"/>
        <w:gridCol w:w="6282"/>
      </w:tblGrid>
      <w:tr>
        <w:trPr>
          <w:tblHeader/>
        </w:trPr>
        <w:tc>
          <w:tcPr>
            <w:tcW w:w="3077" w:type="dxa"/>
            <w:shd w:val="clear" w:color="auto" w:fill="F2F2F2"/>
          </w:tcPr>
          <w:p>
            <w:r>
              <w:t xml:space="preserve">Método</w:t>
            </w:r>
          </w:p>
        </w:tc>
        <w:tc>
          <w:tcPr>
            <w:tcW w:w="6282" w:type="dxa"/>
            <w:shd w:val="clear" w:color="auto" w:fill="F2F2F2"/>
          </w:tcPr>
          <w:p>
            <w:r>
              <w:t xml:space="preserve">O que recupera</w:t>
            </w:r>
          </w:p>
        </w:tc>
      </w:tr>
      <w:tr>
        <w:tc>
          <w:tcPr>
            <w:tcW w:w="3077" w:type="dxa"/>
          </w:tcPr>
          <w:p>
            <w:r>
              <w:t xml:space="preserve">Sem recuperação</w:t>
            </w:r>
          </w:p>
        </w:tc>
        <w:tc>
          <w:tcPr>
            <w:tcW w:w="6282" w:type="dxa"/>
          </w:tcPr>
          <w:p>
            <w:r>
              <w:t xml:space="preserve">Nada: a pergunta vai direto ao modelo (linha de base)</w:t>
            </w:r>
          </w:p>
        </w:tc>
      </w:tr>
      <w:tr>
        <w:tc>
          <w:tcPr>
            <w:tcW w:w="3077" w:type="dxa"/>
          </w:tcPr>
          <w:p>
            <w:r>
              <w:t xml:space="preserve">Basic (RAG vetorial)</w:t>
            </w:r>
          </w:p>
        </w:tc>
        <w:tc>
          <w:tcPr>
            <w:tcW w:w="6282" w:type="dxa"/>
          </w:tcPr>
          <w:p>
            <w:r>
              <w:t xml:space="preserve">Chunks mais parecidos com a pergunta, por embedding</w:t>
            </w:r>
          </w:p>
        </w:tc>
      </w:tr>
      <w:tr>
        <w:tc>
          <w:tcPr>
            <w:tcW w:w="3077" w:type="dxa"/>
          </w:tcPr>
          <w:p>
            <w:r>
              <w:t xml:space="preserve">Local (GraphRAG)</w:t>
            </w:r>
          </w:p>
        </w:tc>
        <w:tc>
          <w:tcPr>
            <w:tcW w:w="6282" w:type="dxa"/>
          </w:tcPr>
          <w:p>
            <w:r>
              <w:t xml:space="preserve">Entidades ligadas à pergunta, seus vizinhos no grafo e os chunks de origem</w:t>
            </w:r>
          </w:p>
        </w:tc>
      </w:tr>
      <w:tr>
        <w:tc>
          <w:tcPr>
            <w:tcW w:w="3077" w:type="dxa"/>
          </w:tcPr>
          <w:p>
            <w:r>
              <w:t xml:space="preserve">Global (GraphRAG)</w:t>
            </w:r>
          </w:p>
        </w:tc>
        <w:tc>
          <w:tcPr>
            <w:tcW w:w="6282" w:type="dxa"/>
          </w:tcPr>
          <w:p>
            <w:r>
              <w:t xml:space="preserve">Relatórios das comunidades do grafo, combinados em map-reduce</w:t>
            </w:r>
          </w:p>
        </w:tc>
      </w:tr>
    </w:tbl>
    <w:p>
      <w:r>
        <w:t xml:space="preserve">A busca Drift existe no app, mas fica fora do benchmark por ser a mais lenta.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Formato de resposta:</w:t>
      </w:r>
      <w:r>
        <w:t xml:space="preserve"> todo método recebe </w:t>
      </w:r>
      <w:r>
        <w:rPr>
          <w:rStyle w:val="CodeChar"/>
        </w:rPr>
        <w:t xml:space="preserve">--response-type "Single paragraph, at most 5 sentences"</w:t>
      </w:r>
      <w:r>
        <w:t xml:space="preserve">. Respostas longas induziam o modelo a completar o texto com inferências.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Regras nos prompts de consulta: o mesmo bloco foi acrescentado aos prompts de todos os métodos. Ele pede só fatos escritos nos dados, nomes sem tradução, citação apenas de ids existentes, admitir quando não sabe e responder em português do Brasil.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Timeout por consulta:</w:t>
      </w:r>
      <w:r>
        <w:t xml:space="preserve"> 600 s, para que uma busca lenta não seja registrada como falha.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Timeout de indexação:</w:t>
      </w:r>
      <w:r>
        <w:t xml:space="preserve"> 4 horas.</w:t>
      </w:r>
    </w:p>
    <w:p>
      <w:pPr>
        <w:pStyle w:val="Heading3"/>
      </w:pPr>
      <w:r>
        <w:t xml:space="preserve">4.4 Demonstração de código</w:t>
      </w:r>
    </w:p>
    <w:p>
      <w:r>
        <w:rPr>
          <w:b w:val="0"/>
          <w:i w:val="0"/>
        </w:rPr>
        <w:t xml:space="preserve">O projeto não reimplementa o GraphRAG: ele configura a biblioteca e a chama pela linha de comando. Por isso, as decisões técnicas do experimento estão concentradas no arquivo de configuração, nos prompts e em dois scripts Python. Os trechos abaixo são os mais importantes.</w:t>
      </w:r>
    </w:p>
    <w:p>
      <w:pPr>
        <w:pStyle w:val="Heading4"/>
      </w:pPr>
      <w:r>
        <w:t xml:space="preserve">Configuração do modelo (ragtest/settings.yaml)</w:t>
      </w:r>
    </w:p>
    <w:p>
      <w:r>
        <w:rPr>
          <w:b w:val="0"/>
          <w:i w:val="0"/>
        </w:rPr>
        <w:t xml:space="preserve">No GraphRAG 3.3, só os parâmetros dentro de call_args chegam de fato ao Ollama. Antes da correção, temperature e max_tokens ficavam um nível acima e eram ignorados sem nenhum aviso.</w:t>
      </w:r>
    </w:p>
    <w:p>
      <w:pPr>
        <w:pStyle w:val="Code"/>
      </w:pPr>
      <w:r>
        <w:t xml:space="preserve">completion_models:</w:t>
        <w:br/>
        <w:t xml:space="preserve">  default_completion_model:</w:t>
        <w:br/>
        <w:t xml:space="preserve">    model_provider: ollama</w:t>
        <w:br/>
        <w:t xml:space="preserve">    model: qwen3.5:4b</w:t>
        <w:br/>
        <w:t xml:space="preserve">    call_args:</w:t>
        <w:br/>
        <w:t xml:space="preserve">      temperature: 0</w:t>
        <w:br/>
        <w:t xml:space="preserve">      max_tokens: 4000 # 2000 cortava a lista de relações na extração</w:t>
        <w:br/>
        <w:t xml:space="preserve">      num_ctx: 12288 # precisa caber prompt (até ~5,5k no gleaning) + resposta (4k)</w:t>
        <w:br/>
        <w:t xml:space="preserve">      reasoning_effort: none # desliga o modo thinking do Qwen</w:t>
        <w:br/>
        <w:t xml:space="preserve">    api_base: http://localhost:11434</w:t>
      </w:r>
    </w:p>
    <w:p>
      <w:r>
        <w:rPr>
          <w:b w:val="0"/>
          <w:i w:val="0"/>
        </w:rPr>
        <w:t xml:space="preserve">O reasoning_effort: none é traduzido pelo LiteLLM para think: false no Ollama. Sem ele, o modelo gastava a janela inteira raciocinando e devolvia texto vazio.</w:t>
      </w:r>
    </w:p>
    <w:p>
      <w:pPr>
        <w:pStyle w:val="Heading4"/>
      </w:pPr>
      <w:r>
        <w:t xml:space="preserve">Tipos de entidade (ragtest/settings.yaml)</w:t>
      </w:r>
    </w:p>
    <w:p>
      <w:r>
        <w:rPr>
          <w:b w:val="0"/>
          <w:i w:val="0"/>
        </w:rPr>
        <w:t xml:space="preserve">Os tipos de entidade foram trocados para descrever o corpus final, formado por relatos de incidentes: organization (CrowdStrike, Microsoft, Delta Air Lines, Cloudflare), person (George Kurtz, Ed Bastian), system (Falcon Sensor, Windows, ClickHouse, Bot Management, FL2), component (Channel File 291, arquivo de features, proxy central), incident e event. O gleaning foi limitado a uma passada, porque cada passada repete a extração do chunk inteiro.</w:t>
      </w:r>
    </w:p>
    <w:p>
      <w:pPr>
        <w:pStyle w:val="Code"/>
      </w:pPr>
      <w:r>
        <w:t xml:space="preserve">extract_graph:</w:t>
        <w:br/>
        <w:t xml:space="preserve">  completion_model_id: default_completion_model</w:t>
        <w:br/>
        <w:t xml:space="preserve">  prompt: "prompts/extract_graph.txt"</w:t>
        <w:br/>
        <w:t xml:space="preserve">  entity_types: [organization, person, system, component, incident, event]</w:t>
        <w:br/>
        <w:t xml:space="preserve">  max_gleanings: 1</w:t>
        <w:br/>
        <w:br/>
        <w:t xml:space="preserve">cluster_graph:</w:t>
        <w:br/>
        <w:t xml:space="preserve">  max_cluster_size: 10</w:t>
      </w:r>
    </w:p>
    <w:p>
      <w:pPr>
        <w:pStyle w:val="Heading4"/>
      </w:pPr>
      <w:r>
        <w:t xml:space="preserve">Chamada das consultas (engine.py)</w:t>
      </w:r>
    </w:p>
    <w:p>
      <w:r>
        <w:rPr>
          <w:b w:val="0"/>
          <w:i w:val="0"/>
        </w:rPr>
        <w:t xml:space="preserve">O engine.py monta o comando do GraphRAG e o executa como subprocesso. O mesmo formato de resposta é passado a todos os métodos, para que a diferença medida venha da recuperação e não do tamanho da resposta.</w:t>
      </w:r>
    </w:p>
    <w:p>
      <w:pPr>
        <w:pStyle w:val="Code"/>
      </w:pPr>
      <w:r>
        <w:t xml:space="preserve">RESPONSE_TYPE = "Single paragraph, at most 5 sentences"</w:t>
        <w:br/>
        <w:br/>
        <w:t xml:space="preserve">cmd = [python_exe, "-m", "graphrag", "query", "--root", "ragtest",</w:t>
        <w:br/>
        <w:t xml:space="preserve">       "--method", method, "--response-type", RESPONSE_TYPE, text]</w:t>
        <w:br/>
        <w:br/>
        <w:t xml:space="preserve">result = subprocess.run(cmd, capture_output=True, text=True,</w:t>
        <w:br/>
        <w:t xml:space="preserve">                        timeout=600, env=env)</w:t>
      </w:r>
    </w:p>
    <w:p>
      <w:pPr>
        <w:pStyle w:val="Heading4"/>
      </w:pPr>
      <w:r>
        <w:t xml:space="preserve">Indexação (indexer.py)</w:t>
      </w:r>
    </w:p>
    <w:p>
      <w:r>
        <w:rPr>
          <w:b w:val="0"/>
          <w:i w:val="0"/>
        </w:rPr>
        <w:t xml:space="preserve">A indexação também roda como subprocesso. O limite de tempo, que antes era de 10 minutos, foi elevado para 4 horas e pode ser ajustado por variável de ambiente.</w:t>
      </w:r>
    </w:p>
    <w:p>
      <w:pPr>
        <w:pStyle w:val="Code"/>
      </w:pPr>
      <w:r>
        <w:t xml:space="preserve">INDEX_TIMEOUT_SECONDS = int(os.environ.get("INDEX_TIMEOUT_SECONDS", 4 * 60 * 60))</w:t>
        <w:br/>
        <w:br/>
        <w:t xml:space="preserve">cmd = [python_exe, "-m", "graphrag", "index", "--root", "ragtest"]</w:t>
        <w:br/>
        <w:t xml:space="preserve">result = subprocess.run(cmd, capture_output=True, text=True,</w:t>
        <w:br/>
        <w:t xml:space="preserve">                        timeout=INDEX_TIMEOUT_SECONDS)</w:t>
      </w:r>
    </w:p>
    <w:p>
      <w:pPr>
        <w:pStyle w:val="Heading4"/>
      </w:pPr>
      <w:r>
        <w:t xml:space="preserve">Regras comuns nos prompts de consulta (ragtest/prompts/)</w:t>
      </w:r>
    </w:p>
    <w:p>
      <w:r>
        <w:rPr>
          <w:b w:val="0"/>
          <w:i w:val="0"/>
        </w:rPr>
        <w:t xml:space="preserve">O mesmo bloco de regras foi acrescentado aos prompts das buscas Basic, Local, Global (map e reduce) e Drift. Ele reduz a tendência de um modelo pequeno de completar a resposta com inferências.</w:t>
      </w:r>
    </w:p>
    <w:p>
      <w:pPr>
        <w:pStyle w:val="Code"/>
      </w:pPr>
      <w:r>
        <w:t xml:space="preserve">---Rules---</w:t>
        <w:br/>
        <w:br/>
        <w:t xml:space="preserve">- State only facts that are written explicitly in the data. Do not infer causes,</w:t>
        <w:br/>
        <w:t xml:space="preserve">  violations, consequences or recommendations that the data does not state.</w:t>
        <w:br/>
        <w:t xml:space="preserve">- Keep names, codes and identifiers exactly as they appear in the data.</w:t>
        <w:br/>
        <w:t xml:space="preserve">  Do not translate them.</w:t>
        <w:br/>
        <w:t xml:space="preserve">- Only cite record ids that appear in the data. Never invent ids.</w:t>
        <w:br/>
        <w:t xml:space="preserve">- If the data does not contain the answer, say so instead of guessing.</w:t>
        <w:br/>
        <w:t xml:space="preserve">- Write the answer in Brazilian Portuguese.</w:t>
      </w:r>
    </w:p>
    <w:p>
      <w:pPr>
        <w:pStyle w:val="Heading4"/>
      </w:pPr>
      <w:r>
        <w:t xml:space="preserve">Correção da busca Global (global_search_map_system_prompt.txt)</w:t>
      </w:r>
    </w:p>
    <w:p>
      <w:r>
        <w:rPr>
          <w:b w:val="0"/>
          <w:i w:val="0"/>
        </w:rPr>
        <w:t xml:space="preserve">Na etapa map, o GraphRAG lê a nota de cada ponto pela chave score. O modelo escrevia importance_score, todas as notas eram lidas como zero e a resposta final era sempre "I am sorry but I am unable to answer". A instrução passou a exigir a chave exata:</w:t>
      </w:r>
    </w:p>
    <w:p>
      <w:pPr>
        <w:pStyle w:val="Code"/>
      </w:pPr>
      <w:r>
        <w:t xml:space="preserve">- score: An integer between 0-100 (the JSON key must be exactly "score") that</w:t>
        <w:br/>
        <w:t xml:space="preserve">  indicates how important the point is in answering the user's question.</w:t>
      </w:r>
    </w:p>
    <w:p>
      <w:pPr>
        <w:pStyle w:val="Heading4"/>
      </w:pPr>
      <w:r>
        <w:t xml:space="preserve">4.5 Teste de fumaça</w:t>
      </w:r>
    </w:p>
    <w:p>
      <w:r>
        <w:t xml:space="preserve">Um texto fictício de 3,9 KB foi indexado do zero em 569. Ele seguia o corpus planejado no início do trabalho, depois substituído por relatos reais: 3 ADRs, 1 postmortem, 1 ata e requisitos não funcionais de uma plataforma de pagamentos inventada.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516"/>
        <w:gridCol w:w="5843"/>
      </w:tblGrid>
      <w:tr>
        <w:trPr>
          <w:tblHeader/>
        </w:trPr>
        <w:tc>
          <w:tcPr>
            <w:tcW w:w="3516" w:type="dxa"/>
            <w:shd w:val="clear" w:color="auto" w:fill="F2F2F2"/>
          </w:tcPr>
          <w:p>
            <w:r>
              <w:t xml:space="preserve">Métrica</w:t>
            </w:r>
          </w:p>
        </w:tc>
        <w:tc>
          <w:tcPr>
            <w:tcW w:w="5843" w:type="dxa"/>
            <w:shd w:val="clear" w:color="auto" w:fill="F2F2F2"/>
          </w:tcPr>
          <w:p>
            <w:r>
              <w:t xml:space="preserve">Valor</w:t>
            </w:r>
          </w:p>
        </w:tc>
      </w:tr>
      <w:tr>
        <w:tc>
          <w:tcPr>
            <w:tcW w:w="3516" w:type="dxa"/>
          </w:tcPr>
          <w:p>
            <w:r>
              <w:t xml:space="preserve">Chunks</w:t>
            </w:r>
          </w:p>
        </w:tc>
        <w:tc>
          <w:tcPr>
            <w:tcW w:w="5843" w:type="dxa"/>
          </w:tcPr>
          <w:p>
            <w:r>
              <w:t xml:space="preserve">2 (800 e 403 tokens)</w:t>
            </w:r>
          </w:p>
        </w:tc>
      </w:tr>
      <w:tr>
        <w:tc>
          <w:tcPr>
            <w:tcW w:w="3516" w:type="dxa"/>
          </w:tcPr>
          <w:p>
            <w:r>
              <w:t xml:space="preserve">Tempo total de indexação</w:t>
            </w:r>
          </w:p>
        </w:tc>
        <w:tc>
          <w:tcPr>
            <w:tcW w:w="5843" w:type="dxa"/>
          </w:tcPr>
          <w:p>
            <w:r>
              <w:t xml:space="preserve">569 s</w:t>
            </w:r>
          </w:p>
        </w:tc>
      </w:tr>
      <w:tr>
        <w:tc>
          <w:tcPr>
            <w:tcW w:w="3516" w:type="dxa"/>
          </w:tcPr>
          <w:p>
            <w:r>
              <w:t xml:space="preserve">Extração do grafo</w:t>
            </w:r>
          </w:p>
        </w:tc>
        <w:tc>
          <w:tcPr>
            <w:tcW w:w="5843" w:type="dxa"/>
          </w:tcPr>
          <w:p>
            <w:r>
              <w:t xml:space="preserve">399 s</w:t>
            </w:r>
          </w:p>
        </w:tc>
      </w:tr>
      <w:tr>
        <w:tc>
          <w:tcPr>
            <w:tcW w:w="3516" w:type="dxa"/>
          </w:tcPr>
          <w:p>
            <w:r>
              <w:t xml:space="preserve">Relatórios de comunidade</w:t>
            </w:r>
          </w:p>
        </w:tc>
        <w:tc>
          <w:tcPr>
            <w:tcW w:w="5843" w:type="dxa"/>
          </w:tcPr>
          <w:p>
            <w:r>
              <w:t xml:space="preserve">163 s</w:t>
            </w:r>
          </w:p>
        </w:tc>
      </w:tr>
      <w:tr>
        <w:tc>
          <w:tcPr>
            <w:tcW w:w="3516" w:type="dxa"/>
          </w:tcPr>
          <w:p>
            <w:r>
              <w:t xml:space="preserve">Embeddings</w:t>
            </w:r>
          </w:p>
        </w:tc>
        <w:tc>
          <w:tcPr>
            <w:tcW w:w="5843" w:type="dxa"/>
          </w:tcPr>
          <w:p>
            <w:r>
              <w:t xml:space="preserve">6 s</w:t>
            </w:r>
          </w:p>
        </w:tc>
      </w:tr>
      <w:tr>
        <w:tc>
          <w:tcPr>
            <w:tcW w:w="3516" w:type="dxa"/>
          </w:tcPr>
          <w:p>
            <w:r>
              <w:t xml:space="preserve">Chamadas ao LLM</w:t>
            </w:r>
          </w:p>
        </w:tc>
        <w:tc>
          <w:tcPr>
            <w:tcW w:w="5843" w:type="dxa"/>
          </w:tcPr>
          <w:p>
            <w:r>
              <w:t xml:space="preserve">41 (4 de extração, 32 de resumo de descrições, 5 de relatório)</w:t>
            </w:r>
          </w:p>
        </w:tc>
      </w:tr>
      <w:tr>
        <w:tc>
          <w:tcPr>
            <w:tcW w:w="3516" w:type="dxa"/>
          </w:tcPr>
          <w:p>
            <w:r>
              <w:t xml:space="preserve">Grafo</w:t>
            </w:r>
          </w:p>
        </w:tc>
        <w:tc>
          <w:tcPr>
            <w:tcW w:w="5843" w:type="dxa"/>
          </w:tcPr>
          <w:p>
            <w:r>
              <w:t xml:space="preserve">27 entidades, 56 relações, 5 comunidades</w:t>
            </w:r>
          </w:p>
        </w:tc>
      </w:tr>
      <w:tr>
        <w:tc>
          <w:tcPr>
            <w:tcW w:w="3516" w:type="dxa"/>
          </w:tcPr>
          <w:p>
            <w:r>
              <w:t xml:space="preserve">Tamanho em disco</w:t>
            </w:r>
          </w:p>
        </w:tc>
        <w:tc>
          <w:tcPr>
            <w:tcW w:w="5843" w:type="dxa"/>
          </w:tcPr>
          <w:p>
            <w:r>
              <w:t xml:space="preserve">746 KB de índice e 1,2 MB de cache</w:t>
            </w:r>
          </w:p>
        </w:tc>
      </w:tr>
    </w:tbl>
    <w:p>
      <w:r>
        <w:t xml:space="preserve">Se o tempo crescer de forma linear, o corpus final de 20 a 40 KB levaria de 50 a 100 minutos para indexar. </w:t>
      </w:r>
    </w:p>
    <w:p>
      <w:pPr>
        <w:pStyle w:val="Heading3"/>
      </w:pPr>
      <w:r>
        <w:t xml:space="preserve">4.6 Corpus de teste e perguntas</w:t>
      </w:r>
    </w:p>
    <w:p>
      <w:r>
        <w:rPr>
          <w:b w:val="0"/>
        </w:rPr>
        <w:t xml:space="preserve">O corpus final tem dois documentos públicos sobre incidentes reais de software, adaptados para o experimento. O tema é de fácil entendimento, pertence à Engenharia de Software (atualizações, configuração, dependências e resposta a incidentes) e os dois casos têm uma origem parecida, o que permite perguntas que cruzam os documentos.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700"/>
        <w:gridCol w:w="2300"/>
        <w:gridCol w:w="4360"/>
      </w:tblGrid>
      <w:tr>
        <w:trPr>
          <w:tblHeader/>
        </w:trPr>
        <w:tc>
          <w:tcPr>
            <w:tcW w:w="2700" w:type="dxa"/>
            <w:shd w:val="clear" w:color="auto" w:fill="F2F2F2"/>
          </w:tcPr>
          <w:p>
            <w:r>
              <w:t xml:space="preserve">Arquivo</w:t>
            </w:r>
          </w:p>
        </w:tc>
        <w:tc>
          <w:tcPr>
            <w:tcW w:w="2300" w:type="dxa"/>
            <w:shd w:val="clear" w:color="auto" w:fill="F2F2F2"/>
          </w:tcPr>
          <w:p>
            <w:r>
              <w:t xml:space="preserve">Fonte</w:t>
            </w:r>
          </w:p>
        </w:tc>
        <w:tc>
          <w:tcPr>
            <w:tcW w:w="4360" w:type="dxa"/>
            <w:shd w:val="clear" w:color="auto" w:fill="F2F2F2"/>
          </w:tcPr>
          <w:p>
            <w:r>
              <w:t xml:space="preserve">Conteúdo</w:t>
            </w:r>
          </w:p>
        </w:tc>
      </w:tr>
      <w:tr>
        <w:tc>
          <w:tcPr>
            <w:tcW w:w="2700" w:type="dxa"/>
          </w:tcPr>
          <w:p>
            <w:r>
              <w:t xml:space="preserve">input/crowdstrike_2024.txt (18,1 KB, cerca de 3.800 tokens)</w:t>
            </w:r>
          </w:p>
        </w:tc>
        <w:tc>
          <w:tcPr>
            <w:tcW w:w="2300" w:type="dxa"/>
          </w:tcPr>
          <w:p>
            <w:r>
              <w:t xml:space="preserve">Wikipedia, "2024 CrowdStrike-related IT outages" [9]</w:t>
            </w:r>
          </w:p>
        </w:tc>
        <w:tc>
          <w:tcPr>
            <w:tcW w:w="4360" w:type="dxa"/>
          </w:tcPr>
          <w:p>
            <w:r>
              <w:t xml:space="preserve">Atualização defeituosa do Falcon Sensor (Channel File 291), correção manual, impacto, colapso operacional da Delta Air Lines, processo judicial e análise das causas</w:t>
            </w:r>
          </w:p>
        </w:tc>
      </w:tr>
      <w:tr>
        <w:tc>
          <w:tcPr>
            <w:tcW w:w="2700" w:type="dxa"/>
          </w:tcPr>
          <w:p>
            <w:r>
              <w:t xml:space="preserve">input/cloudflare_2025.txt (17,6 KB, cerca de 3.700 tokens)</w:t>
            </w:r>
          </w:p>
        </w:tc>
        <w:tc>
          <w:tcPr>
            <w:tcW w:w="2300" w:type="dxa"/>
          </w:tcPr>
          <w:p>
            <w:r>
              <w:t xml:space="preserve">Postmortem oficial da Cloudflare [10]</w:t>
            </w:r>
          </w:p>
        </w:tc>
        <w:tc>
          <w:tcPr>
            <w:tcW w:w="4360" w:type="dxa"/>
          </w:tcPr>
          <w:p>
            <w:r>
              <w:t xml:space="preserve">Mudança de permissões no ClickHouse, arquivo de features do Bot Management com o dobro do tamanho, falha do proxy FL2, serviços afetados, correções e linha do tempo</w:t>
            </w:r>
          </w:p>
        </w:tc>
      </w:tr>
    </w:tbl>
    <w:p>
      <w:r>
        <w:rPr>
          <w:b w:val="0"/>
        </w:rPr>
        <w:t xml:space="preserve">Os textos foram traduzidos para o português, para que corpus, perguntas e respostas fiquem no mesmo idioma, e recortados sem cortar informações que se relacionam entre seções. Nomes de empresas, sistemas e componentes foram mantidos no original e escritos sempre da mesma forma, para reduzir entidades duplicadas no grafo. </w:t>
      </w:r>
    </w:p>
    <w:p>
      <w:pPr>
        <w:pStyle w:val="Heading4"/>
      </w:pPr>
      <w:r>
        <w:rPr>
          <w:b w:val="0"/>
        </w:rPr>
        <w:t xml:space="preserve">Tipos de pergunta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100"/>
        <w:gridCol w:w="1300"/>
        <w:gridCol w:w="3960"/>
      </w:tblGrid>
      <w:tr>
        <w:trPr>
          <w:tblHeader/>
        </w:trPr>
        <w:tc>
          <w:tcPr>
            <w:tcW w:w="4100" w:type="dxa"/>
            <w:shd w:val="clear" w:color="auto" w:fill="F2F2F2"/>
          </w:tcPr>
          <w:p>
            <w:r>
              <w:t xml:space="preserve">Tipo</w:t>
            </w:r>
          </w:p>
        </w:tc>
        <w:tc>
          <w:tcPr>
            <w:tcW w:w="1300" w:type="dxa"/>
            <w:shd w:val="clear" w:color="auto" w:fill="F2F2F2"/>
          </w:tcPr>
          <w:p>
            <w:r>
              <w:t xml:space="preserve">Quantidade</w:t>
            </w:r>
          </w:p>
        </w:tc>
        <w:tc>
          <w:tcPr>
            <w:tcW w:w="3960" w:type="dxa"/>
            <w:shd w:val="clear" w:color="auto" w:fill="F2F2F2"/>
          </w:tcPr>
          <w:p>
            <w:r>
              <w:t xml:space="preserve">Hipótese a testar</w:t>
            </w:r>
          </w:p>
        </w:tc>
      </w:tr>
      <w:tr>
        <w:tc>
          <w:tcPr>
            <w:tcW w:w="4100" w:type="dxa"/>
          </w:tcPr>
          <w:p>
            <w:r>
              <w:t xml:space="preserve">Pontual: a resposta está num único trecho</w:t>
            </w:r>
          </w:p>
        </w:tc>
        <w:tc>
          <w:tcPr>
            <w:tcW w:w="1300" w:type="dxa"/>
          </w:tcPr>
          <w:p>
            <w:r>
              <w:t xml:space="preserve">3</w:t>
            </w:r>
          </w:p>
        </w:tc>
        <w:tc>
          <w:tcPr>
            <w:tcW w:w="3960" w:type="dxa"/>
          </w:tcPr>
          <w:p>
            <w:r>
              <w:t xml:space="preserve">O RAG vetorial empata com o GraphRAG, com custo menor</w:t>
            </w:r>
          </w:p>
        </w:tc>
      </w:tr>
      <w:tr>
        <w:tc>
          <w:tcPr>
            <w:tcW w:w="4100" w:type="dxa"/>
          </w:tcPr>
          <w:p>
            <w:r>
              <w:t xml:space="preserve">Multi-hop: a resposta liga fatos de seções diferentes</w:t>
            </w:r>
          </w:p>
        </w:tc>
        <w:tc>
          <w:tcPr>
            <w:tcW w:w="1300" w:type="dxa"/>
          </w:tcPr>
          <w:p>
            <w:r>
              <w:t xml:space="preserve">4</w:t>
            </w:r>
          </w:p>
        </w:tc>
        <w:tc>
          <w:tcPr>
            <w:tcW w:w="3960" w:type="dxa"/>
          </w:tcPr>
          <w:p>
            <w:r>
              <w:t xml:space="preserve">A busca Local do GraphRAG supera o RAG vetorial</w:t>
            </w:r>
          </w:p>
        </w:tc>
      </w:tr>
      <w:tr>
        <w:tc>
          <w:tcPr>
            <w:tcW w:w="4100" w:type="dxa"/>
          </w:tcPr>
          <w:p>
            <w:r>
              <w:t xml:space="preserve">Global: a resposta resume os dois documentos</w:t>
            </w:r>
          </w:p>
        </w:tc>
        <w:tc>
          <w:tcPr>
            <w:tcW w:w="1300" w:type="dxa"/>
          </w:tcPr>
          <w:p>
            <w:r>
              <w:t xml:space="preserve">2</w:t>
            </w:r>
          </w:p>
        </w:tc>
        <w:tc>
          <w:tcPr>
            <w:tcW w:w="3960" w:type="dxa"/>
          </w:tcPr>
          <w:p>
            <w:r>
              <w:t xml:space="preserve">A busca Global do GraphRAG supera os demais métodos</w:t>
            </w:r>
          </w:p>
        </w:tc>
      </w:tr>
      <w:tr>
        <w:tc>
          <w:tcPr>
            <w:tcW w:w="4100" w:type="dxa"/>
          </w:tcPr>
          <w:p>
            <w:r>
              <w:t xml:space="preserve">Sem resposta no corpus</w:t>
            </w:r>
          </w:p>
        </w:tc>
        <w:tc>
          <w:tcPr>
            <w:tcW w:w="1300" w:type="dxa"/>
          </w:tcPr>
          <w:p>
            <w:r>
              <w:t xml:space="preserve">1</w:t>
            </w:r>
          </w:p>
        </w:tc>
        <w:tc>
          <w:tcPr>
            <w:tcW w:w="3960" w:type="dxa"/>
          </w:tcPr>
          <w:p>
            <w:r>
              <w:t xml:space="preserve">Mede qual método inventa uma resposta</w:t>
            </w:r>
          </w:p>
        </w:tc>
      </w:tr>
    </w:tbl>
    <w:p>
      <w:r>
        <w:rPr>
          <w:b w:val="0"/>
        </w:rPr>
        <w:t xml:space="preserve">As hipóteses são o que o experimento testa, e não o que ele precisa confirmar. Se alguma cair, isso entra na análise do bloco 3.</w:t>
      </w:r>
    </w:p>
    <w:p>
      <w:pPr>
        <w:pStyle w:val="Heading4"/>
      </w:pPr>
      <w:r>
        <w:rPr>
          <w:b w:val="0"/>
        </w:rPr>
        <w:t xml:space="preserve">Perguntas e gabarito</w:t>
      </w:r>
    </w:p>
    <w:p>
      <w:r>
        <w:rPr>
          <w:b w:val="0"/>
        </w:rPr>
        <w:t xml:space="preserve">O gabarito foi escrito antes de rodar qualquer método e conferido contra o texto do corpus. As mesmas perguntas estão em benchmark/perguntas.csv, gerado por benchmark/perguntas.py.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150"/>
        <w:gridCol w:w="3000"/>
        <w:gridCol w:w="5210"/>
      </w:tblGrid>
      <w:tr>
        <w:trPr>
          <w:tblHeader/>
        </w:trPr>
        <w:tc>
          <w:tcPr>
            <w:tcW w:w="1150" w:type="dxa"/>
            <w:shd w:val="clear" w:color="auto" w:fill="F2F2F2"/>
          </w:tcPr>
          <w:p>
            <w:r>
              <w:t xml:space="preserve">ID e tipo</w:t>
            </w:r>
          </w:p>
        </w:tc>
        <w:tc>
          <w:tcPr>
            <w:tcW w:w="3000" w:type="dxa"/>
            <w:shd w:val="clear" w:color="auto" w:fill="F2F2F2"/>
          </w:tcPr>
          <w:p>
            <w:r>
              <w:t xml:space="preserve">Pergunta</w:t>
            </w:r>
          </w:p>
        </w:tc>
        <w:tc>
          <w:tcPr>
            <w:tcW w:w="5210" w:type="dxa"/>
            <w:shd w:val="clear" w:color="auto" w:fill="F2F2F2"/>
          </w:tcPr>
          <w:p>
            <w:r>
              <w:t xml:space="preserve">Resposta esperada (fonte)</w:t>
            </w:r>
          </w:p>
        </w:tc>
      </w:tr>
      <w:tr>
        <w:tc>
          <w:tcPr>
            <w:tcW w:w="1150" w:type="dxa"/>
          </w:tcPr>
          <w:p>
            <w:r>
              <w:t xml:space="preserve">P01, pontual</w:t>
            </w:r>
          </w:p>
        </w:tc>
        <w:tc>
          <w:tcPr>
            <w:tcW w:w="3000" w:type="dxa"/>
          </w:tcPr>
          <w:p>
            <w:r>
              <w:t xml:space="preserve">Qual arquivo de configuração causou a falha da CrowdStrike em 19 de julho de 2024 e qual era a função dele?</w:t>
            </w:r>
          </w:p>
        </w:tc>
        <w:tc>
          <w:tcPr>
            <w:tcW w:w="5210" w:type="dxa"/>
          </w:tcPr>
          <w:p>
            <w:r>
              <w:t xml:space="preserve">O Channel File 291, arquivo de configuração do Falcon Sensor responsável por inspecionar named pipes. A modificação nele provocou uma leitura de memória fora dos limites no cliente para Windows, resultando em falha de página inválida. (Fonte: crowdstrike_2024, A falha.)</w:t>
            </w:r>
          </w:p>
        </w:tc>
      </w:tr>
      <w:tr>
        <w:tc>
          <w:tcPr>
            <w:tcW w:w="1150" w:type="dxa"/>
          </w:tcPr>
          <w:p>
            <w:r>
              <w:t xml:space="preserve">P02, pontual</w:t>
            </w:r>
          </w:p>
        </w:tc>
        <w:tc>
          <w:tcPr>
            <w:tcW w:w="3000" w:type="dxa"/>
          </w:tcPr>
          <w:p>
            <w:r>
              <w:t xml:space="preserve">Qual era o limite de features do módulo Bot Management da Cloudflare e quantas features eram usadas normalmente?</w:t>
            </w:r>
          </w:p>
        </w:tc>
        <w:tc>
          <w:tcPr>
            <w:tcW w:w="5210" w:type="dxa"/>
          </w:tcPr>
          <w:p>
            <w:r>
              <w:t xml:space="preserve">O limite era de 200 features, porque a memória para elas é pré-alocada por desempenho. O uso normal era de cerca de 60 features. (Fonte: cloudflare_2025, Pré-alocação de memória.)</w:t>
            </w:r>
          </w:p>
        </w:tc>
      </w:tr>
      <w:tr>
        <w:tc>
          <w:tcPr>
            <w:tcW w:w="1150" w:type="dxa"/>
          </w:tcPr>
          <w:p>
            <w:r>
              <w:t xml:space="preserve">P03, pontual</w:t>
            </w:r>
          </w:p>
        </w:tc>
        <w:tc>
          <w:tcPr>
            <w:tcW w:w="3000" w:type="dxa"/>
          </w:tcPr>
          <w:p>
            <w:r>
              <w:t xml:space="preserve">Quantos dispositivos a Microsoft estimou que foram afetados pela atualização da CrowdStrike e que fração dos dispositivos Windows isso representava?</w:t>
            </w:r>
          </w:p>
        </w:tc>
        <w:tc>
          <w:tcPr>
            <w:tcW w:w="5210" w:type="dxa"/>
          </w:tcPr>
          <w:p>
            <w:r>
              <w:t xml:space="preserve">8,5 milhões de dispositivos, menos de um por cento de todos os dispositivos Windows (estimativa de 20 de julho). (Fonte: crowdstrike_2024, Impacto.)</w:t>
            </w:r>
          </w:p>
        </w:tc>
      </w:tr>
      <w:tr>
        <w:tc>
          <w:tcPr>
            <w:tcW w:w="1150" w:type="dxa"/>
          </w:tcPr>
          <w:p>
            <w:r>
              <w:t xml:space="preserve">P04, multi-hop</w:t>
            </w:r>
          </w:p>
        </w:tc>
        <w:tc>
          <w:tcPr>
            <w:tcW w:w="3000" w:type="dxa"/>
          </w:tcPr>
          <w:p>
            <w:r>
              <w:t xml:space="preserve">Por que a Delta Air Lines demorou mais que as outras companhias aéreas para se recuperar, e que disputa judicial isso gerou com a CrowdStrike?</w:t>
            </w:r>
          </w:p>
        </w:tc>
        <w:tc>
          <w:tcPr>
            <w:tcW w:w="5210" w:type="dxa"/>
          </w:tcPr>
          <w:p>
            <w:r>
              <w:t xml:space="preserve">O programa de rastreamento de tripulação da Delta ficou sobrecarregado pelo número de mudanças; tripulantes ficaram nos lugares errados e atingiam o limite legal de horas, cancelando voos em cascata (mais de 7.000 voos, cerca de 1,3 milhão de passageiros, perdas de cerca de 550 milhões de dólares). Em outubro de 2024 a Delta processou a CrowdStrike em 500 milhões de dólares na Geórgia (negligência grave, quebra de contrato, invasão de sistema, práticas enganosas). A CrowdStrike processou a Delta, alegando danos limitados pelo contrato e negando culpa pelos atrasos. Em maio de 2025 um juiz manteve negligência grave, invasão de sistema e fraude limitada, e rejeitou a fraude mais ampla. (Fonte: crowdstrike_2024, Transporte aéreo nos Estados Unidos; Processo judicial.)</w:t>
            </w:r>
          </w:p>
        </w:tc>
      </w:tr>
      <w:tr>
        <w:tc>
          <w:tcPr>
            <w:tcW w:w="1150" w:type="dxa"/>
          </w:tcPr>
          <w:p>
            <w:r>
              <w:t xml:space="preserve">P05, multi-hop</w:t>
            </w:r>
          </w:p>
        </w:tc>
        <w:tc>
          <w:tcPr>
            <w:tcW w:w="3000" w:type="dxa"/>
          </w:tcPr>
          <w:p>
            <w:r>
              <w:t xml:space="preserve">Qual mudança no banco de dados levou o proxy FL2 da Cloudflare a falhar e qual foi a cadeia de eventos até os erros HTTP 5xx?</w:t>
            </w:r>
          </w:p>
        </w:tc>
        <w:tc>
          <w:tcPr>
            <w:tcW w:w="5210" w:type="dxa"/>
          </w:tcPr>
          <w:p>
            <w:r>
              <w:t xml:space="preserve">Às 11:05, uma mudança de permissões no ClickHouse tornou explícito o acesso às tabelas do banco r0. A consulta a system.columns, que não filtrava pelo nome do banco, passou a retornar colunas duplicadas, e o arquivo de features do Bot Management mais que dobrou, passando de 200 features. O arquivo foi propagado para toda a rede; o limite de 200 features pré-alocadas foi atingido e o código em Rust do FL2 entrou em pânico (unwrap em um Err), gerando erros HTTP 5xx. (Fonte: cloudflare_2025, A mudança no comportamento da consulta; Pré-alocação de memória; Como a Cloudflare processa as requisições.)</w:t>
            </w:r>
          </w:p>
        </w:tc>
      </w:tr>
      <w:tr>
        <w:tc>
          <w:tcPr>
            <w:tcW w:w="1150" w:type="dxa"/>
          </w:tcPr>
          <w:p>
            <w:r>
              <w:t xml:space="preserve">P06, multi-hop</w:t>
            </w:r>
          </w:p>
        </w:tc>
        <w:tc>
          <w:tcPr>
            <w:tcW w:w="3000" w:type="dxa"/>
          </w:tcPr>
          <w:p>
            <w:r>
              <w:t xml:space="preserve">Por que muitos clientes não conseguiram fazer login no Dashboard da Cloudflare e em quais períodos isso aconteceu?</w:t>
            </w:r>
          </w:p>
        </w:tc>
        <w:tc>
          <w:tcPr>
            <w:tcW w:w="5210" w:type="dxa"/>
          </w:tcPr>
          <w:p>
            <w:r>
              <w:t xml:space="preserve">O Turnstile, que faz parte do fluxo de login, não carregava, e o Workers KV, usado internamente pelo Dashboard, falhava; os dois dependiam do proxy central. Primeiro período: das 11:30 às 13:10, por causa do Workers KV, resolvido quando ele passou a contornar o proxy central. Segundo período: das 14:40 às 15:30, por um acúmulo de tentativas de login após a restauração do arquivo, resolvido com o aumento da concorrência do plano de controle. (Fonte: cloudflare_2025, Serviços afetados; Outros impactos durante o incidente.)</w:t>
            </w:r>
          </w:p>
        </w:tc>
      </w:tr>
      <w:tr>
        <w:tc>
          <w:tcPr>
            <w:tcW w:w="1150" w:type="dxa"/>
          </w:tcPr>
          <w:p>
            <w:r>
              <w:t xml:space="preserve">P07, multi-hop</w:t>
            </w:r>
          </w:p>
        </w:tc>
        <w:tc>
          <w:tcPr>
            <w:tcW w:w="3000" w:type="dxa"/>
          </w:tcPr>
          <w:p>
            <w:r>
              <w:t xml:space="preserve">Por que o Channel File 291 chegou aos clientes sem ser barrado, e que falhas de processo os especialistas apontaram?</w:t>
            </w:r>
          </w:p>
        </w:tc>
        <w:tc>
          <w:tcPr>
            <w:tcW w:w="5210" w:type="dxa"/>
          </w:tcPr>
          <w:p>
            <w:r>
              <w:t xml:space="preserve">Ele era uma instância de um template testado em março de 2024 e passou na validação por causa de um bug no software de verificação de conteúdo da CrowdStrike; o Falcon Sensor interpretava o arquivo de forma diferente. Os clientes não tinham como adiar a instalação dos arquivos de conteúdo. Especialistas suspeitam que a atualização não passou pela gestão de atualizações (teste em sandbox) e criticaram enviar atualizações sem intervenção da equipe de TI. (Fonte: crowdstrike_2024, Análise da causa; A falha; Práticas de TI.)</w:t>
            </w:r>
          </w:p>
        </w:tc>
      </w:tr>
      <w:tr>
        <w:tc>
          <w:tcPr>
            <w:tcW w:w="1150" w:type="dxa"/>
          </w:tcPr>
          <w:p>
            <w:r>
              <w:t xml:space="preserve">P08, global</w:t>
            </w:r>
          </w:p>
        </w:tc>
        <w:tc>
          <w:tcPr>
            <w:tcW w:w="3000" w:type="dxa"/>
          </w:tcPr>
          <w:p>
            <w:r>
              <w:t xml:space="preserve">O que os incidentes da CrowdStrike e da Cloudflare têm em comum quanto à origem da falha e à forma como ela se espalhou?</w:t>
            </w:r>
          </w:p>
        </w:tc>
        <w:tc>
          <w:tcPr>
            <w:tcW w:w="5210" w:type="dxa"/>
          </w:tcPr>
          <w:p>
            <w:r>
              <w:t xml:space="preserve">Nenhum dos dois foi ataque cibernético. Os dois começaram com um arquivo de configuração defeituoso gerado internamente (Channel File 291; arquivo de features do Bot Management) que passou por uma verificação falha (bug no verificador de conteúdo; suposição errada sobre a consulta). Nos dois, o arquivo foi distribuído rapidamente para todas as máquinas e derrubou um software crítico (Falcon Sensor no kernel do Windows; proxy central). A recuperação passou por voltar a uma versão anterior do arquivo, mas na CrowdStrike muitas máquinas exigiram correção manual, uma a uma. (Fonte: crowdstrike_2024; cloudflare_2025, Os dois documentos.)</w:t>
            </w:r>
          </w:p>
        </w:tc>
      </w:tr>
      <w:tr>
        <w:tc>
          <w:tcPr>
            <w:tcW w:w="1150" w:type="dxa"/>
          </w:tcPr>
          <w:p>
            <w:r>
              <w:t xml:space="preserve">P09, global</w:t>
            </w:r>
          </w:p>
        </w:tc>
        <w:tc>
          <w:tcPr>
            <w:tcW w:w="3000" w:type="dxa"/>
          </w:tcPr>
          <w:p>
            <w:r>
              <w:t xml:space="preserve">Que mudanças de prática de engenharia de software os dois incidentes sugerem para evitar falhas semelhantes?</w:t>
            </w:r>
          </w:p>
        </w:tc>
        <w:tc>
          <w:tcPr>
            <w:tcW w:w="5210" w:type="dxa"/>
          </w:tcPr>
          <w:p>
            <w:r>
              <w:t xml:space="preserve">CrowdStrike: testar atualizações pela gestão de atualizações (sandbox), não enviar atualizações sem intervenção da equipe de TI, ter mais redundância e sistemas heterogêneos contra pontos únicos de falha, usar eBPF ou Endpoint Security Framework em vez de código no kernel e tornar obrigatória a divulgação de vulnerabilidades. Cloudflare: tratar arquivos de configuração internos com o rigor de entradas de usuário, criar mais kill switches globais, impedir que core dumps e relatórios de erro sobrecarreguem o sistema e revisar os modos de falha de todos os módulos do proxy central. (Fonte: crowdstrike_2024; cloudflare_2025, Práticas de TI; Centralização; Projeto do SO; Correções e próximos passos.)</w:t>
            </w:r>
          </w:p>
        </w:tc>
      </w:tr>
      <w:tr>
        <w:tc>
          <w:tcPr>
            <w:tcW w:w="1150" w:type="dxa"/>
          </w:tcPr>
          <w:p>
            <w:r>
              <w:t xml:space="preserve">P10, sem resposta</w:t>
            </w:r>
          </w:p>
        </w:tc>
        <w:tc>
          <w:tcPr>
            <w:tcW w:w="3000" w:type="dxa"/>
          </w:tcPr>
          <w:p>
            <w:r>
              <w:t xml:space="preserve">Quanto a Cloudflare pagou em compensações ou créditos aos clientes afetados pela interrupção de 18 de novembro de 2025?</w:t>
            </w:r>
          </w:p>
        </w:tc>
        <w:tc>
          <w:tcPr>
            <w:tcW w:w="5210" w:type="dxa"/>
          </w:tcPr>
          <w:p>
            <w:r>
              <w:t xml:space="preserve">O corpus não informa. A resposta correta é dizer que a informação não está nos documentos; qualquer valor é alucinação.</w:t>
            </w:r>
          </w:p>
        </w:tc>
      </w:tr>
    </w:tbl>
    <w:p>
      <w:pPr>
        <w:pStyle w:val="Heading4"/>
      </w:pPr>
      <w:r>
        <w:rPr>
          <w:b w:val="0"/>
        </w:rPr>
        <w:t xml:space="preserve">Escala de avaliação</w:t>
      </w:r>
    </w:p>
    <w:p>
      <w:r>
        <w:rPr>
          <w:b w:val="0"/>
        </w:rPr>
        <w:t xml:space="preserve">Cada resposta recebe uma nota: 0 para errada ou ausente, 1 para parcial e 2 para correta e completa. Também é marcado se houve alucinação, ou seja, alguma afirmação sem apoio no corpus. Na P10, a nota 2 vai para a resposta que admite não ter a informação. As notas são dadas sem ver qual método gerou a resposta, para não favorecer o GraphRAG.</w:t>
      </w:r>
    </w:p>
    <w:p>
      <w:pPr>
        <w:pStyle w:val="Heading3"/>
      </w:pPr>
      <w:r>
        <w:t xml:space="preserve">4.7 Benchmark e resultados</w:t>
      </w:r>
    </w:p>
    <w:p>
      <w:r>
        <w:rPr>
          <w:b/>
          <w:color w:val="B45F06"/>
        </w:rPr>
        <w:t xml:space="preserve">[A FAZER] </w:t>
      </w:r>
      <w:r>
        <w:rPr>
          <w:i/>
          <w:color w:val="6B7280"/>
        </w:rPr>
        <w:t xml:space="preserve">Executar a indexação do corpus final e o benchmark, e preencher esta seção com os números.</w:t>
      </w:r>
    </w:p>
    <w:p>
      <w:r>
        <w:rPr>
          <w:b w:val="0"/>
          <w:i w:val="0"/>
        </w:rPr>
        <w:t xml:space="preserve">Esta seção deve trazer: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O script do benchmark, com o trecho que roda cada pergunta nos quatro métodos e mede o tempo.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Os custos da indexação do corpus final, medidos com output e cache vazios: tempo total e por etapa, chamadas ao LLM, tamanho do índice e tamanho do grafo.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A tabela de qualidade: nota média por tipo de pergunta e por método, e quantidade de alucinações.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A tabela de custo por consulta: latência média de cada método.</w:t>
      </w:r>
    </w:p>
    <w:p>
      <w:pPr>
        <w:pStyle w:val="ListParagraph"/>
        <w:numPr>
          <w:ilvl w:val="0"/>
          <w:numId w:val="2"/>
        </w:numPr>
      </w:pPr>
      <w:r>
        <w:rPr>
          <w:b w:val="0"/>
          <w:i w:val="0"/>
        </w:rPr>
        <w:t xml:space="preserve">Exemplos de respostas: uma pergunta em que o GraphRAG vence, uma em que empata ou perde e uma alucinação do modelo sem recuperação.</w:t>
      </w:r>
    </w:p>
    <w:p>
      <w:pPr>
        <w:pStyle w:val="Heading3"/>
      </w:pPr>
      <w:r>
        <w:t xml:space="preserve">4.8 Relato de experiência</w:t>
      </w:r>
    </w:p>
    <w:p>
      <w:r>
        <w:rPr>
          <w:b w:val="0"/>
          <w:i w:val="0"/>
        </w:rPr>
        <w:t xml:space="preserve">A maior parte do tempo da PoC não foi gasta entendendo a teoria, e sim fazendo um modelo local pequeno funcionar com uma biblioteca pensada para modelos grandes em nuvem. Nenhuma das falhas abaixo gerava uma mensagem de erro clara: a indexação terminava, mas com o grafo vazio, ou a busca respondia, mas sempre com a mesma recusa. Foi preciso ler os logs e o cache de chamadas ao LLM para descobrir a causa de cada uma.</w:t>
      </w:r>
    </w:p>
    <w:p>
      <w:pPr>
        <w:pStyle w:val="Heading4"/>
      </w:pPr>
      <w:r>
        <w:t xml:space="preserve">Problemas encontrados e corrigidos</w:t>
      </w:r>
    </w:p>
    <w:p>
      <w:r>
        <w:t xml:space="preserve">Cinco falhas impediam um resultado válido. Todas vinham de detalhes de integração entre o GraphRAG e um modelo local pequeno, não da técnica em si.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15"/>
        <w:gridCol w:w="3537"/>
        <w:gridCol w:w="2707"/>
      </w:tblGrid>
      <w:tr>
        <w:trPr>
          <w:tblHeader/>
        </w:trPr>
        <w:tc>
          <w:tcPr>
            <w:tcW w:w="3115" w:type="dxa"/>
            <w:shd w:val="clear" w:color="auto" w:fill="F2F2F2"/>
          </w:tcPr>
          <w:p>
            <w:r>
              <w:t xml:space="preserve">Sintoma</w:t>
            </w:r>
          </w:p>
        </w:tc>
        <w:tc>
          <w:tcPr>
            <w:tcW w:w="3537" w:type="dxa"/>
            <w:shd w:val="clear" w:color="auto" w:fill="F2F2F2"/>
          </w:tcPr>
          <w:p>
            <w:r>
              <w:t xml:space="preserve">Causa</w:t>
            </w:r>
          </w:p>
        </w:tc>
        <w:tc>
          <w:tcPr>
            <w:tcW w:w="2707" w:type="dxa"/>
            <w:shd w:val="clear" w:color="auto" w:fill="F2F2F2"/>
          </w:tcPr>
          <w:p>
            <w:r>
              <w:t xml:space="preserve">Correção</w:t>
            </w:r>
          </w:p>
        </w:tc>
      </w:tr>
      <w:tr>
        <w:tc>
          <w:tcPr>
            <w:tcW w:w="3115" w:type="dxa"/>
          </w:tcPr>
          <w:p>
            <w:r>
              <w:t xml:space="preserve">Indexação interrompida aos 10 minutos</w:t>
            </w:r>
          </w:p>
        </w:tc>
        <w:tc>
          <w:tcPr>
            <w:tcW w:w="3537" w:type="dxa"/>
          </w:tcPr>
          <w:p>
            <w:r>
              <w:t xml:space="preserve">Timeout fixo de 600 s no script de indexação</w:t>
            </w:r>
          </w:p>
        </w:tc>
        <w:tc>
          <w:tcPr>
            <w:tcW w:w="2707" w:type="dxa"/>
          </w:tcPr>
          <w:p>
            <w:r>
              <w:t xml:space="preserve">Limite elevado para 4 horas</w:t>
            </w:r>
          </w:p>
        </w:tc>
      </w:tr>
      <w:tr>
        <w:tc>
          <w:tcPr>
            <w:tcW w:w="3115" w:type="dxa"/>
          </w:tcPr>
          <w:p>
            <w:r>
              <w:t xml:space="preserve">Grafo vazio: as 27 primeiras chamadas de extração devolveram texto vazio, cada uma levando de 1 a 8 minutos</w:t>
            </w:r>
          </w:p>
        </w:tc>
        <w:tc>
          <w:tcPr>
            <w:tcW w:w="3537" w:type="dxa"/>
          </w:tcPr>
          <w:p>
            <w:r>
              <w:t xml:space="preserve">O modo thinking do modelo gastava toda a janela padrão de 4096 tokens do Ollama em raciocínio</w:t>
            </w:r>
          </w:p>
        </w:tc>
        <w:tc>
          <w:tcPr>
            <w:tcW w:w="2707" w:type="dxa"/>
          </w:tcPr>
          <w:p>
            <w:r>
              <w:t xml:space="preserve">Thinking desligado e janela ampliada. Uma chamada curta caiu de 13 s para 3,9 s</w:t>
            </w:r>
          </w:p>
        </w:tc>
      </w:tr>
      <w:tr>
        <w:tc>
          <w:tcPr>
            <w:tcW w:w="3115" w:type="dxa"/>
          </w:tcPr>
          <w:p>
            <w:r>
              <w:t xml:space="preserve">Parâmetros de geração ignorados</w:t>
            </w:r>
          </w:p>
        </w:tc>
        <w:tc>
          <w:tcPr>
            <w:tcW w:w="3537" w:type="dxa"/>
          </w:tcPr>
          <w:p>
            <w:r>
              <w:t xml:space="preserve">No GraphRAG 3.3, só o que está em </w:t>
            </w:r>
            <w:r>
              <w:rPr>
                <w:rStyle w:val="CodeChar"/>
              </w:rPr>
              <w:t xml:space="preserve">call_args</w:t>
            </w:r>
            <w:r>
              <w:t xml:space="preserve"> chega ao modelo</w:t>
            </w:r>
          </w:p>
        </w:tc>
        <w:tc>
          <w:tcPr>
            <w:tcW w:w="2707" w:type="dxa"/>
          </w:tcPr>
          <w:p>
            <w:r>
              <w:rPr>
                <w:rStyle w:val="CodeChar"/>
              </w:rPr>
              <w:t xml:space="preserve">temperature</w:t>
            </w:r>
            <w:r>
              <w:t xml:space="preserve">, </w:t>
            </w:r>
            <w:r>
              <w:rPr>
                <w:rStyle w:val="CodeChar"/>
              </w:rPr>
              <w:t xml:space="preserve">max_tokens</w:t>
            </w:r>
            <w:r>
              <w:t xml:space="preserve">, </w:t>
            </w:r>
            <w:r>
              <w:rPr>
                <w:rStyle w:val="CodeChar"/>
              </w:rPr>
              <w:t xml:space="preserve">num_ctx</w:t>
            </w:r>
            <w:r>
              <w:t xml:space="preserve"> e thinking movidos para </w:t>
            </w:r>
            <w:r>
              <w:rPr>
                <w:rStyle w:val="CodeChar"/>
              </w:rPr>
              <w:t xml:space="preserve">call_args</w:t>
            </w:r>
          </w:p>
        </w:tc>
      </w:tr>
      <w:tr>
        <w:tc>
          <w:tcPr>
            <w:tcW w:w="3115" w:type="dxa"/>
          </w:tcPr>
          <w:p>
            <w:r>
              <w:t xml:space="preserve">Busca Global respondia “I am sorry but I am unable to answer” a qualquer pergunta</w:t>
            </w:r>
          </w:p>
        </w:tc>
        <w:tc>
          <w:tcPr>
            <w:tcW w:w="3537" w:type="dxa"/>
          </w:tcPr>
          <w:p>
            <w:r>
              <w:t xml:space="preserve">O modelo gravava a nota no campo </w:t>
            </w:r>
            <w:r>
              <w:rPr>
                <w:rStyle w:val="CodeChar"/>
              </w:rPr>
              <w:t xml:space="preserve">importance_score</w:t>
            </w:r>
            <w:r>
              <w:t xml:space="preserve">, e o GraphRAG só lê </w:t>
            </w:r>
            <w:r>
              <w:rPr>
                <w:rStyle w:val="CodeChar"/>
              </w:rPr>
              <w:t xml:space="preserve">score</w:t>
            </w:r>
          </w:p>
        </w:tc>
        <w:tc>
          <w:tcPr>
            <w:tcW w:w="2707" w:type="dxa"/>
          </w:tcPr>
          <w:p>
            <w:r>
              <w:t xml:space="preserve">Prompt da etapa map passou a exigir a chave exata </w:t>
            </w:r>
            <w:r>
              <w:rPr>
                <w:rStyle w:val="CodeChar"/>
              </w:rPr>
              <w:t xml:space="preserve">score</w:t>
            </w:r>
          </w:p>
        </w:tc>
      </w:tr>
      <w:tr>
        <w:tc>
          <w:tcPr>
            <w:tcW w:w="3115" w:type="dxa"/>
          </w:tcPr>
          <w:p>
            <w:r>
              <w:t xml:space="preserve">11 das 27 entidades sem nenhuma conexão, incluindo os ADRs</w:t>
            </w:r>
          </w:p>
        </w:tc>
        <w:tc>
          <w:tcPr>
            <w:tcW w:w="3537" w:type="dxa"/>
          </w:tcPr>
          <w:p>
            <w:r>
              <w:t xml:space="preserve">Duas de quatro extrações foram cortadas no limite de 2000 tokens, antes da lista de relações</w:t>
            </w:r>
          </w:p>
        </w:tc>
        <w:tc>
          <w:tcPr>
            <w:tcW w:w="2707" w:type="dxa"/>
          </w:tcPr>
          <w:p>
            <w:r>
              <w:rPr>
                <w:rStyle w:val="CodeChar"/>
              </w:rPr>
              <w:t xml:space="preserve">max_tokens</w:t>
            </w:r>
            <w:r>
              <w:t xml:space="preserve"> para 4000 e </w:t>
            </w:r>
            <w:r>
              <w:rPr>
                <w:rStyle w:val="CodeChar"/>
              </w:rPr>
              <w:t xml:space="preserve">num_ctx</w:t>
            </w:r>
            <w:r>
              <w:t xml:space="preserve"> para 12288</w:t>
            </w:r>
          </w:p>
        </w:tc>
      </w:tr>
    </w:tbl>
    <w:p>
      <w:pPr>
        <w:pStyle w:val="Heading4"/>
      </w:pPr>
      <w:r>
        <w:t xml:space="preserve">Limitações observadas no grafo</w:t>
      </w:r>
    </w:p>
    <w:p>
      <w:r>
        <w:t xml:space="preserve">O grafo tem ruído típico de um modelo de 4B. Esses defeitos serão documentados no relatório, sem novas correções.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Vazamento do prompt:</w:t>
      </w:r>
      <w:r>
        <w:t xml:space="preserve"> a entidade ALHAMIA PRISON vem dos exemplos do prompt de extração, não do texto. O modelo chegou a escrever que a excluiria, mas a incluiu.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Entidades duplicadas:</w:t>
      </w:r>
      <w:r>
        <w:t xml:space="preserve"> ORDER SERVICE e ORDERSERVICE, BILLING SERVICE e BILLINGSERVICE, e três grafias do evento de pedido confirmado. O GraphRAG 3.3 não unifica nomes parecidos.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Loop no gleaning:</w:t>
      </w:r>
      <w:r>
        <w:t xml:space="preserve"> uma segunda passada gerou 70 relações, só 33 únicas, e criou entidades inexistentes.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Erros que chegam à resposta:</w:t>
      </w:r>
      <w:r>
        <w:t xml:space="preserve"> os relatórios de comunidade ligaram o ADR-001 ao PgBouncer, e a busca Global repetiu esse erro. A busca também citou ids de relatórios que não existem.</w:t>
      </w:r>
    </w:p>
    <w:p>
      <w:pPr>
        <w:pStyle w:val="Heading4"/>
      </w:pPr>
      <w:r>
        <w:t xml:space="preserve">Uso de IA no trabalho</w:t>
      </w:r>
    </w:p>
    <w:p>
      <w:r>
        <w:rPr>
          <w:b w:val="0"/>
          <w:i w:val="0"/>
        </w:rPr>
        <w:t xml:space="preserve">O assistente Claude Code foi usado ao longo do trabalho como apoio. Pontos a relatar: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Onde ajudou:</w:t>
      </w:r>
      <w:r>
        <w:rPr>
          <w:b w:val="0"/>
          <w:i w:val="0"/>
        </w:rPr>
        <w:t xml:space="preserve"> organização do plano de execução do experimento; leitura de logs e do cache do GraphRAG para diagnosticar as falhas de integração da seção anterior; ajuste do settings.yaml e dos prompts.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Onde falhou ou precisou de correção:</w:t>
      </w:r>
      <w:r>
        <w:rPr>
          <w:b w:val="0"/>
          <w:i w:val="0"/>
        </w:rPr>
        <w:t xml:space="preserve"> Na organização do plano de execução, pois não levou em conta o tempo de indexação de documentos longos e a ordem lógica de implementação; Ao diagnosticar falhas, relatava problemas que já haviam sido resolvidos ou não tinham relação com os testes e sim com o ambiente.</w:t>
      </w:r>
    </w:p>
    <w:p>
      <w:pPr>
        <w:pStyle w:val="ListParagraph"/>
        <w:numPr>
          <w:ilvl w:val="0"/>
          <w:numId w:val="2"/>
        </w:numPr>
      </w:pPr>
      <w:r>
        <w:rPr>
          <w:b/>
          <w:i w:val="0"/>
        </w:rPr>
        <w:t xml:space="preserve">O que foi verificado sem a IA:</w:t>
      </w:r>
      <w:r>
        <w:rPr>
          <w:b w:val="0"/>
          <w:i w:val="0"/>
        </w:rPr>
        <w:t xml:space="preserve"> Funcionamento do código, testes locais quanto ao tempo de execução e otimizações para o código, bugs no site usado para visualização do grafo e experimentação, qualidade das respostas, qualidade do grafo montado, criterios quanto usabilidade da ferramenta, etc..</w:t>
      </w:r>
    </w:p>
    <w:p>
      <w:pPr>
        <w:pStyle w:val="Heading2"/>
      </w:pPr>
      <w:r>
        <w:t xml:space="preserve">5. Perspectivas futuras e mercado</w:t>
      </w:r>
    </w:p>
    <w:p>
      <w:r>
        <w:rPr>
          <w:b/>
          <w:color w:val="B45F06"/>
        </w:rPr>
        <w:t xml:space="preserve">[A FAZER] </w:t>
      </w:r>
      <w:r>
        <w:rPr>
          <w:i/>
          <w:color w:val="6B7280"/>
        </w:rPr>
        <w:t xml:space="preserve">Bloco a ser escrito por último.</w:t>
      </w:r>
    </w:p>
    <w:p>
      <w:pPr>
        <w:pStyle w:val="Heading3"/>
      </w:pPr>
      <w:r>
        <w:t xml:space="preserve">5.1 Tendências</w:t>
      </w:r>
    </w:p>
    <w:p>
      <w:r>
        <w:rPr>
          <w:b w:val="0"/>
          <w:i w:val="0"/>
        </w:rPr>
        <w:t xml:space="preserve">Evoluções esperadas para RAG com grafos nos próximos anos, como indexação mais barata, atualização incremental do grafo e uso de modelos locais menores.</w:t>
      </w:r>
    </w:p>
    <w:p>
      <w:pPr>
        <w:pStyle w:val="Heading3"/>
      </w:pPr>
      <w:r>
        <w:t xml:space="preserve">5.2 Adoção na indústria</w:t>
      </w:r>
    </w:p>
    <w:p>
      <w:r>
        <w:rPr>
          <w:b w:val="0"/>
          <w:i w:val="0"/>
        </w:rPr>
        <w:t xml:space="preserve">Empresas e produtos que usam ou oferecem GraphRAG e grafos de conhecimento, e a demanda de mercado por profissionais da área. Conferir as fontes antes de citar empresas, porque esse mercado muda rápido.</w:t>
      </w:r>
    </w:p>
    <w:p>
      <w:pPr>
        <w:pStyle w:val="Heading2"/>
      </w:pPr>
      <w:r>
        <w:t xml:space="preserve">6. Conclusão e referências</w:t>
      </w:r>
    </w:p>
    <w:p>
      <w:pPr>
        <w:pStyle w:val="Heading3"/>
      </w:pPr>
      <w:r>
        <w:t xml:space="preserve">6.1 Síntese crítica</w:t>
      </w:r>
    </w:p>
    <w:p>
      <w:r>
        <w:rPr>
          <w:b/>
          <w:color w:val="B45F06"/>
        </w:rPr>
        <w:t xml:space="preserve">[A FAZER] </w:t>
      </w:r>
      <w:r>
        <w:rPr>
          <w:i/>
          <w:color w:val="6B7280"/>
        </w:rPr>
        <w:t xml:space="preserve">Bloco a ser escrito por último.</w:t>
      </w:r>
    </w:p>
    <w:p>
      <w:r>
        <w:rPr>
          <w:b w:val="0"/>
          <w:i w:val="0"/>
        </w:rPr>
        <w:t xml:space="preserve">Opinião fundamentada sobre a viabilidade do GraphRAG, com a regra de decisão apoiada nos números do benchmark, as limitações do experimento (poucas perguntas, um único modelo local, corpus de apenas dois documentos e avaliação manual feita por uma pessoa) e o veredito: aposta segura ou nicho experimental.</w:t>
      </w:r>
    </w:p>
    <w:p>
      <w:pPr>
        <w:pStyle w:val="Heading3"/>
      </w:pPr>
      <w:r>
        <w:t xml:space="preserve">6.2 Referências</w:t>
      </w:r>
    </w:p>
    <w:p>
      <w:r>
        <w:rPr>
          <w:b/>
          <w:color w:val="B45F06"/>
        </w:rPr>
        <w:t xml:space="preserve">[A FAZER] </w:t>
      </w:r>
      <w:r>
        <w:rPr>
          <w:i/>
          <w:color w:val="6B7280"/>
        </w:rPr>
        <w:t xml:space="preserve">Lista parcial, com as fontes citadas nos blocos 1 e 2, no padrão IEEE. Conferir título, ano e link de cada uma antes da entrega e acrescentar as fontes dos blocos 3 e 5.</w:t>
      </w:r>
    </w:p>
    <w:p>
      <w:r>
        <w:rPr>
          <w:b w:val="0"/>
          <w:i w:val="0"/>
        </w:rPr>
        <w:t xml:space="preserve">[1] P. Lewis et al., "Retrieval-Augmented Generation for Knowledge-Intensive NLP Tasks," in Advances in Neural Information Processing Systems (NeurIPS), vol. 33, 2020. Disponível em: https://arxiv.org/abs/2005.11401</w:t>
      </w:r>
    </w:p>
    <w:p>
      <w:r>
        <w:rPr>
          <w:b w:val="0"/>
          <w:i w:val="0"/>
        </w:rPr>
        <w:t xml:space="preserve">[2] D. Edge et al., "From Local to Global: A Graph RAG Approach to Query-Focused Summarization," arXiv:2404.16130, 2024. Disponível em: https://arxiv.org/abs/2404.16130</w:t>
      </w:r>
    </w:p>
    <w:p>
      <w:r>
        <w:rPr>
          <w:b w:val="0"/>
          <w:i w:val="0"/>
        </w:rPr>
        <w:t xml:space="preserve">[3] Microsoft, "GraphRAG: documentação oficial." Disponível em: https://microsoft.github.io/graphrag/</w:t>
      </w:r>
    </w:p>
    <w:p>
      <w:r>
        <w:rPr>
          <w:b w:val="0"/>
          <w:i w:val="0"/>
        </w:rPr>
        <w:t xml:space="preserve">[4] V. A. Traag, L. Waltman e N. J. van Eck, "From Louvain to Leiden: guaranteeing well-connected communities," Scientific Reports, vol. 9, art. 5233, 2019.</w:t>
      </w:r>
    </w:p>
    <w:p>
      <w:r>
        <w:rPr>
          <w:b w:val="0"/>
          <w:i w:val="0"/>
        </w:rPr>
        <w:t xml:space="preserve">[5] A. Vaswani et al., "Attention Is All You Need," in Advances in Neural Information Processing Systems (NeurIPS), vol. 30, 2017.</w:t>
      </w:r>
    </w:p>
    <w:p>
      <w:r>
        <w:rPr>
          <w:b w:val="0"/>
          <w:i w:val="0"/>
        </w:rPr>
        <w:t xml:space="preserve">[6] Z. Ji et al., "Survey of Hallucination in Natural Language Generation," ACM Computing Surveys, vol. 55, n. 12, 2023.</w:t>
      </w:r>
    </w:p>
    <w:p>
      <w:r>
        <w:rPr>
          <w:b w:val="0"/>
          <w:i w:val="0"/>
        </w:rPr>
        <w:t xml:space="preserve">[7] V. Karpukhin et al., "Dense Passage Retrieval for Open-Domain Question Answering," in Proc. EMNLP, 2020.</w:t>
      </w:r>
    </w:p>
    <w:p>
      <w:r>
        <w:rPr>
          <w:b w:val="0"/>
          <w:i w:val="0"/>
        </w:rPr>
        <w:t xml:space="preserve">[8] A. Hogan et al., "Knowledge Graphs," ACM Computing Surveys, vol. 54, n. 4, 2021.</w:t>
      </w:r>
    </w:p>
    <w:p>
      <w:r>
        <w:rPr>
          <w:b w:val="0"/>
        </w:rPr>
        <w:t xml:space="preserve">[9] Wikipedia, "2024 CrowdStrike-related IT outages", revisão 1376517477, 24 set. 2026. Disponível em: https://en.wikipedia.org/wiki/2024_CrowdStrike-related_IT_outages. Licença CC BY-SA 4.0.</w:t>
      </w:r>
    </w:p>
    <w:p>
      <w:r>
        <w:rPr>
          <w:b w:val="0"/>
        </w:rPr>
        <w:t xml:space="preserve">[10] M. Prince, "Cloudflare outage on November 18, 2025," The Cloudflare Blog, 2025. Disponível em: https://blog.cloudflare.com/18-november-2025-outage/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Normal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6155</Words>
  <Paragraphs>370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Configuração do Experimento GraphRAG vs RAG</dc:title>
  <dc:description>Claude Docs node/02b05279-729c@8 docx-w7</dc:description>
  <cp:lastModifiedBy>WordCraft User</cp:lastModifiedBy>
  <cp:revision>14</cp:revision>
  <dcterms:created xsi:type="dcterms:W3CDTF">2026-10-24T04:27:28Z</dcterms:created>
  <dcterms:modified xsi:type="dcterms:W3CDTF">2026-10-24T18:57:39Z</dcterms:modified>
</cp:coreProperties>
</file>