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00" w:before="300" w:line="300" w:lineRule="auto"/>
        <w:ind w:left="300" w:right="30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90" w:before="240"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Documentação Técnica: Projeto BuscaCEP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Projeto:</w:t>
      </w:r>
      <w:r w:rsidDel="00000000" w:rsidR="00000000" w:rsidRPr="00000000">
        <w:rPr>
          <w:rFonts w:ascii="Arial" w:cs="Arial" w:eastAsia="Arial" w:hAnsi="Arial"/>
          <w:color w:val="000000"/>
          <w:rtl w:val="0"/>
        </w:rPr>
        <w:t xml:space="preserve"> Aplicação Web Single Page Application (SPA)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Curso:</w:t>
      </w:r>
      <w:r w:rsidDel="00000000" w:rsidR="00000000" w:rsidRPr="00000000">
        <w:rPr>
          <w:rFonts w:ascii="Arial" w:cs="Arial" w:eastAsia="Arial" w:hAnsi="Arial"/>
          <w:color w:val="000000"/>
          <w:rtl w:val="0"/>
        </w:rPr>
        <w:t xml:space="preserve"> Análise e Desenvolvimento de Sistemas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60" w:line="300" w:lineRule="auto"/>
        <w:ind w:left="300" w:right="30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Data:</w:t>
      </w:r>
      <w:r w:rsidDel="00000000" w:rsidR="00000000" w:rsidRPr="00000000">
        <w:rPr>
          <w:rFonts w:ascii="Arial" w:cs="Arial" w:eastAsia="Arial" w:hAnsi="Arial"/>
          <w:color w:val="000000"/>
          <w:rtl w:val="0"/>
        </w:rPr>
        <w:t xml:space="preserve"> Junho de 2026</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150" w:line="300" w:lineRule="auto"/>
        <w:ind w:left="300" w:right="300" w:firstLine="0"/>
        <w:rPr>
          <w:rFonts w:ascii="Arial" w:cs="Arial" w:eastAsia="Arial" w:hAnsi="Arial"/>
        </w:rPr>
      </w:pPr>
      <w:r w:rsidDel="00000000" w:rsidR="00000000" w:rsidRPr="00000000">
        <w:rPr>
          <w:rFonts w:ascii="Arial" w:cs="Arial" w:eastAsia="Arial" w:hAnsi="Arial"/>
          <w:rtl w:val="0"/>
        </w:rPr>
        <w:t xml:space="preserve">1. Introdução e Visão Geral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O presente documento estabelece as diretrizes técnicas, arquiteturais e operacionais da aplicação BuscaCEP. Trata-se de uma plataforma web desenvolvida para a consulta de códigos postais em tempo real. O sistema foi projetado com foco em desempenho e organização estrutural, utilizando o framework Angular em conjunto com a linguagem TypeScript.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6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A aplicação é segmentada em duas interfaces primárias: o módulo de consulta, responsável pela comunicação externa com o serviço ViaCEP, e o módulo institucional, que delineia a composição da equipe de desenvolvimento e as referências bibliográficas adotadas durante a concepção do projeto.</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150" w:line="300" w:lineRule="auto"/>
        <w:ind w:left="300" w:right="300" w:firstLine="0"/>
        <w:rPr>
          <w:rFonts w:ascii="Arial" w:cs="Arial" w:eastAsia="Arial" w:hAnsi="Arial"/>
        </w:rPr>
      </w:pPr>
      <w:r w:rsidDel="00000000" w:rsidR="00000000" w:rsidRPr="00000000">
        <w:rPr>
          <w:rFonts w:ascii="Arial" w:cs="Arial" w:eastAsia="Arial" w:hAnsi="Arial"/>
          <w:rtl w:val="0"/>
        </w:rPr>
        <w:t xml:space="preserve">2. Especificações do Ambiente e Dependências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A arquitetura do software foi estruturada sem a utilização de módulos clássicos (NgModules), adotando o padrão de Standalone Components para garantir um encapsulamento mais limpo e independente. A renderização híbrida foi configurada por meio de Server-Side Rendering (SSR) utilizando um servidor Express, o que otimiza o tempo de carregamento inicial e a indexação do conteúdo.</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900" w:right="300" w:hanging="360"/>
      </w:pPr>
      <w:r w:rsidDel="00000000" w:rsidR="00000000" w:rsidRPr="00000000">
        <w:rPr>
          <w:rFonts w:ascii="Arial" w:cs="Arial" w:eastAsia="Arial" w:hAnsi="Arial"/>
          <w:b w:val="1"/>
          <w:bCs w:val="1"/>
          <w:color w:val="000000"/>
          <w:rtl w:val="0"/>
        </w:rPr>
        <w:t xml:space="preserve">Tecnologias Base:</w:t>
      </w:r>
      <w:r w:rsidDel="00000000" w:rsidR="00000000" w:rsidRPr="00000000">
        <w:rPr>
          <w:rFonts w:ascii="Arial" w:cs="Arial" w:eastAsia="Arial" w:hAnsi="Arial"/>
          <w:color w:val="000000"/>
          <w:rtl w:val="0"/>
        </w:rPr>
        <w:t xml:space="preserve"> Angular versão 21.2.0 e TypeScript 5.9.2.</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900" w:right="300" w:hanging="360"/>
      </w:pPr>
      <w:r w:rsidDel="00000000" w:rsidR="00000000" w:rsidRPr="00000000">
        <w:rPr>
          <w:rFonts w:ascii="Arial" w:cs="Arial" w:eastAsia="Arial" w:hAnsi="Arial"/>
          <w:b w:val="1"/>
          <w:bCs w:val="1"/>
          <w:color w:val="000000"/>
          <w:rtl w:val="0"/>
        </w:rPr>
        <w:t xml:space="preserve">Padrão de Compilação:</w:t>
      </w:r>
      <w:r w:rsidDel="00000000" w:rsidR="00000000" w:rsidRPr="00000000">
        <w:rPr>
          <w:rFonts w:ascii="Arial" w:cs="Arial" w:eastAsia="Arial" w:hAnsi="Arial"/>
          <w:color w:val="000000"/>
          <w:rtl w:val="0"/>
        </w:rPr>
        <w:t xml:space="preserve"> ECMAScript 2022 operando em modo estrito.</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300" w:lineRule="auto"/>
        <w:ind w:left="900" w:right="300" w:hanging="360"/>
      </w:pPr>
      <w:r w:rsidDel="00000000" w:rsidR="00000000" w:rsidRPr="00000000">
        <w:rPr>
          <w:rFonts w:ascii="Arial" w:cs="Arial" w:eastAsia="Arial" w:hAnsi="Arial"/>
          <w:b w:val="1"/>
          <w:bCs w:val="1"/>
          <w:color w:val="000000"/>
          <w:rtl w:val="0"/>
        </w:rPr>
        <w:t xml:space="preserve">Gerenciamento de Estado e Requisições:</w:t>
      </w:r>
      <w:r w:rsidDel="00000000" w:rsidR="00000000" w:rsidRPr="00000000">
        <w:rPr>
          <w:rFonts w:ascii="Arial" w:cs="Arial" w:eastAsia="Arial" w:hAnsi="Arial"/>
          <w:color w:val="000000"/>
          <w:rtl w:val="0"/>
        </w:rPr>
        <w:t xml:space="preserve"> Utilização da Fetch API nativa via HttpClient do Angular, operando em conjunto com RxJS para controle reativo de fluxo e eventos.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510" w:line="300" w:lineRule="auto"/>
        <w:ind w:left="300" w:right="300" w:firstLine="0"/>
        <w:rPr>
          <w:rFonts w:ascii="Arial" w:cs="Arial" w:eastAsia="Arial" w:hAnsi="Arial"/>
        </w:rPr>
      </w:pPr>
      <w:r w:rsidDel="00000000" w:rsidR="00000000" w:rsidRPr="00000000">
        <w:rPr>
          <w:rFonts w:ascii="Arial" w:cs="Arial" w:eastAsia="Arial" w:hAnsi="Arial"/>
          <w:rtl w:val="0"/>
        </w:rPr>
        <w:t xml:space="preserve">3. Organização Estrutural do Código-Fonte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Com o intuito de facilitar a manutenção e a escalabilidade, o código-fonte foi dividido de forma semântica, isolando regras de negócio, interfaces gráficas e configurações globais. Optou-se por uma organização modular em vez de monolítica:</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900" w:right="300" w:hanging="360"/>
      </w:pPr>
      <w:r w:rsidDel="00000000" w:rsidR="00000000" w:rsidRPr="00000000">
        <w:rPr>
          <w:rFonts w:ascii="Arial" w:cs="Arial" w:eastAsia="Arial" w:hAnsi="Arial"/>
          <w:b w:val="1"/>
          <w:bCs w:val="1"/>
          <w:color w:val="000000"/>
          <w:rtl w:val="0"/>
        </w:rPr>
        <w:t xml:space="preserve">Diretório de Configurações Globais:</w:t>
      </w:r>
      <w:r w:rsidDel="00000000" w:rsidR="00000000" w:rsidRPr="00000000">
        <w:rPr>
          <w:rFonts w:ascii="Arial" w:cs="Arial" w:eastAsia="Arial" w:hAnsi="Arial"/>
          <w:color w:val="000000"/>
          <w:rtl w:val="0"/>
        </w:rPr>
        <w:t xml:space="preserve"> Localizado na raiz do projeto, contém os artefatos de governança do ambiente, como as definições de dependências (</w:t>
      </w:r>
      <w:r w:rsidDel="00000000" w:rsidR="00000000" w:rsidRPr="00000000">
        <w:rPr>
          <w:rFonts w:ascii="Arial" w:cs="Arial" w:eastAsia="Arial" w:hAnsi="Arial"/>
          <w:i w:val="1"/>
          <w:iCs w:val="1"/>
          <w:color w:val="000000"/>
          <w:rtl w:val="0"/>
        </w:rPr>
        <w:t xml:space="preserve">package.json</w:t>
      </w:r>
      <w:r w:rsidDel="00000000" w:rsidR="00000000" w:rsidRPr="00000000">
        <w:rPr>
          <w:rFonts w:ascii="Arial" w:cs="Arial" w:eastAsia="Arial" w:hAnsi="Arial"/>
          <w:color w:val="000000"/>
          <w:rtl w:val="0"/>
        </w:rPr>
        <w:t xml:space="preserve">) e as regras do compilador TypeScript e Angular CLI.</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900" w:right="300" w:hanging="360"/>
      </w:pPr>
      <w:r w:rsidDel="00000000" w:rsidR="00000000" w:rsidRPr="00000000">
        <w:rPr>
          <w:rFonts w:ascii="Arial" w:cs="Arial" w:eastAsia="Arial" w:hAnsi="Arial"/>
          <w:b w:val="1"/>
          <w:bCs w:val="1"/>
          <w:color w:val="000000"/>
          <w:rtl w:val="0"/>
        </w:rPr>
        <w:t xml:space="preserve">Diretório de Código-Fonte (src/):</w:t>
      </w:r>
      <w:r w:rsidDel="00000000" w:rsidR="00000000" w:rsidRPr="00000000">
        <w:rPr>
          <w:rFonts w:ascii="Arial" w:cs="Arial" w:eastAsia="Arial" w:hAnsi="Arial"/>
          <w:color w:val="000000"/>
          <w:rtl w:val="0"/>
        </w:rPr>
        <w:t xml:space="preserve"> Ponto de entrada da aplicação que abriga o bootstrap do lado do cliente (</w:t>
      </w:r>
      <w:r w:rsidDel="00000000" w:rsidR="00000000" w:rsidRPr="00000000">
        <w:rPr>
          <w:rFonts w:ascii="Arial" w:cs="Arial" w:eastAsia="Arial" w:hAnsi="Arial"/>
          <w:i w:val="1"/>
          <w:iCs w:val="1"/>
          <w:color w:val="000000"/>
          <w:rtl w:val="0"/>
        </w:rPr>
        <w:t xml:space="preserve">main.ts</w:t>
      </w:r>
      <w:r w:rsidDel="00000000" w:rsidR="00000000" w:rsidRPr="00000000">
        <w:rPr>
          <w:rFonts w:ascii="Arial" w:cs="Arial" w:eastAsia="Arial" w:hAnsi="Arial"/>
          <w:color w:val="000000"/>
          <w:rtl w:val="0"/>
        </w:rPr>
        <w:t xml:space="preserve">) e as lógicas de inicialização do servidor de renderização (</w:t>
      </w:r>
      <w:r w:rsidDel="00000000" w:rsidR="00000000" w:rsidRPr="00000000">
        <w:rPr>
          <w:rFonts w:ascii="Arial" w:cs="Arial" w:eastAsia="Arial" w:hAnsi="Arial"/>
          <w:i w:val="1"/>
          <w:iCs w:val="1"/>
          <w:color w:val="000000"/>
          <w:rtl w:val="0"/>
        </w:rPr>
        <w:t xml:space="preserve">server.ts</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900" w:right="300" w:hanging="360"/>
      </w:pPr>
      <w:r w:rsidDel="00000000" w:rsidR="00000000" w:rsidRPr="00000000">
        <w:rPr>
          <w:rFonts w:ascii="Arial" w:cs="Arial" w:eastAsia="Arial" w:hAnsi="Arial"/>
          <w:b w:val="1"/>
          <w:bCs w:val="1"/>
          <w:color w:val="000000"/>
          <w:rtl w:val="0"/>
        </w:rPr>
        <w:t xml:space="preserve">Módulos de Interface (src/app/):</w:t>
      </w:r>
      <w:r w:rsidDel="00000000" w:rsidR="00000000" w:rsidRPr="00000000">
        <w:rPr>
          <w:rFonts w:ascii="Arial" w:cs="Arial" w:eastAsia="Arial" w:hAnsi="Arial"/>
          <w:color w:val="000000"/>
          <w:rtl w:val="0"/>
        </w:rPr>
        <w:t xml:space="preserve"> Responsável pela camada de apresentação. Subdivide-se em diretórios isolados contendo a lógica, as folhas de estilo e o mapeamento HTML: a barra de navegação global (</w:t>
      </w:r>
      <w:r w:rsidDel="00000000" w:rsidR="00000000" w:rsidRPr="00000000">
        <w:rPr>
          <w:rFonts w:ascii="Arial" w:cs="Arial" w:eastAsia="Arial" w:hAnsi="Arial"/>
          <w:i w:val="1"/>
          <w:iCs w:val="1"/>
          <w:color w:val="000000"/>
          <w:rtl w:val="0"/>
        </w:rPr>
        <w:t xml:space="preserve">navbar</w:t>
      </w:r>
      <w:r w:rsidDel="00000000" w:rsidR="00000000" w:rsidRPr="00000000">
        <w:rPr>
          <w:rFonts w:ascii="Arial" w:cs="Arial" w:eastAsia="Arial" w:hAnsi="Arial"/>
          <w:color w:val="000000"/>
          <w:rtl w:val="0"/>
        </w:rPr>
        <w:t xml:space="preserve">), a interface principal de busca (</w:t>
      </w:r>
      <w:r w:rsidDel="00000000" w:rsidR="00000000" w:rsidRPr="00000000">
        <w:rPr>
          <w:rFonts w:ascii="Arial" w:cs="Arial" w:eastAsia="Arial" w:hAnsi="Arial"/>
          <w:i w:val="1"/>
          <w:iCs w:val="1"/>
          <w:color w:val="000000"/>
          <w:rtl w:val="0"/>
        </w:rPr>
        <w:t xml:space="preserve">buscador</w:t>
      </w:r>
      <w:r w:rsidDel="00000000" w:rsidR="00000000" w:rsidRPr="00000000">
        <w:rPr>
          <w:rFonts w:ascii="Arial" w:cs="Arial" w:eastAsia="Arial" w:hAnsi="Arial"/>
          <w:color w:val="000000"/>
          <w:rtl w:val="0"/>
        </w:rPr>
        <w:t xml:space="preserve">) e a página de apresentação (</w:t>
      </w:r>
      <w:r w:rsidDel="00000000" w:rsidR="00000000" w:rsidRPr="00000000">
        <w:rPr>
          <w:rFonts w:ascii="Arial" w:cs="Arial" w:eastAsia="Arial" w:hAnsi="Arial"/>
          <w:i w:val="1"/>
          <w:iCs w:val="1"/>
          <w:color w:val="000000"/>
          <w:rtl w:val="0"/>
        </w:rPr>
        <w:t xml:space="preserve">sobre</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300" w:lineRule="auto"/>
        <w:ind w:left="900" w:right="300" w:hanging="360"/>
      </w:pPr>
      <w:r w:rsidDel="00000000" w:rsidR="00000000" w:rsidRPr="00000000">
        <w:rPr>
          <w:rFonts w:ascii="Arial" w:cs="Arial" w:eastAsia="Arial" w:hAnsi="Arial"/>
          <w:b w:val="1"/>
          <w:bCs w:val="1"/>
          <w:color w:val="000000"/>
          <w:rtl w:val="0"/>
        </w:rPr>
        <w:t xml:space="preserve">Camada de Serviços (src/app/services/):</w:t>
      </w:r>
      <w:r w:rsidDel="00000000" w:rsidR="00000000" w:rsidRPr="00000000">
        <w:rPr>
          <w:rFonts w:ascii="Arial" w:cs="Arial" w:eastAsia="Arial" w:hAnsi="Arial"/>
          <w:color w:val="000000"/>
          <w:rtl w:val="0"/>
        </w:rPr>
        <w:t xml:space="preserve"> Destinada à abstração das regras de negócio. Contém os arquivos responsáveis por gerenciar o estado global da interface (tema visual) e a persistência de dados no lado do cliente (favoritos).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240" w:before="510" w:line="300" w:lineRule="auto"/>
        <w:ind w:left="300" w:right="300" w:firstLine="0"/>
        <w:rPr>
          <w:rFonts w:ascii="Arial" w:cs="Arial" w:eastAsia="Arial" w:hAnsi="Arial"/>
        </w:rPr>
      </w:pPr>
      <w:r w:rsidDel="00000000" w:rsidR="00000000" w:rsidRPr="00000000">
        <w:rPr>
          <w:rFonts w:ascii="Arial" w:cs="Arial" w:eastAsia="Arial" w:hAnsi="Arial"/>
          <w:rtl w:val="0"/>
        </w:rPr>
        <w:t xml:space="preserve">4. Descritivo dos Componentes e Lógica de Negócio</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rPr>
          <w:rFonts w:ascii="Arial" w:cs="Arial" w:eastAsia="Arial" w:hAnsi="Arial"/>
        </w:rPr>
      </w:pPr>
      <w:r w:rsidDel="00000000" w:rsidR="00000000" w:rsidRPr="00000000">
        <w:rPr>
          <w:rFonts w:ascii="Arial" w:cs="Arial" w:eastAsia="Arial" w:hAnsi="Arial"/>
          <w:rtl w:val="0"/>
        </w:rPr>
        <w:t xml:space="preserve">4.1. Componente de Navegação (Navbar)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300" w:lineRule="auto"/>
        <w:ind w:left="300" w:right="300" w:firstLine="0"/>
        <w:rPr>
          <w:rFonts w:ascii="Arial" w:cs="Arial" w:eastAsia="Arial" w:hAnsi="Arial"/>
        </w:rPr>
      </w:pPr>
      <w:r w:rsidDel="00000000" w:rsidR="00000000" w:rsidRPr="00000000">
        <w:rPr>
          <w:rFonts w:ascii="Arial" w:cs="Arial" w:eastAsia="Arial" w:hAnsi="Arial"/>
          <w:color w:val="000000"/>
          <w:rtl w:val="0"/>
        </w:rPr>
        <w:t xml:space="preserve">Atua como o elemento de transição entre as interfaces da aplicação. Além do roteamento estático, este componente encapsula a lógica de interatividade global, permitindo ao usuário alternar a paleta de cores (tema claro ou escuro) e acessar, por meio de um </w:t>
      </w:r>
      <w:r w:rsidDel="00000000" w:rsidR="00000000" w:rsidRPr="00000000">
        <w:rPr>
          <w:rFonts w:ascii="Arial" w:cs="Arial" w:eastAsia="Arial" w:hAnsi="Arial"/>
          <w:rtl w:val="0"/>
        </w:rPr>
        <w:t xml:space="preserve">menu suspenso, a lista de endereços salvos na sessão.</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rPr>
          <w:rFonts w:ascii="Arial" w:cs="Arial" w:eastAsia="Arial" w:hAnsi="Arial"/>
        </w:rPr>
      </w:pPr>
      <w:r w:rsidDel="00000000" w:rsidR="00000000" w:rsidRPr="00000000">
        <w:rPr>
          <w:rFonts w:ascii="Arial" w:cs="Arial" w:eastAsia="Arial" w:hAnsi="Arial"/>
          <w:rtl w:val="0"/>
        </w:rPr>
        <w:t xml:space="preserve">4.2. Módulo de Busca e Processamento (Buscador)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O núcleo funcional do sistema é fundamentado na reatividade proporcionada pelos Angular Signals. O componente monitora o campo de entrada e executa chamadas assíncronas à API externa. Para otimizar o consumo de dados e melhorar a experiência, o módulo possui as seguintes implementações técnicas: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line="300" w:lineRule="auto"/>
        <w:ind w:left="900" w:right="300" w:hanging="360"/>
      </w:pPr>
      <w:r w:rsidDel="00000000" w:rsidR="00000000" w:rsidRPr="00000000">
        <w:rPr>
          <w:rFonts w:ascii="Arial" w:cs="Arial" w:eastAsia="Arial" w:hAnsi="Arial"/>
          <w:b w:val="1"/>
          <w:bCs w:val="1"/>
          <w:color w:val="000000"/>
          <w:rtl w:val="0"/>
        </w:rPr>
        <w:t xml:space="preserve">Gerenciamento de Tempo de Resposta:</w:t>
      </w:r>
      <w:r w:rsidDel="00000000" w:rsidR="00000000" w:rsidRPr="00000000">
        <w:rPr>
          <w:rFonts w:ascii="Arial" w:cs="Arial" w:eastAsia="Arial" w:hAnsi="Arial"/>
          <w:color w:val="000000"/>
          <w:rtl w:val="0"/>
        </w:rPr>
        <w:t xml:space="preserve"> Todas as requisições externas possuem um limite estrito de oito segundos. Caso não haja resposta neste intervalo, a conexão é encerrada e o usuário é notificado.</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900" w:right="300" w:hanging="360"/>
      </w:pPr>
      <w:r w:rsidDel="00000000" w:rsidR="00000000" w:rsidRPr="00000000">
        <w:rPr>
          <w:rFonts w:ascii="Arial" w:cs="Arial" w:eastAsia="Arial" w:hAnsi="Arial"/>
          <w:b w:val="1"/>
          <w:bCs w:val="1"/>
          <w:color w:val="000000"/>
          <w:rtl w:val="0"/>
        </w:rPr>
        <w:t xml:space="preserve">Estratégia de Cache:</w:t>
      </w:r>
      <w:r w:rsidDel="00000000" w:rsidR="00000000" w:rsidRPr="00000000">
        <w:rPr>
          <w:rFonts w:ascii="Arial" w:cs="Arial" w:eastAsia="Arial" w:hAnsi="Arial"/>
          <w:color w:val="000000"/>
          <w:rtl w:val="0"/>
        </w:rPr>
        <w:t xml:space="preserve"> Implementação de uma estrutura de dados em memória que armazena os resultados das pesquisas ativas. Requisições duplicadas são interceptadas antes de atingirem a rede, retornando os dados armazenados instantaneamente.</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120" w:before="0" w:beforeAutospacing="0" w:line="300" w:lineRule="auto"/>
        <w:ind w:left="900" w:right="300" w:hanging="360"/>
      </w:pPr>
      <w:r w:rsidDel="00000000" w:rsidR="00000000" w:rsidRPr="00000000">
        <w:rPr>
          <w:rFonts w:ascii="Arial" w:cs="Arial" w:eastAsia="Arial" w:hAnsi="Arial"/>
          <w:b w:val="1"/>
          <w:bCs w:val="1"/>
          <w:color w:val="000000"/>
          <w:rtl w:val="0"/>
        </w:rPr>
        <w:t xml:space="preserve">Persistência de Histórico:</w:t>
      </w:r>
      <w:r w:rsidDel="00000000" w:rsidR="00000000" w:rsidRPr="00000000">
        <w:rPr>
          <w:rFonts w:ascii="Arial" w:cs="Arial" w:eastAsia="Arial" w:hAnsi="Arial"/>
          <w:color w:val="000000"/>
          <w:rtl w:val="0"/>
        </w:rPr>
        <w:t xml:space="preserve"> Armazenamento local contínuo das últimas cinco consultas realizadas com sucesso, permitindo rápida reutilização dos dados.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rPr>
      </w:pPr>
      <w:r w:rsidDel="00000000" w:rsidR="00000000" w:rsidRPr="00000000">
        <w:rPr>
          <w:rFonts w:ascii="Arial" w:cs="Arial" w:eastAsia="Arial" w:hAnsi="Arial"/>
          <w:rtl w:val="0"/>
        </w:rPr>
        <w:t xml:space="preserve">4.3. Serviços de Estado Global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6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A arquitetura extrai o estado global dos componentes visuais e o centraliza em classes injetáveis independentes. O serviço de temas gerencia a manipulação de classes CSS na raiz do documento para inversão de cores. O serviço de favoritos atua como uma interface de manipulação de arrays para salvar ou remover códigos postais selecionados pelo usuário. Ambos persistindo as informações de forma segura no ambiente local do navegador.</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150" w:line="300" w:lineRule="auto"/>
        <w:ind w:left="300" w:right="300" w:firstLine="0"/>
        <w:rPr>
          <w:rFonts w:ascii="Arial" w:cs="Arial" w:eastAsia="Arial" w:hAnsi="Arial"/>
        </w:rPr>
      </w:pPr>
      <w:r w:rsidDel="00000000" w:rsidR="00000000" w:rsidRPr="00000000">
        <w:rPr>
          <w:rFonts w:ascii="Arial" w:cs="Arial" w:eastAsia="Arial" w:hAnsi="Arial"/>
          <w:rtl w:val="0"/>
        </w:rPr>
        <w:t xml:space="preserve">5. Fluxo de Processamento de Dados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O ciclo de vida de uma solicitação no buscador segue um fluxo linear e contingenciado, garantindo que o sistema apenas demande processamento externo quando estritamente necessário. As etapas seguem a seguinte cronologia operacional:</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0" w:afterAutospacing="0" w:line="300" w:lineRule="auto"/>
        <w:ind w:left="900" w:right="300" w:hanging="360"/>
      </w:pPr>
      <w:r w:rsidDel="00000000" w:rsidR="00000000" w:rsidRPr="00000000">
        <w:rPr>
          <w:rFonts w:ascii="Arial" w:cs="Arial" w:eastAsia="Arial" w:hAnsi="Arial"/>
          <w:b w:val="1"/>
          <w:bCs w:val="1"/>
          <w:color w:val="000000"/>
          <w:rtl w:val="0"/>
        </w:rPr>
        <w:t xml:space="preserve">Entrada e Validação:</w:t>
      </w:r>
      <w:r w:rsidDel="00000000" w:rsidR="00000000" w:rsidRPr="00000000">
        <w:rPr>
          <w:rFonts w:ascii="Arial" w:cs="Arial" w:eastAsia="Arial" w:hAnsi="Arial"/>
          <w:color w:val="000000"/>
          <w:rtl w:val="0"/>
        </w:rPr>
        <w:t xml:space="preserve"> O sistema captura o valor digitado e verifica estruturalmente se o formato corresponde a exatos oito dígitos numéricos. Valores incorretos são bloqueados de imediato, acionando o tratamento de erro da interface.</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900" w:right="300" w:hanging="360"/>
      </w:pPr>
      <w:r w:rsidDel="00000000" w:rsidR="00000000" w:rsidRPr="00000000">
        <w:rPr>
          <w:rFonts w:ascii="Arial" w:cs="Arial" w:eastAsia="Arial" w:hAnsi="Arial"/>
          <w:b w:val="1"/>
          <w:bCs w:val="1"/>
          <w:color w:val="000000"/>
          <w:rtl w:val="0"/>
        </w:rPr>
        <w:t xml:space="preserve">Verificação de Cache Local:</w:t>
      </w:r>
      <w:r w:rsidDel="00000000" w:rsidR="00000000" w:rsidRPr="00000000">
        <w:rPr>
          <w:rFonts w:ascii="Arial" w:cs="Arial" w:eastAsia="Arial" w:hAnsi="Arial"/>
          <w:color w:val="000000"/>
          <w:rtl w:val="0"/>
        </w:rPr>
        <w:t xml:space="preserve"> O valor validado é avaliado na matriz temporária. Se localizado, o processamento finaliza precocemente exibindo os dados já retidos.</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900" w:right="300" w:hanging="360"/>
      </w:pPr>
      <w:r w:rsidDel="00000000" w:rsidR="00000000" w:rsidRPr="00000000">
        <w:rPr>
          <w:rFonts w:ascii="Arial" w:cs="Arial" w:eastAsia="Arial" w:hAnsi="Arial"/>
          <w:b w:val="1"/>
          <w:bCs w:val="1"/>
          <w:color w:val="000000"/>
          <w:rtl w:val="0"/>
        </w:rPr>
        <w:t xml:space="preserve">Comunicação Externa:</w:t>
      </w:r>
      <w:r w:rsidDel="00000000" w:rsidR="00000000" w:rsidRPr="00000000">
        <w:rPr>
          <w:rFonts w:ascii="Arial" w:cs="Arial" w:eastAsia="Arial" w:hAnsi="Arial"/>
          <w:color w:val="000000"/>
          <w:rtl w:val="0"/>
        </w:rPr>
        <w:t xml:space="preserve"> Ausente no cache, a aplicação realiza uma requisição HTTP via protocolo GET endereçada ao endpoint público da ViaCEP.</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900" w:right="300" w:hanging="360"/>
      </w:pPr>
      <w:r w:rsidDel="00000000" w:rsidR="00000000" w:rsidRPr="00000000">
        <w:rPr>
          <w:rFonts w:ascii="Arial" w:cs="Arial" w:eastAsia="Arial" w:hAnsi="Arial"/>
          <w:b w:val="1"/>
          <w:bCs w:val="1"/>
          <w:color w:val="000000"/>
          <w:rtl w:val="0"/>
        </w:rPr>
        <w:t xml:space="preserve">Tratamento e Resolução da Resposta:</w:t>
      </w:r>
    </w:p>
    <w:p w:rsidR="00000000" w:rsidDel="00000000" w:rsidP="00000000" w:rsidRDefault="00000000" w:rsidRPr="00000000" w14:paraId="00000024">
      <w:pPr>
        <w:numPr>
          <w:ilvl w:val="1"/>
          <w:numId w:val="5"/>
        </w:numPr>
        <w:pBdr>
          <w:top w:space="0" w:sz="0" w:val="nil"/>
          <w:left w:space="0" w:sz="0" w:val="nil"/>
          <w:bottom w:space="0" w:sz="0" w:val="nil"/>
          <w:right w:space="0" w:sz="0" w:val="nil"/>
          <w:between w:space="0" w:sz="0" w:val="nil"/>
        </w:pBdr>
        <w:shd w:fill="auto" w:val="clear"/>
        <w:spacing w:line="300" w:lineRule="auto"/>
        <w:ind w:left="1500" w:right="300" w:hanging="360"/>
      </w:pPr>
      <w:r w:rsidDel="00000000" w:rsidR="00000000" w:rsidRPr="00000000">
        <w:rPr>
          <w:rFonts w:ascii="Arial" w:cs="Arial" w:eastAsia="Arial" w:hAnsi="Arial"/>
          <w:color w:val="000000"/>
          <w:rtl w:val="0"/>
        </w:rPr>
        <w:t xml:space="preserve">Em situações de sucesso, os dados recebidos são formatados, inseridos na memória cache, renderizados ao usuário e adicionados ao histórico de atividades local.</w:t>
      </w:r>
    </w:p>
    <w:p w:rsidR="00000000" w:rsidDel="00000000" w:rsidP="00000000" w:rsidRDefault="00000000" w:rsidRPr="00000000" w14:paraId="00000025">
      <w:pPr>
        <w:numPr>
          <w:ilvl w:val="1"/>
          <w:numId w:val="5"/>
        </w:numPr>
        <w:pBdr>
          <w:top w:space="0" w:sz="0" w:val="nil"/>
          <w:left w:space="0" w:sz="0" w:val="nil"/>
          <w:bottom w:space="0" w:sz="0" w:val="nil"/>
          <w:right w:space="0" w:sz="0" w:val="nil"/>
          <w:between w:space="0" w:sz="0" w:val="nil"/>
        </w:pBdr>
        <w:shd w:fill="auto" w:val="clear"/>
        <w:spacing w:line="300" w:lineRule="auto"/>
        <w:ind w:left="1500" w:right="300" w:hanging="360"/>
      </w:pPr>
      <w:r w:rsidDel="00000000" w:rsidR="00000000" w:rsidRPr="00000000">
        <w:rPr>
          <w:rFonts w:ascii="Arial" w:cs="Arial" w:eastAsia="Arial" w:hAnsi="Arial"/>
          <w:color w:val="000000"/>
          <w:rtl w:val="0"/>
        </w:rPr>
        <w:t xml:space="preserve">Em cenários onde a API informa a inexistência do código postal nos registros oficiais, um alerta de falha de localização é disparado.</w:t>
      </w:r>
    </w:p>
    <w:p w:rsidR="00000000" w:rsidDel="00000000" w:rsidP="00000000" w:rsidRDefault="00000000" w:rsidRPr="00000000" w14:paraId="00000026">
      <w:pPr>
        <w:numPr>
          <w:ilvl w:val="1"/>
          <w:numId w:val="5"/>
        </w:numPr>
        <w:pBdr>
          <w:top w:space="0" w:sz="0" w:val="nil"/>
          <w:left w:space="0" w:sz="0" w:val="nil"/>
          <w:bottom w:space="0" w:sz="0" w:val="nil"/>
          <w:right w:space="0" w:sz="0" w:val="nil"/>
          <w:between w:space="0" w:sz="0" w:val="nil"/>
        </w:pBdr>
        <w:shd w:fill="auto" w:val="clear"/>
        <w:spacing w:line="300" w:lineRule="auto"/>
        <w:ind w:left="1500" w:right="300" w:hanging="360"/>
      </w:pPr>
      <w:r w:rsidDel="00000000" w:rsidR="00000000" w:rsidRPr="00000000">
        <w:rPr>
          <w:rFonts w:ascii="Arial" w:cs="Arial" w:eastAsia="Arial" w:hAnsi="Arial"/>
          <w:color w:val="000000"/>
          <w:rtl w:val="0"/>
        </w:rPr>
        <w:t xml:space="preserve">No eventual bloqueio por instabilidade da rede externa ou extrapolação do tempo limite, o sistema isola a falha e aciona os alertas de conectividade.</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510" w:line="300" w:lineRule="auto"/>
        <w:ind w:left="300" w:right="300" w:firstLine="0"/>
        <w:rPr>
          <w:rFonts w:ascii="Arial" w:cs="Arial" w:eastAsia="Arial" w:hAnsi="Arial"/>
        </w:rPr>
      </w:pPr>
      <w:r w:rsidDel="00000000" w:rsidR="00000000" w:rsidRPr="00000000">
        <w:rPr>
          <w:rFonts w:ascii="Arial" w:cs="Arial" w:eastAsia="Arial" w:hAnsi="Arial"/>
          <w:rtl w:val="0"/>
        </w:rPr>
        <w:t xml:space="preserve">6. Implantação e Procedimentos de Execução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6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O ambiente de execução requer a presença da plataforma Node.js. A configuração inicial é estabelecida através do gerenciador NPM, que consolida os pacotes dependentes. Em desenvolvimento, um servidor de testes fornece recarregamento contínuo. Em caráter produtivo, o código passa por processos de ofuscação, minificação e construção (Build), sendo posteriormente servido através da camada Express, o que assegura a integridade do modelo SSR estabelecido na arquitetura.</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150" w:line="300" w:lineRule="auto"/>
        <w:ind w:left="300" w:right="300" w:firstLine="0"/>
        <w:rPr>
          <w:rFonts w:ascii="Arial" w:cs="Arial" w:eastAsia="Arial" w:hAnsi="Arial"/>
        </w:rPr>
      </w:pPr>
      <w:r w:rsidDel="00000000" w:rsidR="00000000" w:rsidRPr="00000000">
        <w:rPr>
          <w:rFonts w:ascii="Arial" w:cs="Arial" w:eastAsia="Arial" w:hAnsi="Arial"/>
          <w:rtl w:val="0"/>
        </w:rPr>
        <w:t xml:space="preserve">7. Composição da Equipe de Desenvolvimento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O projeto foi elaborado colaborativamente no contexto acadêmico do curso de Análise e Desenvolvimento de Sistemas, com atribuições distribuídas em frentes específicas de engenharia de software:</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0" w:afterAutospacing="0" w:line="300" w:lineRule="auto"/>
        <w:ind w:left="900" w:right="300" w:hanging="360"/>
      </w:pPr>
      <w:r w:rsidDel="00000000" w:rsidR="00000000" w:rsidRPr="00000000">
        <w:rPr>
          <w:rFonts w:ascii="Arial" w:cs="Arial" w:eastAsia="Arial" w:hAnsi="Arial"/>
          <w:b w:val="1"/>
          <w:bCs w:val="1"/>
          <w:color w:val="000000"/>
          <w:rtl w:val="0"/>
        </w:rPr>
        <w:t xml:space="preserve">Documentação Técnica e Arquitetura Teórica:</w:t>
      </w:r>
      <w:r w:rsidDel="00000000" w:rsidR="00000000" w:rsidRPr="00000000">
        <w:rPr>
          <w:rFonts w:ascii="Arial" w:cs="Arial" w:eastAsia="Arial" w:hAnsi="Arial"/>
          <w:color w:val="000000"/>
          <w:rtl w:val="0"/>
        </w:rPr>
        <w:t xml:space="preserve"> Eduardo Leonel e Kelly.</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900" w:right="300" w:hanging="360"/>
      </w:pPr>
      <w:r w:rsidDel="00000000" w:rsidR="00000000" w:rsidRPr="00000000">
        <w:rPr>
          <w:rFonts w:ascii="Arial" w:cs="Arial" w:eastAsia="Arial" w:hAnsi="Arial"/>
          <w:b w:val="1"/>
          <w:bCs w:val="1"/>
          <w:color w:val="000000"/>
          <w:rtl w:val="0"/>
        </w:rPr>
        <w:t xml:space="preserve">Desenvolvimento do Motor de Busca e Integração HTTP:</w:t>
      </w:r>
      <w:r w:rsidDel="00000000" w:rsidR="00000000" w:rsidRPr="00000000">
        <w:rPr>
          <w:rFonts w:ascii="Arial" w:cs="Arial" w:eastAsia="Arial" w:hAnsi="Arial"/>
          <w:color w:val="000000"/>
          <w:rtl w:val="0"/>
        </w:rPr>
        <w:t xml:space="preserve"> Diones e Ryan.</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after="120" w:before="0" w:beforeAutospacing="0" w:line="300" w:lineRule="auto"/>
        <w:ind w:left="900" w:right="300" w:hanging="360"/>
      </w:pPr>
      <w:r w:rsidDel="00000000" w:rsidR="00000000" w:rsidRPr="00000000">
        <w:rPr>
          <w:rFonts w:ascii="Arial" w:cs="Arial" w:eastAsia="Arial" w:hAnsi="Arial"/>
          <w:b w:val="1"/>
          <w:bCs w:val="1"/>
          <w:color w:val="000000"/>
          <w:rtl w:val="0"/>
        </w:rPr>
        <w:t xml:space="preserve">Desenvolvimento Institucional e Interfaces Auxiliares:</w:t>
      </w:r>
      <w:r w:rsidDel="00000000" w:rsidR="00000000" w:rsidRPr="00000000">
        <w:rPr>
          <w:rFonts w:ascii="Arial" w:cs="Arial" w:eastAsia="Arial" w:hAnsi="Arial"/>
          <w:color w:val="000000"/>
          <w:rtl w:val="0"/>
        </w:rPr>
        <w:t xml:space="preserve"> Felipe e Rafael Pasqual.</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510" w:line="300" w:lineRule="auto"/>
        <w:ind w:left="300" w:right="300" w:firstLine="0"/>
        <w:rPr>
          <w:rFonts w:ascii="Arial" w:cs="Arial" w:eastAsia="Arial" w:hAnsi="Arial"/>
        </w:rPr>
      </w:pPr>
      <w:r w:rsidDel="00000000" w:rsidR="00000000" w:rsidRPr="00000000">
        <w:rPr>
          <w:rFonts w:ascii="Arial" w:cs="Arial" w:eastAsia="Arial" w:hAnsi="Arial"/>
          <w:rtl w:val="0"/>
        </w:rPr>
        <w:t xml:space="preserve">8. Referencial Bibliográfico e Tecnológico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A concepção lógica e estrutural baseou-se inteiramente em documentações oficiais e padrões estabelecidos pela indústria do desenvolvimento web:</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after="0" w:afterAutospacing="0" w:line="300" w:lineRule="auto"/>
        <w:ind w:left="900" w:right="300" w:hanging="360"/>
      </w:pPr>
      <w:r w:rsidDel="00000000" w:rsidR="00000000" w:rsidRPr="00000000">
        <w:rPr>
          <w:rFonts w:ascii="Arial" w:cs="Arial" w:eastAsia="Arial" w:hAnsi="Arial"/>
          <w:color w:val="000000"/>
          <w:rtl w:val="0"/>
        </w:rPr>
        <w:t xml:space="preserve">ANGULAR. Documentação Oficial do Framework e Diretrizes Standalone. Disponível em plataforma oficial.</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900" w:right="300" w:hanging="360"/>
      </w:pPr>
      <w:r w:rsidDel="00000000" w:rsidR="00000000" w:rsidRPr="00000000">
        <w:rPr>
          <w:rFonts w:ascii="Arial" w:cs="Arial" w:eastAsia="Arial" w:hAnsi="Arial"/>
          <w:color w:val="000000"/>
          <w:rtl w:val="0"/>
        </w:rPr>
        <w:t xml:space="preserve">VIACEP. Diretrizes de Integração de WebServices para Base de CEPs Nacional.</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900" w:right="300" w:hanging="360"/>
      </w:pPr>
      <w:r w:rsidDel="00000000" w:rsidR="00000000" w:rsidRPr="00000000">
        <w:rPr>
          <w:rFonts w:ascii="Arial" w:cs="Arial" w:eastAsia="Arial" w:hAnsi="Arial"/>
          <w:color w:val="000000"/>
          <w:rtl w:val="0"/>
        </w:rPr>
        <w:t xml:space="preserve">TYPESCRIPT. Especificações da Linguagem, Transpilador e Tipagem Estrita.</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spacing w:after="120" w:before="0" w:beforeAutospacing="0" w:line="300" w:lineRule="auto"/>
        <w:ind w:left="900" w:right="300" w:hanging="360"/>
      </w:pPr>
      <w:r w:rsidDel="00000000" w:rsidR="00000000" w:rsidRPr="00000000">
        <w:rPr>
          <w:rFonts w:ascii="Arial" w:cs="Arial" w:eastAsia="Arial" w:hAnsi="Arial"/>
          <w:color w:val="000000"/>
          <w:rtl w:val="0"/>
        </w:rPr>
        <w:t xml:space="preserve">MOZILLA DEVELOPER NETWORK (MDN). Guias de Referência para Estilização Web, Flexbox e Grid Layout.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5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5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