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sz w:val="18"/>
        </w:rPr>
        <w:t>FIAP  |  Fase 5  |  Grupo Rumo ao NEXT</w:t>
      </w:r>
    </w:p>
    <w:p>
      <w:pPr>
        <w:pStyle w:val="Title"/>
      </w:pPr>
      <w:r>
        <w:t>Fluxo conversacional do CardioIA</w:t>
      </w:r>
    </w:p>
    <w:p>
      <w:pPr>
        <w:pStyle w:val="Subtitle"/>
      </w:pPr>
      <w:r>
        <w:t>Relatório das Partes 1 e 2</w:t>
      </w:r>
    </w:p>
    <w:p>
      <w:pPr>
        <w:spacing w:line="240" w:lineRule="auto" w:after="140"/>
      </w:pPr>
      <w:r>
        <w:rPr>
          <w:sz w:val="18"/>
        </w:rPr>
        <w:t>Felipe Livino dos Santos | RM 563187; Daniel Veiga Rodrigues de Faria | RM 561410; Tomas Haru Sakugawa Becker | RM 564147; Daniel Tavares de Lima Freitas | RM 562625; Gabriel Konno Carrozza | RM 564468.</w:t>
      </w:r>
    </w:p>
    <w:p>
      <w:pPr>
        <w:pStyle w:val="Heading1"/>
      </w:pPr>
      <w:r>
        <w:t>1 Objetivo e organização da solução</w:t>
      </w:r>
    </w:p>
    <w:p>
      <w:r>
        <w:t>Nesta etapa do CardioIA, desenvolvemos um protótipo que recebe mensagens em linguagem natural, organiza relatos e medições fictícias e apresenta um resumo para conferência. O objetivo é demonstrar um atendimento inicial simulado com IBM Watson Assistant, backend Flask e interface HTML. A proposta não inclui diagnóstico, prescrição ou avaliação de risco. Essa delimitação orienta tanto as respostas quanto os campos que o sistema permite registrar.</w:t>
      </w:r>
    </w:p>
    <w:p>
      <w:r>
        <w:t>O Watson conduz a conversa por intenções, entidades e nós de diálogo. O Flask faz a comunicação com a API v2, valida as mensagens e devolve ao navegador a resposta e um resumo filtrado. Escolhemos uma interface com HTML, CSS e JavaScript por ser suficiente para enviar mensagens, revisar informações e alternar entre conversa, organização de relato e monitoramento. A arquitetura acompanha os exemplos de Watson e integração web apresentados no capítulo 10 de PCV [1].</w:t>
      </w:r>
    </w:p>
    <w:p>
      <w:pPr>
        <w:pStyle w:val="Heading1"/>
      </w:pPr>
      <w:r>
        <w:t>2 Como uma mensagem percorre o sistema</w:t>
      </w:r>
    </w:p>
    <w:p>
      <w:r>
        <w:t>Ao iniciar uma conversa, o backend cria uma sessão no Watson e guarda seu identificador em SQLite. O navegador recebe um token opaco, sem carregar o relato clínico no cookie. Nas mensagens seguintes, a aplicação reutiliza a sessão remota. Assim, o assistente sabe se está aguardando uma medição, o período de um relato ou a confirmação do resumo. Perfis diferentes de navegador têm sessões separadas; abas do mesmo perfil compartilham o contexto.</w:t>
      </w:r>
    </w:p>
    <w:p>
      <w:r>
        <w:t>A versão revisada em 7 de setembro de 2026 contém 22 intenções, 125 exemplos de treinamento, seis entidades e 69 nós. As intenções representam pedidos como registrar uma medição, corrigir um dado, pedir ajuda ou encerrar. As entidades identificam elementos úteis dentro da frase, como pressão em mmHg e frequência em bpm. Encontrar a palavra “dor”, por exemplo, não basta para afirmar que há um sintoma: o relato original é preservado, inclusive quando contém uma negação.</w:t>
      </w:r>
    </w:p>
    <w:p>
      <w:pPr>
        <w:pStyle w:val="Heading1"/>
      </w:pPr>
      <w:r>
        <w:t>3 Exemplo de conversa e critérios de continuidade</w:t>
      </w:r>
    </w:p>
    <w:p>
      <w:r>
        <w:t>Se a pessoa envia “120/80 mmHg e 72 bpm”, os dois valores são registrados na mesma interação. A resposta repete as medições e pergunta se estão corretas. Ao receber “Corrige a pressão para 125/82 mmHg”, o sistema substitui apenas a pressão, conserva a frequência e retira a confirmação anterior. A conferência precisa ser feita novamente porque o conteúdo mudou.</w:t>
      </w:r>
    </w:p>
    <w:p>
      <w:r>
        <w:t>Também tratamos situações comuns que interrompem uma sequência rígida. “Não lembro quando começou” deixa o período sem informação; “Prefiro pular essa parte” encerra a coleta atual; um agradecimento não finaliza o atendimento. Pedidos de reformulação retomam a pergunta pendente. Essas intenções são avaliadas antes da captura de texto livre para evitar que dúvidas e recusas sejam salvas como informações de saúde.</w:t>
      </w:r>
    </w:p>
    <w:p>
      <w:r>
        <w:br w:type="page"/>
      </w:r>
    </w:p>
    <w:p>
      <w:pPr>
        <w:pStyle w:val="Heading1"/>
      </w:pPr>
      <w:r>
        <w:t>4 Interface e tratamento de exceções</w:t>
      </w:r>
    </w:p>
    <w:p>
      <w:r>
        <w:t>A tela mantém a conversa e o resumo próximos, permitindo comparar o que foi dito com o que ficou registrado. Os botões de sugestão acompanham a etapa: durante a coleta, oferecem reformular, pular ou cancelar; na conferência, permitem confirmar ou corrigir. A revisão visual retirou frases promocionais e elementos decorativos repetidos, simplificou a navegação e tornou o resumo semelhante a uma ficha de registro. Os avisos sobre o caráter fictício dos dados continuam visíveis.</w:t>
      </w:r>
    </w:p>
    <w:p>
      <w:r>
        <w:t>Comandos de ajuda, correção e reinício têm prioridade sobre perguntas abertas. Uma medição sem a unidade esperada recebe orientação de formato, sem conversão por suposição. Mensagens desconhecidas levam a um pedido de reformulação e, em caso de repetição, à apresentação de caminhos possíveis. Confirmar um resumo vazio não cria um registro. O botão Nova conversa abre outra sessão e limpa o contexto anterior; encerrar apenas conclui o fluxo, mantendo o resumo disponível.</w:t>
      </w:r>
    </w:p>
    <w:p>
      <w:r>
        <w:t>O backend limita tamanho e tipo das requisições, verifica um token CSRF nas operações de envio e retorna erros controlados quando a sessão expira ou um serviço externo fica indisponível. As mensagens são inseridas no HTML como texto, e o resumo mostra somente campos previstos. As credenciais permanecem no arquivo local de ambiente e são injetadas nos containers. O endpoint de saúde verifica a disponibilidade HTTP, mas não comprova autenticação nas APIs.</w:t>
      </w:r>
    </w:p>
    <w:p>
      <w:pPr>
        <w:pStyle w:val="Heading1"/>
      </w:pPr>
      <w:r>
        <w:t>5 Validação e resultados</w:t>
      </w:r>
    </w:p>
    <w:p>
      <w:r>
        <w:t>Na revisão de 7 de setembro, os 27 testes automatizados do núcleo e da extração passaram. Em uma avaliação separada com o Watson real, dez cenários totalizaram 31 turnos aprovados. Foram verificados registro conjunto de medições, correção direta, recusa, reformulação, mudança de assunto, identidade do assistente e limites de atuação. A primeira rodada mostrou confusões entre confirmar e consultar o resumo e entre pedir esclarecimento e recusar uma pergunta. Os ajustes foram reavaliados após o treinamento [2].</w:t>
      </w:r>
    </w:p>
    <w:p>
      <w:r>
        <w:t>Esses 31 turnos são uma verificação de comportamento em cenários conhecidos. Não representam compreensão irrestrita da linguagem. Uma avaliação anterior, registrada em 4 de setembro, obteve 38 classificações corretas em 42 frases, ou 90,5%, na versão antiga. Esse percentual permanece como histórico e não foi recalculado para o diálogo atual. A avaliação do código, a avaliação de intenções e a verificação da interface medem aspectos diferentes da solução.</w:t>
      </w:r>
    </w:p>
    <w:p>
      <w:pPr>
        <w:pStyle w:val="Heading1"/>
      </w:pPr>
      <w:r>
        <w:t>6 Execução e conclusão</w:t>
      </w:r>
    </w:p>
    <w:p>
      <w:r>
        <w:t>A execução completa usa “docker compose --profile automacao up --build -d”. No ambiente local revisado, a interface está na porta 5001, configurada por APP_PORT; o padrão do projeto é 5000. O protótipo atende ao fluxo de coleta, organização e conferência proposto, com limites explícitos. Ainda é necessário avaliar mais formas de expressão e reimportar o diálogo em outro ambiente antes de concluir que o comportamento se reproduz fora da configuração usada pela equipe.</w:t>
      </w:r>
    </w:p>
    <w:p>
      <w:pPr>
        <w:spacing w:after="80" w:line="240" w:lineRule="auto"/>
      </w:pPr>
      <w:r>
        <w:rPr>
          <w:sz w:val="18"/>
        </w:rPr>
        <w:t>[1] FIAP. Arquitetura Cognitiva dos LLMs Modernos. PCV, Fase 5, capítulo 10, p. 17 a 37 e 46 a 49. Material didático da atividade.</w:t>
      </w:r>
    </w:p>
    <w:p>
      <w:pPr>
        <w:spacing w:after="80" w:line="240" w:lineRule="auto"/>
      </w:pPr>
      <w:r>
        <w:rPr>
          <w:sz w:val="18"/>
        </w:rPr>
        <w:t>[2] Projeto CardioIA. docs/VALIDACAO.md; docs/evidence/conversation-evaluation.json; watson/export-provenance.json. Revisão de 7 set. 2026. Implementação: app.py, services/watson_service.py e watson/build_skill.py.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40"/>
    </w:pPr>
    <w:rPr>
      <w:rFonts w:ascii="Arial" w:hAnsi="Arial" w:eastAsia="Arial"/>
      <w:i w:val="0"/>
      <w:color w:val="000000"/>
      <w:spacing w:val="0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4"/>
      <w:szCs w:val="28"/>
      <w:spacing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6"/>
      <w:szCs w:val="26"/>
      <w:spacing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i w:val="0"/>
      <w:color w:val="000000"/>
      <w:spacing w:val="5"/>
      <w:kern w:val="28"/>
      <w:sz w:val="40"/>
      <w:szCs w:val="52"/>
      <w:spacing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/>
    </w:pPr>
    <w:rPr>
      <w:rFonts w:asciiTheme="majorHAnsi" w:eastAsiaTheme="majorEastAsia" w:hAnsiTheme="majorHAnsi" w:cstheme="majorBidi" w:ascii="Arial" w:hAnsi="Arial" w:eastAsia="Arial"/>
      <w:i w:val="0"/>
      <w:iCs/>
      <w:color w:val="000000"/>
      <w:spacing w:val="15"/>
      <w:sz w:val="22"/>
      <w:szCs w:val="24"/>
      <w:spacing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 conversacional do CardioIA</dc:title>
  <dc:subject>CardioIA | FIAP | Fase 5</dc:subject>
  <dc:creator>Rumo ao NEXT</dc:creator>
  <cp:keywords/>
  <dc:description>generated by python-docx</dc:description>
  <cp:lastModifiedBy>Rumo ao NEXT</cp:lastModifiedBy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