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MARCO NORMATIVO Y LEGAL APLICABLE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Sistema CMMS de mantenimiento preventivo — Tecnologías Hospitalarias e Industriales S.A.S.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Anexo de sustentación — Universidad Mariana, Ingeniería de Sistemas</w:t>
      </w:r>
    </w:p>
    <w:p>
      <w:pPr>
        <w:pStyle w:val="Heading1"/>
        <w:spacing w:after="190" w:before="3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 Introducción</w:t>
      </w:r>
    </w:p>
    <w:p>
      <w:pPr>
        <w:spacing w:after="15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El sistema CMMS diseñado para THI S.A.S. trata datos personales de sus usuarios (nombre, correo institucional, credenciales de acceso) y datos operativos de equipos sujetos a supervisión sectorial, dado que una parte del inventario corresponde a equipos hospitalarios. Cumplir la normativa aplicable no es un anexo declarativo: cada requisito identificado en este documento se traduce en una medida técnica concreta, verificable en el código del backend construido en Sprint 1 (Sección 6).</w:t>
      </w:r>
    </w:p>
    <w:p>
      <w:pPr>
        <w:pStyle w:val="Heading1"/>
        <w:spacing w:after="190" w:before="3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 Ley 1581 de 2012 y Decreto 1377 de 2013 — Protección de Datos Personales</w:t>
      </w:r>
    </w:p>
    <w:p>
      <w:pPr>
        <w:spacing w:after="15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Colombia regula el derecho fundamental al habeas data mediante la Ley Estatutaria 1581 de 2012 y su decreto reglamentario 1377 de 2013. Aplica a toda persona natural o jurídica que trate datos personales, lo que incluye a THI S.A.S. como responsable del tratamiento de los datos de sus usuarios del sistema.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2.1 Principios rectores (Artículo 4)</w:t>
      </w:r>
    </w:p>
    <w:p>
      <w:pPr>
        <w:pStyle w:val="ListParagraph"/>
        <w:numPr>
          <w:ilvl w:val="0"/>
          <w:numId w:val="2"/>
        </w:numPr>
        <w:spacing w:after="85" w:line="275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Legalidad</w:t>
      </w:r>
      <w:r>
        <w:rPr>
          <w:rFonts w:ascii="Arial" w:cs="Arial" w:eastAsia="Arial" w:hAnsi="Arial"/>
          <w:sz w:val="21"/>
          <w:szCs w:val="21"/>
        </w:rPr>
        <w:t xml:space="preserve">: el tratamiento debe sujetarse a la ley, no a la voluntad del responsable.</w:t>
      </w:r>
    </w:p>
    <w:p>
      <w:pPr>
        <w:pStyle w:val="ListParagraph"/>
        <w:numPr>
          <w:ilvl w:val="0"/>
          <w:numId w:val="2"/>
        </w:numPr>
        <w:spacing w:after="85" w:line="275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Finalidad</w:t>
      </w:r>
      <w:r>
        <w:rPr>
          <w:rFonts w:ascii="Arial" w:cs="Arial" w:eastAsia="Arial" w:hAnsi="Arial"/>
          <w:sz w:val="21"/>
          <w:szCs w:val="21"/>
        </w:rPr>
        <w:t xml:space="preserve">: los datos se recogen para un propósito legítimo e informado — en este caso, exclusivamente la gestión operativa del mantenimiento.</w:t>
      </w:r>
    </w:p>
    <w:p>
      <w:pPr>
        <w:pStyle w:val="ListParagraph"/>
        <w:numPr>
          <w:ilvl w:val="0"/>
          <w:numId w:val="2"/>
        </w:numPr>
        <w:spacing w:after="85" w:line="275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Libertad</w:t>
      </w:r>
      <w:r>
        <w:rPr>
          <w:rFonts w:ascii="Arial" w:cs="Arial" w:eastAsia="Arial" w:hAnsi="Arial"/>
          <w:sz w:val="21"/>
          <w:szCs w:val="21"/>
        </w:rPr>
        <w:t xml:space="preserve">: el tratamiento requiere consentimiento previo, expreso e informado del titular.</w:t>
      </w:r>
    </w:p>
    <w:p>
      <w:pPr>
        <w:pStyle w:val="ListParagraph"/>
        <w:numPr>
          <w:ilvl w:val="0"/>
          <w:numId w:val="2"/>
        </w:numPr>
        <w:spacing w:after="85" w:line="275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Veracidad o calidad</w:t>
      </w:r>
      <w:r>
        <w:rPr>
          <w:rFonts w:ascii="Arial" w:cs="Arial" w:eastAsia="Arial" w:hAnsi="Arial"/>
          <w:sz w:val="21"/>
          <w:szCs w:val="21"/>
        </w:rPr>
        <w:t xml:space="preserve">: la información debe ser completa, exacta y actualizada.</w:t>
      </w:r>
    </w:p>
    <w:p>
      <w:pPr>
        <w:pStyle w:val="ListParagraph"/>
        <w:numPr>
          <w:ilvl w:val="0"/>
          <w:numId w:val="2"/>
        </w:numPr>
        <w:spacing w:after="85" w:line="275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Transparencia</w:t>
      </w:r>
      <w:r>
        <w:rPr>
          <w:rFonts w:ascii="Arial" w:cs="Arial" w:eastAsia="Arial" w:hAnsi="Arial"/>
          <w:sz w:val="21"/>
          <w:szCs w:val="21"/>
        </w:rPr>
        <w:t xml:space="preserve">: el titular puede obtener del responsable información sobre sus datos en cualquier momento.</w:t>
      </w:r>
    </w:p>
    <w:p>
      <w:pPr>
        <w:pStyle w:val="ListParagraph"/>
        <w:numPr>
          <w:ilvl w:val="0"/>
          <w:numId w:val="2"/>
        </w:numPr>
        <w:spacing w:after="85" w:line="275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Acceso y circulación restringida</w:t>
      </w:r>
      <w:r>
        <w:rPr>
          <w:rFonts w:ascii="Arial" w:cs="Arial" w:eastAsia="Arial" w:hAnsi="Arial"/>
          <w:sz w:val="21"/>
          <w:szCs w:val="21"/>
        </w:rPr>
        <w:t xml:space="preserve">: los datos solo circulan entre quienes están autorizados para tratarlos.</w:t>
      </w:r>
    </w:p>
    <w:p>
      <w:pPr>
        <w:pStyle w:val="ListParagraph"/>
        <w:numPr>
          <w:ilvl w:val="0"/>
          <w:numId w:val="2"/>
        </w:numPr>
        <w:spacing w:after="85" w:line="275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Seguridad</w:t>
      </w:r>
      <w:r>
        <w:rPr>
          <w:rFonts w:ascii="Arial" w:cs="Arial" w:eastAsia="Arial" w:hAnsi="Arial"/>
          <w:sz w:val="21"/>
          <w:szCs w:val="21"/>
        </w:rPr>
        <w:t xml:space="preserve">: deben aplicarse medidas técnicas, humanas y administrativas para evitar adulteración, pérdida o acceso no autorizado.</w:t>
      </w:r>
    </w:p>
    <w:p>
      <w:pPr>
        <w:pStyle w:val="ListParagraph"/>
        <w:numPr>
          <w:ilvl w:val="0"/>
          <w:numId w:val="2"/>
        </w:numPr>
        <w:spacing w:after="85" w:line="275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Confidencialidad</w:t>
      </w:r>
      <w:r>
        <w:rPr>
          <w:rFonts w:ascii="Arial" w:cs="Arial" w:eastAsia="Arial" w:hAnsi="Arial"/>
          <w:sz w:val="21"/>
          <w:szCs w:val="21"/>
        </w:rPr>
        <w:t xml:space="preserve">: quienes intervienen en el tratamiento deben garantizar reserva de la información, incluso después de finalizada su relación con esa labor.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2.2 Derechos de los titulares (Artículo 8)</w:t>
      </w:r>
    </w:p>
    <w:p>
      <w:pPr>
        <w:spacing w:after="15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Todo titular tiene derecho a: conocer, actualizar y rectificar sus datos; solicitar prueba de la autorización otorgada; ser informado sobre el uso dado a sus datos; presentar quejas ante la Superintendencia de Industria y Comercio (SIC); revocar la autorización y/o solicitar la supresión del dato cuando no se respeten los principios de la ley; y acceder gratuitamente a sus datos personales.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2.3 Autoridad de control</w:t>
      </w:r>
    </w:p>
    <w:p>
      <w:pPr>
        <w:spacing w:after="15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La Superintendencia de Industria y Comercio (SIC) es la autoridad de vigilancia y control, con facultad sancionatoria, y administra el Registro Nacional de Bases de Datos (RNBD), en el que deben inscribirse las bases de datos sujetas a la ley.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2.4 Aplicación al sistema CMMS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600"/>
        <w:gridCol w:w="2400"/>
      </w:tblGrid>
      <w:tr>
        <w:trPr>
          <w:tblHeader/>
        </w:trPr>
        <w:tc>
          <w:tcPr>
            <w:tcW w:type="dxa" w:w="26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Dato personal tratado</w:t>
            </w:r>
          </w:p>
        </w:tc>
        <w:tc>
          <w:tcPr>
            <w:tcW w:type="dxa" w:w="22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Clasificación</w:t>
            </w:r>
          </w:p>
        </w:tc>
        <w:tc>
          <w:tcPr>
            <w:tcW w:type="dxa" w:w="26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Finalidad</w:t>
            </w:r>
          </w:p>
        </w:tc>
        <w:tc>
          <w:tcPr>
            <w:tcW w:type="dxa" w:w="24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Medida de seguridad aplicada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Nombre completo, correo institucional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Dato personal genérico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Identificación del usuario y control de acceso por rol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Almacenamiento en base de datos con acceso restringido por autenticación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Contraseña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Dato personal genérico (credencial)</w:t>
            </w:r>
          </w:p>
        </w:tc>
        <w:tc>
          <w:tcPr>
            <w:tcW w:type="dxa" w:w="26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Autenticación</w:t>
            </w:r>
          </w:p>
        </w:tc>
        <w:tc>
          <w:tcPr>
            <w:tcW w:type="dxa" w:w="24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Hash con bcrypt (nunca se almacena ni se transmite en texto plano)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Rol asignado (Administrador / Técnico)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Dato personal genérico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Control de acceso (principio de acceso y circulación restringida)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Verificado en cada solicitud vía middleware de autorización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Registro fotográfico y firma del técnico (Sprint 3)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Dato personal — evaluar si aplica tratamiento de dato sensible según el contexto</w:t>
            </w:r>
          </w:p>
        </w:tc>
        <w:tc>
          <w:tcPr>
            <w:tcW w:type="dxa" w:w="26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Evidencia de la intervención de mantenimiento</w:t>
            </w:r>
          </w:p>
        </w:tc>
        <w:tc>
          <w:tcPr>
            <w:tcW w:type="dxa" w:w="24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Pendiente de definir política de retención al construir ese sprint</w:t>
            </w:r>
          </w:p>
        </w:tc>
      </w:tr>
    </w:tbl>
    <w:p>
      <w:pPr>
        <w:spacing w:after="220" w:before="5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Tabla 1. Inventario de datos personales tratados por el sistema y su base de cumplimiento, según el alcance construido a la fecha.</w:t>
      </w:r>
    </w:p>
    <w:p>
      <w:r>
        <w:br w:type="page"/>
      </w:r>
    </w:p>
    <w:p>
      <w:pPr>
        <w:pStyle w:val="Heading1"/>
        <w:spacing w:after="190" w:before="3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 ISO/IEC 25010 — modelo de calidad ya adoptado por el proyecto</w:t>
      </w:r>
    </w:p>
    <w:p>
      <w:pPr>
        <w:spacing w:after="15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El proyecto ya declaró este estándar como su métrica de evaluación ("ISO 25010, bajo los parámetros de: Usabilidad y Seguridad", según la Tabla de Lineamientos del anteproyecto). Esta sección documenta cómo el código de Sprint 1 se alinea concretamente con esas dos características, y no solo las menciona.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3.1 Característica: Seguridad</w:t>
      </w:r>
    </w:p>
    <w:p>
      <w:pPr>
        <w:spacing w:after="15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La norma descompone la seguridad en cinco subcaracterísticas. El estado de Sprint 1 frente a cada una: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400"/>
      </w:tblGrid>
      <w:tr>
        <w:trPr>
          <w:tblHeader/>
        </w:trPr>
        <w:tc>
          <w:tcPr>
            <w:tcW w:type="dxa" w:w="26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Subcaracterística ISO 25010</w:t>
            </w:r>
          </w:p>
        </w:tc>
        <w:tc>
          <w:tcPr>
            <w:tcW w:type="dxa" w:w="18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Estado en Sprint 1</w:t>
            </w:r>
          </w:p>
        </w:tc>
        <w:tc>
          <w:tcPr>
            <w:tcW w:type="dxa" w:w="54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Evidencia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Confidencialidad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Cubierta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Contraseñas con hash bcrypt; JWT firmado con secreto de entorno, nunca en el código fuente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Integridad</w:t>
            </w:r>
          </w:p>
        </w:tc>
        <w:tc>
          <w:tcPr>
            <w:tcW w:type="dxa" w:w="18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Cubierta</w:t>
            </w:r>
          </w:p>
        </w:tc>
        <w:tc>
          <w:tcPr>
            <w:tcW w:type="dxa" w:w="54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Validación de esquema con Zod en cada endpoint de escritura; Prisma con tipos generados evita inyección SQL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No repudio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Parcial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Cada equipo registra quién lo creó (`registradoPorId`); falta bitácora de auditoría general (ver Sección 5)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Responsabilidad (accountability)</w:t>
            </w:r>
          </w:p>
        </w:tc>
        <w:tc>
          <w:tcPr>
            <w:tcW w:type="dxa" w:w="18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Parcial</w:t>
            </w:r>
          </w:p>
        </w:tc>
        <w:tc>
          <w:tcPr>
            <w:tcW w:type="dxa" w:w="54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Igual que no repudio — se amplía en la Sección 5 de este documento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Autenticidad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Cubierta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Autenticación JWT obligatoria en todas las rutas de datos (middleware `verificarToken`)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3.2 Característica: Usabilidad</w:t>
      </w:r>
    </w:p>
    <w:p>
      <w:pPr>
        <w:spacing w:after="15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La interfaz construida (prototipo Figma y su implementación en React) ya incorpora reconocibilidad de la marca, mensajes de error explícitos en español, y protección contra acciones no autorizadas mediante ocultamiento de controles según el rol — por ejemplo, un técnico no ve el botón "Nuevo equipo" porque esa acción no le corresponde, no porque el backend simplemente la rechace sin explicación.</w:t>
      </w:r>
    </w:p>
    <w:p>
      <w:pPr>
        <w:pStyle w:val="Heading1"/>
        <w:spacing w:after="190" w:before="3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 INVIMA — relación indirecta pero relevante</w:t>
      </w:r>
    </w:p>
    <w:p>
      <w:pPr>
        <w:spacing w:after="15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Es importante precisar el alcance: INVIMA regula el uso, la trazabilidad y el mantenimiento de los equipos biomédicos como actividad, no al software administrativo que los gestiona. El sistema no está "regulado por INVIMA" en sí mismo. Su relevancia es indirecta pero real: el sistema es el mecanismo mediante el cual THI S.A.S. puede evidenciar, ante una auditoría, que el mantenimiento preventivo de sus equipos hospitalarios se ejecutó según lo programado — precisamente el riesgo que el propio planteamiento del problema de este trabajo de grado identificó (sanciones que van "desde la suspensión de licencias hasta multas millonarias").</w:t>
      </w:r>
    </w:p>
    <w:p>
      <w:pPr>
        <w:pStyle w:val="Heading1"/>
        <w:spacing w:after="190" w:before="3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 ISO 19011 — directrices de auditoría</w:t>
      </w:r>
    </w:p>
    <w:p>
      <w:pPr>
        <w:spacing w:after="15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Citada en el estado del arte del proyecto como referente para el seguimiento del mantenimiento. Su aporte concreto al diseño técnico es doble: (a) todo registro debe ser trazable a quién lo generó y cuándo — ya cubierto por los campos `creadoEn` / `actualizadoEn` / `registradoPorId` del esquema Prisma —, y (b) el sistema debe permitir reconstruir un historial completo de intervenciones, lo cual está planeado para Sprint 3 (Historial) pero aún no construido.</w:t>
      </w:r>
    </w:p>
    <w:p>
      <w:r>
        <w:br w:type="page"/>
      </w:r>
    </w:p>
    <w:p>
      <w:pPr>
        <w:pStyle w:val="Heading1"/>
        <w:spacing w:after="190" w:before="3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 Matriz de cumplimiento: de la norma a la línea de código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900"/>
        <w:gridCol w:w="1900"/>
      </w:tblGrid>
      <w:tr>
        <w:trPr>
          <w:tblHeader/>
        </w:trPr>
        <w:tc>
          <w:tcPr>
            <w:tcW w:type="dxa" w:w="26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Requisito normativo</w:t>
            </w:r>
          </w:p>
        </w:tc>
        <w:tc>
          <w:tcPr>
            <w:tcW w:type="dxa" w:w="22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Norma</w:t>
            </w:r>
          </w:p>
        </w:tc>
        <w:tc>
          <w:tcPr>
            <w:tcW w:type="dxa" w:w="29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Medida técnica</w:t>
            </w:r>
          </w:p>
        </w:tc>
        <w:tc>
          <w:tcPr>
            <w:tcW w:type="dxa" w:w="19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Ubicación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Contraseñas no reversibles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Ley 1581, Art. 4 (Seguridad)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Hash con bcrypt, nunca texto plano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auth.controller.js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Acceso restringido por autorización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Ley 1581, Art. 4 (Acceso y circulación restringida)</w:t>
            </w:r>
          </w:p>
        </w:tc>
        <w:tc>
          <w:tcPr>
            <w:tcW w:type="dxa" w:w="29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Middleware verificarToken + requiereRol</w:t>
            </w:r>
          </w:p>
        </w:tc>
        <w:tc>
          <w:tcPr>
            <w:tcW w:type="dxa" w:w="19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middleware/auth.js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Trazabilidad de quién creó un registro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ISO 19011 / no repudio (ISO 25010)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Campo registradoPorId obligatorio en Equipo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schema.prisma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Validación de integridad de los datos ingresados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Ley 1581, Art. 4 (Veracidad o calidad)</w:t>
            </w:r>
          </w:p>
        </w:tc>
        <w:tc>
          <w:tcPr>
            <w:tcW w:type="dxa" w:w="29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Esquemas Zod en cada endpoint de escritura</w:t>
            </w:r>
          </w:p>
        </w:tc>
        <w:tc>
          <w:tcPr>
            <w:tcW w:type="dxa" w:w="19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equipos.controller.js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Cabeceras HTTP seguras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ISO 25010 (Seguridad)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Middleware helmet (Sección 7)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server.js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Protección contra fuerza bruta en login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ISO 25010 (Seguridad)</w:t>
            </w:r>
          </w:p>
        </w:tc>
        <w:tc>
          <w:tcPr>
            <w:tcW w:type="dxa" w:w="29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Rate limiting en /api/auth/login (Sección 7)</w:t>
            </w:r>
          </w:p>
        </w:tc>
        <w:tc>
          <w:tcPr>
            <w:tcW w:type="dxa" w:w="19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server.js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Registro de auditoría de acciones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Ley 1581 (Responsabilidad) / ISO 19011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Middleware de bitácora (Sección 7)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middleware/auditoria.js</w:t>
            </w:r>
          </w:p>
        </w:tc>
      </w:tr>
    </w:tbl>
    <w:p>
      <w:pPr>
        <w:spacing w:after="220" w:before="5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Tabla 2. Trazabilidad completa entre requisito normativo y su implementación verificable. Las tres últimas filas se incorporan en la Sección 7 de este mismo trabajo.</w:t>
      </w:r>
    </w:p>
    <w:p>
      <w:pPr>
        <w:pStyle w:val="Heading1"/>
        <w:spacing w:after="190" w:before="3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 Conclusión</w:t>
      </w:r>
    </w:p>
    <w:p>
      <w:pPr>
        <w:spacing w:after="15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El sistema, tal como está construido a la fecha de Sprint 1, cumple de forma verificable los principios de seguridad, calidad y acceso restringido de la Ley 1581 en lo referente a los datos que ya trata. Los puntos pendientes — bitácora de auditoría formal y política de retención de evidencia fotográfica — quedan identificados explícitamente en las Tablas 1 y 2, no ocultos, y se resuelven en la siguiente sección de este mismo documento.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THI S.A.S. · CMMS — Marco normativo y legal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2026-08-29T20:09:37.417Z</dcterms:created>
  <dcterms:modified xsi:type="dcterms:W3CDTF">2026-08-29T20:09:37.428Z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