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77C0C" w14:textId="77777777" w:rsidR="000673DA" w:rsidRDefault="00000000">
      <w:pPr>
        <w:pStyle w:val="Title"/>
      </w:pPr>
      <w:r>
        <w:t>Online Appendix: Behavioral Micro-Foundations for the Space Commons: A Policy Toolkit</w:t>
      </w:r>
    </w:p>
    <w:p w14:paraId="261ECBFA" w14:textId="77777777" w:rsidR="000673DA" w:rsidRDefault="000673DA">
      <w:pPr>
        <w:pStyle w:val="Author"/>
      </w:pPr>
    </w:p>
    <w:p w14:paraId="0683F3CA" w14:textId="77777777" w:rsidR="000673DA" w:rsidRDefault="00000000">
      <w:pPr>
        <w:pStyle w:val="Heading1"/>
      </w:pPr>
      <w:bookmarkStart w:id="0" w:name="online-appendix"/>
      <w:r>
        <w:t>Online Appendix</w:t>
      </w:r>
    </w:p>
    <w:p w14:paraId="0CC920B1" w14:textId="77777777" w:rsidR="006C002A" w:rsidRDefault="006C002A">
      <w:pPr>
        <w:pStyle w:val="FirstParagraph"/>
      </w:pPr>
      <w:bookmarkStart w:id="1" w:name="X02505f0416369d2181beb8e36e95b0c4181ff9a"/>
    </w:p>
    <w:p w14:paraId="30D9BE3D" w14:textId="5D4720FB" w:rsidR="000673DA" w:rsidRDefault="00000000">
      <w:pPr>
        <w:pStyle w:val="FirstParagraph"/>
      </w:pPr>
      <w:r>
        <w:t>This appendix provides detailed operationalization of the behavioral governance framework developed in the main text. For each of the four instruments, the following sections specify the theoretical mechanisms, design parameters, expected effect sizes grounded in the behavioral economics literature, and quasi-experimental evaluation protocols. The appendix serves two purposes: to provide sufficient detail for implementation by governance bodies, and to establish falsifiable predictions enabling the framework’s empirical validation.</w:t>
      </w:r>
    </w:p>
    <w:p w14:paraId="0CDAAB07" w14:textId="77777777" w:rsidR="006C002A" w:rsidRDefault="006C002A" w:rsidP="006C002A">
      <w:pPr>
        <w:pStyle w:val="BodyText"/>
      </w:pPr>
    </w:p>
    <w:p w14:paraId="14D227A2" w14:textId="77777777" w:rsidR="006C002A" w:rsidRPr="006C002A" w:rsidRDefault="006C002A" w:rsidP="006C002A">
      <w:pPr>
        <w:pStyle w:val="BodyText"/>
      </w:pPr>
    </w:p>
    <w:p w14:paraId="2C640679" w14:textId="77777777" w:rsidR="000673DA" w:rsidRDefault="00000000" w:rsidP="006C002A">
      <w:pPr>
        <w:pStyle w:val="BodyText"/>
        <w:ind w:firstLine="0"/>
      </w:pPr>
      <w:r>
        <w:rPr>
          <w:b/>
          <w:bCs/>
        </w:rPr>
        <w:t>Table of Contents</w:t>
      </w:r>
    </w:p>
    <w:p w14:paraId="14592168" w14:textId="77777777" w:rsidR="000673DA" w:rsidRDefault="00000000">
      <w:pPr>
        <w:pStyle w:val="Compact"/>
        <w:numPr>
          <w:ilvl w:val="0"/>
          <w:numId w:val="2"/>
        </w:numPr>
      </w:pPr>
      <w:r>
        <w:t>Potential Implementation Pathways</w:t>
      </w:r>
    </w:p>
    <w:p w14:paraId="3A635744" w14:textId="77777777" w:rsidR="000673DA" w:rsidRDefault="00000000">
      <w:pPr>
        <w:pStyle w:val="Compact"/>
        <w:numPr>
          <w:ilvl w:val="0"/>
          <w:numId w:val="2"/>
        </w:numPr>
      </w:pPr>
      <w:r>
        <w:t>OA1. Theoretical Foundations and Expected Effect Sizes</w:t>
      </w:r>
    </w:p>
    <w:p w14:paraId="1017A64B" w14:textId="77777777" w:rsidR="000673DA" w:rsidRDefault="00000000">
      <w:pPr>
        <w:pStyle w:val="Compact"/>
        <w:numPr>
          <w:ilvl w:val="0"/>
          <w:numId w:val="2"/>
        </w:numPr>
      </w:pPr>
      <w:r>
        <w:t>OA2. Data Infrastructure</w:t>
      </w:r>
    </w:p>
    <w:p w14:paraId="765355DF" w14:textId="77777777" w:rsidR="000673DA" w:rsidRDefault="00000000">
      <w:pPr>
        <w:pStyle w:val="Compact"/>
        <w:numPr>
          <w:ilvl w:val="0"/>
          <w:numId w:val="2"/>
        </w:numPr>
      </w:pPr>
      <w:r>
        <w:t>OA3. Instrument 1: Default-Based Voluntary Registry</w:t>
      </w:r>
    </w:p>
    <w:p w14:paraId="761248EA" w14:textId="77777777" w:rsidR="000673DA" w:rsidRDefault="00000000">
      <w:pPr>
        <w:pStyle w:val="Compact"/>
        <w:numPr>
          <w:ilvl w:val="0"/>
          <w:numId w:val="2"/>
        </w:numPr>
      </w:pPr>
      <w:r>
        <w:t>OA4. Instrument 2: Responsible Space Actor Reputational Index</w:t>
      </w:r>
    </w:p>
    <w:p w14:paraId="3684316B" w14:textId="77777777" w:rsidR="000673DA" w:rsidRDefault="00000000">
      <w:pPr>
        <w:pStyle w:val="Compact"/>
        <w:numPr>
          <w:ilvl w:val="0"/>
          <w:numId w:val="2"/>
        </w:numPr>
      </w:pPr>
      <w:r>
        <w:t>OA5. Instrument 3: Loss-Framed Site Designation</w:t>
      </w:r>
    </w:p>
    <w:p w14:paraId="0868ABD1" w14:textId="77777777" w:rsidR="000673DA" w:rsidRDefault="00000000">
      <w:pPr>
        <w:pStyle w:val="Compact"/>
        <w:numPr>
          <w:ilvl w:val="0"/>
          <w:numId w:val="2"/>
        </w:numPr>
      </w:pPr>
      <w:r>
        <w:t>OA6. Instrument 4: Reciprocal Safety Zone Commitments</w:t>
      </w:r>
    </w:p>
    <w:p w14:paraId="32943184" w14:textId="17BBE81E" w:rsidR="000673DA" w:rsidRDefault="00000000">
      <w:pPr>
        <w:pStyle w:val="Compact"/>
        <w:numPr>
          <w:ilvl w:val="0"/>
          <w:numId w:val="2"/>
        </w:numPr>
      </w:pPr>
      <w:r>
        <w:t>OA</w:t>
      </w:r>
      <w:r w:rsidR="005C2374">
        <w:t>7</w:t>
      </w:r>
      <w:r>
        <w:t>. Existing System References and Institutional Precedents</w:t>
      </w:r>
    </w:p>
    <w:p w14:paraId="7A3C5E74" w14:textId="6A442631" w:rsidR="000673DA" w:rsidRDefault="000673DA"/>
    <w:p w14:paraId="79008F9C" w14:textId="77777777" w:rsidR="000673DA" w:rsidRDefault="00000000">
      <w:pPr>
        <w:pStyle w:val="Heading2"/>
        <w:spacing w:before="720" w:after="120"/>
      </w:pPr>
      <w:bookmarkStart w:id="2" w:name="potential-implementation-pathways"/>
      <w:bookmarkEnd w:id="1"/>
      <w:r>
        <w:lastRenderedPageBreak/>
        <w:t>Potential Implementation Pathways</w:t>
      </w:r>
    </w:p>
    <w:p w14:paraId="25923D19" w14:textId="77777777" w:rsidR="000673DA" w:rsidRDefault="00000000">
      <w:pPr>
        <w:pStyle w:val="FirstParagraph"/>
      </w:pPr>
      <w:r>
        <w:t>This section outlines potential pathways through which the behavioral governance framework could be implemented, drawing on precedents from existing multilateral bodies (COPUOS, COSPAR) without requiring creation of new institutions.</w:t>
      </w:r>
    </w:p>
    <w:p w14:paraId="32AC6A7B" w14:textId="77777777" w:rsidR="006C002A" w:rsidRDefault="006C002A" w:rsidP="006C002A">
      <w:pPr>
        <w:pStyle w:val="BodyText"/>
        <w:ind w:firstLine="0"/>
        <w:rPr>
          <w:i/>
          <w:iCs/>
        </w:rPr>
      </w:pPr>
    </w:p>
    <w:p w14:paraId="763EB16F" w14:textId="1AF7E22C" w:rsidR="000673DA" w:rsidRDefault="00000000" w:rsidP="006C002A">
      <w:pPr>
        <w:pStyle w:val="BodyText"/>
        <w:ind w:firstLine="0"/>
      </w:pPr>
      <w:r>
        <w:rPr>
          <w:i/>
          <w:iCs/>
        </w:rPr>
        <w:t>Phase 1: Foundation Building.</w:t>
      </w:r>
    </w:p>
    <w:p w14:paraId="5E29E8DB" w14:textId="77777777" w:rsidR="000673DA" w:rsidRDefault="00000000">
      <w:pPr>
        <w:pStyle w:val="BodyText"/>
      </w:pPr>
      <w:r>
        <w:t>An initial phase would establish institutional relationships and data infrastructure without requiring consensus on binding commitments. A working group within COPUOS Scientific and Technical Subcommittee could develop the voluntary registry architecture (Instrument 1), building on existing best practice guidelines rather than negotiating new treaty obligations. Simultaneously, an independent consortium modeled on the World Economic Forum’s Space Sustainability Rating initiative could design scoring methodology for the reputational index (Instrument 2). This phase would involve negotiating data access agreements with SSA providers (Space-Track, LeoLabs), establishing baseline metrics using ESA Space Environment Report data, and recruiting academic partners for evaluation protocol development. Critically, foundation-building should engage the full range of spacefaring actors, including emerging space nations such as India, the UAE, Japan, and South Korea, whose rapidly growing programs bring diverse institutional models and governance perspectives (</w:t>
      </w:r>
      <w:hyperlink w:anchor="ref-amiri2022">
        <w:r>
          <w:rPr>
            <w:rStyle w:val="Hyperlink"/>
          </w:rPr>
          <w:t>Amiri et al., 2022</w:t>
        </w:r>
      </w:hyperlink>
      <w:r>
        <w:t xml:space="preserve">; </w:t>
      </w:r>
      <w:hyperlink w:anchor="ref-rajagopalan2024">
        <w:r>
          <w:rPr>
            <w:rStyle w:val="Hyperlink"/>
          </w:rPr>
          <w:t>Rajagopalan and Stroikos, 2024</w:t>
        </w:r>
      </w:hyperlink>
      <w:r>
        <w:t>), as well as commercial operators spanning megaconstellation providers (SpaceX, Amazon Kuiper, OneWeb) and the emerging active debris removal sector (</w:t>
      </w:r>
      <w:hyperlink w:anchor="ref-mark2019adr">
        <w:r>
          <w:rPr>
            <w:rStyle w:val="Hyperlink"/>
          </w:rPr>
          <w:t>Mark and Kamath, 2019</w:t>
        </w:r>
      </w:hyperlink>
      <w:r>
        <w:t xml:space="preserve">; </w:t>
      </w:r>
      <w:hyperlink w:anchor="ref-ogutu2021">
        <w:r>
          <w:rPr>
            <w:rStyle w:val="Hyperlink"/>
          </w:rPr>
          <w:t>Osoro and Oughton, 2021</w:t>
        </w:r>
      </w:hyperlink>
      <w:r>
        <w:t>).</w:t>
      </w:r>
    </w:p>
    <w:p w14:paraId="43900B32" w14:textId="77777777" w:rsidR="006C002A" w:rsidRDefault="006C002A" w:rsidP="006C002A">
      <w:pPr>
        <w:pStyle w:val="BodyText"/>
        <w:ind w:firstLine="0"/>
        <w:rPr>
          <w:i/>
          <w:iCs/>
        </w:rPr>
      </w:pPr>
    </w:p>
    <w:p w14:paraId="08D70B61" w14:textId="1B7DC8E0" w:rsidR="000673DA" w:rsidRDefault="00000000" w:rsidP="006C002A">
      <w:pPr>
        <w:pStyle w:val="BodyText"/>
        <w:ind w:firstLine="0"/>
      </w:pPr>
      <w:r>
        <w:rPr>
          <w:i/>
          <w:iCs/>
        </w:rPr>
        <w:t>Phase 2: Pilot Implementation.</w:t>
      </w:r>
    </w:p>
    <w:p w14:paraId="3CDC3858" w14:textId="77777777" w:rsidR="000673DA" w:rsidRDefault="00000000">
      <w:pPr>
        <w:pStyle w:val="BodyText"/>
      </w:pPr>
      <w:r>
        <w:lastRenderedPageBreak/>
        <w:t>A subsequent phase would launch pilot programs for Instruments 1 and 2 with voluntary early adopters. Experience from analogous domains suggests that leading commercial operators and government agencies with strong sustainability commitments typically participate first, establishing demonstration effects that encourage broader adoption. Registry and reputational index pilots would benefit from participation across diverse actor types (commercial operators of varying scale, established and emerging government agencies, and international organizations) and orbital regimes (LEO, MEO, GEO). Inclusivity across governance structures is essential: the framework’s instruments must demonstrate utility for operators under diverse regulatory environments, from the entrepreneurial commercial sector to state-funded programs pursuing development objectives (</w:t>
      </w:r>
      <w:hyperlink w:anchor="ref-palmroth2021">
        <w:r>
          <w:rPr>
            <w:rStyle w:val="Hyperlink"/>
          </w:rPr>
          <w:t>Palmroth et al., 2021</w:t>
        </w:r>
      </w:hyperlink>
      <w:r>
        <w:t>). Evaluation protocols would be pre-registered before first data collection.</w:t>
      </w:r>
    </w:p>
    <w:p w14:paraId="11BDFBC2" w14:textId="77777777" w:rsidR="006C002A" w:rsidRDefault="006C002A" w:rsidP="006C002A">
      <w:pPr>
        <w:pStyle w:val="BodyText"/>
        <w:ind w:firstLine="0"/>
        <w:rPr>
          <w:i/>
          <w:iCs/>
        </w:rPr>
      </w:pPr>
    </w:p>
    <w:p w14:paraId="676A52F8" w14:textId="080A647E" w:rsidR="000673DA" w:rsidRDefault="00000000" w:rsidP="006C002A">
      <w:pPr>
        <w:pStyle w:val="BodyText"/>
        <w:ind w:firstLine="0"/>
      </w:pPr>
      <w:r>
        <w:rPr>
          <w:i/>
          <w:iCs/>
        </w:rPr>
        <w:t>Phase 3: Site Designations and Safety Zones.</w:t>
      </w:r>
    </w:p>
    <w:p w14:paraId="74FDED7A" w14:textId="77777777" w:rsidR="000673DA" w:rsidRDefault="00000000">
      <w:pPr>
        <w:pStyle w:val="BodyText"/>
      </w:pPr>
      <w:r>
        <w:t xml:space="preserve">Instruments 3 and 4 would require longer development timelines due to greater geopolitical complexity. Loss-framed site designations might begin with scientifically uncontroversial cases (Apollo heritage sites, lunar farside radio-quiet zones) where broad support exists, building precedent before addressing resource-relevant sites where commercial interests compete. Safety zone framework development would benefit from engagement across both the Artemis Accords and the International Lunar Research Station frameworks, as well as states participating in neither, to ensure that coordination mechanisms serve all spacefaring nations rather than reinforcing existing governance fragmentation. Active debris removal governance, addressing questions of authorization, liability, and priority for removing objects in crowded </w:t>
      </w:r>
      <w:r>
        <w:lastRenderedPageBreak/>
        <w:t>orbital regimes, represents a particularly urgent area where early multilateral engagement could prevent conflicting unilateral approaches (</w:t>
      </w:r>
      <w:hyperlink w:anchor="ref-mark2019adr">
        <w:r>
          <w:rPr>
            <w:rStyle w:val="Hyperlink"/>
          </w:rPr>
          <w:t>Mark and Kamath, 2019</w:t>
        </w:r>
      </w:hyperlink>
      <w:r>
        <w:t>).</w:t>
      </w:r>
    </w:p>
    <w:p w14:paraId="25D51B1F" w14:textId="77777777" w:rsidR="006C002A" w:rsidRDefault="006C002A" w:rsidP="006C002A">
      <w:pPr>
        <w:pStyle w:val="BodyText"/>
        <w:ind w:firstLine="0"/>
        <w:rPr>
          <w:i/>
          <w:iCs/>
        </w:rPr>
      </w:pPr>
    </w:p>
    <w:p w14:paraId="4C8C450D" w14:textId="40700DFB" w:rsidR="000673DA" w:rsidRDefault="00000000" w:rsidP="006C002A">
      <w:pPr>
        <w:pStyle w:val="BodyText"/>
        <w:ind w:firstLine="0"/>
      </w:pPr>
      <w:r>
        <w:rPr>
          <w:i/>
          <w:iCs/>
        </w:rPr>
        <w:t>Considerations for Implementation.</w:t>
      </w:r>
    </w:p>
    <w:p w14:paraId="3C41D492" w14:textId="77777777" w:rsidR="000673DA" w:rsidRDefault="00000000">
      <w:pPr>
        <w:pStyle w:val="BodyText"/>
      </w:pPr>
      <w:r>
        <w:t>Successful implementation would require sustained attention to several factors: maintaining voluntary character to preserve participation incentives, ensuring transparency in scoring and designation processes to build legitimacy, building evaluation capacity from the outset, and creating feedback mechanisms enabling framework adaptation as experience accumulates. The adaptive design features (sunset clauses, pre-specified revision triggers) discussed in the main text operationalize this commitment to learning-by-doing, and embedding evaluation protocols during the design phase ensures that evidence accumulates alongside implementation experience.</w:t>
      </w:r>
    </w:p>
    <w:p w14:paraId="4484BE81" w14:textId="7B7E2BEE" w:rsidR="000673DA" w:rsidRDefault="000673DA"/>
    <w:p w14:paraId="65A2734B" w14:textId="77777777" w:rsidR="006C002A" w:rsidRDefault="006C002A">
      <w:pPr>
        <w:spacing w:after="200" w:line="240" w:lineRule="auto"/>
        <w:rPr>
          <w:b/>
        </w:rPr>
      </w:pPr>
      <w:bookmarkStart w:id="3" w:name="X097d6134a685de24c15607b1554192479cf36f9"/>
      <w:bookmarkEnd w:id="2"/>
      <w:r>
        <w:br w:type="page"/>
      </w:r>
    </w:p>
    <w:p w14:paraId="338D300F" w14:textId="32684817" w:rsidR="000673DA" w:rsidRDefault="00000000">
      <w:pPr>
        <w:pStyle w:val="Heading2"/>
        <w:spacing w:before="720" w:after="120"/>
      </w:pPr>
      <w:r>
        <w:lastRenderedPageBreak/>
        <w:t>OA1. Theoretical Foundations and Expected Effect Sizes</w:t>
      </w:r>
    </w:p>
    <w:p w14:paraId="4A797715" w14:textId="77777777" w:rsidR="000673DA" w:rsidRDefault="00000000">
      <w:pPr>
        <w:pStyle w:val="Heading3"/>
      </w:pPr>
      <w:bookmarkStart w:id="4" w:name="Xf945a14970b49a3b5ceebbca695c64e0e6feba0"/>
      <w:r>
        <w:t>OA1.1 Behavioral Mechanisms in Commons Governance</w:t>
      </w:r>
    </w:p>
    <w:p w14:paraId="30DA2CFB" w14:textId="77777777" w:rsidR="000673DA" w:rsidRDefault="00000000">
      <w:pPr>
        <w:pStyle w:val="FirstParagraph"/>
      </w:pPr>
      <w:r>
        <w:t>The four instruments proposed in the main text each leverage distinct psychological mechanisms documented in behavioral economics and social psychology. Before specifying evaluation designs, this section articulates the theoretical predictions underlying each instrument and derives expected effect sizes from meta-analytic evidence.</w:t>
      </w:r>
    </w:p>
    <w:p w14:paraId="3CFC768B" w14:textId="77777777" w:rsidR="000673DA" w:rsidRDefault="00000000">
      <w:pPr>
        <w:pStyle w:val="BodyText"/>
      </w:pPr>
      <w:r>
        <w:rPr>
          <w:i/>
          <w:iCs/>
        </w:rPr>
        <w:t>Default Effects.</w:t>
      </w:r>
      <w:r>
        <w:t xml:space="preserve"> The first instrument, a voluntary registry with pre-selected commitments, exploits the well-documented tendency for decision-makers to accept default options regardless of their stated preferences. Jachimowicz and colleagues’ (</w:t>
      </w:r>
      <w:hyperlink w:anchor="ref-jachimowicz2019">
        <w:r>
          <w:rPr>
            <w:rStyle w:val="Hyperlink"/>
          </w:rPr>
          <w:t>2019</w:t>
        </w:r>
      </w:hyperlink>
      <w:r>
        <w:t>) meta-analysis of 58 studies encompassing over 70,000 participants finds that default-based interventions produce effects of Cohen’s d ≈ 0.68, placing them among the most reliable behavioral policy tools. However, effect sizes vary substantially with choice architecture design: defaults in active choice environments, where individuals explicitly decide among options, generally show smaller effects than those in passive enrollment contexts where defaults apply without explicit choice. The space governance context likely resembles active choice (operators explicitly decide whether to join the registry), suggesting effect sizes toward the lower end of the documented range.</w:t>
      </w:r>
    </w:p>
    <w:p w14:paraId="3C5C98C6" w14:textId="77777777" w:rsidR="000673DA" w:rsidRDefault="00000000">
      <w:pPr>
        <w:pStyle w:val="BodyText"/>
      </w:pPr>
      <w:r>
        <w:rPr>
          <w:i/>
          <w:iCs/>
        </w:rPr>
        <w:t>Status Competition.</w:t>
      </w:r>
      <w:r>
        <w:t xml:space="preserve"> The second instrument, a reputational sustainability index, channels competitive instincts toward prosocial outcomes by making sustainability performance visible and comparable. The psychological foundation draws from evolutionary approaches to status signaling (</w:t>
      </w:r>
      <w:hyperlink w:anchor="ref-griskevicius2010">
        <w:r>
          <w:rPr>
            <w:rStyle w:val="Hyperlink"/>
          </w:rPr>
          <w:t>Griskevicius et al., 2010</w:t>
        </w:r>
      </w:hyperlink>
      <w:r>
        <w:t>) and organizational research on ESG ratings (</w:t>
      </w:r>
      <w:hyperlink w:anchor="ref-bergkoelbelrigobon2022">
        <w:r>
          <w:rPr>
            <w:rStyle w:val="Hyperlink"/>
          </w:rPr>
          <w:t>Berg et al., 2022</w:t>
        </w:r>
      </w:hyperlink>
      <w:r>
        <w:t>). Unlike defaults, which operate through inertia, reputational mechanisms require active processing of social comparison information. Berg and colleagues (</w:t>
      </w:r>
      <w:hyperlink w:anchor="ref-bergkoelbelrigobon2022">
        <w:r>
          <w:rPr>
            <w:rStyle w:val="Hyperlink"/>
          </w:rPr>
          <w:t>2022</w:t>
        </w:r>
      </w:hyperlink>
      <w:r>
        <w:t xml:space="preserve">) document that ESG ratings diverge substantially across providers, with pairwise correlations ranging from 0.38 to </w:t>
      </w:r>
      <w:r>
        <w:lastRenderedPageBreak/>
        <w:t>0.71, driven primarily by measurement divergence (56%) and scope divergence (38%). This divergence itself creates reputational stakes: because ratings are consequential for investment flows and public perception, operators have incentives to signal compliance visibly rather than rely on favorable assessment by any single rater.</w:t>
      </w:r>
    </w:p>
    <w:p w14:paraId="475DBB72" w14:textId="77777777" w:rsidR="000673DA" w:rsidRDefault="00000000">
      <w:pPr>
        <w:pStyle w:val="BodyText"/>
      </w:pPr>
      <w:r>
        <w:rPr>
          <w:i/>
          <w:iCs/>
        </w:rPr>
        <w:t>Loss Aversion.</w:t>
      </w:r>
      <w:r>
        <w:t xml:space="preserve"> The third instrument, loss-framed site designations, leverages the asymmetric weighting of losses relative to equivalent gains documented by Kahneman and Tversky (</w:t>
      </w:r>
      <w:hyperlink w:anchor="ref-kahneman1979">
        <w:r>
          <w:rPr>
            <w:rStyle w:val="Hyperlink"/>
          </w:rPr>
          <w:t>1979</w:t>
        </w:r>
      </w:hyperlink>
      <w:r>
        <w:t xml:space="preserve">; </w:t>
      </w:r>
      <w:hyperlink w:anchor="ref-tversky1992">
        <w:r>
          <w:rPr>
            <w:rStyle w:val="Hyperlink"/>
          </w:rPr>
          <w:t>1992</w:t>
        </w:r>
      </w:hyperlink>
      <w:r>
        <w:t>) and confirmed across diverse contexts (</w:t>
      </w:r>
      <w:hyperlink w:anchor="ref-tversky1991">
        <w:r>
          <w:rPr>
            <w:rStyle w:val="Hyperlink"/>
          </w:rPr>
          <w:t>Tversky and Kahneman, 1991</w:t>
        </w:r>
      </w:hyperlink>
      <w:r>
        <w:t>). The loss aversion coefficient (λ) typically ranges from 1.5 to 2.5, meaning losses are weighted approximately twice as heavily as equivalent gains. Framing heritage sites as shared resources “at risk of irreversible loss” rather than as areas “eligible for protection” would, in principle, generate stronger behavioral responses. However, significant uncertainty remains about whether loss aversion documented in individual decision-making translates to organizational contexts. Reference point formation itself varies substantially across individuals (</w:t>
      </w:r>
      <w:hyperlink w:anchor="ref-baillon2020">
        <w:r>
          <w:rPr>
            <w:rStyle w:val="Hyperlink"/>
          </w:rPr>
          <w:t>Baillon et al., 2020</w:t>
        </w:r>
      </w:hyperlink>
      <w:r>
        <w:t>), and organizational decision-making involves committees, procedures, and institutional norms that may attenuate or redirect loss-averse responses.</w:t>
      </w:r>
    </w:p>
    <w:p w14:paraId="71ECE43F" w14:textId="77777777" w:rsidR="000673DA" w:rsidRDefault="00000000">
      <w:pPr>
        <w:pStyle w:val="BodyText"/>
      </w:pPr>
      <w:r>
        <w:rPr>
          <w:i/>
          <w:iCs/>
        </w:rPr>
        <w:t>Reciprocity Norms.</w:t>
      </w:r>
      <w:r>
        <w:t xml:space="preserve"> The fourth instrument, reciprocal safety zone commitments, operationalizes the deeply rooted human tendency to respond to cooperation with cooperation. Experimental economics research documents strong reciprocity in diverse economic contexts (</w:t>
      </w:r>
      <w:hyperlink w:anchor="ref-fehr2000">
        <w:r>
          <w:rPr>
            <w:rStyle w:val="Hyperlink"/>
          </w:rPr>
          <w:t>Fehr and Gächter, 2000</w:t>
        </w:r>
      </w:hyperlink>
      <w:r>
        <w:t>), and international relations scholarship identifies reciprocity as a mechanism sustaining cooperation even without formal enforcement (</w:t>
      </w:r>
      <w:hyperlink w:anchor="ref-keohane1986">
        <w:r>
          <w:rPr>
            <w:rStyle w:val="Hyperlink"/>
          </w:rPr>
          <w:t>Keohane, 1986</w:t>
        </w:r>
      </w:hyperlink>
      <w:r>
        <w:t>). The safety zone design channels reciprocity through transparency requirements: operators who receive transparent information about others’ activities face social pressure to reciprocate with their own transparency.</w:t>
      </w:r>
    </w:p>
    <w:p w14:paraId="27FD2AF1" w14:textId="77777777" w:rsidR="000673DA" w:rsidRDefault="00000000">
      <w:pPr>
        <w:pStyle w:val="Heading3"/>
      </w:pPr>
      <w:bookmarkStart w:id="5" w:name="oa1.2-expected-effect-magnitudes"/>
      <w:bookmarkEnd w:id="4"/>
      <w:r>
        <w:lastRenderedPageBreak/>
        <w:t>OA1.2 Expected Effect Magnitudes</w:t>
      </w:r>
    </w:p>
    <w:p w14:paraId="36652250" w14:textId="77777777" w:rsidR="000673DA" w:rsidRDefault="00000000" w:rsidP="006C002A">
      <w:pPr>
        <w:pStyle w:val="FirstParagraph"/>
      </w:pPr>
      <w:r>
        <w:t>Table OA1 synthesizes effect size expectations for each instrument, grounded in the meta-analytic evidence reviewed above. These predictions serve as benchmarks for evaluation, and observed effects substantially below these ranges would suggest the mechanisms may operate differently in space governance contexts than in the laboratory or field settings generating the meta-analytic estimates.</w:t>
      </w:r>
    </w:p>
    <w:p w14:paraId="60E22AD5" w14:textId="77777777" w:rsidR="000673DA" w:rsidRDefault="00000000">
      <w:pPr>
        <w:pStyle w:val="BodyText"/>
        <w:ind w:firstLine="0"/>
        <w:jc w:val="center"/>
      </w:pPr>
      <w:r>
        <w:rPr>
          <w:b/>
          <w:bCs/>
        </w:rPr>
        <w:t>Table OA1: Expected Effect Sizes by Instrument</w:t>
      </w:r>
    </w:p>
    <w:tbl>
      <w:tblPr>
        <w:tblStyle w:val="Table"/>
        <w:tblW w:w="5000" w:type="pct"/>
        <w:tblInd w:w="108" w:type="dxa"/>
        <w:tblLayout w:type="fixed"/>
        <w:tblLook w:val="0020" w:firstRow="1" w:lastRow="0" w:firstColumn="0" w:lastColumn="0" w:noHBand="0" w:noVBand="0"/>
      </w:tblPr>
      <w:tblGrid>
        <w:gridCol w:w="1352"/>
        <w:gridCol w:w="1528"/>
        <w:gridCol w:w="2414"/>
        <w:gridCol w:w="2817"/>
        <w:gridCol w:w="1465"/>
      </w:tblGrid>
      <w:tr w:rsidR="000673DA" w14:paraId="75D0EE7A" w14:textId="77777777" w:rsidTr="006C002A">
        <w:trPr>
          <w:tblHeader/>
        </w:trPr>
        <w:tc>
          <w:tcPr>
            <w:tcW w:w="1352" w:type="dxa"/>
          </w:tcPr>
          <w:p w14:paraId="5F920A10" w14:textId="77777777" w:rsidR="000673DA" w:rsidRDefault="00000000">
            <w:pPr>
              <w:pStyle w:val="Compact"/>
              <w:ind w:firstLine="0"/>
            </w:pPr>
            <w:r>
              <w:t>Instrument</w:t>
            </w:r>
          </w:p>
        </w:tc>
        <w:tc>
          <w:tcPr>
            <w:tcW w:w="1528" w:type="dxa"/>
          </w:tcPr>
          <w:p w14:paraId="0098FC1B" w14:textId="77777777" w:rsidR="000673DA" w:rsidRDefault="00000000">
            <w:pPr>
              <w:pStyle w:val="Compact"/>
              <w:ind w:firstLine="0"/>
            </w:pPr>
            <w:r>
              <w:t>Mechanism</w:t>
            </w:r>
          </w:p>
        </w:tc>
        <w:tc>
          <w:tcPr>
            <w:tcW w:w="2414" w:type="dxa"/>
          </w:tcPr>
          <w:p w14:paraId="080C47B1" w14:textId="77777777" w:rsidR="000673DA" w:rsidRDefault="00000000">
            <w:pPr>
              <w:pStyle w:val="Compact"/>
              <w:ind w:firstLine="0"/>
            </w:pPr>
            <w:r>
              <w:t>Meta-Analytic Benchmark</w:t>
            </w:r>
          </w:p>
        </w:tc>
        <w:tc>
          <w:tcPr>
            <w:tcW w:w="2817" w:type="dxa"/>
          </w:tcPr>
          <w:p w14:paraId="5A270766" w14:textId="77777777" w:rsidR="000673DA" w:rsidRDefault="00000000">
            <w:pPr>
              <w:pStyle w:val="Compact"/>
              <w:ind w:firstLine="0"/>
            </w:pPr>
            <w:r>
              <w:t>Space Context Prediction</w:t>
            </w:r>
          </w:p>
        </w:tc>
        <w:tc>
          <w:tcPr>
            <w:tcW w:w="1465" w:type="dxa"/>
          </w:tcPr>
          <w:p w14:paraId="2653BEF1" w14:textId="77777777" w:rsidR="000673DA" w:rsidRDefault="00000000">
            <w:pPr>
              <w:pStyle w:val="Compact"/>
              <w:ind w:firstLine="0"/>
            </w:pPr>
            <w:r>
              <w:t>Uncertainty</w:t>
            </w:r>
          </w:p>
        </w:tc>
      </w:tr>
      <w:tr w:rsidR="000673DA" w14:paraId="1B2339E4" w14:textId="77777777" w:rsidTr="006C002A">
        <w:tc>
          <w:tcPr>
            <w:tcW w:w="1352" w:type="dxa"/>
          </w:tcPr>
          <w:p w14:paraId="6B59B0BC" w14:textId="77777777" w:rsidR="000673DA" w:rsidRDefault="00000000">
            <w:pPr>
              <w:pStyle w:val="Compact"/>
              <w:ind w:firstLine="0"/>
            </w:pPr>
            <w:r>
              <w:t>Default Registry</w:t>
            </w:r>
          </w:p>
        </w:tc>
        <w:tc>
          <w:tcPr>
            <w:tcW w:w="1528" w:type="dxa"/>
          </w:tcPr>
          <w:p w14:paraId="6ADE0438" w14:textId="77777777" w:rsidR="000673DA" w:rsidRDefault="00000000">
            <w:pPr>
              <w:pStyle w:val="Compact"/>
              <w:ind w:firstLine="0"/>
            </w:pPr>
            <w:r>
              <w:t>Status quo bias</w:t>
            </w:r>
          </w:p>
        </w:tc>
        <w:tc>
          <w:tcPr>
            <w:tcW w:w="2414" w:type="dxa"/>
          </w:tcPr>
          <w:p w14:paraId="6254D626" w14:textId="77777777" w:rsidR="000673DA" w:rsidRDefault="00000000">
            <w:pPr>
              <w:pStyle w:val="Compact"/>
              <w:ind w:firstLine="0"/>
            </w:pPr>
            <w:r>
              <w:t>d = 0.68 [0.53, 0.83]</w:t>
            </w:r>
          </w:p>
        </w:tc>
        <w:tc>
          <w:tcPr>
            <w:tcW w:w="2817" w:type="dxa"/>
          </w:tcPr>
          <w:p w14:paraId="6BA848BE" w14:textId="77777777" w:rsidR="000673DA" w:rsidRDefault="00000000">
            <w:pPr>
              <w:pStyle w:val="Compact"/>
              <w:ind w:firstLine="0"/>
            </w:pPr>
            <w:r>
              <w:t>d = 0.30-0.50</w:t>
            </w:r>
          </w:p>
        </w:tc>
        <w:tc>
          <w:tcPr>
            <w:tcW w:w="1465" w:type="dxa"/>
          </w:tcPr>
          <w:p w14:paraId="31FB922B" w14:textId="77777777" w:rsidR="000673DA" w:rsidRDefault="00000000">
            <w:pPr>
              <w:pStyle w:val="Compact"/>
              <w:ind w:firstLine="0"/>
            </w:pPr>
            <w:r>
              <w:t>High (active choice context)</w:t>
            </w:r>
          </w:p>
        </w:tc>
      </w:tr>
      <w:tr w:rsidR="000673DA" w14:paraId="08300815" w14:textId="77777777" w:rsidTr="006C002A">
        <w:tc>
          <w:tcPr>
            <w:tcW w:w="1352" w:type="dxa"/>
          </w:tcPr>
          <w:p w14:paraId="31709122" w14:textId="77777777" w:rsidR="000673DA" w:rsidRDefault="00000000">
            <w:pPr>
              <w:pStyle w:val="Compact"/>
              <w:ind w:firstLine="0"/>
            </w:pPr>
            <w:r>
              <w:t>Reputational Index</w:t>
            </w:r>
          </w:p>
        </w:tc>
        <w:tc>
          <w:tcPr>
            <w:tcW w:w="1528" w:type="dxa"/>
          </w:tcPr>
          <w:p w14:paraId="467C8CC2" w14:textId="77777777" w:rsidR="000673DA" w:rsidRDefault="00000000">
            <w:pPr>
              <w:pStyle w:val="Compact"/>
              <w:ind w:firstLine="0"/>
            </w:pPr>
            <w:r>
              <w:t>Status competition</w:t>
            </w:r>
          </w:p>
        </w:tc>
        <w:tc>
          <w:tcPr>
            <w:tcW w:w="2414" w:type="dxa"/>
          </w:tcPr>
          <w:p w14:paraId="3330CC4A" w14:textId="77777777" w:rsidR="000673DA" w:rsidRDefault="00000000">
            <w:pPr>
              <w:pStyle w:val="Compact"/>
              <w:ind w:firstLine="0"/>
            </w:pPr>
            <w:r>
              <w:t>ESG rating divergence creates reputational stakes</w:t>
            </w:r>
          </w:p>
        </w:tc>
        <w:tc>
          <w:tcPr>
            <w:tcW w:w="2817" w:type="dxa"/>
          </w:tcPr>
          <w:p w14:paraId="7219F63E" w14:textId="77777777" w:rsidR="000673DA" w:rsidRDefault="00000000">
            <w:pPr>
              <w:pStyle w:val="Compact"/>
              <w:ind w:firstLine="0"/>
            </w:pPr>
            <w:r>
              <w:t>10-20% funding differential</w:t>
            </w:r>
          </w:p>
        </w:tc>
        <w:tc>
          <w:tcPr>
            <w:tcW w:w="1465" w:type="dxa"/>
          </w:tcPr>
          <w:p w14:paraId="69088DAD" w14:textId="77777777" w:rsidR="000673DA" w:rsidRDefault="00000000">
            <w:pPr>
              <w:pStyle w:val="Compact"/>
              <w:ind w:firstLine="0"/>
            </w:pPr>
            <w:r>
              <w:t>Moderate</w:t>
            </w:r>
          </w:p>
        </w:tc>
      </w:tr>
      <w:tr w:rsidR="000673DA" w14:paraId="67C8F19A" w14:textId="77777777" w:rsidTr="006C002A">
        <w:tc>
          <w:tcPr>
            <w:tcW w:w="1352" w:type="dxa"/>
          </w:tcPr>
          <w:p w14:paraId="35B2C620" w14:textId="77777777" w:rsidR="000673DA" w:rsidRDefault="00000000">
            <w:pPr>
              <w:pStyle w:val="Compact"/>
              <w:ind w:firstLine="0"/>
            </w:pPr>
            <w:r>
              <w:t>Site Designation</w:t>
            </w:r>
          </w:p>
        </w:tc>
        <w:tc>
          <w:tcPr>
            <w:tcW w:w="1528" w:type="dxa"/>
          </w:tcPr>
          <w:p w14:paraId="266791D1" w14:textId="77777777" w:rsidR="000673DA" w:rsidRDefault="00000000">
            <w:pPr>
              <w:pStyle w:val="Compact"/>
              <w:ind w:firstLine="0"/>
            </w:pPr>
            <w:r>
              <w:t>Loss aversion</w:t>
            </w:r>
          </w:p>
        </w:tc>
        <w:tc>
          <w:tcPr>
            <w:tcW w:w="2414" w:type="dxa"/>
          </w:tcPr>
          <w:p w14:paraId="6E51D0BF" w14:textId="77777777" w:rsidR="000673DA" w:rsidRDefault="00000000">
            <w:pPr>
              <w:pStyle w:val="Compact"/>
              <w:ind w:firstLine="0"/>
            </w:pPr>
            <w:r>
              <w:t>λ = 1.5-2.5</w:t>
            </w:r>
          </w:p>
        </w:tc>
        <w:tc>
          <w:tcPr>
            <w:tcW w:w="2817" w:type="dxa"/>
          </w:tcPr>
          <w:p w14:paraId="53C216B6" w14:textId="77777777" w:rsidR="000673DA" w:rsidRDefault="00000000">
            <w:pPr>
              <w:pStyle w:val="Compact"/>
              <w:ind w:firstLine="0"/>
            </w:pPr>
            <w:r>
              <w:t>Attenuated in organizations</w:t>
            </w:r>
          </w:p>
        </w:tc>
        <w:tc>
          <w:tcPr>
            <w:tcW w:w="1465" w:type="dxa"/>
          </w:tcPr>
          <w:p w14:paraId="57EE308A" w14:textId="77777777" w:rsidR="000673DA" w:rsidRDefault="00000000">
            <w:pPr>
              <w:pStyle w:val="Compact"/>
              <w:ind w:firstLine="0"/>
            </w:pPr>
            <w:r>
              <w:t>High</w:t>
            </w:r>
          </w:p>
        </w:tc>
      </w:tr>
      <w:tr w:rsidR="000673DA" w14:paraId="68AD2C52" w14:textId="77777777" w:rsidTr="006C002A">
        <w:tc>
          <w:tcPr>
            <w:tcW w:w="1352" w:type="dxa"/>
          </w:tcPr>
          <w:p w14:paraId="22E98820" w14:textId="77777777" w:rsidR="000673DA" w:rsidRDefault="00000000">
            <w:pPr>
              <w:pStyle w:val="Compact"/>
              <w:ind w:firstLine="0"/>
            </w:pPr>
            <w:r>
              <w:t>Safety Zones</w:t>
            </w:r>
          </w:p>
        </w:tc>
        <w:tc>
          <w:tcPr>
            <w:tcW w:w="1528" w:type="dxa"/>
          </w:tcPr>
          <w:p w14:paraId="7417EBAB" w14:textId="77777777" w:rsidR="000673DA" w:rsidRDefault="00000000">
            <w:pPr>
              <w:pStyle w:val="Compact"/>
              <w:ind w:firstLine="0"/>
            </w:pPr>
            <w:r>
              <w:t>Reciprocity</w:t>
            </w:r>
          </w:p>
        </w:tc>
        <w:tc>
          <w:tcPr>
            <w:tcW w:w="2414" w:type="dxa"/>
          </w:tcPr>
          <w:p w14:paraId="54B8FA3A" w14:textId="77777777" w:rsidR="000673DA" w:rsidRDefault="00000000">
            <w:pPr>
              <w:pStyle w:val="Compact"/>
              <w:ind w:firstLine="0"/>
            </w:pPr>
            <w:r>
              <w:t>Strong lab effects</w:t>
            </w:r>
          </w:p>
        </w:tc>
        <w:tc>
          <w:tcPr>
            <w:tcW w:w="2817" w:type="dxa"/>
          </w:tcPr>
          <w:p w14:paraId="57646DB1" w14:textId="77777777" w:rsidR="000673DA" w:rsidRDefault="00000000">
            <w:pPr>
              <w:pStyle w:val="Compact"/>
              <w:ind w:firstLine="0"/>
            </w:pPr>
            <w:r>
              <w:t>Unknown in polycentric governance</w:t>
            </w:r>
          </w:p>
        </w:tc>
        <w:tc>
          <w:tcPr>
            <w:tcW w:w="1465" w:type="dxa"/>
          </w:tcPr>
          <w:p w14:paraId="42D10B59" w14:textId="77777777" w:rsidR="000673DA" w:rsidRDefault="00000000">
            <w:pPr>
              <w:pStyle w:val="Compact"/>
              <w:ind w:firstLine="0"/>
            </w:pPr>
            <w:r>
              <w:t>Very high</w:t>
            </w:r>
          </w:p>
        </w:tc>
      </w:tr>
    </w:tbl>
    <w:p w14:paraId="32C2CE25" w14:textId="77777777" w:rsidR="006C002A" w:rsidRDefault="006C002A">
      <w:pPr>
        <w:pStyle w:val="BodyText"/>
      </w:pPr>
    </w:p>
    <w:p w14:paraId="568A4192" w14:textId="122BBB72" w:rsidR="000673DA" w:rsidRDefault="00000000">
      <w:pPr>
        <w:pStyle w:val="BodyText"/>
      </w:pPr>
      <w:r>
        <w:t>The wide uncertainty bands reflect a fundamental limitation. Behavioral governance has not been implemented in international space governance, and extrapolation from laboratory or domestic policy contexts involves substantial assumptions. The evaluation framework below is designed to generate evidence reducing this uncertainty.</w:t>
      </w:r>
    </w:p>
    <w:p w14:paraId="11025A94" w14:textId="242DF564" w:rsidR="000673DA" w:rsidRDefault="000673DA"/>
    <w:p w14:paraId="22599FC2" w14:textId="77777777" w:rsidR="000673DA" w:rsidRDefault="00000000">
      <w:pPr>
        <w:pStyle w:val="Heading2"/>
        <w:spacing w:before="720" w:after="120"/>
      </w:pPr>
      <w:bookmarkStart w:id="6" w:name="oa2.-data-infrastructure"/>
      <w:bookmarkEnd w:id="3"/>
      <w:bookmarkEnd w:id="5"/>
      <w:r>
        <w:lastRenderedPageBreak/>
        <w:t>OA2. Data Infrastructure</w:t>
      </w:r>
    </w:p>
    <w:p w14:paraId="63528D99" w14:textId="77777777" w:rsidR="000673DA" w:rsidRDefault="00000000">
      <w:pPr>
        <w:pStyle w:val="Heading3"/>
      </w:pPr>
      <w:bookmarkStart w:id="7" w:name="oa2.1-outcome-measurement"/>
      <w:r>
        <w:t>OA2.1 Outcome Measurement</w:t>
      </w:r>
    </w:p>
    <w:p w14:paraId="710F024B" w14:textId="77777777" w:rsidR="000673DA" w:rsidRDefault="00000000">
      <w:pPr>
        <w:pStyle w:val="FirstParagraph"/>
      </w:pPr>
      <w:r>
        <w:t>Rigorous evaluation requires clearly operationalized outcome metrics aligned with the governance objectives articulated in the main text. The framework distinguishes between operational outcomes (observable changes in satellite behavior and debris creation) and behavioral process metrics that test whether the theorized psychological mechanisms operate as predicted.</w:t>
      </w:r>
    </w:p>
    <w:p w14:paraId="67D7DDAC" w14:textId="77777777" w:rsidR="000673DA" w:rsidRDefault="00000000">
      <w:pPr>
        <w:pStyle w:val="BodyText"/>
      </w:pPr>
      <w:r>
        <w:rPr>
          <w:i/>
          <w:iCs/>
        </w:rPr>
        <w:t>Primary Operational Outcomes.</w:t>
      </w:r>
      <w:r>
        <w:t xml:space="preserve"> Post-mission disposal compliance can be measured as a binary indicator of whether a satellite successfully executed controlled deorbit or placement into a graveyard orbit compliant with ISO 24113:2023 guidelines. Measurement requires analyzing orbital element changes at end-of-life using the U.S. Space Surveillance Network catalog (Space-Track) supplemented by high-precision commercial tracking services such as LeoLabs. Current baseline compliance rates for LEO post-mission disposal are approximately 52% for large payloads (&gt;1000 kg) under the 25-year standard, with the stricter 5-year standard showing compliance of 5-55% depending on operator type (</w:t>
      </w:r>
      <w:hyperlink w:anchor="ref-esa2023">
        <w:r>
          <w:rPr>
            <w:rStyle w:val="Hyperlink"/>
          </w:rPr>
          <w:t>ESA, 2023</w:t>
        </w:r>
      </w:hyperlink>
      <w:r>
        <w:t>).</w:t>
      </w:r>
    </w:p>
    <w:p w14:paraId="5F5FF503" w14:textId="77777777" w:rsidR="000673DA" w:rsidRDefault="00000000">
      <w:pPr>
        <w:pStyle w:val="BodyText"/>
      </w:pPr>
      <w:r>
        <w:t>Conjunction risk could be measured as the rate of Conjunction Data Messages (CDMs) per satellite-year, normalized by the object density of the specific orbital regime. The 18th Space Defense Squadron issues approximately 1.5 million CDMs annually; effective governance would be expected to manifest as reduced CDM rates among compliant operators relative to non-compliant operators in comparable orbital shells.</w:t>
      </w:r>
    </w:p>
    <w:p w14:paraId="7F4752A5" w14:textId="77777777" w:rsidR="000673DA" w:rsidRDefault="00000000">
      <w:pPr>
        <w:pStyle w:val="BodyText"/>
      </w:pPr>
      <w:r>
        <w:rPr>
          <w:i/>
          <w:iCs/>
        </w:rPr>
        <w:t>Behavioral Process Metrics.</w:t>
      </w:r>
      <w:r>
        <w:t xml:space="preserve"> Beyond operational outcomes, the evaluation must assess whether the theorized behavioral mechanisms operate as predicted. For the default-based registry, the critical process metric is the opt-out rate. Behavioral economics predicts that fewer </w:t>
      </w:r>
      <w:r>
        <w:lastRenderedPageBreak/>
        <w:t>than 20% of operators will actively reject pre-checked commitments, regardless of their prior compliance intentions. Observing substantially higher opt-out rates would suggest defaults are less effective in this context than laboratory evidence predicts.</w:t>
      </w:r>
    </w:p>
    <w:p w14:paraId="6E3A8CFC" w14:textId="77777777" w:rsidR="000673DA" w:rsidRDefault="00000000">
      <w:pPr>
        <w:pStyle w:val="BodyText"/>
      </w:pPr>
      <w:r>
        <w:t>For the reputational index, process metrics include media mention volume following score releases, correlation between scores and executive communications in earnings calls or investor presentations, and whether operators proactively cite favorable scores in marketing materials. These indicators test whether the index achieves salience, a necessary condition for status competition effects.</w:t>
      </w:r>
    </w:p>
    <w:p w14:paraId="573F81ED" w14:textId="77777777" w:rsidR="000673DA" w:rsidRDefault="00000000">
      <w:pPr>
        <w:pStyle w:val="BodyText"/>
      </w:pPr>
      <w:r>
        <w:t>For loss-framed designations, stated preference methods (contingent valuation surveys) can assess whether heritage framing affects willingness-to-pay for site access relative to equivalent non-framed restrictions. For safety zones, the key process metric is reciprocity patterns, specifically the correlation between an operator’s transparency level and the transparency it receives from other operators.</w:t>
      </w:r>
    </w:p>
    <w:p w14:paraId="3A684DF8" w14:textId="77777777" w:rsidR="000673DA" w:rsidRDefault="00000000">
      <w:pPr>
        <w:pStyle w:val="Heading3"/>
      </w:pPr>
      <w:bookmarkStart w:id="8" w:name="X032bde967fc975382bf236b9cb5aa56a16960e2"/>
      <w:bookmarkEnd w:id="7"/>
      <w:r>
        <w:t>OA2.2 Data Sources and Access Requirements</w:t>
      </w:r>
    </w:p>
    <w:p w14:paraId="4E83FA03" w14:textId="77777777" w:rsidR="000673DA" w:rsidRDefault="00000000">
      <w:pPr>
        <w:pStyle w:val="FirstParagraph"/>
      </w:pPr>
      <w:r>
        <w:t>The evaluation requires integration of diverse data sources spanning space situational awareness, financial markets, regulatory filings, and behavioral indicators. Table OA2 specifies the necessary data access arrangements.</w:t>
      </w:r>
    </w:p>
    <w:p w14:paraId="381B138A" w14:textId="77777777" w:rsidR="000673DA" w:rsidRDefault="00000000">
      <w:pPr>
        <w:pStyle w:val="BodyText"/>
        <w:ind w:firstLine="0"/>
        <w:jc w:val="center"/>
      </w:pPr>
      <w:r>
        <w:rPr>
          <w:b/>
          <w:bCs/>
        </w:rPr>
        <w:t>Table OA2: Data Sources and Access Protocols</w:t>
      </w:r>
    </w:p>
    <w:tbl>
      <w:tblPr>
        <w:tblStyle w:val="Table"/>
        <w:tblW w:w="5000" w:type="pct"/>
        <w:tblInd w:w="108" w:type="dxa"/>
        <w:tblLayout w:type="fixed"/>
        <w:tblLook w:val="0020" w:firstRow="1" w:lastRow="0" w:firstColumn="0" w:lastColumn="0" w:noHBand="0" w:noVBand="0"/>
      </w:tblPr>
      <w:tblGrid>
        <w:gridCol w:w="1710"/>
        <w:gridCol w:w="3330"/>
        <w:gridCol w:w="1971"/>
        <w:gridCol w:w="2565"/>
      </w:tblGrid>
      <w:tr w:rsidR="000673DA" w14:paraId="33AD1DDC" w14:textId="77777777">
        <w:trPr>
          <w:tblHeader/>
        </w:trPr>
        <w:tc>
          <w:tcPr>
            <w:tcW w:w="1710" w:type="dxa"/>
          </w:tcPr>
          <w:p w14:paraId="01C975CB" w14:textId="77777777" w:rsidR="000673DA" w:rsidRDefault="00000000">
            <w:pPr>
              <w:pStyle w:val="Compact"/>
              <w:ind w:firstLine="0"/>
            </w:pPr>
            <w:r>
              <w:t>Source</w:t>
            </w:r>
          </w:p>
        </w:tc>
        <w:tc>
          <w:tcPr>
            <w:tcW w:w="3330" w:type="dxa"/>
          </w:tcPr>
          <w:p w14:paraId="28B8AC5D" w14:textId="77777777" w:rsidR="000673DA" w:rsidRDefault="00000000">
            <w:pPr>
              <w:pStyle w:val="Compact"/>
              <w:ind w:firstLine="0"/>
            </w:pPr>
            <w:r>
              <w:t>Data Type</w:t>
            </w:r>
          </w:p>
        </w:tc>
        <w:tc>
          <w:tcPr>
            <w:tcW w:w="1971" w:type="dxa"/>
          </w:tcPr>
          <w:p w14:paraId="4FB9276E" w14:textId="77777777" w:rsidR="000673DA" w:rsidRDefault="00000000">
            <w:pPr>
              <w:pStyle w:val="Compact"/>
              <w:ind w:firstLine="0"/>
            </w:pPr>
            <w:r>
              <w:t>Access Model</w:t>
            </w:r>
          </w:p>
        </w:tc>
        <w:tc>
          <w:tcPr>
            <w:tcW w:w="2565" w:type="dxa"/>
          </w:tcPr>
          <w:p w14:paraId="0D2A87EC" w14:textId="77777777" w:rsidR="000673DA" w:rsidRDefault="00000000">
            <w:pPr>
              <w:pStyle w:val="Compact"/>
              <w:ind w:firstLine="0"/>
            </w:pPr>
            <w:r>
              <w:t>Notes</w:t>
            </w:r>
          </w:p>
        </w:tc>
      </w:tr>
      <w:tr w:rsidR="000673DA" w14:paraId="70D47AF0" w14:textId="77777777">
        <w:tc>
          <w:tcPr>
            <w:tcW w:w="1710" w:type="dxa"/>
          </w:tcPr>
          <w:p w14:paraId="135F5272" w14:textId="77777777" w:rsidR="000673DA" w:rsidRDefault="00000000">
            <w:pPr>
              <w:pStyle w:val="Compact"/>
              <w:ind w:firstLine="0"/>
            </w:pPr>
            <w:r>
              <w:t>Space-Track (18th SDS)</w:t>
            </w:r>
          </w:p>
        </w:tc>
        <w:tc>
          <w:tcPr>
            <w:tcW w:w="3330" w:type="dxa"/>
          </w:tcPr>
          <w:p w14:paraId="4AEAAADE" w14:textId="77777777" w:rsidR="000673DA" w:rsidRDefault="00000000">
            <w:pPr>
              <w:pStyle w:val="Compact"/>
              <w:ind w:firstLine="0"/>
            </w:pPr>
            <w:r>
              <w:t>TLEs, CDMs</w:t>
            </w:r>
          </w:p>
        </w:tc>
        <w:tc>
          <w:tcPr>
            <w:tcW w:w="1971" w:type="dxa"/>
          </w:tcPr>
          <w:p w14:paraId="27A9DD1E" w14:textId="77777777" w:rsidR="000673DA" w:rsidRDefault="00000000">
            <w:pPr>
              <w:pStyle w:val="Compact"/>
              <w:ind w:firstLine="0"/>
            </w:pPr>
            <w:r>
              <w:t>User agreement</w:t>
            </w:r>
          </w:p>
        </w:tc>
        <w:tc>
          <w:tcPr>
            <w:tcW w:w="2565" w:type="dxa"/>
          </w:tcPr>
          <w:p w14:paraId="3A9492E7" w14:textId="77777777" w:rsidR="000673DA" w:rsidRDefault="00000000">
            <w:pPr>
              <w:pStyle w:val="Compact"/>
              <w:ind w:firstLine="0"/>
            </w:pPr>
            <w:r>
              <w:t>Primary SSA source</w:t>
            </w:r>
          </w:p>
        </w:tc>
      </w:tr>
      <w:tr w:rsidR="000673DA" w14:paraId="1C311566" w14:textId="77777777">
        <w:tc>
          <w:tcPr>
            <w:tcW w:w="1710" w:type="dxa"/>
          </w:tcPr>
          <w:p w14:paraId="227D2CEB" w14:textId="77777777" w:rsidR="000673DA" w:rsidRDefault="00000000">
            <w:pPr>
              <w:pStyle w:val="Compact"/>
              <w:ind w:firstLine="0"/>
            </w:pPr>
            <w:r>
              <w:t>ESA DISCOS</w:t>
            </w:r>
          </w:p>
        </w:tc>
        <w:tc>
          <w:tcPr>
            <w:tcW w:w="3330" w:type="dxa"/>
          </w:tcPr>
          <w:p w14:paraId="37310438" w14:textId="77777777" w:rsidR="000673DA" w:rsidRDefault="00000000">
            <w:pPr>
              <w:pStyle w:val="Compact"/>
              <w:ind w:firstLine="0"/>
            </w:pPr>
            <w:r>
              <w:t>Object catalog, decay data</w:t>
            </w:r>
          </w:p>
        </w:tc>
        <w:tc>
          <w:tcPr>
            <w:tcW w:w="1971" w:type="dxa"/>
          </w:tcPr>
          <w:p w14:paraId="6E7BB1CE" w14:textId="77777777" w:rsidR="000673DA" w:rsidRDefault="00000000">
            <w:pPr>
              <w:pStyle w:val="Compact"/>
              <w:ind w:firstLine="0"/>
            </w:pPr>
            <w:r>
              <w:t>Research agreement</w:t>
            </w:r>
          </w:p>
        </w:tc>
        <w:tc>
          <w:tcPr>
            <w:tcW w:w="2565" w:type="dxa"/>
          </w:tcPr>
          <w:p w14:paraId="1A612765" w14:textId="77777777" w:rsidR="000673DA" w:rsidRDefault="00000000">
            <w:pPr>
              <w:pStyle w:val="Compact"/>
              <w:ind w:firstLine="0"/>
            </w:pPr>
            <w:r>
              <w:t>European supplement</w:t>
            </w:r>
          </w:p>
        </w:tc>
      </w:tr>
      <w:tr w:rsidR="000673DA" w14:paraId="05AA2E8E" w14:textId="77777777">
        <w:tc>
          <w:tcPr>
            <w:tcW w:w="1710" w:type="dxa"/>
          </w:tcPr>
          <w:p w14:paraId="220EBD61" w14:textId="77777777" w:rsidR="000673DA" w:rsidRDefault="00000000">
            <w:pPr>
              <w:pStyle w:val="Compact"/>
              <w:ind w:firstLine="0"/>
            </w:pPr>
            <w:r>
              <w:t>LeoLabs / ExoAnalytic</w:t>
            </w:r>
          </w:p>
        </w:tc>
        <w:tc>
          <w:tcPr>
            <w:tcW w:w="3330" w:type="dxa"/>
          </w:tcPr>
          <w:p w14:paraId="2A83E51E" w14:textId="77777777" w:rsidR="000673DA" w:rsidRDefault="00000000">
            <w:pPr>
              <w:pStyle w:val="Compact"/>
              <w:ind w:firstLine="0"/>
            </w:pPr>
            <w:r>
              <w:t>High-precision tracking</w:t>
            </w:r>
          </w:p>
        </w:tc>
        <w:tc>
          <w:tcPr>
            <w:tcW w:w="1971" w:type="dxa"/>
          </w:tcPr>
          <w:p w14:paraId="20F97030" w14:textId="77777777" w:rsidR="000673DA" w:rsidRDefault="00000000">
            <w:pPr>
              <w:pStyle w:val="Compact"/>
              <w:ind w:firstLine="0"/>
            </w:pPr>
            <w:r>
              <w:t>Commercial license</w:t>
            </w:r>
          </w:p>
        </w:tc>
        <w:tc>
          <w:tcPr>
            <w:tcW w:w="2565" w:type="dxa"/>
          </w:tcPr>
          <w:p w14:paraId="1C51B56F" w14:textId="77777777" w:rsidR="000673DA" w:rsidRDefault="00000000">
            <w:pPr>
              <w:pStyle w:val="Compact"/>
              <w:ind w:firstLine="0"/>
            </w:pPr>
            <w:r>
              <w:t>Maneuver detection</w:t>
            </w:r>
          </w:p>
        </w:tc>
      </w:tr>
      <w:tr w:rsidR="000673DA" w14:paraId="141829C9" w14:textId="77777777">
        <w:tc>
          <w:tcPr>
            <w:tcW w:w="1710" w:type="dxa"/>
          </w:tcPr>
          <w:p w14:paraId="6CC8BF25" w14:textId="77777777" w:rsidR="000673DA" w:rsidRDefault="00000000">
            <w:pPr>
              <w:pStyle w:val="Compact"/>
              <w:ind w:firstLine="0"/>
            </w:pPr>
            <w:r>
              <w:t>UNOOSA Registry</w:t>
            </w:r>
          </w:p>
        </w:tc>
        <w:tc>
          <w:tcPr>
            <w:tcW w:w="3330" w:type="dxa"/>
          </w:tcPr>
          <w:p w14:paraId="6C59EC2B" w14:textId="77777777" w:rsidR="000673DA" w:rsidRDefault="00000000">
            <w:pPr>
              <w:pStyle w:val="Compact"/>
              <w:ind w:firstLine="0"/>
            </w:pPr>
            <w:r>
              <w:t>Article VIII filings</w:t>
            </w:r>
          </w:p>
        </w:tc>
        <w:tc>
          <w:tcPr>
            <w:tcW w:w="1971" w:type="dxa"/>
          </w:tcPr>
          <w:p w14:paraId="50C62608" w14:textId="77777777" w:rsidR="000673DA" w:rsidRDefault="00000000">
            <w:pPr>
              <w:pStyle w:val="Compact"/>
              <w:ind w:firstLine="0"/>
            </w:pPr>
            <w:r>
              <w:t>Public</w:t>
            </w:r>
          </w:p>
        </w:tc>
        <w:tc>
          <w:tcPr>
            <w:tcW w:w="2565" w:type="dxa"/>
          </w:tcPr>
          <w:p w14:paraId="5CADD6D9" w14:textId="77777777" w:rsidR="000673DA" w:rsidRDefault="00000000">
            <w:pPr>
              <w:pStyle w:val="Compact"/>
              <w:ind w:firstLine="0"/>
            </w:pPr>
            <w:r>
              <w:t>Registration compliance</w:t>
            </w:r>
          </w:p>
        </w:tc>
      </w:tr>
      <w:tr w:rsidR="000673DA" w14:paraId="538C8CDE" w14:textId="77777777">
        <w:tc>
          <w:tcPr>
            <w:tcW w:w="1710" w:type="dxa"/>
          </w:tcPr>
          <w:p w14:paraId="7E07CD85" w14:textId="77777777" w:rsidR="000673DA" w:rsidRDefault="00000000">
            <w:pPr>
              <w:pStyle w:val="Compact"/>
              <w:ind w:firstLine="0"/>
            </w:pPr>
            <w:r>
              <w:t>ITU</w:t>
            </w:r>
          </w:p>
        </w:tc>
        <w:tc>
          <w:tcPr>
            <w:tcW w:w="3330" w:type="dxa"/>
          </w:tcPr>
          <w:p w14:paraId="0C646ECA" w14:textId="77777777" w:rsidR="000673DA" w:rsidRDefault="00000000">
            <w:pPr>
              <w:pStyle w:val="Compact"/>
              <w:ind w:firstLine="0"/>
            </w:pPr>
            <w:r>
              <w:t>Frequency filings</w:t>
            </w:r>
          </w:p>
        </w:tc>
        <w:tc>
          <w:tcPr>
            <w:tcW w:w="1971" w:type="dxa"/>
          </w:tcPr>
          <w:p w14:paraId="03FAFE73" w14:textId="77777777" w:rsidR="000673DA" w:rsidRDefault="00000000">
            <w:pPr>
              <w:pStyle w:val="Compact"/>
              <w:ind w:firstLine="0"/>
            </w:pPr>
            <w:r>
              <w:t>Public</w:t>
            </w:r>
          </w:p>
        </w:tc>
        <w:tc>
          <w:tcPr>
            <w:tcW w:w="2565" w:type="dxa"/>
          </w:tcPr>
          <w:p w14:paraId="4F0024B1" w14:textId="77777777" w:rsidR="000673DA" w:rsidRDefault="00000000">
            <w:pPr>
              <w:pStyle w:val="Compact"/>
              <w:ind w:firstLine="0"/>
            </w:pPr>
            <w:r>
              <w:t>Spectrum coordination</w:t>
            </w:r>
          </w:p>
        </w:tc>
      </w:tr>
      <w:tr w:rsidR="000673DA" w14:paraId="43F82975" w14:textId="77777777">
        <w:tc>
          <w:tcPr>
            <w:tcW w:w="1710" w:type="dxa"/>
          </w:tcPr>
          <w:p w14:paraId="5204F012" w14:textId="77777777" w:rsidR="000673DA" w:rsidRDefault="00000000">
            <w:pPr>
              <w:pStyle w:val="Compact"/>
              <w:ind w:firstLine="0"/>
            </w:pPr>
            <w:r>
              <w:lastRenderedPageBreak/>
              <w:t>Crunchbase / PitchBook</w:t>
            </w:r>
          </w:p>
        </w:tc>
        <w:tc>
          <w:tcPr>
            <w:tcW w:w="3330" w:type="dxa"/>
          </w:tcPr>
          <w:p w14:paraId="227AD10F" w14:textId="77777777" w:rsidR="000673DA" w:rsidRDefault="00000000">
            <w:pPr>
              <w:pStyle w:val="Compact"/>
              <w:ind w:firstLine="0"/>
            </w:pPr>
            <w:r>
              <w:t>Venture funding</w:t>
            </w:r>
          </w:p>
        </w:tc>
        <w:tc>
          <w:tcPr>
            <w:tcW w:w="1971" w:type="dxa"/>
          </w:tcPr>
          <w:p w14:paraId="5CB30337" w14:textId="77777777" w:rsidR="000673DA" w:rsidRDefault="00000000">
            <w:pPr>
              <w:pStyle w:val="Compact"/>
              <w:ind w:firstLine="0"/>
            </w:pPr>
            <w:r>
              <w:t>API access</w:t>
            </w:r>
          </w:p>
        </w:tc>
        <w:tc>
          <w:tcPr>
            <w:tcW w:w="2565" w:type="dxa"/>
          </w:tcPr>
          <w:p w14:paraId="5A8F3BDB" w14:textId="77777777" w:rsidR="000673DA" w:rsidRDefault="00000000">
            <w:pPr>
              <w:pStyle w:val="Compact"/>
              <w:ind w:firstLine="0"/>
            </w:pPr>
            <w:r>
              <w:t>Financial outcomes</w:t>
            </w:r>
          </w:p>
        </w:tc>
      </w:tr>
      <w:tr w:rsidR="000673DA" w14:paraId="2D0DD5A1" w14:textId="77777777">
        <w:tc>
          <w:tcPr>
            <w:tcW w:w="1710" w:type="dxa"/>
          </w:tcPr>
          <w:p w14:paraId="225B52BC" w14:textId="77777777" w:rsidR="000673DA" w:rsidRDefault="00000000">
            <w:pPr>
              <w:pStyle w:val="Compact"/>
              <w:ind w:firstLine="0"/>
            </w:pPr>
            <w:r>
              <w:t>Insurance consortium</w:t>
            </w:r>
          </w:p>
        </w:tc>
        <w:tc>
          <w:tcPr>
            <w:tcW w:w="3330" w:type="dxa"/>
          </w:tcPr>
          <w:p w14:paraId="2481B8FC" w14:textId="77777777" w:rsidR="000673DA" w:rsidRDefault="00000000">
            <w:pPr>
              <w:pStyle w:val="Compact"/>
              <w:ind w:firstLine="0"/>
            </w:pPr>
            <w:r>
              <w:t>Premium trends</w:t>
            </w:r>
          </w:p>
        </w:tc>
        <w:tc>
          <w:tcPr>
            <w:tcW w:w="1971" w:type="dxa"/>
          </w:tcPr>
          <w:p w14:paraId="1FA2685A" w14:textId="77777777" w:rsidR="000673DA" w:rsidRDefault="00000000">
            <w:pPr>
              <w:pStyle w:val="Compact"/>
              <w:ind w:firstLine="0"/>
            </w:pPr>
            <w:r>
              <w:t>Anonymized aggregate</w:t>
            </w:r>
          </w:p>
        </w:tc>
        <w:tc>
          <w:tcPr>
            <w:tcW w:w="2565" w:type="dxa"/>
          </w:tcPr>
          <w:p w14:paraId="3489FF24" w14:textId="77777777" w:rsidR="000673DA" w:rsidRDefault="00000000">
            <w:pPr>
              <w:pStyle w:val="Compact"/>
              <w:ind w:firstLine="0"/>
            </w:pPr>
            <w:r>
              <w:t>Requires industry partnership</w:t>
            </w:r>
          </w:p>
        </w:tc>
      </w:tr>
      <w:tr w:rsidR="000673DA" w14:paraId="1C55D2E9" w14:textId="77777777">
        <w:tc>
          <w:tcPr>
            <w:tcW w:w="1710" w:type="dxa"/>
          </w:tcPr>
          <w:p w14:paraId="06C95B42" w14:textId="77777777" w:rsidR="000673DA" w:rsidRDefault="00000000">
            <w:pPr>
              <w:pStyle w:val="Compact"/>
              <w:ind w:firstLine="0"/>
            </w:pPr>
            <w:r>
              <w:t>CelesTrak</w:t>
            </w:r>
          </w:p>
        </w:tc>
        <w:tc>
          <w:tcPr>
            <w:tcW w:w="3330" w:type="dxa"/>
          </w:tcPr>
          <w:p w14:paraId="75BE9750" w14:textId="77777777" w:rsidR="000673DA" w:rsidRDefault="00000000">
            <w:pPr>
              <w:pStyle w:val="Compact"/>
              <w:ind w:firstLine="0"/>
            </w:pPr>
            <w:r>
              <w:t>Supplementary TLE data</w:t>
            </w:r>
          </w:p>
        </w:tc>
        <w:tc>
          <w:tcPr>
            <w:tcW w:w="1971" w:type="dxa"/>
          </w:tcPr>
          <w:p w14:paraId="2BBFDBF0" w14:textId="77777777" w:rsidR="000673DA" w:rsidRDefault="00000000">
            <w:pPr>
              <w:pStyle w:val="Compact"/>
              <w:ind w:firstLine="0"/>
            </w:pPr>
            <w:r>
              <w:t>Public</w:t>
            </w:r>
          </w:p>
        </w:tc>
        <w:tc>
          <w:tcPr>
            <w:tcW w:w="2565" w:type="dxa"/>
          </w:tcPr>
          <w:p w14:paraId="7A655409" w14:textId="77777777" w:rsidR="000673DA" w:rsidRDefault="00000000">
            <w:pPr>
              <w:pStyle w:val="Compact"/>
              <w:ind w:firstLine="0"/>
            </w:pPr>
            <w:r>
              <w:t>Kelso (2007) precision analysis</w:t>
            </w:r>
          </w:p>
        </w:tc>
      </w:tr>
      <w:tr w:rsidR="000673DA" w14:paraId="15ABAEF5" w14:textId="77777777">
        <w:tc>
          <w:tcPr>
            <w:tcW w:w="1710" w:type="dxa"/>
          </w:tcPr>
          <w:p w14:paraId="2388EF04" w14:textId="77777777" w:rsidR="000673DA" w:rsidRDefault="00000000">
            <w:pPr>
              <w:pStyle w:val="Compact"/>
              <w:ind w:firstLine="0"/>
            </w:pPr>
            <w:r>
              <w:t>Space Data Association</w:t>
            </w:r>
          </w:p>
        </w:tc>
        <w:tc>
          <w:tcPr>
            <w:tcW w:w="3330" w:type="dxa"/>
          </w:tcPr>
          <w:p w14:paraId="57463309" w14:textId="77777777" w:rsidR="000673DA" w:rsidRDefault="00000000">
            <w:pPr>
              <w:pStyle w:val="Compact"/>
              <w:ind w:firstLine="0"/>
            </w:pPr>
            <w:r>
              <w:t>SSA sharing metrics</w:t>
            </w:r>
          </w:p>
        </w:tc>
        <w:tc>
          <w:tcPr>
            <w:tcW w:w="1971" w:type="dxa"/>
          </w:tcPr>
          <w:p w14:paraId="3B20BE28" w14:textId="77777777" w:rsidR="000673DA" w:rsidRDefault="00000000">
            <w:pPr>
              <w:pStyle w:val="Compact"/>
              <w:ind w:firstLine="0"/>
            </w:pPr>
            <w:r>
              <w:t>Membership</w:t>
            </w:r>
          </w:p>
        </w:tc>
        <w:tc>
          <w:tcPr>
            <w:tcW w:w="2565" w:type="dxa"/>
          </w:tcPr>
          <w:p w14:paraId="722BCEDB" w14:textId="77777777" w:rsidR="000673DA" w:rsidRDefault="00000000">
            <w:pPr>
              <w:pStyle w:val="Compact"/>
              <w:ind w:firstLine="0"/>
            </w:pPr>
            <w:r>
              <w:t>Industry consortium data</w:t>
            </w:r>
          </w:p>
        </w:tc>
      </w:tr>
      <w:tr w:rsidR="000673DA" w14:paraId="0F8A3ADB" w14:textId="77777777">
        <w:tc>
          <w:tcPr>
            <w:tcW w:w="1710" w:type="dxa"/>
          </w:tcPr>
          <w:p w14:paraId="7663A92B" w14:textId="77777777" w:rsidR="000673DA" w:rsidRDefault="00000000">
            <w:pPr>
              <w:pStyle w:val="Compact"/>
              <w:ind w:firstLine="0"/>
            </w:pPr>
            <w:r>
              <w:t>NASA CARA</w:t>
            </w:r>
          </w:p>
        </w:tc>
        <w:tc>
          <w:tcPr>
            <w:tcW w:w="3330" w:type="dxa"/>
          </w:tcPr>
          <w:p w14:paraId="685DD15A" w14:textId="77777777" w:rsidR="000673DA" w:rsidRDefault="00000000">
            <w:pPr>
              <w:pStyle w:val="Compact"/>
              <w:ind w:firstLine="0"/>
            </w:pPr>
            <w:r>
              <w:t>Conjunction assessment</w:t>
            </w:r>
          </w:p>
        </w:tc>
        <w:tc>
          <w:tcPr>
            <w:tcW w:w="1971" w:type="dxa"/>
          </w:tcPr>
          <w:p w14:paraId="723557E9" w14:textId="77777777" w:rsidR="000673DA" w:rsidRDefault="00000000">
            <w:pPr>
              <w:pStyle w:val="Compact"/>
              <w:ind w:firstLine="0"/>
            </w:pPr>
            <w:r>
              <w:t>Agreement</w:t>
            </w:r>
          </w:p>
        </w:tc>
        <w:tc>
          <w:tcPr>
            <w:tcW w:w="2565" w:type="dxa"/>
          </w:tcPr>
          <w:p w14:paraId="037A8D45" w14:textId="77777777" w:rsidR="000673DA" w:rsidRDefault="00000000">
            <w:pPr>
              <w:pStyle w:val="Compact"/>
              <w:ind w:firstLine="0"/>
            </w:pPr>
            <w:r>
              <w:t>Conjunction Assessment Risk Analysis</w:t>
            </w:r>
          </w:p>
        </w:tc>
      </w:tr>
      <w:tr w:rsidR="000673DA" w14:paraId="2F1A3F8B" w14:textId="77777777">
        <w:tc>
          <w:tcPr>
            <w:tcW w:w="1710" w:type="dxa"/>
          </w:tcPr>
          <w:p w14:paraId="45008C2B" w14:textId="77777777" w:rsidR="000673DA" w:rsidRDefault="00000000">
            <w:pPr>
              <w:pStyle w:val="Compact"/>
              <w:ind w:firstLine="0"/>
            </w:pPr>
            <w:r>
              <w:t>ISRO / IN-SPACe</w:t>
            </w:r>
          </w:p>
        </w:tc>
        <w:tc>
          <w:tcPr>
            <w:tcW w:w="3330" w:type="dxa"/>
          </w:tcPr>
          <w:p w14:paraId="410E38B2" w14:textId="77777777" w:rsidR="000673DA" w:rsidRDefault="00000000">
            <w:pPr>
              <w:pStyle w:val="Compact"/>
              <w:ind w:firstLine="0"/>
            </w:pPr>
            <w:r>
              <w:t>Indian space activity data</w:t>
            </w:r>
          </w:p>
        </w:tc>
        <w:tc>
          <w:tcPr>
            <w:tcW w:w="1971" w:type="dxa"/>
          </w:tcPr>
          <w:p w14:paraId="59A1CDCB" w14:textId="77777777" w:rsidR="000673DA" w:rsidRDefault="00000000">
            <w:pPr>
              <w:pStyle w:val="Compact"/>
              <w:ind w:firstLine="0"/>
            </w:pPr>
            <w:r>
              <w:t>Government request</w:t>
            </w:r>
          </w:p>
        </w:tc>
        <w:tc>
          <w:tcPr>
            <w:tcW w:w="2565" w:type="dxa"/>
          </w:tcPr>
          <w:p w14:paraId="2F60C960" w14:textId="77777777" w:rsidR="000673DA" w:rsidRDefault="00000000">
            <w:pPr>
              <w:pStyle w:val="Compact"/>
              <w:ind w:firstLine="0"/>
            </w:pPr>
            <w:r>
              <w:t>Emerging space nation data</w:t>
            </w:r>
          </w:p>
        </w:tc>
      </w:tr>
      <w:tr w:rsidR="000673DA" w14:paraId="2EB99B23" w14:textId="77777777">
        <w:tc>
          <w:tcPr>
            <w:tcW w:w="1710" w:type="dxa"/>
          </w:tcPr>
          <w:p w14:paraId="1D047EE8" w14:textId="77777777" w:rsidR="000673DA" w:rsidRDefault="00000000">
            <w:pPr>
              <w:pStyle w:val="Compact"/>
              <w:ind w:firstLine="0"/>
            </w:pPr>
            <w:r>
              <w:t>KARI</w:t>
            </w:r>
          </w:p>
        </w:tc>
        <w:tc>
          <w:tcPr>
            <w:tcW w:w="3330" w:type="dxa"/>
          </w:tcPr>
          <w:p w14:paraId="508541BA" w14:textId="77777777" w:rsidR="000673DA" w:rsidRDefault="00000000">
            <w:pPr>
              <w:pStyle w:val="Compact"/>
              <w:ind w:firstLine="0"/>
            </w:pPr>
            <w:r>
              <w:t>Korean space program data</w:t>
            </w:r>
          </w:p>
        </w:tc>
        <w:tc>
          <w:tcPr>
            <w:tcW w:w="1971" w:type="dxa"/>
          </w:tcPr>
          <w:p w14:paraId="2337664C" w14:textId="77777777" w:rsidR="000673DA" w:rsidRDefault="00000000">
            <w:pPr>
              <w:pStyle w:val="Compact"/>
              <w:ind w:firstLine="0"/>
            </w:pPr>
            <w:r>
              <w:t>Government request</w:t>
            </w:r>
          </w:p>
        </w:tc>
        <w:tc>
          <w:tcPr>
            <w:tcW w:w="2565" w:type="dxa"/>
          </w:tcPr>
          <w:p w14:paraId="1F5C3067" w14:textId="77777777" w:rsidR="000673DA" w:rsidRDefault="00000000">
            <w:pPr>
              <w:pStyle w:val="Compact"/>
              <w:ind w:firstLine="0"/>
            </w:pPr>
            <w:r>
              <w:t>Emerging space nation data</w:t>
            </w:r>
          </w:p>
        </w:tc>
      </w:tr>
      <w:tr w:rsidR="000673DA" w14:paraId="7FA59E88" w14:textId="77777777">
        <w:tc>
          <w:tcPr>
            <w:tcW w:w="1710" w:type="dxa"/>
          </w:tcPr>
          <w:p w14:paraId="21815EA4" w14:textId="77777777" w:rsidR="000673DA" w:rsidRDefault="00000000">
            <w:pPr>
              <w:pStyle w:val="Compact"/>
              <w:ind w:firstLine="0"/>
            </w:pPr>
            <w:r>
              <w:t>JAXA</w:t>
            </w:r>
          </w:p>
        </w:tc>
        <w:tc>
          <w:tcPr>
            <w:tcW w:w="3330" w:type="dxa"/>
          </w:tcPr>
          <w:p w14:paraId="7B1873A5" w14:textId="77777777" w:rsidR="000673DA" w:rsidRDefault="00000000">
            <w:pPr>
              <w:pStyle w:val="Compact"/>
              <w:ind w:firstLine="0"/>
            </w:pPr>
            <w:r>
              <w:t>Japanese space activity data</w:t>
            </w:r>
          </w:p>
        </w:tc>
        <w:tc>
          <w:tcPr>
            <w:tcW w:w="1971" w:type="dxa"/>
          </w:tcPr>
          <w:p w14:paraId="74197860" w14:textId="77777777" w:rsidR="000673DA" w:rsidRDefault="00000000">
            <w:pPr>
              <w:pStyle w:val="Compact"/>
              <w:ind w:firstLine="0"/>
            </w:pPr>
            <w:r>
              <w:t>Research agreement</w:t>
            </w:r>
          </w:p>
        </w:tc>
        <w:tc>
          <w:tcPr>
            <w:tcW w:w="2565" w:type="dxa"/>
          </w:tcPr>
          <w:p w14:paraId="102BE966" w14:textId="77777777" w:rsidR="000673DA" w:rsidRDefault="00000000">
            <w:pPr>
              <w:pStyle w:val="Compact"/>
              <w:ind w:firstLine="0"/>
            </w:pPr>
            <w:r>
              <w:t>ADR and lunar mission data</w:t>
            </w:r>
          </w:p>
        </w:tc>
      </w:tr>
    </w:tbl>
    <w:p w14:paraId="13B6404E" w14:textId="77777777" w:rsidR="006C002A" w:rsidRDefault="006C002A" w:rsidP="006C002A">
      <w:pPr>
        <w:pStyle w:val="BodyText"/>
        <w:ind w:firstLine="0"/>
      </w:pPr>
    </w:p>
    <w:p w14:paraId="0FBFB541" w14:textId="3B5A5687" w:rsidR="000673DA" w:rsidRDefault="00000000" w:rsidP="006C002A">
      <w:pPr>
        <w:pStyle w:val="BodyText"/>
      </w:pPr>
      <w:r>
        <w:t>Important data access limitations merit acknowledgment. Insurance pricing data are commercially sensitive; insurers have no incentive to share disaggregated premium information that competitors could exploit. One approach involves working through industry associations (such as the Space Data Association or the International Space Safety Foundation) to obtain anonymized, aggregated premium trends rather than individual quotes. Where insurance data prove entirely inaccessible, the evaluation framework specifies alternative outcome measures (funding announcement patterns, contract award criteria) that can proxy for market responses without requiring proprietary data. COSPAR Planetary Protection dossiers present similar confidentiality constraints; evaluation may need to rely on publicly announced mission categories rather than detailed dossier contents.</w:t>
      </w:r>
    </w:p>
    <w:p w14:paraId="48993D2E" w14:textId="77777777" w:rsidR="000673DA" w:rsidRDefault="00000000">
      <w:pPr>
        <w:pStyle w:val="Heading3"/>
      </w:pPr>
      <w:bookmarkStart w:id="9" w:name="X83a364cdca7c94cf93e7c304a972c4f24919ecd"/>
      <w:bookmarkEnd w:id="8"/>
      <w:r>
        <w:t>OA2.3 Baseline Statistics and Reference Values</w:t>
      </w:r>
    </w:p>
    <w:p w14:paraId="5DB672AE" w14:textId="77777777" w:rsidR="006C002A" w:rsidRDefault="006C002A" w:rsidP="006C002A">
      <w:pPr>
        <w:pStyle w:val="FirstParagraph"/>
        <w:ind w:firstLine="0"/>
      </w:pPr>
    </w:p>
    <w:p w14:paraId="39CCDAE3" w14:textId="41EDDFFB" w:rsidR="000673DA" w:rsidRDefault="00000000" w:rsidP="006C002A">
      <w:pPr>
        <w:pStyle w:val="FirstParagraph"/>
      </w:pPr>
      <w:r>
        <w:lastRenderedPageBreak/>
        <w:t>Table OA2a provides baseline statistics from the ESA Space Environment Report 2023 and other authoritative sources, establishing reference points against which policy effects could be measured.</w:t>
      </w:r>
    </w:p>
    <w:p w14:paraId="02F613C1" w14:textId="77777777" w:rsidR="000673DA" w:rsidRDefault="00000000">
      <w:pPr>
        <w:pStyle w:val="BodyText"/>
        <w:ind w:firstLine="0"/>
        <w:jc w:val="center"/>
      </w:pPr>
      <w:r>
        <w:rPr>
          <w:b/>
          <w:bCs/>
        </w:rPr>
        <w:t>Table OA2a: Baseline Statistics (2023)</w:t>
      </w:r>
    </w:p>
    <w:tbl>
      <w:tblPr>
        <w:tblStyle w:val="Table"/>
        <w:tblW w:w="5000" w:type="pct"/>
        <w:tblInd w:w="108" w:type="dxa"/>
        <w:tblLayout w:type="fixed"/>
        <w:tblLook w:val="0020" w:firstRow="1" w:lastRow="0" w:firstColumn="0" w:lastColumn="0" w:noHBand="0" w:noVBand="0"/>
      </w:tblPr>
      <w:tblGrid>
        <w:gridCol w:w="2554"/>
        <w:gridCol w:w="2036"/>
        <w:gridCol w:w="2070"/>
        <w:gridCol w:w="2916"/>
      </w:tblGrid>
      <w:tr w:rsidR="000673DA" w14:paraId="72F75758" w14:textId="77777777" w:rsidTr="006C002A">
        <w:trPr>
          <w:tblHeader/>
        </w:trPr>
        <w:tc>
          <w:tcPr>
            <w:tcW w:w="2554" w:type="dxa"/>
          </w:tcPr>
          <w:p w14:paraId="35608C0F" w14:textId="77777777" w:rsidR="000673DA" w:rsidRDefault="00000000">
            <w:pPr>
              <w:pStyle w:val="Compact"/>
              <w:ind w:firstLine="0"/>
            </w:pPr>
            <w:r>
              <w:t>Metric</w:t>
            </w:r>
          </w:p>
        </w:tc>
        <w:tc>
          <w:tcPr>
            <w:tcW w:w="2036" w:type="dxa"/>
          </w:tcPr>
          <w:p w14:paraId="53E9F717" w14:textId="77777777" w:rsidR="000673DA" w:rsidRDefault="00000000">
            <w:pPr>
              <w:pStyle w:val="Compact"/>
              <w:ind w:firstLine="0"/>
            </w:pPr>
            <w:r>
              <w:t>Value</w:t>
            </w:r>
          </w:p>
        </w:tc>
        <w:tc>
          <w:tcPr>
            <w:tcW w:w="2070" w:type="dxa"/>
          </w:tcPr>
          <w:p w14:paraId="51B8FD74" w14:textId="77777777" w:rsidR="000673DA" w:rsidRDefault="00000000">
            <w:pPr>
              <w:pStyle w:val="Compact"/>
              <w:ind w:firstLine="0"/>
            </w:pPr>
            <w:r>
              <w:t>Source</w:t>
            </w:r>
          </w:p>
        </w:tc>
        <w:tc>
          <w:tcPr>
            <w:tcW w:w="2916" w:type="dxa"/>
          </w:tcPr>
          <w:p w14:paraId="40E02BA6" w14:textId="77777777" w:rsidR="000673DA" w:rsidRDefault="00000000">
            <w:pPr>
              <w:pStyle w:val="Compact"/>
              <w:ind w:firstLine="0"/>
            </w:pPr>
            <w:r>
              <w:t>Notes</w:t>
            </w:r>
          </w:p>
        </w:tc>
      </w:tr>
      <w:tr w:rsidR="000673DA" w14:paraId="2AF902E9" w14:textId="77777777" w:rsidTr="006C002A">
        <w:tc>
          <w:tcPr>
            <w:tcW w:w="2554" w:type="dxa"/>
          </w:tcPr>
          <w:p w14:paraId="15DEB538" w14:textId="77777777" w:rsidR="000673DA" w:rsidRDefault="00000000">
            <w:pPr>
              <w:pStyle w:val="Compact"/>
              <w:ind w:firstLine="0"/>
            </w:pPr>
            <w:r>
              <w:t>Trackable objects &gt;10cm</w:t>
            </w:r>
          </w:p>
        </w:tc>
        <w:tc>
          <w:tcPr>
            <w:tcW w:w="2036" w:type="dxa"/>
          </w:tcPr>
          <w:p w14:paraId="1BDAEEB3" w14:textId="77777777" w:rsidR="000673DA" w:rsidRDefault="00000000">
            <w:pPr>
              <w:pStyle w:val="Compact"/>
              <w:ind w:firstLine="0"/>
            </w:pPr>
            <w:r>
              <w:t>~36,500</w:t>
            </w:r>
          </w:p>
        </w:tc>
        <w:tc>
          <w:tcPr>
            <w:tcW w:w="2070" w:type="dxa"/>
          </w:tcPr>
          <w:p w14:paraId="39041C33" w14:textId="77777777" w:rsidR="000673DA" w:rsidRDefault="00000000">
            <w:pPr>
              <w:pStyle w:val="Compact"/>
              <w:ind w:firstLine="0"/>
            </w:pPr>
            <w:r>
              <w:t>ESA 2023</w:t>
            </w:r>
          </w:p>
        </w:tc>
        <w:tc>
          <w:tcPr>
            <w:tcW w:w="2916" w:type="dxa"/>
          </w:tcPr>
          <w:p w14:paraId="6DBA9BD4" w14:textId="77777777" w:rsidR="000673DA" w:rsidRDefault="00000000">
            <w:pPr>
              <w:pStyle w:val="Compact"/>
              <w:ind w:firstLine="0"/>
            </w:pPr>
            <w:r>
              <w:t>Increasing ~5% annually</w:t>
            </w:r>
          </w:p>
        </w:tc>
      </w:tr>
      <w:tr w:rsidR="000673DA" w14:paraId="32966D76" w14:textId="77777777" w:rsidTr="006C002A">
        <w:tc>
          <w:tcPr>
            <w:tcW w:w="2554" w:type="dxa"/>
          </w:tcPr>
          <w:p w14:paraId="2DF177E4" w14:textId="77777777" w:rsidR="000673DA" w:rsidRDefault="00000000">
            <w:pPr>
              <w:pStyle w:val="Compact"/>
              <w:ind w:firstLine="0"/>
            </w:pPr>
            <w:r>
              <w:t>Tracked debris objects</w:t>
            </w:r>
          </w:p>
        </w:tc>
        <w:tc>
          <w:tcPr>
            <w:tcW w:w="2036" w:type="dxa"/>
          </w:tcPr>
          <w:p w14:paraId="2391381A" w14:textId="77777777" w:rsidR="000673DA" w:rsidRDefault="00000000">
            <w:pPr>
              <w:pStyle w:val="Compact"/>
              <w:ind w:firstLine="0"/>
            </w:pPr>
            <w:r>
              <w:t>~31,870</w:t>
            </w:r>
          </w:p>
        </w:tc>
        <w:tc>
          <w:tcPr>
            <w:tcW w:w="2070" w:type="dxa"/>
          </w:tcPr>
          <w:p w14:paraId="152201DC" w14:textId="77777777" w:rsidR="000673DA" w:rsidRDefault="00000000">
            <w:pPr>
              <w:pStyle w:val="Compact"/>
              <w:ind w:firstLine="0"/>
            </w:pPr>
            <w:r>
              <w:t>ESA 2023</w:t>
            </w:r>
          </w:p>
        </w:tc>
        <w:tc>
          <w:tcPr>
            <w:tcW w:w="2916" w:type="dxa"/>
          </w:tcPr>
          <w:p w14:paraId="54AE022D" w14:textId="77777777" w:rsidR="000673DA" w:rsidRDefault="00000000">
            <w:pPr>
              <w:pStyle w:val="Compact"/>
              <w:ind w:firstLine="0"/>
            </w:pPr>
            <w:r>
              <w:t>Fragments, rocket bodies, derelict satellites</w:t>
            </w:r>
          </w:p>
        </w:tc>
      </w:tr>
      <w:tr w:rsidR="000673DA" w14:paraId="14E86D77" w14:textId="77777777" w:rsidTr="006C002A">
        <w:tc>
          <w:tcPr>
            <w:tcW w:w="2554" w:type="dxa"/>
          </w:tcPr>
          <w:p w14:paraId="4FF21E09" w14:textId="77777777" w:rsidR="000673DA" w:rsidRDefault="00000000">
            <w:pPr>
              <w:pStyle w:val="Compact"/>
              <w:ind w:firstLine="0"/>
            </w:pPr>
            <w:r>
              <w:t>Active satellites</w:t>
            </w:r>
          </w:p>
        </w:tc>
        <w:tc>
          <w:tcPr>
            <w:tcW w:w="2036" w:type="dxa"/>
          </w:tcPr>
          <w:p w14:paraId="167714C4" w14:textId="77777777" w:rsidR="000673DA" w:rsidRDefault="00000000">
            <w:pPr>
              <w:pStyle w:val="Compact"/>
              <w:ind w:firstLine="0"/>
            </w:pPr>
            <w:r>
              <w:t>~8,800 (2023); ~14,000 (2024)</w:t>
            </w:r>
          </w:p>
        </w:tc>
        <w:tc>
          <w:tcPr>
            <w:tcW w:w="2070" w:type="dxa"/>
          </w:tcPr>
          <w:p w14:paraId="71646058" w14:textId="77777777" w:rsidR="000673DA" w:rsidRDefault="00000000">
            <w:pPr>
              <w:pStyle w:val="Compact"/>
              <w:ind w:firstLine="0"/>
            </w:pPr>
            <w:r>
              <w:t>UCS Database 2023; ESA 2025</w:t>
            </w:r>
          </w:p>
        </w:tc>
        <w:tc>
          <w:tcPr>
            <w:tcW w:w="2916" w:type="dxa"/>
          </w:tcPr>
          <w:p w14:paraId="32D0F233" w14:textId="77777777" w:rsidR="000673DA" w:rsidRDefault="00000000">
            <w:pPr>
              <w:pStyle w:val="Compact"/>
              <w:ind w:firstLine="0"/>
            </w:pPr>
            <w:r>
              <w:t>Majority in LEO; rapid growth driven by megaconstellations</w:t>
            </w:r>
          </w:p>
        </w:tc>
      </w:tr>
      <w:tr w:rsidR="000673DA" w14:paraId="6E3761AA" w14:textId="77777777" w:rsidTr="006C002A">
        <w:tc>
          <w:tcPr>
            <w:tcW w:w="2554" w:type="dxa"/>
          </w:tcPr>
          <w:p w14:paraId="33BC2707" w14:textId="77777777" w:rsidR="000673DA" w:rsidRDefault="00000000">
            <w:pPr>
              <w:pStyle w:val="Compact"/>
              <w:ind w:firstLine="0"/>
            </w:pPr>
            <w:r>
              <w:t>LEO PMD compliance (large)</w:t>
            </w:r>
          </w:p>
        </w:tc>
        <w:tc>
          <w:tcPr>
            <w:tcW w:w="2036" w:type="dxa"/>
          </w:tcPr>
          <w:p w14:paraId="5432053E" w14:textId="77777777" w:rsidR="000673DA" w:rsidRDefault="00000000">
            <w:pPr>
              <w:pStyle w:val="Compact"/>
              <w:ind w:firstLine="0"/>
            </w:pPr>
            <w:r>
              <w:t>~52%</w:t>
            </w:r>
          </w:p>
        </w:tc>
        <w:tc>
          <w:tcPr>
            <w:tcW w:w="2070" w:type="dxa"/>
          </w:tcPr>
          <w:p w14:paraId="1E00033A" w14:textId="77777777" w:rsidR="000673DA" w:rsidRDefault="00000000">
            <w:pPr>
              <w:pStyle w:val="Compact"/>
              <w:ind w:firstLine="0"/>
            </w:pPr>
            <w:r>
              <w:t>ESA 2023</w:t>
            </w:r>
          </w:p>
        </w:tc>
        <w:tc>
          <w:tcPr>
            <w:tcW w:w="2916" w:type="dxa"/>
          </w:tcPr>
          <w:p w14:paraId="01888A89" w14:textId="77777777" w:rsidR="000673DA" w:rsidRDefault="00000000">
            <w:pPr>
              <w:pStyle w:val="Compact"/>
              <w:ind w:firstLine="0"/>
            </w:pPr>
            <w:r>
              <w:t>Disposal within 25 years</w:t>
            </w:r>
          </w:p>
        </w:tc>
      </w:tr>
      <w:tr w:rsidR="000673DA" w14:paraId="1DB546FB" w14:textId="77777777" w:rsidTr="006C002A">
        <w:tc>
          <w:tcPr>
            <w:tcW w:w="2554" w:type="dxa"/>
          </w:tcPr>
          <w:p w14:paraId="5DAAA3EE" w14:textId="77777777" w:rsidR="000673DA" w:rsidRDefault="00000000">
            <w:pPr>
              <w:pStyle w:val="Compact"/>
              <w:ind w:firstLine="0"/>
            </w:pPr>
            <w:r>
              <w:t>LEO PMD compliance (5-year)</w:t>
            </w:r>
          </w:p>
        </w:tc>
        <w:tc>
          <w:tcPr>
            <w:tcW w:w="2036" w:type="dxa"/>
          </w:tcPr>
          <w:p w14:paraId="765FB980" w14:textId="77777777" w:rsidR="000673DA" w:rsidRDefault="00000000">
            <w:pPr>
              <w:pStyle w:val="Compact"/>
              <w:ind w:firstLine="0"/>
            </w:pPr>
            <w:r>
              <w:t>5-55%</w:t>
            </w:r>
          </w:p>
        </w:tc>
        <w:tc>
          <w:tcPr>
            <w:tcW w:w="2070" w:type="dxa"/>
          </w:tcPr>
          <w:p w14:paraId="515C4DBF" w14:textId="77777777" w:rsidR="000673DA" w:rsidRDefault="00000000">
            <w:pPr>
              <w:pStyle w:val="Compact"/>
              <w:ind w:firstLine="0"/>
            </w:pPr>
            <w:r>
              <w:t>ESA 2023</w:t>
            </w:r>
          </w:p>
        </w:tc>
        <w:tc>
          <w:tcPr>
            <w:tcW w:w="2916" w:type="dxa"/>
          </w:tcPr>
          <w:p w14:paraId="5D1F881A" w14:textId="77777777" w:rsidR="000673DA" w:rsidRDefault="00000000">
            <w:pPr>
              <w:pStyle w:val="Compact"/>
              <w:ind w:firstLine="0"/>
            </w:pPr>
            <w:r>
              <w:t>Varies by operator type</w:t>
            </w:r>
          </w:p>
        </w:tc>
      </w:tr>
      <w:tr w:rsidR="000673DA" w14:paraId="44817D03" w14:textId="77777777" w:rsidTr="006C002A">
        <w:tc>
          <w:tcPr>
            <w:tcW w:w="2554" w:type="dxa"/>
          </w:tcPr>
          <w:p w14:paraId="4E70D67C" w14:textId="77777777" w:rsidR="000673DA" w:rsidRDefault="00000000">
            <w:pPr>
              <w:pStyle w:val="Compact"/>
              <w:ind w:firstLine="0"/>
            </w:pPr>
            <w:r>
              <w:t>GEO PMD compliance</w:t>
            </w:r>
          </w:p>
        </w:tc>
        <w:tc>
          <w:tcPr>
            <w:tcW w:w="2036" w:type="dxa"/>
          </w:tcPr>
          <w:p w14:paraId="59E141F1" w14:textId="77777777" w:rsidR="000673DA" w:rsidRDefault="00000000">
            <w:pPr>
              <w:pStyle w:val="Compact"/>
              <w:ind w:firstLine="0"/>
            </w:pPr>
            <w:r>
              <w:t>~85%</w:t>
            </w:r>
          </w:p>
        </w:tc>
        <w:tc>
          <w:tcPr>
            <w:tcW w:w="2070" w:type="dxa"/>
          </w:tcPr>
          <w:p w14:paraId="31AB8DCC" w14:textId="77777777" w:rsidR="000673DA" w:rsidRDefault="00000000">
            <w:pPr>
              <w:pStyle w:val="Compact"/>
              <w:ind w:firstLine="0"/>
            </w:pPr>
            <w:r>
              <w:t>ESA 2023</w:t>
            </w:r>
          </w:p>
        </w:tc>
        <w:tc>
          <w:tcPr>
            <w:tcW w:w="2916" w:type="dxa"/>
          </w:tcPr>
          <w:p w14:paraId="1D6B9D62" w14:textId="77777777" w:rsidR="000673DA" w:rsidRDefault="00000000">
            <w:pPr>
              <w:pStyle w:val="Compact"/>
              <w:ind w:firstLine="0"/>
            </w:pPr>
            <w:r>
              <w:t>Higher compliance than LEO</w:t>
            </w:r>
          </w:p>
        </w:tc>
      </w:tr>
      <w:tr w:rsidR="000673DA" w14:paraId="486AC460" w14:textId="77777777" w:rsidTr="006C002A">
        <w:tc>
          <w:tcPr>
            <w:tcW w:w="2554" w:type="dxa"/>
          </w:tcPr>
          <w:p w14:paraId="36A5AFB6" w14:textId="77777777" w:rsidR="000673DA" w:rsidRDefault="00000000">
            <w:pPr>
              <w:pStyle w:val="Compact"/>
              <w:ind w:firstLine="0"/>
            </w:pPr>
            <w:r>
              <w:t>Annual CDMs issued</w:t>
            </w:r>
          </w:p>
        </w:tc>
        <w:tc>
          <w:tcPr>
            <w:tcW w:w="2036" w:type="dxa"/>
          </w:tcPr>
          <w:p w14:paraId="0D52A7DF" w14:textId="77777777" w:rsidR="000673DA" w:rsidRDefault="00000000">
            <w:pPr>
              <w:pStyle w:val="Compact"/>
              <w:ind w:firstLine="0"/>
            </w:pPr>
            <w:r>
              <w:t>~1.5 million</w:t>
            </w:r>
          </w:p>
        </w:tc>
        <w:tc>
          <w:tcPr>
            <w:tcW w:w="2070" w:type="dxa"/>
          </w:tcPr>
          <w:p w14:paraId="36FEC5D1" w14:textId="77777777" w:rsidR="000673DA" w:rsidRDefault="00000000">
            <w:pPr>
              <w:pStyle w:val="Compact"/>
              <w:ind w:firstLine="0"/>
            </w:pPr>
            <w:r>
              <w:t>18th SDS</w:t>
            </w:r>
          </w:p>
        </w:tc>
        <w:tc>
          <w:tcPr>
            <w:tcW w:w="2916" w:type="dxa"/>
          </w:tcPr>
          <w:p w14:paraId="66F7B86B" w14:textId="77777777" w:rsidR="000673DA" w:rsidRDefault="00000000">
            <w:pPr>
              <w:pStyle w:val="Compact"/>
              <w:ind w:firstLine="0"/>
            </w:pPr>
            <w:r>
              <w:t>Conjunction Data Messages</w:t>
            </w:r>
          </w:p>
        </w:tc>
      </w:tr>
      <w:tr w:rsidR="000673DA" w14:paraId="62842E6D" w14:textId="77777777" w:rsidTr="006C002A">
        <w:tc>
          <w:tcPr>
            <w:tcW w:w="2554" w:type="dxa"/>
          </w:tcPr>
          <w:p w14:paraId="42FC791B" w14:textId="77777777" w:rsidR="000673DA" w:rsidRDefault="00000000">
            <w:pPr>
              <w:pStyle w:val="Compact"/>
              <w:ind w:firstLine="0"/>
            </w:pPr>
            <w:r>
              <w:t>ISS avoidance maneuvers</w:t>
            </w:r>
          </w:p>
        </w:tc>
        <w:tc>
          <w:tcPr>
            <w:tcW w:w="2036" w:type="dxa"/>
          </w:tcPr>
          <w:p w14:paraId="6ABEDFAA" w14:textId="77777777" w:rsidR="000673DA" w:rsidRDefault="00000000">
            <w:pPr>
              <w:pStyle w:val="Compact"/>
              <w:ind w:firstLine="0"/>
            </w:pPr>
            <w:r>
              <w:t>~3/year</w:t>
            </w:r>
          </w:p>
        </w:tc>
        <w:tc>
          <w:tcPr>
            <w:tcW w:w="2070" w:type="dxa"/>
          </w:tcPr>
          <w:p w14:paraId="37977B50" w14:textId="77777777" w:rsidR="000673DA" w:rsidRDefault="00000000">
            <w:pPr>
              <w:pStyle w:val="Compact"/>
              <w:ind w:firstLine="0"/>
            </w:pPr>
            <w:r>
              <w:t>NASA ODPO</w:t>
            </w:r>
          </w:p>
        </w:tc>
        <w:tc>
          <w:tcPr>
            <w:tcW w:w="2916" w:type="dxa"/>
          </w:tcPr>
          <w:p w14:paraId="49627DE2" w14:textId="77777777" w:rsidR="000673DA" w:rsidRDefault="00000000">
            <w:pPr>
              <w:pStyle w:val="Compact"/>
              <w:ind w:firstLine="0"/>
            </w:pPr>
            <w:r>
              <w:t>Average 2015-2023</w:t>
            </w:r>
          </w:p>
        </w:tc>
      </w:tr>
      <w:tr w:rsidR="000673DA" w14:paraId="16947B48" w14:textId="77777777" w:rsidTr="006C002A">
        <w:tc>
          <w:tcPr>
            <w:tcW w:w="2554" w:type="dxa"/>
          </w:tcPr>
          <w:p w14:paraId="03F5F7F3" w14:textId="77777777" w:rsidR="000673DA" w:rsidRDefault="00000000">
            <w:pPr>
              <w:pStyle w:val="Compact"/>
              <w:ind w:firstLine="0"/>
            </w:pPr>
            <w:r>
              <w:t>Space economy size</w:t>
            </w:r>
          </w:p>
        </w:tc>
        <w:tc>
          <w:tcPr>
            <w:tcW w:w="2036" w:type="dxa"/>
          </w:tcPr>
          <w:p w14:paraId="0E35CB6B" w14:textId="77777777" w:rsidR="000673DA" w:rsidRDefault="00000000">
            <w:pPr>
              <w:pStyle w:val="Compact"/>
              <w:ind w:firstLine="0"/>
            </w:pPr>
            <w:r>
              <w:t>$613 billion</w:t>
            </w:r>
          </w:p>
        </w:tc>
        <w:tc>
          <w:tcPr>
            <w:tcW w:w="2070" w:type="dxa"/>
          </w:tcPr>
          <w:p w14:paraId="40C98CCE" w14:textId="77777777" w:rsidR="000673DA" w:rsidRDefault="00000000">
            <w:pPr>
              <w:pStyle w:val="Compact"/>
              <w:ind w:firstLine="0"/>
            </w:pPr>
            <w:r>
              <w:t>Space Foundation 2025</w:t>
            </w:r>
          </w:p>
        </w:tc>
        <w:tc>
          <w:tcPr>
            <w:tcW w:w="2916" w:type="dxa"/>
          </w:tcPr>
          <w:p w14:paraId="0F2B98E0" w14:textId="77777777" w:rsidR="000673DA" w:rsidRDefault="00000000">
            <w:pPr>
              <w:pStyle w:val="Compact"/>
              <w:ind w:firstLine="0"/>
            </w:pPr>
            <w:r>
              <w:t>Global annual revenue (2024)</w:t>
            </w:r>
          </w:p>
        </w:tc>
      </w:tr>
    </w:tbl>
    <w:p w14:paraId="168FD770" w14:textId="77777777" w:rsidR="006C002A" w:rsidRDefault="006C002A">
      <w:pPr>
        <w:pStyle w:val="BodyText"/>
      </w:pPr>
    </w:p>
    <w:p w14:paraId="594A2B95" w14:textId="24F643B2" w:rsidR="000673DA" w:rsidRDefault="00000000">
      <w:pPr>
        <w:pStyle w:val="BodyText"/>
      </w:pPr>
      <w:r>
        <w:t>These baseline values enable effect size estimation and provide benchmarks for the evaluation designs specified in subsequent sections. For instance, a registry intervention increasing LEO PMD compliance from 52% to 62% would represent a 10 percentage point improvement (d ≈ 0.40), establishing a concrete threshold against which observed outcomes can be compared.</w:t>
      </w:r>
    </w:p>
    <w:p w14:paraId="0D76D656" w14:textId="5FD5B7BA" w:rsidR="000673DA" w:rsidRDefault="000673DA"/>
    <w:p w14:paraId="2309679A" w14:textId="77777777" w:rsidR="000673DA" w:rsidRDefault="00000000">
      <w:pPr>
        <w:pStyle w:val="Heading2"/>
        <w:spacing w:before="720" w:after="120"/>
      </w:pPr>
      <w:bookmarkStart w:id="10" w:name="Xd438a366fa595cb820dbf457c4538d34f36acb7"/>
      <w:bookmarkEnd w:id="6"/>
      <w:bookmarkEnd w:id="9"/>
      <w:r>
        <w:lastRenderedPageBreak/>
        <w:t>OA3. Instrument 1: Default-Based Voluntary Registry</w:t>
      </w:r>
    </w:p>
    <w:p w14:paraId="3AD847ED" w14:textId="77777777" w:rsidR="000673DA" w:rsidRDefault="00000000">
      <w:pPr>
        <w:pStyle w:val="Heading3"/>
      </w:pPr>
      <w:bookmarkStart w:id="11" w:name="oa3.1-design-specification"/>
      <w:r>
        <w:t>OA3.1 Design Specification</w:t>
      </w:r>
    </w:p>
    <w:p w14:paraId="164C25CB" w14:textId="77777777" w:rsidR="000673DA" w:rsidRDefault="00000000">
      <w:pPr>
        <w:pStyle w:val="FirstParagraph"/>
      </w:pPr>
      <w:r>
        <w:t>The voluntary registry embeds behavioral defaults into a standardized commitment architecture. Table OA3 specifies the operational default settings and their justifications, disaggregating the debris mitigation commitments from Table 2 of the main text into granular elements.</w:t>
      </w:r>
    </w:p>
    <w:p w14:paraId="0252964C" w14:textId="77777777" w:rsidR="000673DA" w:rsidRDefault="00000000">
      <w:pPr>
        <w:pStyle w:val="BodyText"/>
        <w:ind w:firstLine="0"/>
        <w:jc w:val="center"/>
      </w:pPr>
      <w:r>
        <w:rPr>
          <w:b/>
          <w:bCs/>
        </w:rPr>
        <w:t>Table OA3: Registry Default Parameters</w:t>
      </w:r>
    </w:p>
    <w:tbl>
      <w:tblPr>
        <w:tblStyle w:val="Table"/>
        <w:tblW w:w="5000" w:type="pct"/>
        <w:tblInd w:w="108" w:type="dxa"/>
        <w:tblLayout w:type="fixed"/>
        <w:tblLook w:val="0020" w:firstRow="1" w:lastRow="0" w:firstColumn="0" w:lastColumn="0" w:noHBand="0" w:noVBand="0"/>
      </w:tblPr>
      <w:tblGrid>
        <w:gridCol w:w="2700"/>
        <w:gridCol w:w="3690"/>
        <w:gridCol w:w="3186"/>
      </w:tblGrid>
      <w:tr w:rsidR="000673DA" w14:paraId="55B9996B" w14:textId="77777777" w:rsidTr="006C002A">
        <w:trPr>
          <w:tblHeader/>
        </w:trPr>
        <w:tc>
          <w:tcPr>
            <w:tcW w:w="2700" w:type="dxa"/>
          </w:tcPr>
          <w:p w14:paraId="355C81E8" w14:textId="77777777" w:rsidR="000673DA" w:rsidRDefault="00000000">
            <w:pPr>
              <w:pStyle w:val="Compact"/>
              <w:ind w:firstLine="0"/>
            </w:pPr>
            <w:r>
              <w:t>Commitment Element</w:t>
            </w:r>
          </w:p>
        </w:tc>
        <w:tc>
          <w:tcPr>
            <w:tcW w:w="3690" w:type="dxa"/>
          </w:tcPr>
          <w:p w14:paraId="38F05FC6" w14:textId="77777777" w:rsidR="000673DA" w:rsidRDefault="00000000">
            <w:pPr>
              <w:pStyle w:val="Compact"/>
              <w:ind w:firstLine="0"/>
            </w:pPr>
            <w:r>
              <w:t>Default Setting</w:t>
            </w:r>
          </w:p>
        </w:tc>
        <w:tc>
          <w:tcPr>
            <w:tcW w:w="3186" w:type="dxa"/>
          </w:tcPr>
          <w:p w14:paraId="78970C23" w14:textId="77777777" w:rsidR="000673DA" w:rsidRDefault="00000000">
            <w:pPr>
              <w:pStyle w:val="Compact"/>
              <w:ind w:firstLine="0"/>
            </w:pPr>
            <w:r>
              <w:t>Justification</w:t>
            </w:r>
          </w:p>
        </w:tc>
      </w:tr>
      <w:tr w:rsidR="000673DA" w14:paraId="23CBD261" w14:textId="77777777" w:rsidTr="006C002A">
        <w:tc>
          <w:tcPr>
            <w:tcW w:w="2700" w:type="dxa"/>
          </w:tcPr>
          <w:p w14:paraId="4C3F7DB4" w14:textId="77777777" w:rsidR="000673DA" w:rsidRDefault="00000000">
            <w:pPr>
              <w:pStyle w:val="Compact"/>
              <w:ind w:firstLine="0"/>
            </w:pPr>
            <w:r>
              <w:t>Post-mission disposal</w:t>
            </w:r>
          </w:p>
        </w:tc>
        <w:tc>
          <w:tcPr>
            <w:tcW w:w="3690" w:type="dxa"/>
          </w:tcPr>
          <w:p w14:paraId="3AC64872" w14:textId="77777777" w:rsidR="000673DA" w:rsidRDefault="00000000">
            <w:pPr>
              <w:pStyle w:val="Compact"/>
              <w:ind w:firstLine="0"/>
            </w:pPr>
            <w:r>
              <w:t>25 years, active deorbit</w:t>
            </w:r>
          </w:p>
        </w:tc>
        <w:tc>
          <w:tcPr>
            <w:tcW w:w="3186" w:type="dxa"/>
          </w:tcPr>
          <w:p w14:paraId="63D60006" w14:textId="77777777" w:rsidR="000673DA" w:rsidRDefault="00000000">
            <w:pPr>
              <w:pStyle w:val="Compact"/>
              <w:ind w:firstLine="0"/>
            </w:pPr>
            <w:r>
              <w:t>ISO 24113:2023 guideline</w:t>
            </w:r>
          </w:p>
        </w:tc>
      </w:tr>
      <w:tr w:rsidR="000673DA" w14:paraId="26FC3330" w14:textId="77777777" w:rsidTr="006C002A">
        <w:tc>
          <w:tcPr>
            <w:tcW w:w="2700" w:type="dxa"/>
          </w:tcPr>
          <w:p w14:paraId="5D5291CD" w14:textId="77777777" w:rsidR="000673DA" w:rsidRDefault="00000000">
            <w:pPr>
              <w:pStyle w:val="Compact"/>
              <w:ind w:firstLine="0"/>
            </w:pPr>
            <w:r>
              <w:t>Collision avoidance</w:t>
            </w:r>
          </w:p>
        </w:tc>
        <w:tc>
          <w:tcPr>
            <w:tcW w:w="3690" w:type="dxa"/>
          </w:tcPr>
          <w:p w14:paraId="43B05903" w14:textId="77777777" w:rsidR="000673DA" w:rsidRDefault="00000000">
            <w:pPr>
              <w:pStyle w:val="Compact"/>
              <w:ind w:firstLine="0"/>
            </w:pPr>
            <w:r>
              <w:t>Accept CDMs, maneuver when warranted</w:t>
            </w:r>
          </w:p>
        </w:tc>
        <w:tc>
          <w:tcPr>
            <w:tcW w:w="3186" w:type="dxa"/>
          </w:tcPr>
          <w:p w14:paraId="5F53A560" w14:textId="77777777" w:rsidR="000673DA" w:rsidRDefault="00000000">
            <w:pPr>
              <w:pStyle w:val="Compact"/>
              <w:ind w:firstLine="0"/>
            </w:pPr>
            <w:r>
              <w:t>Space Data Association protocol</w:t>
            </w:r>
          </w:p>
        </w:tc>
      </w:tr>
      <w:tr w:rsidR="000673DA" w14:paraId="08D7AC0A" w14:textId="77777777" w:rsidTr="006C002A">
        <w:tc>
          <w:tcPr>
            <w:tcW w:w="2700" w:type="dxa"/>
          </w:tcPr>
          <w:p w14:paraId="34446DB6" w14:textId="77777777" w:rsidR="000673DA" w:rsidRDefault="00000000">
            <w:pPr>
              <w:pStyle w:val="Compact"/>
              <w:ind w:firstLine="0"/>
            </w:pPr>
            <w:r>
              <w:t>End-of-life notification</w:t>
            </w:r>
          </w:p>
        </w:tc>
        <w:tc>
          <w:tcPr>
            <w:tcW w:w="3690" w:type="dxa"/>
          </w:tcPr>
          <w:p w14:paraId="4031BE93" w14:textId="77777777" w:rsidR="000673DA" w:rsidRDefault="00000000">
            <w:pPr>
              <w:pStyle w:val="Compact"/>
              <w:ind w:firstLine="0"/>
            </w:pPr>
            <w:r>
              <w:t>30-day advance filing</w:t>
            </w:r>
          </w:p>
        </w:tc>
        <w:tc>
          <w:tcPr>
            <w:tcW w:w="3186" w:type="dxa"/>
          </w:tcPr>
          <w:p w14:paraId="4F68F6FA" w14:textId="77777777" w:rsidR="000673DA" w:rsidRDefault="00000000">
            <w:pPr>
              <w:pStyle w:val="Compact"/>
              <w:ind w:firstLine="0"/>
            </w:pPr>
            <w:r>
              <w:t>IADC guideline 6.3.1</w:t>
            </w:r>
          </w:p>
        </w:tc>
      </w:tr>
      <w:tr w:rsidR="000673DA" w14:paraId="395273C2" w14:textId="77777777" w:rsidTr="006C002A">
        <w:tc>
          <w:tcPr>
            <w:tcW w:w="2700" w:type="dxa"/>
          </w:tcPr>
          <w:p w14:paraId="54EFBF98" w14:textId="77777777" w:rsidR="000673DA" w:rsidRDefault="00000000">
            <w:pPr>
              <w:pStyle w:val="Compact"/>
              <w:ind w:firstLine="0"/>
            </w:pPr>
            <w:r>
              <w:t>SSA data sharing</w:t>
            </w:r>
          </w:p>
        </w:tc>
        <w:tc>
          <w:tcPr>
            <w:tcW w:w="3690" w:type="dxa"/>
          </w:tcPr>
          <w:p w14:paraId="0C95FA65" w14:textId="77777777" w:rsidR="000673DA" w:rsidRDefault="00000000">
            <w:pPr>
              <w:pStyle w:val="Compact"/>
              <w:ind w:firstLine="0"/>
            </w:pPr>
            <w:r>
              <w:t>Share orbital data with consortium</w:t>
            </w:r>
          </w:p>
        </w:tc>
        <w:tc>
          <w:tcPr>
            <w:tcW w:w="3186" w:type="dxa"/>
          </w:tcPr>
          <w:p w14:paraId="70B3B5CD" w14:textId="77777777" w:rsidR="000673DA" w:rsidRDefault="00000000">
            <w:pPr>
              <w:pStyle w:val="Compact"/>
              <w:ind w:firstLine="0"/>
            </w:pPr>
            <w:r>
              <w:t>Existing voluntary best practice</w:t>
            </w:r>
          </w:p>
        </w:tc>
      </w:tr>
      <w:tr w:rsidR="000673DA" w14:paraId="541BC9C9" w14:textId="77777777" w:rsidTr="006C002A">
        <w:tc>
          <w:tcPr>
            <w:tcW w:w="2700" w:type="dxa"/>
          </w:tcPr>
          <w:p w14:paraId="2B2F9DBD" w14:textId="77777777" w:rsidR="000673DA" w:rsidRDefault="00000000">
            <w:pPr>
              <w:pStyle w:val="Compact"/>
              <w:ind w:firstLine="0"/>
            </w:pPr>
            <w:r>
              <w:t>Passivation</w:t>
            </w:r>
          </w:p>
        </w:tc>
        <w:tc>
          <w:tcPr>
            <w:tcW w:w="3690" w:type="dxa"/>
          </w:tcPr>
          <w:p w14:paraId="5CC32158" w14:textId="77777777" w:rsidR="000673DA" w:rsidRDefault="00000000">
            <w:pPr>
              <w:pStyle w:val="Compact"/>
              <w:ind w:firstLine="0"/>
            </w:pPr>
            <w:r>
              <w:t>Full passivation at end-of-life</w:t>
            </w:r>
          </w:p>
        </w:tc>
        <w:tc>
          <w:tcPr>
            <w:tcW w:w="3186" w:type="dxa"/>
          </w:tcPr>
          <w:p w14:paraId="44E303F6" w14:textId="77777777" w:rsidR="000673DA" w:rsidRDefault="00000000">
            <w:pPr>
              <w:pStyle w:val="Compact"/>
              <w:ind w:firstLine="0"/>
            </w:pPr>
            <w:r>
              <w:t>ESA Clean Space Initiative</w:t>
            </w:r>
          </w:p>
        </w:tc>
      </w:tr>
    </w:tbl>
    <w:p w14:paraId="5793E56F" w14:textId="77777777" w:rsidR="006C002A" w:rsidRDefault="006C002A">
      <w:pPr>
        <w:pStyle w:val="BodyText"/>
      </w:pPr>
    </w:p>
    <w:p w14:paraId="4919008E" w14:textId="51CD99D8" w:rsidR="000673DA" w:rsidRDefault="00000000">
      <w:pPr>
        <w:pStyle w:val="BodyText"/>
      </w:pPr>
      <w:r>
        <w:t>The behavioral mechanism operates through status quo bias: operators joining the registry encounter pre-checked commitment boxes requiring active effort to reject. The critical design question is whether opt-out would be frictionless (simple unchecking) or require justification. Behavioral economics suggests some friction enhances default effectiveness (</w:t>
      </w:r>
      <w:hyperlink w:anchor="ref-madrian2001">
        <w:r>
          <w:rPr>
            <w:rStyle w:val="Hyperlink"/>
          </w:rPr>
          <w:t>Madrian and Shea, 2001</w:t>
        </w:r>
      </w:hyperlink>
      <w:r>
        <w:t>), but excessive friction may deter registry participation entirely. One design option would require a brief written justification for any commitment rejection, striking a balance between preserving defaults’ behavioral force and maintaining voluntary participation.</w:t>
      </w:r>
    </w:p>
    <w:p w14:paraId="5F372DF0" w14:textId="77777777" w:rsidR="000673DA" w:rsidRDefault="00000000">
      <w:pPr>
        <w:pStyle w:val="Heading3"/>
      </w:pPr>
      <w:bookmarkStart w:id="12" w:name="X468f0c0fc33c870201200eee7b25e6661a81dbe"/>
      <w:bookmarkEnd w:id="11"/>
      <w:r>
        <w:t>OA3.2 Evaluation Design: Difference-in-Differences</w:t>
      </w:r>
    </w:p>
    <w:p w14:paraId="62EA2EAC" w14:textId="77777777" w:rsidR="000673DA" w:rsidRDefault="00000000">
      <w:pPr>
        <w:pStyle w:val="FirstParagraph"/>
      </w:pPr>
      <w:r>
        <w:t xml:space="preserve">The identification strategy exploits staggered voluntary adoption. Operators join the registry at different times, creating natural variation in treatment timing that enables causal </w:t>
      </w:r>
      <w:r>
        <w:lastRenderedPageBreak/>
        <w:t>inference through Difference-in-Differences (DiD) estimation. The baseline specification takes the form:</w:t>
      </w:r>
    </w:p>
    <w:p w14:paraId="4D0D5832" w14:textId="77777777" w:rsidR="000673DA"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nor/>
                </m:rPr>
                <m:t>Registry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it</m:t>
              </m:r>
            </m:sub>
            <m:sup>
              <m:r>
                <m:rPr>
                  <m:sty m:val="p"/>
                </m:rPr>
                <w:rPr>
                  <w:rFonts w:ascii="Cambria Math" w:hAnsi="Cambria Math"/>
                </w:rPr>
                <m:t>'</m:t>
              </m:r>
            </m:sup>
          </m:sSubSup>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13FD5C98" w14:textId="77777777" w:rsidR="000673DA"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represents the outcome (e.g., PMD compliance) for operator </w:t>
      </w:r>
      <m:oMath>
        <m:r>
          <w:rPr>
            <w:rFonts w:ascii="Cambria Math" w:hAnsi="Cambria Math"/>
          </w:rPr>
          <m:t>i</m:t>
        </m:r>
      </m:oMath>
      <w:r>
        <w:t xml:space="preserve"> at time </w:t>
      </w:r>
      <m:oMath>
        <m:r>
          <w:rPr>
            <w:rFonts w:ascii="Cambria Math" w:hAnsi="Cambria Math"/>
          </w:rPr>
          <m:t>t</m:t>
        </m:r>
      </m:oMath>
      <w:r>
        <w:t xml:space="preserve">, </w:t>
      </w:r>
      <m:oMath>
        <m:sSub>
          <m:sSubPr>
            <m:ctrlPr>
              <w:rPr>
                <w:rFonts w:ascii="Cambria Math" w:hAnsi="Cambria Math"/>
              </w:rPr>
            </m:ctrlPr>
          </m:sSubPr>
          <m:e>
            <m:r>
              <m:rPr>
                <m:nor/>
              </m:rPr>
              <m:t>Registry</m:t>
            </m:r>
          </m:e>
          <m:sub>
            <m:r>
              <w:rPr>
                <w:rFonts w:ascii="Cambria Math" w:hAnsi="Cambria Math"/>
              </w:rPr>
              <m:t>it</m:t>
            </m:r>
          </m:sub>
        </m:sSub>
      </m:oMath>
      <w:r>
        <w:t xml:space="preserve"> indicates whether the operator has joined the registry by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captures operator fixed effects controlling for time-invariant characteristics,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captures time fixed effects controlling for common shocks affecting all operators, and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includes time-varying controls such as launch cadence and national regulatory changes. The coefficient </w:t>
      </w:r>
      <m:oMath>
        <m:r>
          <w:rPr>
            <w:rFonts w:ascii="Cambria Math" w:hAnsi="Cambria Math"/>
          </w:rPr>
          <m:t>β</m:t>
        </m:r>
      </m:oMath>
      <w:r>
        <w:t xml:space="preserve"> represents the Average Treatment Effect on the Treated (ATT), the causal effect of registry participation on compliance outcomes.</w:t>
      </w:r>
    </w:p>
    <w:p w14:paraId="79D5F24E" w14:textId="77777777" w:rsidR="000673DA" w:rsidRDefault="00000000">
      <w:pPr>
        <w:pStyle w:val="BodyText"/>
      </w:pPr>
      <w:r>
        <w:t>Standard errors must be clustered at the operator level to account for serial correlation within operators across time (</w:t>
      </w:r>
      <w:hyperlink w:anchor="ref-bertrand2004">
        <w:r>
          <w:rPr>
            <w:rStyle w:val="Hyperlink"/>
          </w:rPr>
          <w:t>Bertrand et al., 2004</w:t>
        </w:r>
      </w:hyperlink>
      <w:r>
        <w:t>). The critical identifying assumption is that, absent registry participation, treated and control operators would have followed parallel outcome trajectories. This assumption cannot be directly tested but can be assessed through event-study specifications examining pre-treatment trends.</w:t>
      </w:r>
    </w:p>
    <w:p w14:paraId="1FBD984B" w14:textId="77777777" w:rsidR="000673DA" w:rsidRDefault="00000000">
      <w:pPr>
        <w:pStyle w:val="Heading3"/>
      </w:pPr>
      <w:bookmarkStart w:id="13" w:name="Xed976686963582eb78fb05e4b8faf18775d02d7"/>
      <w:bookmarkEnd w:id="12"/>
      <w:r>
        <w:t>OA3.3 Addressing Heterogeneous Treatment Effects</w:t>
      </w:r>
    </w:p>
    <w:p w14:paraId="478835C2" w14:textId="77777777" w:rsidR="000673DA" w:rsidRDefault="00000000">
      <w:pPr>
        <w:pStyle w:val="FirstParagraph"/>
      </w:pPr>
      <w:r>
        <w:t>Recent econometric literature has identified serious biases in standard Two-Way Fixed Effects (TWFE) estimators when treatment timing is staggered and treatment effects vary across cohorts or over time (</w:t>
      </w:r>
      <w:hyperlink w:anchor="ref-dechaisemartin2020">
        <w:r>
          <w:rPr>
            <w:rStyle w:val="Hyperlink"/>
          </w:rPr>
          <w:t>Chaisemartin and D’Haultfoeuille, 2020</w:t>
        </w:r>
      </w:hyperlink>
      <w:r>
        <w:t xml:space="preserve">; </w:t>
      </w:r>
      <w:hyperlink w:anchor="ref-goodmanbacon2021">
        <w:r>
          <w:rPr>
            <w:rStyle w:val="Hyperlink"/>
          </w:rPr>
          <w:t>Goodman-Bacon, 2021</w:t>
        </w:r>
      </w:hyperlink>
      <w:r>
        <w:t>). Goodman-Bacon (</w:t>
      </w:r>
      <w:hyperlink w:anchor="ref-goodmanbacon2021">
        <w:r>
          <w:rPr>
            <w:rStyle w:val="Hyperlink"/>
          </w:rPr>
          <w:t>2021</w:t>
        </w:r>
      </w:hyperlink>
      <w:r>
        <w:t>) demonstrates that the TWFE estimator constitutes a weighted average of all possible two-by-two DiD comparisons, including problematic comparisons using already-treated units as controls. When treatment effects are heterogeneous, these weights can be negative, potentially producing estimates with the wrong sign.</w:t>
      </w:r>
    </w:p>
    <w:p w14:paraId="4F833C60" w14:textId="77777777" w:rsidR="000673DA" w:rsidRDefault="00000000">
      <w:pPr>
        <w:pStyle w:val="BodyText"/>
      </w:pPr>
      <w:r>
        <w:lastRenderedPageBreak/>
        <w:t>The evaluation must therefore implement robust alternative estimators. Callaway and Sant’Anna (</w:t>
      </w:r>
      <w:hyperlink w:anchor="ref-callaway2021">
        <w:r>
          <w:rPr>
            <w:rStyle w:val="Hyperlink"/>
          </w:rPr>
          <w:t>2021</w:t>
        </w:r>
      </w:hyperlink>
      <w:r>
        <w:t>) propose an estimator that constructs the ATT by comparing treated units only to “clean” controls (units not yet treated at the relevant time), avoiding the contamination problems inherent in TWFE. Sun and Abraham (</w:t>
      </w:r>
      <w:hyperlink w:anchor="ref-sunandabraham2021">
        <w:r>
          <w:rPr>
            <w:rStyle w:val="Hyperlink"/>
          </w:rPr>
          <w:t>2021</w:t>
        </w:r>
      </w:hyperlink>
      <w:r>
        <w:t>) develop an interaction-weighted estimator for event study specifications that correctly accounts for treatment effect heterogeneity across adoption cohorts. Roth and colleagues (</w:t>
      </w:r>
      <w:hyperlink w:anchor="ref-roth2023">
        <w:r>
          <w:rPr>
            <w:rStyle w:val="Hyperlink"/>
          </w:rPr>
          <w:t>2023</w:t>
        </w:r>
      </w:hyperlink>
      <w:r>
        <w:t>) provide comprehensive guidance on selecting among these modern DiD estimators based on data characteristics and research questions.</w:t>
      </w:r>
    </w:p>
    <w:p w14:paraId="78B0141A" w14:textId="77777777" w:rsidR="000673DA" w:rsidRDefault="00000000">
      <w:pPr>
        <w:pStyle w:val="Heading3"/>
      </w:pPr>
      <w:bookmarkStart w:id="14" w:name="oa3.4-testing-the-behavioral-mechanism"/>
      <w:bookmarkEnd w:id="13"/>
      <w:r>
        <w:t>OA3.4 Testing the Behavioral Mechanism</w:t>
      </w:r>
    </w:p>
    <w:p w14:paraId="1600127F" w14:textId="77777777" w:rsidR="000673DA" w:rsidRDefault="00000000">
      <w:pPr>
        <w:pStyle w:val="FirstParagraph"/>
      </w:pPr>
      <w:r>
        <w:t>Establishing that registry participation increases compliance is necessary but insufficient; the evaluation must also test whether the specific behavioral mechanism (default effects) drives the observed changes. This requires within-registry comparison of operators who accepted default commitments against operators who actively selected equivalent commitments after defaults were removed or unchecked.</w:t>
      </w:r>
    </w:p>
    <w:p w14:paraId="1BD25F17" w14:textId="77777777" w:rsidR="000673DA" w:rsidRDefault="00000000">
      <w:pPr>
        <w:pStyle w:val="BodyText"/>
      </w:pPr>
      <w:r>
        <w:t>If defaults operate through the theorized psychological mechanism (status quo bias plus implicit endorsement), operators accepting pre-checked defaults would be expected to exhibit higher compliance than operators making equivalent active choices. Observing no difference would suggest that registry effects operate through selection (already-compliant operators disproportionately join) or commitment devices (explicit public commitment changes subsequent behavior) rather than defaults specifically. Both alternative mechanisms could still support the policy, but would change the understanding of why it works and how to improve it.</w:t>
      </w:r>
    </w:p>
    <w:p w14:paraId="7096BDBC" w14:textId="77777777" w:rsidR="000673DA" w:rsidRDefault="00000000">
      <w:pPr>
        <w:pStyle w:val="Heading3"/>
      </w:pPr>
      <w:bookmarkStart w:id="15" w:name="oa3.5-statistical-power"/>
      <w:bookmarkEnd w:id="14"/>
      <w:r>
        <w:t>OA3.5 Statistical Power</w:t>
      </w:r>
    </w:p>
    <w:p w14:paraId="61F9C0F8" w14:textId="77777777" w:rsidR="000673DA" w:rsidRDefault="00000000">
      <w:pPr>
        <w:pStyle w:val="FirstParagraph"/>
      </w:pPr>
      <w:r>
        <w:t>Detecting policy-relevant effects requires sufficient statistical power. Using the Jachimowicz et al. (</w:t>
      </w:r>
      <w:hyperlink w:anchor="ref-jachimowicz2019">
        <w:r>
          <w:rPr>
            <w:rStyle w:val="Hyperlink"/>
          </w:rPr>
          <w:t>2019</w:t>
        </w:r>
      </w:hyperlink>
      <w:r>
        <w:t xml:space="preserve">) benchmark of d ≈ 0.68 for default effects, but adjusting downward to d </w:t>
      </w:r>
      <w:r>
        <w:lastRenderedPageBreak/>
        <w:t>≈ 0.40 for the active-choice context of voluntary registry enrollment, minimum sample size requirements can be calculated as follows.</w:t>
      </w:r>
    </w:p>
    <w:p w14:paraId="456CC4AF" w14:textId="77777777" w:rsidR="000673DA" w:rsidRDefault="00000000">
      <w:pPr>
        <w:pStyle w:val="BodyText"/>
      </w:pPr>
      <w:r>
        <w:t>For a panel design tracking 100 operators over 5 years with quarterly observations, assuming baseline PMD compliance of approximately 50% and intra-class correlation of 0.10, the design achieves 80% power to detect an effect of approximately 8-10 percentage points, corresponding to Cohen’s d ≈ 0.40. This represents the minimum detectable effect (MDE); smaller true effects would likely go undetected. If the actual effect size in space governance is smaller than the laboratory benchmark (plausible given the high-stakes context), larger samples or longer observation periods would be required.</w:t>
      </w:r>
    </w:p>
    <w:p w14:paraId="78C23833" w14:textId="2C33CA2E" w:rsidR="000673DA" w:rsidRDefault="000673DA"/>
    <w:p w14:paraId="06984F89" w14:textId="77777777" w:rsidR="006C002A" w:rsidRDefault="006C002A">
      <w:pPr>
        <w:spacing w:after="200" w:line="240" w:lineRule="auto"/>
        <w:rPr>
          <w:b/>
        </w:rPr>
      </w:pPr>
      <w:bookmarkStart w:id="16" w:name="X8e8b1493ea478740d394ecebc3f1c280d531b13"/>
      <w:bookmarkEnd w:id="10"/>
      <w:bookmarkEnd w:id="15"/>
      <w:r>
        <w:br w:type="page"/>
      </w:r>
    </w:p>
    <w:p w14:paraId="4DF2F96F" w14:textId="59E0227F" w:rsidR="000673DA" w:rsidRDefault="00000000">
      <w:pPr>
        <w:pStyle w:val="Heading2"/>
        <w:spacing w:before="720" w:after="120"/>
      </w:pPr>
      <w:r>
        <w:lastRenderedPageBreak/>
        <w:t>OA4. Instrument 2: Responsible Space Actor Reputational Index</w:t>
      </w:r>
    </w:p>
    <w:p w14:paraId="7D57E95E" w14:textId="77777777" w:rsidR="000673DA" w:rsidRDefault="00000000">
      <w:pPr>
        <w:pStyle w:val="Heading3"/>
      </w:pPr>
      <w:bookmarkStart w:id="17" w:name="oa4.1-design-specification"/>
      <w:r>
        <w:t>OA4.1 Design Specification</w:t>
      </w:r>
    </w:p>
    <w:p w14:paraId="30A0B761" w14:textId="77777777" w:rsidR="000673DA" w:rsidRDefault="00000000">
      <w:pPr>
        <w:pStyle w:val="FirstParagraph"/>
      </w:pPr>
      <w:r>
        <w:t>The reputational index makes sustainability performance visible and comparable, enabling market and social sanctions for poor performance. Table OA4 specifies the scoring methodology and component weights for the four categories described in the main text.</w:t>
      </w:r>
    </w:p>
    <w:p w14:paraId="20A7E460" w14:textId="77777777" w:rsidR="000673DA" w:rsidRDefault="00000000">
      <w:pPr>
        <w:pStyle w:val="BodyText"/>
        <w:ind w:firstLine="0"/>
        <w:jc w:val="center"/>
      </w:pPr>
      <w:r>
        <w:rPr>
          <w:b/>
          <w:bCs/>
        </w:rPr>
        <w:t>Table OA4: Index Scoring Components</w:t>
      </w:r>
    </w:p>
    <w:tbl>
      <w:tblPr>
        <w:tblStyle w:val="Table"/>
        <w:tblW w:w="5000" w:type="pct"/>
        <w:tblInd w:w="108" w:type="dxa"/>
        <w:tblLayout w:type="fixed"/>
        <w:tblLook w:val="0020" w:firstRow="1" w:lastRow="0" w:firstColumn="0" w:lastColumn="0" w:noHBand="0" w:noVBand="0"/>
      </w:tblPr>
      <w:tblGrid>
        <w:gridCol w:w="1994"/>
        <w:gridCol w:w="1596"/>
        <w:gridCol w:w="3791"/>
        <w:gridCol w:w="2195"/>
      </w:tblGrid>
      <w:tr w:rsidR="000673DA" w14:paraId="270131AA" w14:textId="77777777">
        <w:trPr>
          <w:tblHeader/>
        </w:trPr>
        <w:tc>
          <w:tcPr>
            <w:tcW w:w="1650" w:type="dxa"/>
          </w:tcPr>
          <w:p w14:paraId="63F0EC12" w14:textId="77777777" w:rsidR="000673DA" w:rsidRDefault="00000000">
            <w:pPr>
              <w:pStyle w:val="Compact"/>
              <w:ind w:firstLine="0"/>
            </w:pPr>
            <w:r>
              <w:t>Category</w:t>
            </w:r>
          </w:p>
        </w:tc>
        <w:tc>
          <w:tcPr>
            <w:tcW w:w="1320" w:type="dxa"/>
          </w:tcPr>
          <w:p w14:paraId="2C9D6D65" w14:textId="77777777" w:rsidR="000673DA" w:rsidRDefault="00000000">
            <w:pPr>
              <w:pStyle w:val="Compact"/>
              <w:ind w:firstLine="0"/>
            </w:pPr>
            <w:r>
              <w:t>Weight</w:t>
            </w:r>
          </w:p>
        </w:tc>
        <w:tc>
          <w:tcPr>
            <w:tcW w:w="3135" w:type="dxa"/>
          </w:tcPr>
          <w:p w14:paraId="2E7A8306" w14:textId="77777777" w:rsidR="000673DA" w:rsidRDefault="00000000">
            <w:pPr>
              <w:pStyle w:val="Compact"/>
              <w:ind w:firstLine="0"/>
            </w:pPr>
            <w:r>
              <w:t>Component Metrics</w:t>
            </w:r>
          </w:p>
        </w:tc>
        <w:tc>
          <w:tcPr>
            <w:tcW w:w="1815" w:type="dxa"/>
          </w:tcPr>
          <w:p w14:paraId="2D015406" w14:textId="77777777" w:rsidR="000673DA" w:rsidRDefault="00000000">
            <w:pPr>
              <w:pStyle w:val="Compact"/>
              <w:ind w:firstLine="0"/>
            </w:pPr>
            <w:r>
              <w:t>Precedent</w:t>
            </w:r>
          </w:p>
        </w:tc>
      </w:tr>
      <w:tr w:rsidR="000673DA" w14:paraId="1E03918F" w14:textId="77777777">
        <w:tc>
          <w:tcPr>
            <w:tcW w:w="1650" w:type="dxa"/>
          </w:tcPr>
          <w:p w14:paraId="73DB052C" w14:textId="77777777" w:rsidR="000673DA" w:rsidRDefault="00000000">
            <w:pPr>
              <w:pStyle w:val="Compact"/>
              <w:ind w:firstLine="0"/>
            </w:pPr>
            <w:r>
              <w:t>Debris Compliance</w:t>
            </w:r>
          </w:p>
        </w:tc>
        <w:tc>
          <w:tcPr>
            <w:tcW w:w="1320" w:type="dxa"/>
          </w:tcPr>
          <w:p w14:paraId="34624E97" w14:textId="77777777" w:rsidR="000673DA" w:rsidRDefault="00000000">
            <w:pPr>
              <w:pStyle w:val="Compact"/>
              <w:ind w:firstLine="0"/>
            </w:pPr>
            <w:r>
              <w:t>35%</w:t>
            </w:r>
          </w:p>
        </w:tc>
        <w:tc>
          <w:tcPr>
            <w:tcW w:w="3135" w:type="dxa"/>
          </w:tcPr>
          <w:p w14:paraId="3A6DB605" w14:textId="77777777" w:rsidR="000673DA" w:rsidRDefault="00000000">
            <w:pPr>
              <w:pStyle w:val="Compact"/>
              <w:ind w:firstLine="0"/>
            </w:pPr>
            <w:r>
              <w:t>PMD rate, passivation completion, collision avoidance responsiveness, debris-generating events</w:t>
            </w:r>
          </w:p>
        </w:tc>
        <w:tc>
          <w:tcPr>
            <w:tcW w:w="1815" w:type="dxa"/>
          </w:tcPr>
          <w:p w14:paraId="1DECBC61" w14:textId="77777777" w:rsidR="000673DA" w:rsidRDefault="00000000">
            <w:pPr>
              <w:pStyle w:val="Compact"/>
              <w:ind w:firstLine="0"/>
            </w:pPr>
            <w:r>
              <w:t>WEF Space Sustainability Rating</w:t>
            </w:r>
          </w:p>
        </w:tc>
      </w:tr>
      <w:tr w:rsidR="000673DA" w14:paraId="018CC176" w14:textId="77777777">
        <w:tc>
          <w:tcPr>
            <w:tcW w:w="1650" w:type="dxa"/>
          </w:tcPr>
          <w:p w14:paraId="09F3D6E5" w14:textId="77777777" w:rsidR="000673DA" w:rsidRDefault="00000000">
            <w:pPr>
              <w:pStyle w:val="Compact"/>
              <w:ind w:firstLine="0"/>
            </w:pPr>
            <w:r>
              <w:t>Spectrum Discipline</w:t>
            </w:r>
          </w:p>
        </w:tc>
        <w:tc>
          <w:tcPr>
            <w:tcW w:w="1320" w:type="dxa"/>
          </w:tcPr>
          <w:p w14:paraId="6A87CEA7" w14:textId="77777777" w:rsidR="000673DA" w:rsidRDefault="00000000">
            <w:pPr>
              <w:pStyle w:val="Compact"/>
              <w:ind w:firstLine="0"/>
            </w:pPr>
            <w:r>
              <w:t>25%</w:t>
            </w:r>
          </w:p>
        </w:tc>
        <w:tc>
          <w:tcPr>
            <w:tcW w:w="3135" w:type="dxa"/>
          </w:tcPr>
          <w:p w14:paraId="770FD719" w14:textId="77777777" w:rsidR="000673DA" w:rsidRDefault="00000000">
            <w:pPr>
              <w:pStyle w:val="Compact"/>
              <w:ind w:firstLine="0"/>
            </w:pPr>
            <w:r>
              <w:t>ITU coordination compliance, interference incidents, radio quiet zone respect</w:t>
            </w:r>
          </w:p>
        </w:tc>
        <w:tc>
          <w:tcPr>
            <w:tcW w:w="1815" w:type="dxa"/>
          </w:tcPr>
          <w:p w14:paraId="35BBD2A5" w14:textId="77777777" w:rsidR="000673DA" w:rsidRDefault="00000000">
            <w:pPr>
              <w:pStyle w:val="Compact"/>
              <w:ind w:firstLine="0"/>
            </w:pPr>
            <w:r>
              <w:t>ITU regulatory framework</w:t>
            </w:r>
          </w:p>
        </w:tc>
      </w:tr>
      <w:tr w:rsidR="000673DA" w14:paraId="7DCDDAC7" w14:textId="77777777">
        <w:tc>
          <w:tcPr>
            <w:tcW w:w="1650" w:type="dxa"/>
          </w:tcPr>
          <w:p w14:paraId="0FE68437" w14:textId="77777777" w:rsidR="000673DA" w:rsidRDefault="00000000">
            <w:pPr>
              <w:pStyle w:val="Compact"/>
              <w:ind w:firstLine="0"/>
            </w:pPr>
            <w:r>
              <w:t>Planetary Protection</w:t>
            </w:r>
          </w:p>
        </w:tc>
        <w:tc>
          <w:tcPr>
            <w:tcW w:w="1320" w:type="dxa"/>
          </w:tcPr>
          <w:p w14:paraId="196AFC3D" w14:textId="77777777" w:rsidR="000673DA" w:rsidRDefault="00000000">
            <w:pPr>
              <w:pStyle w:val="Compact"/>
              <w:ind w:firstLine="0"/>
            </w:pPr>
            <w:r>
              <w:t>20%</w:t>
            </w:r>
          </w:p>
        </w:tc>
        <w:tc>
          <w:tcPr>
            <w:tcW w:w="3135" w:type="dxa"/>
          </w:tcPr>
          <w:p w14:paraId="385B6F5D" w14:textId="77777777" w:rsidR="000673DA" w:rsidRDefault="00000000">
            <w:pPr>
              <w:pStyle w:val="Compact"/>
              <w:ind w:firstLine="0"/>
            </w:pPr>
            <w:r>
              <w:t>COSPAR requirement adherence, waiver patterns, bioburden monitoring</w:t>
            </w:r>
          </w:p>
        </w:tc>
        <w:tc>
          <w:tcPr>
            <w:tcW w:w="1815" w:type="dxa"/>
          </w:tcPr>
          <w:p w14:paraId="26CC11A6" w14:textId="77777777" w:rsidR="000673DA" w:rsidRDefault="00000000">
            <w:pPr>
              <w:pStyle w:val="Compact"/>
              <w:ind w:firstLine="0"/>
            </w:pPr>
            <w:r>
              <w:t>COSPAR assessment criteria</w:t>
            </w:r>
          </w:p>
        </w:tc>
      </w:tr>
      <w:tr w:rsidR="000673DA" w14:paraId="64434EE6" w14:textId="77777777">
        <w:tc>
          <w:tcPr>
            <w:tcW w:w="1650" w:type="dxa"/>
          </w:tcPr>
          <w:p w14:paraId="5D4EFD73" w14:textId="77777777" w:rsidR="000673DA" w:rsidRDefault="00000000">
            <w:pPr>
              <w:pStyle w:val="Compact"/>
              <w:ind w:firstLine="0"/>
            </w:pPr>
            <w:r>
              <w:t>Transparency &amp; Data Sharing</w:t>
            </w:r>
          </w:p>
        </w:tc>
        <w:tc>
          <w:tcPr>
            <w:tcW w:w="1320" w:type="dxa"/>
          </w:tcPr>
          <w:p w14:paraId="3A5E1A0A" w14:textId="77777777" w:rsidR="000673DA" w:rsidRDefault="00000000">
            <w:pPr>
              <w:pStyle w:val="Compact"/>
              <w:ind w:firstLine="0"/>
            </w:pPr>
            <w:r>
              <w:t>20%</w:t>
            </w:r>
          </w:p>
        </w:tc>
        <w:tc>
          <w:tcPr>
            <w:tcW w:w="3135" w:type="dxa"/>
          </w:tcPr>
          <w:p w14:paraId="4719D5BD" w14:textId="77777777" w:rsidR="000673DA" w:rsidRDefault="00000000">
            <w:pPr>
              <w:pStyle w:val="Compact"/>
              <w:ind w:firstLine="0"/>
            </w:pPr>
            <w:r>
              <w:t>Voluntary disclosure, SSA data sharing, registry participation, conjunction response time</w:t>
            </w:r>
          </w:p>
        </w:tc>
        <w:tc>
          <w:tcPr>
            <w:tcW w:w="1815" w:type="dxa"/>
          </w:tcPr>
          <w:p w14:paraId="452980E9" w14:textId="77777777" w:rsidR="000673DA" w:rsidRDefault="00000000">
            <w:pPr>
              <w:pStyle w:val="Compact"/>
              <w:ind w:firstLine="0"/>
            </w:pPr>
            <w:r>
              <w:t>ESG disclosure frameworks</w:t>
            </w:r>
          </w:p>
        </w:tc>
      </w:tr>
    </w:tbl>
    <w:p w14:paraId="76F32B9F" w14:textId="77777777" w:rsidR="006C002A" w:rsidRDefault="006C002A">
      <w:pPr>
        <w:pStyle w:val="BodyText"/>
      </w:pPr>
    </w:p>
    <w:p w14:paraId="0536A8BF" w14:textId="1C2FF5BE" w:rsidR="000673DA" w:rsidRDefault="00000000">
      <w:pPr>
        <w:pStyle w:val="BodyText"/>
      </w:pPr>
      <w:r>
        <w:t>The index could be released periodically to maintain salience while allowing sufficient time for behavioral responses between releases. Scoring methodology would need to be published transparently because perceived arbitrariness would undermine the index’s legitimacy and reduce its behavioral effects. Third-party audits of scoring consistency and methodology documentation, modeled on credit rating agency oversight requirements, could enhance credibility.</w:t>
      </w:r>
    </w:p>
    <w:p w14:paraId="1CF45D0A" w14:textId="77777777" w:rsidR="000673DA" w:rsidRDefault="00000000">
      <w:pPr>
        <w:pStyle w:val="Heading3"/>
      </w:pPr>
      <w:bookmarkStart w:id="18" w:name="oa4.2-evaluation-design-event-study"/>
      <w:bookmarkEnd w:id="17"/>
      <w:r>
        <w:t>OA4.2 Evaluation Design: Event Study</w:t>
      </w:r>
    </w:p>
    <w:p w14:paraId="65A1FE34" w14:textId="77777777" w:rsidR="000673DA" w:rsidRDefault="00000000">
      <w:pPr>
        <w:pStyle w:val="FirstParagraph"/>
      </w:pPr>
      <w:r>
        <w:t>The identification strategy treats quarterly index releases as discrete information shocks whose effects can be isolated using event study methodology (</w:t>
      </w:r>
      <w:hyperlink w:anchor="ref-mackinlay1997">
        <w:r>
          <w:rPr>
            <w:rStyle w:val="Hyperlink"/>
          </w:rPr>
          <w:t>MacKinlay, 1997</w:t>
        </w:r>
      </w:hyperlink>
      <w:r>
        <w:t xml:space="preserve">). The design compares outcomes in narrow windows (e.g., ±30 days) around release dates for operators </w:t>
      </w:r>
      <w:r>
        <w:lastRenderedPageBreak/>
        <w:t>experiencing significant score changes (upgrades or downgrades) relative to operators with stable scores.</w:t>
      </w:r>
    </w:p>
    <w:p w14:paraId="12A20C3A" w14:textId="77777777" w:rsidR="000673DA" w:rsidRDefault="00000000">
      <w:pPr>
        <w:pStyle w:val="BodyText"/>
      </w:pPr>
      <w:r>
        <w:t>The event study specification takes the form:</w:t>
      </w:r>
    </w:p>
    <w:p w14:paraId="6DBBBFCB" w14:textId="77777777" w:rsidR="000673DA"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30</m:t>
              </m:r>
            </m:sub>
            <m:sup>
              <m:r>
                <w:rPr>
                  <w:rFonts w:ascii="Cambria Math" w:hAnsi="Cambria Math"/>
                </w:rPr>
                <m:t>30</m:t>
              </m:r>
            </m:sup>
            <m:e>
              <m:sSubSup>
                <m:sSubSupPr>
                  <m:ctrlPr>
                    <w:rPr>
                      <w:rFonts w:ascii="Cambria Math" w:hAnsi="Cambria Math"/>
                    </w:rPr>
                  </m:ctrlPr>
                </m:sSubSupPr>
                <m:e>
                  <m:r>
                    <w:rPr>
                      <w:rFonts w:ascii="Cambria Math" w:hAnsi="Cambria Math"/>
                    </w:rPr>
                    <m:t>β</m:t>
                  </m:r>
                </m:e>
                <m:sub>
                  <m:r>
                    <w:rPr>
                      <w:rFonts w:ascii="Cambria Math" w:hAnsi="Cambria Math"/>
                    </w:rPr>
                    <m:t>τ</m:t>
                  </m:r>
                </m:sub>
                <m:sup>
                  <m:r>
                    <w:rPr>
                      <w:rFonts w:ascii="Cambria Math" w:hAnsi="Cambria Math"/>
                    </w:rPr>
                    <m:t>Up</m:t>
                  </m:r>
                </m:sup>
              </m:sSubSup>
            </m:e>
          </m:nary>
          <m:r>
            <m:rPr>
              <m:sty m:val="p"/>
            </m:rPr>
            <w:rPr>
              <w:rFonts w:ascii="Cambria Math" w:hAnsi="Cambria Math"/>
            </w:rPr>
            <m:t>(</m:t>
          </m:r>
          <m:sSub>
            <m:sSubPr>
              <m:ctrlPr>
                <w:rPr>
                  <w:rFonts w:ascii="Cambria Math" w:hAnsi="Cambria Math"/>
                </w:rPr>
              </m:ctrlPr>
            </m:sSubPr>
            <m:e>
              <m:r>
                <m:rPr>
                  <m:nor/>
                </m:rPr>
                <m:t>Upgrade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it</m:t>
              </m:r>
            </m:sub>
            <m:sup>
              <m:r>
                <w:rPr>
                  <w:rFonts w:ascii="Cambria Math" w:hAnsi="Cambria Math"/>
                </w:rPr>
                <m:t>τ</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30</m:t>
              </m:r>
            </m:sub>
            <m:sup>
              <m:r>
                <w:rPr>
                  <w:rFonts w:ascii="Cambria Math" w:hAnsi="Cambria Math"/>
                </w:rPr>
                <m:t>30</m:t>
              </m:r>
            </m:sup>
            <m:e>
              <m:sSubSup>
                <m:sSubSupPr>
                  <m:ctrlPr>
                    <w:rPr>
                      <w:rFonts w:ascii="Cambria Math" w:hAnsi="Cambria Math"/>
                    </w:rPr>
                  </m:ctrlPr>
                </m:sSubSupPr>
                <m:e>
                  <m:r>
                    <w:rPr>
                      <w:rFonts w:ascii="Cambria Math" w:hAnsi="Cambria Math"/>
                    </w:rPr>
                    <m:t>β</m:t>
                  </m:r>
                </m:e>
                <m:sub>
                  <m:r>
                    <w:rPr>
                      <w:rFonts w:ascii="Cambria Math" w:hAnsi="Cambria Math"/>
                    </w:rPr>
                    <m:t>τ</m:t>
                  </m:r>
                </m:sub>
                <m:sup>
                  <m:r>
                    <w:rPr>
                      <w:rFonts w:ascii="Cambria Math" w:hAnsi="Cambria Math"/>
                    </w:rPr>
                    <m:t>Down</m:t>
                  </m:r>
                </m:sup>
              </m:sSubSup>
            </m:e>
          </m:nary>
          <m:r>
            <m:rPr>
              <m:sty m:val="p"/>
            </m:rPr>
            <w:rPr>
              <w:rFonts w:ascii="Cambria Math" w:hAnsi="Cambria Math"/>
            </w:rPr>
            <m:t>(</m:t>
          </m:r>
          <m:sSub>
            <m:sSubPr>
              <m:ctrlPr>
                <w:rPr>
                  <w:rFonts w:ascii="Cambria Math" w:hAnsi="Cambria Math"/>
                </w:rPr>
              </m:ctrlPr>
            </m:sSubPr>
            <m:e>
              <m:r>
                <m:rPr>
                  <m:nor/>
                </m:rPr>
                <m:t>Downgrade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it</m:t>
              </m:r>
            </m:sub>
            <m:sup>
              <m:r>
                <w:rPr>
                  <w:rFonts w:ascii="Cambria Math" w:hAnsi="Cambria Math"/>
                </w:rPr>
                <m:t>τ</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oMath>
      </m:oMathPara>
    </w:p>
    <w:p w14:paraId="56B9CDD3" w14:textId="77777777" w:rsidR="000673DA"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represents the outcome (funding announcements, media sentiment, insurance quote requests) for operator </w:t>
      </w:r>
      <m:oMath>
        <m:r>
          <w:rPr>
            <w:rFonts w:ascii="Cambria Math" w:hAnsi="Cambria Math"/>
          </w:rPr>
          <m:t>i</m:t>
        </m:r>
      </m:oMath>
      <w:r>
        <w:t xml:space="preserve"> at calendar time </w:t>
      </w:r>
      <m:oMath>
        <m:r>
          <w:rPr>
            <w:rFonts w:ascii="Cambria Math" w:hAnsi="Cambria Math"/>
          </w:rPr>
          <m:t>t</m:t>
        </m:r>
      </m:oMath>
      <w:r>
        <w:t xml:space="preserve">, </w:t>
      </w:r>
      <m:oMath>
        <m:sSub>
          <m:sSubPr>
            <m:ctrlPr>
              <w:rPr>
                <w:rFonts w:ascii="Cambria Math" w:hAnsi="Cambria Math"/>
              </w:rPr>
            </m:ctrlPr>
          </m:sSubPr>
          <m:e>
            <m:r>
              <m:rPr>
                <m:nor/>
              </m:rPr>
              <m:t>Upgrade</m:t>
            </m:r>
          </m:e>
          <m:sub>
            <m:r>
              <w:rPr>
                <w:rFonts w:ascii="Cambria Math" w:hAnsi="Cambria Math"/>
              </w:rPr>
              <m:t>i</m:t>
            </m:r>
          </m:sub>
        </m:sSub>
      </m:oMath>
      <w:r>
        <w:t xml:space="preserve"> and </w:t>
      </w:r>
      <m:oMath>
        <m:sSub>
          <m:sSubPr>
            <m:ctrlPr>
              <w:rPr>
                <w:rFonts w:ascii="Cambria Math" w:hAnsi="Cambria Math"/>
              </w:rPr>
            </m:ctrlPr>
          </m:sSubPr>
          <m:e>
            <m:r>
              <m:rPr>
                <m:nor/>
              </m:rPr>
              <m:t>Downgrade</m:t>
            </m:r>
          </m:e>
          <m:sub>
            <m:r>
              <w:rPr>
                <w:rFonts w:ascii="Cambria Math" w:hAnsi="Cambria Math"/>
              </w:rPr>
              <m:t>i</m:t>
            </m:r>
          </m:sub>
        </m:sSub>
      </m:oMath>
      <w:r>
        <w:t xml:space="preserve"> indicate operators experiencing significant score changes in the relevant quarter, and </w:t>
      </w:r>
      <m:oMath>
        <m:sSubSup>
          <m:sSubSupPr>
            <m:ctrlPr>
              <w:rPr>
                <w:rFonts w:ascii="Cambria Math" w:hAnsi="Cambria Math"/>
              </w:rPr>
            </m:ctrlPr>
          </m:sSubSupPr>
          <m:e>
            <m:r>
              <w:rPr>
                <w:rFonts w:ascii="Cambria Math" w:hAnsi="Cambria Math"/>
              </w:rPr>
              <m:t>D</m:t>
            </m:r>
          </m:e>
          <m:sub>
            <m:r>
              <w:rPr>
                <w:rFonts w:ascii="Cambria Math" w:hAnsi="Cambria Math"/>
              </w:rPr>
              <m:t>it</m:t>
            </m:r>
          </m:sub>
          <m:sup>
            <m:r>
              <w:rPr>
                <w:rFonts w:ascii="Cambria Math" w:hAnsi="Cambria Math"/>
              </w:rPr>
              <m:t>τ</m:t>
            </m:r>
          </m:sup>
        </m:sSubSup>
      </m:oMath>
      <w:r>
        <w:t xml:space="preserve"> are event-time indicators measuring days relative to the release date (τ = 0). The coefficients </w:t>
      </w:r>
      <m:oMath>
        <m:sSubSup>
          <m:sSubSupPr>
            <m:ctrlPr>
              <w:rPr>
                <w:rFonts w:ascii="Cambria Math" w:hAnsi="Cambria Math"/>
              </w:rPr>
            </m:ctrlPr>
          </m:sSubSupPr>
          <m:e>
            <m:r>
              <w:rPr>
                <w:rFonts w:ascii="Cambria Math" w:hAnsi="Cambria Math"/>
              </w:rPr>
              <m:t>β</m:t>
            </m:r>
          </m:e>
          <m:sub>
            <m:r>
              <w:rPr>
                <w:rFonts w:ascii="Cambria Math" w:hAnsi="Cambria Math"/>
              </w:rPr>
              <m:t>τ</m:t>
            </m:r>
          </m:sub>
          <m:sup>
            <m:r>
              <w:rPr>
                <w:rFonts w:ascii="Cambria Math" w:hAnsi="Cambria Math"/>
              </w:rPr>
              <m:t>Up</m:t>
            </m:r>
          </m:sup>
        </m:sSubSup>
      </m:oMath>
      <w:r>
        <w:t xml:space="preserve"> and </w:t>
      </w:r>
      <m:oMath>
        <m:sSubSup>
          <m:sSubSupPr>
            <m:ctrlPr>
              <w:rPr>
                <w:rFonts w:ascii="Cambria Math" w:hAnsi="Cambria Math"/>
              </w:rPr>
            </m:ctrlPr>
          </m:sSubSupPr>
          <m:e>
            <m:r>
              <w:rPr>
                <w:rFonts w:ascii="Cambria Math" w:hAnsi="Cambria Math"/>
              </w:rPr>
              <m:t>β</m:t>
            </m:r>
          </m:e>
          <m:sub>
            <m:r>
              <w:rPr>
                <w:rFonts w:ascii="Cambria Math" w:hAnsi="Cambria Math"/>
              </w:rPr>
              <m:t>τ</m:t>
            </m:r>
          </m:sub>
          <m:sup>
            <m:r>
              <w:rPr>
                <w:rFonts w:ascii="Cambria Math" w:hAnsi="Cambria Math"/>
              </w:rPr>
              <m:t>Down</m:t>
            </m:r>
          </m:sup>
        </m:sSubSup>
      </m:oMath>
      <w:r>
        <w:t xml:space="preserve"> trace the dynamic response to score changes across event time.</w:t>
      </w:r>
    </w:p>
    <w:p w14:paraId="3119F3E4" w14:textId="77777777" w:rsidR="000673DA" w:rsidRDefault="00000000">
      <w:pPr>
        <w:pStyle w:val="BodyText"/>
      </w:pPr>
      <w:r>
        <w:t>The cumulative average effect (CAE) summarizes the overall impact by summing post-event coefficients. Statistical significance is assessed against the null hypothesis that scores contain no decision-relevant information beyond what market participants already knew. A potential identification threat is reverse causality: operators improving their behavior would both receive upgrades and show improved outcomes, and the event study design mitigates this concern by examining responses within narrow windows around release dates, since behavioral improvements typically precede score changes by months while market responses to score announcements occur within days.</w:t>
      </w:r>
    </w:p>
    <w:p w14:paraId="4BAE3C4E" w14:textId="77777777" w:rsidR="000673DA" w:rsidRDefault="00000000">
      <w:pPr>
        <w:pStyle w:val="Heading3"/>
      </w:pPr>
      <w:bookmarkStart w:id="19" w:name="Xe35655ecf36d79d1335b8ade751e5e3fe48946a"/>
      <w:bookmarkEnd w:id="18"/>
      <w:r>
        <w:t>OA4.3 Heterogeneous Effects by Operator Type</w:t>
      </w:r>
    </w:p>
    <w:p w14:paraId="764C6B4D" w14:textId="77777777" w:rsidR="000673DA" w:rsidRDefault="00000000">
      <w:pPr>
        <w:pStyle w:val="FirstParagraph"/>
      </w:pPr>
      <w:r>
        <w:t>A critical test of the framework concerns operator heterogeneity. Reputational mechanisms would be expected to affect capital-dependent commercial operators more strongly than government agencies with budget allocations independent of market perception. Table OA5 specifies expected responsiveness patterns.</w:t>
      </w:r>
    </w:p>
    <w:p w14:paraId="6CBD698C" w14:textId="77777777" w:rsidR="000673DA" w:rsidRDefault="00000000">
      <w:pPr>
        <w:pStyle w:val="BodyText"/>
        <w:ind w:firstLine="0"/>
        <w:jc w:val="center"/>
      </w:pPr>
      <w:r>
        <w:rPr>
          <w:b/>
          <w:bCs/>
        </w:rPr>
        <w:lastRenderedPageBreak/>
        <w:t>Table OA5: Expected Responsiveness by Operator Type</w:t>
      </w:r>
    </w:p>
    <w:tbl>
      <w:tblPr>
        <w:tblStyle w:val="Table"/>
        <w:tblW w:w="5000" w:type="pct"/>
        <w:tblInd w:w="108" w:type="dxa"/>
        <w:tblLayout w:type="fixed"/>
        <w:tblLook w:val="0020" w:firstRow="1" w:lastRow="0" w:firstColumn="0" w:lastColumn="0" w:noHBand="0" w:noVBand="0"/>
      </w:tblPr>
      <w:tblGrid>
        <w:gridCol w:w="2177"/>
        <w:gridCol w:w="2321"/>
        <w:gridCol w:w="2072"/>
        <w:gridCol w:w="3006"/>
      </w:tblGrid>
      <w:tr w:rsidR="000673DA" w14:paraId="78D4FE66" w14:textId="77777777" w:rsidTr="006C002A">
        <w:trPr>
          <w:tblHeader/>
        </w:trPr>
        <w:tc>
          <w:tcPr>
            <w:tcW w:w="2177" w:type="dxa"/>
          </w:tcPr>
          <w:p w14:paraId="39871460" w14:textId="77777777" w:rsidR="000673DA" w:rsidRDefault="00000000">
            <w:pPr>
              <w:pStyle w:val="Compact"/>
              <w:ind w:firstLine="0"/>
            </w:pPr>
            <w:r>
              <w:t>Operator Type</w:t>
            </w:r>
          </w:p>
        </w:tc>
        <w:tc>
          <w:tcPr>
            <w:tcW w:w="2321" w:type="dxa"/>
          </w:tcPr>
          <w:p w14:paraId="0E256BBD" w14:textId="77777777" w:rsidR="000673DA" w:rsidRDefault="00000000">
            <w:pPr>
              <w:pStyle w:val="Compact"/>
              <w:ind w:firstLine="0"/>
            </w:pPr>
            <w:r>
              <w:t>Funding Source</w:t>
            </w:r>
          </w:p>
        </w:tc>
        <w:tc>
          <w:tcPr>
            <w:tcW w:w="2072" w:type="dxa"/>
          </w:tcPr>
          <w:p w14:paraId="4CA2E25D" w14:textId="77777777" w:rsidR="000673DA" w:rsidRDefault="00000000">
            <w:pPr>
              <w:pStyle w:val="Compact"/>
              <w:ind w:firstLine="0"/>
            </w:pPr>
            <w:r>
              <w:t>Expected Responsiveness</w:t>
            </w:r>
          </w:p>
        </w:tc>
        <w:tc>
          <w:tcPr>
            <w:tcW w:w="3006" w:type="dxa"/>
          </w:tcPr>
          <w:p w14:paraId="1FD2E62D" w14:textId="77777777" w:rsidR="000673DA" w:rsidRDefault="00000000">
            <w:pPr>
              <w:pStyle w:val="Compact"/>
              <w:ind w:firstLine="0"/>
            </w:pPr>
            <w:r>
              <w:t>Rationale</w:t>
            </w:r>
          </w:p>
        </w:tc>
      </w:tr>
      <w:tr w:rsidR="000673DA" w14:paraId="3E8B1853" w14:textId="77777777" w:rsidTr="006C002A">
        <w:tc>
          <w:tcPr>
            <w:tcW w:w="2177" w:type="dxa"/>
          </w:tcPr>
          <w:p w14:paraId="1E3075C9" w14:textId="77777777" w:rsidR="000673DA" w:rsidRDefault="00000000">
            <w:pPr>
              <w:pStyle w:val="Compact"/>
              <w:ind w:firstLine="0"/>
            </w:pPr>
            <w:r>
              <w:t>VC-backed startup</w:t>
            </w:r>
          </w:p>
        </w:tc>
        <w:tc>
          <w:tcPr>
            <w:tcW w:w="2321" w:type="dxa"/>
          </w:tcPr>
          <w:p w14:paraId="442354B2" w14:textId="77777777" w:rsidR="000673DA" w:rsidRDefault="00000000">
            <w:pPr>
              <w:pStyle w:val="Compact"/>
              <w:ind w:firstLine="0"/>
            </w:pPr>
            <w:r>
              <w:t>Venture capital</w:t>
            </w:r>
          </w:p>
        </w:tc>
        <w:tc>
          <w:tcPr>
            <w:tcW w:w="2072" w:type="dxa"/>
          </w:tcPr>
          <w:p w14:paraId="1A74FEBE" w14:textId="77777777" w:rsidR="000673DA" w:rsidRDefault="00000000">
            <w:pPr>
              <w:pStyle w:val="Compact"/>
              <w:ind w:firstLine="0"/>
            </w:pPr>
            <w:r>
              <w:t>High</w:t>
            </w:r>
          </w:p>
        </w:tc>
        <w:tc>
          <w:tcPr>
            <w:tcW w:w="3006" w:type="dxa"/>
          </w:tcPr>
          <w:p w14:paraId="155D7CD8" w14:textId="77777777" w:rsidR="000673DA" w:rsidRDefault="00000000">
            <w:pPr>
              <w:pStyle w:val="Compact"/>
              <w:ind w:firstLine="0"/>
            </w:pPr>
            <w:r>
              <w:t>Dependent on investor sentiment</w:t>
            </w:r>
          </w:p>
        </w:tc>
      </w:tr>
      <w:tr w:rsidR="000673DA" w14:paraId="61379FD7" w14:textId="77777777" w:rsidTr="006C002A">
        <w:tc>
          <w:tcPr>
            <w:tcW w:w="2177" w:type="dxa"/>
          </w:tcPr>
          <w:p w14:paraId="79310848" w14:textId="77777777" w:rsidR="000673DA" w:rsidRDefault="00000000">
            <w:pPr>
              <w:pStyle w:val="Compact"/>
              <w:ind w:firstLine="0"/>
            </w:pPr>
            <w:r>
              <w:t>Public commercial</w:t>
            </w:r>
          </w:p>
        </w:tc>
        <w:tc>
          <w:tcPr>
            <w:tcW w:w="2321" w:type="dxa"/>
          </w:tcPr>
          <w:p w14:paraId="6917B414" w14:textId="77777777" w:rsidR="000673DA" w:rsidRDefault="00000000">
            <w:pPr>
              <w:pStyle w:val="Compact"/>
              <w:ind w:firstLine="0"/>
            </w:pPr>
            <w:r>
              <w:t>Equity markets</w:t>
            </w:r>
          </w:p>
        </w:tc>
        <w:tc>
          <w:tcPr>
            <w:tcW w:w="2072" w:type="dxa"/>
          </w:tcPr>
          <w:p w14:paraId="4D646245" w14:textId="77777777" w:rsidR="000673DA" w:rsidRDefault="00000000">
            <w:pPr>
              <w:pStyle w:val="Compact"/>
              <w:ind w:firstLine="0"/>
            </w:pPr>
            <w:r>
              <w:t>Medium-High</w:t>
            </w:r>
          </w:p>
        </w:tc>
        <w:tc>
          <w:tcPr>
            <w:tcW w:w="3006" w:type="dxa"/>
          </w:tcPr>
          <w:p w14:paraId="1F1AC656" w14:textId="77777777" w:rsidR="000673DA" w:rsidRDefault="00000000">
            <w:pPr>
              <w:pStyle w:val="Compact"/>
              <w:ind w:firstLine="0"/>
            </w:pPr>
            <w:r>
              <w:t>ESG investor sensitivity</w:t>
            </w:r>
          </w:p>
        </w:tc>
      </w:tr>
      <w:tr w:rsidR="000673DA" w14:paraId="70E38F7A" w14:textId="77777777" w:rsidTr="006C002A">
        <w:tc>
          <w:tcPr>
            <w:tcW w:w="2177" w:type="dxa"/>
          </w:tcPr>
          <w:p w14:paraId="2DFBE9B3" w14:textId="77777777" w:rsidR="000673DA" w:rsidRDefault="00000000">
            <w:pPr>
              <w:pStyle w:val="Compact"/>
              <w:ind w:firstLine="0"/>
            </w:pPr>
            <w:r>
              <w:t>Government agency</w:t>
            </w:r>
          </w:p>
        </w:tc>
        <w:tc>
          <w:tcPr>
            <w:tcW w:w="2321" w:type="dxa"/>
          </w:tcPr>
          <w:p w14:paraId="344155C4" w14:textId="77777777" w:rsidR="000673DA" w:rsidRDefault="00000000">
            <w:pPr>
              <w:pStyle w:val="Compact"/>
              <w:ind w:firstLine="0"/>
            </w:pPr>
            <w:r>
              <w:t>Budget appropriation</w:t>
            </w:r>
          </w:p>
        </w:tc>
        <w:tc>
          <w:tcPr>
            <w:tcW w:w="2072" w:type="dxa"/>
          </w:tcPr>
          <w:p w14:paraId="4983FC98" w14:textId="77777777" w:rsidR="000673DA" w:rsidRDefault="00000000">
            <w:pPr>
              <w:pStyle w:val="Compact"/>
              <w:ind w:firstLine="0"/>
            </w:pPr>
            <w:r>
              <w:t>Low</w:t>
            </w:r>
          </w:p>
        </w:tc>
        <w:tc>
          <w:tcPr>
            <w:tcW w:w="3006" w:type="dxa"/>
          </w:tcPr>
          <w:p w14:paraId="677E3C7E" w14:textId="77777777" w:rsidR="000673DA" w:rsidRDefault="00000000">
            <w:pPr>
              <w:pStyle w:val="Compact"/>
              <w:ind w:firstLine="0"/>
            </w:pPr>
            <w:r>
              <w:t>Political rather than market accountability</w:t>
            </w:r>
          </w:p>
        </w:tc>
      </w:tr>
      <w:tr w:rsidR="000673DA" w14:paraId="36914E79" w14:textId="77777777" w:rsidTr="006C002A">
        <w:tc>
          <w:tcPr>
            <w:tcW w:w="2177" w:type="dxa"/>
          </w:tcPr>
          <w:p w14:paraId="65043620" w14:textId="77777777" w:rsidR="000673DA" w:rsidRDefault="00000000">
            <w:pPr>
              <w:pStyle w:val="Compact"/>
              <w:ind w:firstLine="0"/>
            </w:pPr>
            <w:r>
              <w:t>State enterprise (pluralistic media)</w:t>
            </w:r>
          </w:p>
        </w:tc>
        <w:tc>
          <w:tcPr>
            <w:tcW w:w="2321" w:type="dxa"/>
          </w:tcPr>
          <w:p w14:paraId="6D9D5EBC" w14:textId="77777777" w:rsidR="000673DA" w:rsidRDefault="00000000">
            <w:pPr>
              <w:pStyle w:val="Compact"/>
              <w:ind w:firstLine="0"/>
            </w:pPr>
            <w:r>
              <w:t>Mixed</w:t>
            </w:r>
          </w:p>
        </w:tc>
        <w:tc>
          <w:tcPr>
            <w:tcW w:w="2072" w:type="dxa"/>
          </w:tcPr>
          <w:p w14:paraId="49484ED4" w14:textId="77777777" w:rsidR="000673DA" w:rsidRDefault="00000000">
            <w:pPr>
              <w:pStyle w:val="Compact"/>
              <w:ind w:firstLine="0"/>
            </w:pPr>
            <w:r>
              <w:t>Medium</w:t>
            </w:r>
          </w:p>
        </w:tc>
        <w:tc>
          <w:tcPr>
            <w:tcW w:w="3006" w:type="dxa"/>
          </w:tcPr>
          <w:p w14:paraId="7604F0A8" w14:textId="77777777" w:rsidR="000673DA" w:rsidRDefault="00000000">
            <w:pPr>
              <w:pStyle w:val="Compact"/>
              <w:ind w:firstLine="0"/>
            </w:pPr>
            <w:r>
              <w:t>Multiple domestic accountability channels</w:t>
            </w:r>
          </w:p>
        </w:tc>
      </w:tr>
      <w:tr w:rsidR="000673DA" w14:paraId="704C5BA6" w14:textId="77777777" w:rsidTr="006C002A">
        <w:tc>
          <w:tcPr>
            <w:tcW w:w="2177" w:type="dxa"/>
          </w:tcPr>
          <w:p w14:paraId="7F7C5218" w14:textId="77777777" w:rsidR="000673DA" w:rsidRDefault="00000000">
            <w:pPr>
              <w:pStyle w:val="Compact"/>
              <w:ind w:firstLine="0"/>
            </w:pPr>
            <w:r>
              <w:t>State enterprise (centralized governance)</w:t>
            </w:r>
          </w:p>
        </w:tc>
        <w:tc>
          <w:tcPr>
            <w:tcW w:w="2321" w:type="dxa"/>
          </w:tcPr>
          <w:p w14:paraId="5F665043" w14:textId="77777777" w:rsidR="000673DA" w:rsidRDefault="00000000">
            <w:pPr>
              <w:pStyle w:val="Compact"/>
              <w:ind w:firstLine="0"/>
            </w:pPr>
            <w:r>
              <w:t>State budget</w:t>
            </w:r>
          </w:p>
        </w:tc>
        <w:tc>
          <w:tcPr>
            <w:tcW w:w="2072" w:type="dxa"/>
          </w:tcPr>
          <w:p w14:paraId="732209C1" w14:textId="77777777" w:rsidR="000673DA" w:rsidRDefault="00000000">
            <w:pPr>
              <w:pStyle w:val="Compact"/>
              <w:ind w:firstLine="0"/>
            </w:pPr>
            <w:r>
              <w:t>Low</w:t>
            </w:r>
          </w:p>
        </w:tc>
        <w:tc>
          <w:tcPr>
            <w:tcW w:w="3006" w:type="dxa"/>
          </w:tcPr>
          <w:p w14:paraId="7BDD3522" w14:textId="77777777" w:rsidR="000673DA" w:rsidRDefault="00000000">
            <w:pPr>
              <w:pStyle w:val="Compact"/>
              <w:ind w:firstLine="0"/>
            </w:pPr>
            <w:r>
              <w:t>Reputational pressure operates primarily through international channels</w:t>
            </w:r>
          </w:p>
        </w:tc>
      </w:tr>
    </w:tbl>
    <w:p w14:paraId="70FA6F2E" w14:textId="77777777" w:rsidR="006C002A" w:rsidRDefault="006C002A">
      <w:pPr>
        <w:pStyle w:val="BodyText"/>
      </w:pPr>
    </w:p>
    <w:p w14:paraId="3C64EAB6" w14:textId="69DD7C67" w:rsidR="000673DA" w:rsidRDefault="00000000">
      <w:pPr>
        <w:pStyle w:val="BodyText"/>
      </w:pPr>
      <w:r>
        <w:t>Observing uniform effects across operator types would contradict the theorized status competition mechanism, and effects would instead be expected to concentrate among operators facing genuine reputational stakes. Conversely, observing effects only among government agencies would suggest mechanisms other than market pressure (perhaps diplomatic or bureaucratic) drive behavioral responses.</w:t>
      </w:r>
    </w:p>
    <w:p w14:paraId="7B975CED" w14:textId="77777777" w:rsidR="006C002A" w:rsidRDefault="006C002A">
      <w:pPr>
        <w:spacing w:after="200" w:line="240" w:lineRule="auto"/>
        <w:rPr>
          <w:b/>
        </w:rPr>
      </w:pPr>
      <w:bookmarkStart w:id="20" w:name="X7f8f0574a8ed41da557268fcb63f9883c0a4ed0"/>
      <w:bookmarkEnd w:id="16"/>
      <w:bookmarkEnd w:id="19"/>
      <w:r>
        <w:br w:type="page"/>
      </w:r>
    </w:p>
    <w:p w14:paraId="704DFACF" w14:textId="60822376" w:rsidR="000673DA" w:rsidRDefault="00000000">
      <w:pPr>
        <w:pStyle w:val="Heading2"/>
        <w:spacing w:before="720" w:after="120"/>
      </w:pPr>
      <w:r>
        <w:lastRenderedPageBreak/>
        <w:t>OA5. Instrument 3: Loss-Framed Site Designation</w:t>
      </w:r>
    </w:p>
    <w:p w14:paraId="7A9BD60D" w14:textId="77777777" w:rsidR="000673DA" w:rsidRDefault="00000000">
      <w:pPr>
        <w:pStyle w:val="Heading3"/>
      </w:pPr>
      <w:bookmarkStart w:id="21" w:name="oa5.1-design-specification"/>
      <w:r>
        <w:t>OA5.1 Design Specification</w:t>
      </w:r>
    </w:p>
    <w:p w14:paraId="476F9E7E" w14:textId="77777777" w:rsidR="000673DA" w:rsidRDefault="00000000">
      <w:pPr>
        <w:pStyle w:val="FirstParagraph"/>
      </w:pPr>
      <w:r>
        <w:t>Loss-framed designations leverage psychological asymmetries in how actors process potential gains versus potential losses. Designating sites as “heritage” or “protection zones” reframes the policy question from “grant access privileges?” (gain frame) to “permit irreversible loss of shared resources?” (loss frame). Table OA6 specifies site categories and their associated loss frames.</w:t>
      </w:r>
    </w:p>
    <w:p w14:paraId="202025A9" w14:textId="77777777" w:rsidR="000673DA" w:rsidRDefault="00000000">
      <w:pPr>
        <w:pStyle w:val="BodyText"/>
        <w:ind w:firstLine="0"/>
        <w:jc w:val="center"/>
      </w:pPr>
      <w:r>
        <w:rPr>
          <w:b/>
          <w:bCs/>
        </w:rPr>
        <w:t>Table OA6: Site Categories and Loss Framing</w:t>
      </w:r>
    </w:p>
    <w:tbl>
      <w:tblPr>
        <w:tblStyle w:val="Table"/>
        <w:tblW w:w="5000" w:type="pct"/>
        <w:tblInd w:w="108" w:type="dxa"/>
        <w:tblLayout w:type="fixed"/>
        <w:tblLook w:val="0020" w:firstRow="1" w:lastRow="0" w:firstColumn="0" w:lastColumn="0" w:noHBand="0" w:noVBand="0"/>
      </w:tblPr>
      <w:tblGrid>
        <w:gridCol w:w="2477"/>
        <w:gridCol w:w="1651"/>
        <w:gridCol w:w="1981"/>
        <w:gridCol w:w="3467"/>
      </w:tblGrid>
      <w:tr w:rsidR="000673DA" w14:paraId="2F127C4D" w14:textId="77777777">
        <w:trPr>
          <w:tblHeader/>
        </w:trPr>
        <w:tc>
          <w:tcPr>
            <w:tcW w:w="2048" w:type="dxa"/>
          </w:tcPr>
          <w:p w14:paraId="0C518EBA" w14:textId="77777777" w:rsidR="000673DA" w:rsidRDefault="00000000">
            <w:pPr>
              <w:pStyle w:val="Compact"/>
              <w:ind w:firstLine="0"/>
            </w:pPr>
            <w:r>
              <w:t>Site Category</w:t>
            </w:r>
          </w:p>
        </w:tc>
        <w:tc>
          <w:tcPr>
            <w:tcW w:w="1365" w:type="dxa"/>
          </w:tcPr>
          <w:p w14:paraId="2FDD303E" w14:textId="77777777" w:rsidR="000673DA" w:rsidRDefault="00000000">
            <w:pPr>
              <w:pStyle w:val="Compact"/>
              <w:ind w:firstLine="0"/>
            </w:pPr>
            <w:r>
              <w:t>Examples</w:t>
            </w:r>
          </w:p>
        </w:tc>
        <w:tc>
          <w:tcPr>
            <w:tcW w:w="1638" w:type="dxa"/>
          </w:tcPr>
          <w:p w14:paraId="5390769D" w14:textId="77777777" w:rsidR="000673DA" w:rsidRDefault="00000000">
            <w:pPr>
              <w:pStyle w:val="Compact"/>
              <w:ind w:firstLine="0"/>
            </w:pPr>
            <w:r>
              <w:t>Loss Frame</w:t>
            </w:r>
          </w:p>
        </w:tc>
        <w:tc>
          <w:tcPr>
            <w:tcW w:w="2867" w:type="dxa"/>
          </w:tcPr>
          <w:p w14:paraId="682358CC" w14:textId="77777777" w:rsidR="000673DA" w:rsidRDefault="00000000">
            <w:pPr>
              <w:pStyle w:val="Compact"/>
              <w:ind w:firstLine="0"/>
            </w:pPr>
            <w:r>
              <w:t>Psychological Target</w:t>
            </w:r>
          </w:p>
        </w:tc>
      </w:tr>
      <w:tr w:rsidR="000673DA" w14:paraId="5B52B558" w14:textId="77777777">
        <w:tc>
          <w:tcPr>
            <w:tcW w:w="2048" w:type="dxa"/>
          </w:tcPr>
          <w:p w14:paraId="733768EA" w14:textId="77777777" w:rsidR="000673DA" w:rsidRDefault="00000000">
            <w:pPr>
              <w:pStyle w:val="Compact"/>
              <w:ind w:firstLine="0"/>
            </w:pPr>
            <w:r>
              <w:t>Scientific Heritage</w:t>
            </w:r>
          </w:p>
        </w:tc>
        <w:tc>
          <w:tcPr>
            <w:tcW w:w="1365" w:type="dxa"/>
          </w:tcPr>
          <w:p w14:paraId="2FC0DC22" w14:textId="77777777" w:rsidR="000673DA" w:rsidRDefault="00000000">
            <w:pPr>
              <w:pStyle w:val="Compact"/>
              <w:ind w:firstLine="0"/>
            </w:pPr>
            <w:r>
              <w:t>Apollo 11 site, Luna 2 impact site</w:t>
            </w:r>
          </w:p>
        </w:tc>
        <w:tc>
          <w:tcPr>
            <w:tcW w:w="1638" w:type="dxa"/>
          </w:tcPr>
          <w:p w14:paraId="14C9D966" w14:textId="77777777" w:rsidR="000673DA" w:rsidRDefault="00000000">
            <w:pPr>
              <w:pStyle w:val="Compact"/>
              <w:ind w:firstLine="0"/>
            </w:pPr>
            <w:r>
              <w:t>“Irreplaceable record of human achievement”</w:t>
            </w:r>
          </w:p>
        </w:tc>
        <w:tc>
          <w:tcPr>
            <w:tcW w:w="2867" w:type="dxa"/>
          </w:tcPr>
          <w:p w14:paraId="1EA5D7C0" w14:textId="77777777" w:rsidR="000673DA" w:rsidRDefault="00000000">
            <w:pPr>
              <w:pStyle w:val="Compact"/>
              <w:ind w:firstLine="0"/>
            </w:pPr>
            <w:r>
              <w:t>Collective identity loss</w:t>
            </w:r>
          </w:p>
        </w:tc>
      </w:tr>
      <w:tr w:rsidR="000673DA" w14:paraId="07A54B5A" w14:textId="77777777">
        <w:tc>
          <w:tcPr>
            <w:tcW w:w="2048" w:type="dxa"/>
          </w:tcPr>
          <w:p w14:paraId="0F03CD95" w14:textId="77777777" w:rsidR="000673DA" w:rsidRDefault="00000000">
            <w:pPr>
              <w:pStyle w:val="Compact"/>
              <w:ind w:firstLine="0"/>
            </w:pPr>
            <w:r>
              <w:t>Radio-Quiet Zones</w:t>
            </w:r>
          </w:p>
        </w:tc>
        <w:tc>
          <w:tcPr>
            <w:tcW w:w="1365" w:type="dxa"/>
          </w:tcPr>
          <w:p w14:paraId="1FF29417" w14:textId="77777777" w:rsidR="000673DA" w:rsidRDefault="00000000">
            <w:pPr>
              <w:pStyle w:val="Compact"/>
              <w:ind w:firstLine="0"/>
            </w:pPr>
            <w:r>
              <w:t>Lunar Farside</w:t>
            </w:r>
          </w:p>
        </w:tc>
        <w:tc>
          <w:tcPr>
            <w:tcW w:w="1638" w:type="dxa"/>
          </w:tcPr>
          <w:p w14:paraId="3827EA5B" w14:textId="77777777" w:rsidR="000673DA" w:rsidRDefault="00000000">
            <w:pPr>
              <w:pStyle w:val="Compact"/>
              <w:ind w:firstLine="0"/>
            </w:pPr>
            <w:r>
              <w:t>“Unique window to early universe now at risk”</w:t>
            </w:r>
          </w:p>
        </w:tc>
        <w:tc>
          <w:tcPr>
            <w:tcW w:w="2867" w:type="dxa"/>
          </w:tcPr>
          <w:p w14:paraId="6E568125" w14:textId="77777777" w:rsidR="000673DA" w:rsidRDefault="00000000">
            <w:pPr>
              <w:pStyle w:val="Compact"/>
              <w:ind w:firstLine="0"/>
            </w:pPr>
            <w:r>
              <w:t>Scientific capability loss</w:t>
            </w:r>
          </w:p>
        </w:tc>
      </w:tr>
      <w:tr w:rsidR="000673DA" w14:paraId="37D9A51F" w14:textId="77777777">
        <w:tc>
          <w:tcPr>
            <w:tcW w:w="2048" w:type="dxa"/>
          </w:tcPr>
          <w:p w14:paraId="6B48662D" w14:textId="77777777" w:rsidR="000673DA" w:rsidRDefault="00000000">
            <w:pPr>
              <w:pStyle w:val="Compact"/>
              <w:ind w:firstLine="0"/>
            </w:pPr>
            <w:r>
              <w:t>Geological Reserves</w:t>
            </w:r>
          </w:p>
        </w:tc>
        <w:tc>
          <w:tcPr>
            <w:tcW w:w="1365" w:type="dxa"/>
          </w:tcPr>
          <w:p w14:paraId="5384CC2D" w14:textId="77777777" w:rsidR="000673DA" w:rsidRDefault="00000000">
            <w:pPr>
              <w:pStyle w:val="Compact"/>
              <w:ind w:firstLine="0"/>
            </w:pPr>
            <w:r>
              <w:t>Shackleton Crater ice deposits</w:t>
            </w:r>
          </w:p>
        </w:tc>
        <w:tc>
          <w:tcPr>
            <w:tcW w:w="1638" w:type="dxa"/>
          </w:tcPr>
          <w:p w14:paraId="2899AFB1" w14:textId="77777777" w:rsidR="000673DA" w:rsidRDefault="00000000">
            <w:pPr>
              <w:pStyle w:val="Compact"/>
              <w:ind w:firstLine="0"/>
            </w:pPr>
            <w:r>
              <w:t>“Non-renewable resource requiring stewardship”</w:t>
            </w:r>
          </w:p>
        </w:tc>
        <w:tc>
          <w:tcPr>
            <w:tcW w:w="2867" w:type="dxa"/>
          </w:tcPr>
          <w:p w14:paraId="2AF5EEDF" w14:textId="77777777" w:rsidR="000673DA" w:rsidRDefault="00000000">
            <w:pPr>
              <w:pStyle w:val="Compact"/>
              <w:ind w:firstLine="0"/>
            </w:pPr>
            <w:r>
              <w:t>Future option loss</w:t>
            </w:r>
          </w:p>
        </w:tc>
      </w:tr>
      <w:tr w:rsidR="000673DA" w14:paraId="4D7A3DF5" w14:textId="77777777">
        <w:tc>
          <w:tcPr>
            <w:tcW w:w="2048" w:type="dxa"/>
          </w:tcPr>
          <w:p w14:paraId="33A0745F" w14:textId="77777777" w:rsidR="000673DA" w:rsidRDefault="00000000">
            <w:pPr>
              <w:pStyle w:val="Compact"/>
              <w:ind w:firstLine="0"/>
            </w:pPr>
            <w:r>
              <w:t>Biological Protection</w:t>
            </w:r>
          </w:p>
        </w:tc>
        <w:tc>
          <w:tcPr>
            <w:tcW w:w="1365" w:type="dxa"/>
          </w:tcPr>
          <w:p w14:paraId="2D9D3FBF" w14:textId="77777777" w:rsidR="000673DA" w:rsidRDefault="00000000">
            <w:pPr>
              <w:pStyle w:val="Compact"/>
              <w:ind w:firstLine="0"/>
            </w:pPr>
            <w:r>
              <w:t>Potential Mars biosignature sites</w:t>
            </w:r>
          </w:p>
        </w:tc>
        <w:tc>
          <w:tcPr>
            <w:tcW w:w="1638" w:type="dxa"/>
          </w:tcPr>
          <w:p w14:paraId="04A3570F" w14:textId="77777777" w:rsidR="000673DA" w:rsidRDefault="00000000">
            <w:pPr>
              <w:pStyle w:val="Compact"/>
              <w:ind w:firstLine="0"/>
            </w:pPr>
            <w:r>
              <w:t>“Risk of irreversible contamination”</w:t>
            </w:r>
          </w:p>
        </w:tc>
        <w:tc>
          <w:tcPr>
            <w:tcW w:w="2867" w:type="dxa"/>
          </w:tcPr>
          <w:p w14:paraId="094F97AB" w14:textId="77777777" w:rsidR="000673DA" w:rsidRDefault="00000000">
            <w:pPr>
              <w:pStyle w:val="Compact"/>
              <w:ind w:firstLine="0"/>
            </w:pPr>
            <w:r>
              <w:t>Discovery potential loss</w:t>
            </w:r>
          </w:p>
        </w:tc>
      </w:tr>
    </w:tbl>
    <w:p w14:paraId="19EE8459" w14:textId="77777777" w:rsidR="006C002A" w:rsidRDefault="006C002A">
      <w:pPr>
        <w:pStyle w:val="BodyText"/>
      </w:pPr>
    </w:p>
    <w:p w14:paraId="65A7BABD" w14:textId="78D4E1FC" w:rsidR="000673DA" w:rsidRDefault="00000000">
      <w:pPr>
        <w:pStyle w:val="BodyText"/>
      </w:pPr>
      <w:r>
        <w:t>Loss-framed descriptions would be expected to generate stronger protective responses than equivalent gain-framed descriptions. An operator told “access to Shackleton Crater requires forfeiting shared ice reserves” would be expected to exhibit greater reluctance than one told “Shackleton Crater access enables resource extraction opportunities.” Both descriptions refer to the same physical reality; only the framing differs.</w:t>
      </w:r>
    </w:p>
    <w:p w14:paraId="6EB3E396" w14:textId="77777777" w:rsidR="000673DA" w:rsidRDefault="00000000">
      <w:pPr>
        <w:pStyle w:val="Heading3"/>
      </w:pPr>
      <w:bookmarkStart w:id="22" w:name="Xb178ecbe867e5ca69a5f9a540cb69683b0a7b07"/>
      <w:bookmarkEnd w:id="21"/>
      <w:r>
        <w:t>OA5.2 Evaluation Design: Synthetic Control Method</w:t>
      </w:r>
    </w:p>
    <w:p w14:paraId="062EE629" w14:textId="77777777" w:rsidR="000673DA" w:rsidRDefault="00000000">
      <w:pPr>
        <w:pStyle w:val="FirstParagraph"/>
      </w:pPr>
      <w:r>
        <w:t xml:space="preserve">Evaluating site designations presents a fundamental identification challenge. Designated sites are unique, lacking natural control groups. The Lunar Farside radio-quiet zone, for example, </w:t>
      </w:r>
      <w:r>
        <w:lastRenderedPageBreak/>
        <w:t>has no comparable undesignated site with similar electromagnetic characteristics against which to benchmark outcomes.</w:t>
      </w:r>
    </w:p>
    <w:p w14:paraId="5095E857" w14:textId="439C1E3F" w:rsidR="000673DA" w:rsidRDefault="00000000">
      <w:pPr>
        <w:pStyle w:val="BodyText"/>
      </w:pPr>
      <w:r>
        <w:t>The Synthetic Control Method (SCM) developed by Abadie and colleagues (</w:t>
      </w:r>
      <w:hyperlink w:anchor="ref-abadie2015">
        <w:r>
          <w:rPr>
            <w:rStyle w:val="Hyperlink"/>
          </w:rPr>
          <w:t>Abadie et al., 2015</w:t>
        </w:r>
      </w:hyperlink>
      <w:r>
        <w:t xml:space="preserve">, </w:t>
      </w:r>
      <w:hyperlink w:anchor="ref-abadie2010">
        <w:r>
          <w:rPr>
            <w:rStyle w:val="Hyperlink"/>
          </w:rPr>
          <w:t>2010</w:t>
        </w:r>
      </w:hyperlink>
      <w:r>
        <w:t>) addresses this challenge by constructing a counterfactual from weighted combinations of comparison sites. The method identifies weights that make the synthetic control closely match the treated site’s pre-designation characteristics and outcome trajectory. Post-designation divergence between the actual site and its synthetic counterfactual estimates the causal effect.</w:t>
      </w:r>
      <w:r w:rsidR="006C002A">
        <w:t xml:space="preserve"> </w:t>
      </w:r>
      <w:r>
        <w:t xml:space="preserve">Let </w:t>
      </w:r>
      <m:oMath>
        <m:r>
          <w:rPr>
            <w:rFonts w:ascii="Cambria Math" w:hAnsi="Cambria Math"/>
          </w:rPr>
          <m:t>j</m:t>
        </m:r>
        <m:r>
          <m:rPr>
            <m:sty m:val="p"/>
          </m:rPr>
          <w:rPr>
            <w:rFonts w:ascii="Cambria Math" w:hAnsi="Cambria Math"/>
          </w:rPr>
          <m:t>=</m:t>
        </m:r>
        <m:r>
          <w:rPr>
            <w:rFonts w:ascii="Cambria Math" w:hAnsi="Cambria Math"/>
          </w:rPr>
          <m:t>1</m:t>
        </m:r>
      </m:oMath>
      <w:r>
        <w:t xml:space="preserve"> denote the designated site and </w:t>
      </w:r>
      <m:oMath>
        <m:r>
          <w:rPr>
            <w:rFonts w:ascii="Cambria Math" w:hAnsi="Cambria Math"/>
          </w:rPr>
          <m:t>j</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J</m:t>
        </m:r>
      </m:oMath>
      <w:r>
        <w:t xml:space="preserve"> denote the donor pool of comparable undesignated sites. The method selects weights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to minimize the distance between the treated site’s pre-designation characteristics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and the weighted average of donor site characteristics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W</m:t>
        </m:r>
      </m:oMath>
      <w:r>
        <w:t>):</w:t>
      </w:r>
    </w:p>
    <w:p w14:paraId="21FF2EBE" w14:textId="77777777" w:rsidR="000673DA"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W</m:t>
          </m:r>
          <m:r>
            <m:rPr>
              <m:sty m:val="p"/>
            </m:rPr>
            <w:rPr>
              <w:rFonts w:ascii="Cambria Math" w:hAnsi="Cambria Math"/>
            </w:rPr>
            <m:t>|</m:t>
          </m:r>
          <m:r>
            <m:rPr>
              <m:nor/>
            </m:rPr>
            <m:t xml:space="preserve"> subject to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r>
                <w:rPr>
                  <w:rFonts w:ascii="Cambria Math" w:hAnsi="Cambria Math"/>
                </w:rPr>
                <m:t>J</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oMath>
      </m:oMathPara>
    </w:p>
    <w:p w14:paraId="55B10065" w14:textId="77777777" w:rsidR="000673DA" w:rsidRDefault="00000000">
      <w:pPr>
        <w:pStyle w:val="FirstParagraph"/>
      </w:pPr>
      <w:r>
        <w:t xml:space="preserve">The treatment effect at post-designation time </w:t>
      </w:r>
      <m:oMath>
        <m:r>
          <w:rPr>
            <w:rFonts w:ascii="Cambria Math" w:hAnsi="Cambria Math"/>
          </w:rPr>
          <m:t>t</m:t>
        </m:r>
      </m:oMath>
      <w:r>
        <w:t xml:space="preserve"> is estimated as:</w:t>
      </w:r>
    </w:p>
    <w:p w14:paraId="02690693" w14:textId="77777777" w:rsidR="000673DA"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1t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2</m:t>
              </m:r>
            </m:sub>
            <m:sup>
              <m:r>
                <w:rPr>
                  <w:rFonts w:ascii="Cambria Math" w:hAnsi="Cambria Math"/>
                </w:rPr>
                <m:t>J</m:t>
              </m:r>
            </m:sup>
            <m:e>
              <m:sSubSup>
                <m:sSubSupPr>
                  <m:ctrlPr>
                    <w:rPr>
                      <w:rFonts w:ascii="Cambria Math" w:hAnsi="Cambria Math"/>
                    </w:rPr>
                  </m:ctrlPr>
                </m:sSubSupPr>
                <m:e>
                  <m:r>
                    <w:rPr>
                      <w:rFonts w:ascii="Cambria Math" w:hAnsi="Cambria Math"/>
                    </w:rPr>
                    <m:t>w</m:t>
                  </m:r>
                </m:e>
                <m:sub>
                  <m:r>
                    <w:rPr>
                      <w:rFonts w:ascii="Cambria Math" w:hAnsi="Cambria Math"/>
                    </w:rPr>
                    <m:t>j</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Y</m:t>
              </m:r>
            </m:e>
            <m:sub>
              <m:r>
                <w:rPr>
                  <w:rFonts w:ascii="Cambria Math" w:hAnsi="Cambria Math"/>
                </w:rPr>
                <m:t>jt</m:t>
              </m:r>
            </m:sub>
          </m:sSub>
        </m:oMath>
      </m:oMathPara>
    </w:p>
    <w:p w14:paraId="122DEDC0" w14:textId="77777777" w:rsidR="000673DA" w:rsidRDefault="00000000">
      <w:pPr>
        <w:pStyle w:val="FirstParagraph"/>
      </w:pPr>
      <w:r>
        <w:t>representing the difference between the designated site’s actual outcome and what the synthetic control predicts it would have been absent designation.</w:t>
      </w:r>
    </w:p>
    <w:p w14:paraId="0706A903" w14:textId="77777777" w:rsidR="000673DA" w:rsidRDefault="00000000">
      <w:pPr>
        <w:pStyle w:val="Heading3"/>
      </w:pPr>
      <w:bookmarkStart w:id="23" w:name="oa5.3-feasibility-limitations"/>
      <w:bookmarkEnd w:id="22"/>
      <w:r>
        <w:t>OA5.3 Feasibility Limitations</w:t>
      </w:r>
    </w:p>
    <w:p w14:paraId="258E7C6F" w14:textId="77777777" w:rsidR="000673DA" w:rsidRDefault="00000000">
      <w:pPr>
        <w:pStyle w:val="FirstParagraph"/>
      </w:pPr>
      <w:r>
        <w:t xml:space="preserve">Significant challenges arise in applying SCM to unique celestial sites. The Lunar Farside radio-quiet zone has no sites with comparable geological and electromagnetic characteristics; constructing a meaningful synthetic control may be impossible. Additionally, SCM requires </w:t>
      </w:r>
      <w:r>
        <w:lastRenderedPageBreak/>
        <w:t>sufficient pre-treatment data (typically 5-10 years) to estimate stable weights, and emerging lunar activities may lack adequate historical baselines.</w:t>
      </w:r>
    </w:p>
    <w:p w14:paraId="66486578" w14:textId="77777777" w:rsidR="000673DA" w:rsidRDefault="00000000">
      <w:pPr>
        <w:pStyle w:val="BodyText"/>
      </w:pPr>
      <w:r>
        <w:t>Where SCM proves infeasible, alternative approaches include: Interrupted Time Series (ITS) analysis examining trend breaks in mission planning activity following designation; mechanism-focused evaluation testing loss-framing effects through surveys or experimental vignettes without claiming aggregate causal effects; and comparative case study methodology documenting designation processes and outcomes across sites without formal synthetic weighting (</w:t>
      </w:r>
      <w:hyperlink w:anchor="ref-georgebennett2005">
        <w:r>
          <w:rPr>
            <w:rStyle w:val="Hyperlink"/>
          </w:rPr>
          <w:t>George and Bennett, 2005</w:t>
        </w:r>
      </w:hyperlink>
      <w:r>
        <w:t>). These alternatives sacrifice causal identification precision but may be the only feasible approaches for genuinely unique sites.</w:t>
      </w:r>
    </w:p>
    <w:p w14:paraId="0269A0D0" w14:textId="77777777" w:rsidR="000673DA" w:rsidRDefault="00000000">
      <w:pPr>
        <w:pStyle w:val="Heading3"/>
      </w:pPr>
      <w:bookmarkStart w:id="24" w:name="oa5.4-inference-and-robustness"/>
      <w:bookmarkEnd w:id="23"/>
      <w:r>
        <w:t>OA5.4 Inference and Robustness</w:t>
      </w:r>
    </w:p>
    <w:p w14:paraId="294AF47A" w14:textId="77777777" w:rsidR="000673DA" w:rsidRDefault="00000000">
      <w:pPr>
        <w:pStyle w:val="FirstParagraph"/>
      </w:pPr>
      <w:r>
        <w:t>SCM does not rely on standard errors for inference; instead, significance is assessed through permutation tests. The placebo-in-space test iteratively applies SCM to each donor pool site as if it were the treated site, generating a distribution of placebo effects. The estimated effect for the actual designated site is considered significant if it exceeds the placebo distribution, indicating that the observed effect is unlikely to have arisen by chance.</w:t>
      </w:r>
    </w:p>
    <w:p w14:paraId="3B91A68B" w14:textId="77777777" w:rsidR="000673DA" w:rsidRDefault="00000000">
      <w:pPr>
        <w:pStyle w:val="BodyText"/>
      </w:pPr>
      <w:r>
        <w:t>Additional robustness checks include placebo-in-time tests (artificially shifting the designation date earlier to verify no effect appears before actual designation) and leave-one-out analysis (verifying that weights remain stable when individual donor sites are removed).</w:t>
      </w:r>
    </w:p>
    <w:p w14:paraId="3E905D6A" w14:textId="77777777" w:rsidR="006C002A" w:rsidRDefault="006C002A">
      <w:pPr>
        <w:spacing w:after="200" w:line="240" w:lineRule="auto"/>
        <w:rPr>
          <w:b/>
        </w:rPr>
      </w:pPr>
      <w:bookmarkStart w:id="25" w:name="Xdc45d452da86b31bfd75201ae38c019a707a015"/>
      <w:bookmarkEnd w:id="20"/>
      <w:bookmarkEnd w:id="24"/>
      <w:r>
        <w:br w:type="page"/>
      </w:r>
    </w:p>
    <w:p w14:paraId="1B8C5281" w14:textId="7B531D1A" w:rsidR="000673DA" w:rsidRDefault="00000000">
      <w:pPr>
        <w:pStyle w:val="Heading2"/>
        <w:spacing w:before="720" w:after="120"/>
      </w:pPr>
      <w:r>
        <w:lastRenderedPageBreak/>
        <w:t>OA6. Instrument 4: Reciprocal Safety Zone Commitments</w:t>
      </w:r>
    </w:p>
    <w:p w14:paraId="7145E944" w14:textId="77777777" w:rsidR="000673DA" w:rsidRDefault="00000000">
      <w:pPr>
        <w:pStyle w:val="Heading3"/>
      </w:pPr>
      <w:bookmarkStart w:id="26" w:name="oa6.1-design-specification"/>
      <w:r>
        <w:t>OA6.1 Design Specification</w:t>
      </w:r>
    </w:p>
    <w:p w14:paraId="2212BDB5" w14:textId="77777777" w:rsidR="000673DA" w:rsidRDefault="00000000">
      <w:pPr>
        <w:pStyle w:val="FirstParagraph"/>
      </w:pPr>
      <w:r>
        <w:t>The safety zone framework operationalizes the Outer Space Treaty’s Article IX “due regard” obligation through behavioral design. Because specifying binding rules for resource extraction activities is likely infeasible given current geopolitical dynamics, the framework establishes transparency guardrails that channel reciprocity norms toward cooperative outcomes. Table OA7 specifies the compliance criteria for each guardrail.</w:t>
      </w:r>
    </w:p>
    <w:p w14:paraId="440480BA" w14:textId="77777777" w:rsidR="000673DA" w:rsidRDefault="00000000">
      <w:pPr>
        <w:pStyle w:val="BodyText"/>
        <w:ind w:firstLine="0"/>
        <w:jc w:val="center"/>
      </w:pPr>
      <w:r>
        <w:rPr>
          <w:b/>
          <w:bCs/>
        </w:rPr>
        <w:t>Table OA7: Safety Zone Guardrail Specifications</w:t>
      </w:r>
    </w:p>
    <w:tbl>
      <w:tblPr>
        <w:tblStyle w:val="Table"/>
        <w:tblW w:w="5000" w:type="pct"/>
        <w:tblInd w:w="108" w:type="dxa"/>
        <w:tblLayout w:type="fixed"/>
        <w:tblLook w:val="0020" w:firstRow="1" w:lastRow="0" w:firstColumn="0" w:lastColumn="0" w:noHBand="0" w:noVBand="0"/>
      </w:tblPr>
      <w:tblGrid>
        <w:gridCol w:w="2250"/>
        <w:gridCol w:w="3444"/>
        <w:gridCol w:w="3882"/>
      </w:tblGrid>
      <w:tr w:rsidR="000673DA" w14:paraId="308ED1E1" w14:textId="77777777" w:rsidTr="006C002A">
        <w:trPr>
          <w:tblHeader/>
        </w:trPr>
        <w:tc>
          <w:tcPr>
            <w:tcW w:w="2250" w:type="dxa"/>
          </w:tcPr>
          <w:p w14:paraId="7BCB2D58" w14:textId="77777777" w:rsidR="000673DA" w:rsidRDefault="00000000">
            <w:pPr>
              <w:pStyle w:val="Compact"/>
              <w:ind w:firstLine="0"/>
            </w:pPr>
            <w:r>
              <w:t>Guardrail</w:t>
            </w:r>
          </w:p>
        </w:tc>
        <w:tc>
          <w:tcPr>
            <w:tcW w:w="3444" w:type="dxa"/>
          </w:tcPr>
          <w:p w14:paraId="3C9777A3" w14:textId="77777777" w:rsidR="000673DA" w:rsidRDefault="00000000">
            <w:pPr>
              <w:pStyle w:val="Compact"/>
              <w:ind w:firstLine="0"/>
            </w:pPr>
            <w:r>
              <w:t>Compliant</w:t>
            </w:r>
          </w:p>
        </w:tc>
        <w:tc>
          <w:tcPr>
            <w:tcW w:w="3882" w:type="dxa"/>
          </w:tcPr>
          <w:p w14:paraId="19D58CFF" w14:textId="77777777" w:rsidR="000673DA" w:rsidRDefault="00000000">
            <w:pPr>
              <w:pStyle w:val="Compact"/>
              <w:ind w:firstLine="0"/>
            </w:pPr>
            <w:r>
              <w:t>Non-Compliant</w:t>
            </w:r>
          </w:p>
        </w:tc>
      </w:tr>
      <w:tr w:rsidR="000673DA" w14:paraId="51638C0C" w14:textId="77777777" w:rsidTr="006C002A">
        <w:tc>
          <w:tcPr>
            <w:tcW w:w="2250" w:type="dxa"/>
          </w:tcPr>
          <w:p w14:paraId="721663E6" w14:textId="77777777" w:rsidR="000673DA" w:rsidRDefault="00000000">
            <w:pPr>
              <w:pStyle w:val="Compact"/>
              <w:ind w:firstLine="0"/>
            </w:pPr>
            <w:r>
              <w:t>Purpose Limitation</w:t>
            </w:r>
          </w:p>
        </w:tc>
        <w:tc>
          <w:tcPr>
            <w:tcW w:w="3444" w:type="dxa"/>
          </w:tcPr>
          <w:p w14:paraId="6003737A" w14:textId="77777777" w:rsidR="000673DA" w:rsidRDefault="00000000">
            <w:pPr>
              <w:pStyle w:val="Compact"/>
              <w:ind w:firstLine="0"/>
            </w:pPr>
            <w:r>
              <w:t>Specific operational need documented</w:t>
            </w:r>
          </w:p>
        </w:tc>
        <w:tc>
          <w:tcPr>
            <w:tcW w:w="3882" w:type="dxa"/>
          </w:tcPr>
          <w:p w14:paraId="7F71F226" w14:textId="77777777" w:rsidR="000673DA" w:rsidRDefault="00000000">
            <w:pPr>
              <w:pStyle w:val="Compact"/>
              <w:ind w:firstLine="0"/>
            </w:pPr>
            <w:r>
              <w:t>Resource exclusivity or strategic denial</w:t>
            </w:r>
          </w:p>
        </w:tc>
      </w:tr>
      <w:tr w:rsidR="000673DA" w14:paraId="5A76A8F4" w14:textId="77777777" w:rsidTr="006C002A">
        <w:tc>
          <w:tcPr>
            <w:tcW w:w="2250" w:type="dxa"/>
          </w:tcPr>
          <w:p w14:paraId="73008618" w14:textId="77777777" w:rsidR="000673DA" w:rsidRDefault="00000000">
            <w:pPr>
              <w:pStyle w:val="Compact"/>
              <w:ind w:firstLine="0"/>
            </w:pPr>
            <w:r>
              <w:t>Time Bounds</w:t>
            </w:r>
          </w:p>
        </w:tc>
        <w:tc>
          <w:tcPr>
            <w:tcW w:w="3444" w:type="dxa"/>
          </w:tcPr>
          <w:p w14:paraId="76252979" w14:textId="77777777" w:rsidR="000673DA" w:rsidRDefault="00000000">
            <w:pPr>
              <w:pStyle w:val="Compact"/>
              <w:ind w:firstLine="0"/>
            </w:pPr>
            <w:r>
              <w:t>Limited duration with automatic sunset</w:t>
            </w:r>
          </w:p>
        </w:tc>
        <w:tc>
          <w:tcPr>
            <w:tcW w:w="3882" w:type="dxa"/>
          </w:tcPr>
          <w:p w14:paraId="0AB4F062" w14:textId="77777777" w:rsidR="000673DA" w:rsidRDefault="00000000">
            <w:pPr>
              <w:pStyle w:val="Compact"/>
              <w:ind w:firstLine="0"/>
            </w:pPr>
            <w:r>
              <w:t>Open-ended or extended without renewal</w:t>
            </w:r>
          </w:p>
        </w:tc>
      </w:tr>
      <w:tr w:rsidR="000673DA" w14:paraId="0C4515C7" w14:textId="77777777" w:rsidTr="006C002A">
        <w:tc>
          <w:tcPr>
            <w:tcW w:w="2250" w:type="dxa"/>
          </w:tcPr>
          <w:p w14:paraId="153C922D" w14:textId="77777777" w:rsidR="000673DA" w:rsidRDefault="00000000">
            <w:pPr>
              <w:pStyle w:val="Compact"/>
              <w:ind w:firstLine="0"/>
            </w:pPr>
            <w:r>
              <w:t>Geographic Scope Limitation</w:t>
            </w:r>
          </w:p>
        </w:tc>
        <w:tc>
          <w:tcPr>
            <w:tcW w:w="3444" w:type="dxa"/>
          </w:tcPr>
          <w:p w14:paraId="4FC093A6" w14:textId="77777777" w:rsidR="000673DA" w:rsidRDefault="00000000">
            <w:pPr>
              <w:pStyle w:val="Compact"/>
              <w:ind w:firstLine="0"/>
            </w:pPr>
            <w:r>
              <w:t>Minimum necessary with engineering analysis</w:t>
            </w:r>
          </w:p>
        </w:tc>
        <w:tc>
          <w:tcPr>
            <w:tcW w:w="3882" w:type="dxa"/>
          </w:tcPr>
          <w:p w14:paraId="29ED3633" w14:textId="77777777" w:rsidR="000673DA" w:rsidRDefault="00000000">
            <w:pPr>
              <w:pStyle w:val="Compact"/>
              <w:ind w:firstLine="0"/>
            </w:pPr>
            <w:r>
              <w:t>Expansive without operational justification</w:t>
            </w:r>
          </w:p>
        </w:tc>
      </w:tr>
      <w:tr w:rsidR="000673DA" w14:paraId="36A040F8" w14:textId="77777777" w:rsidTr="006C002A">
        <w:tc>
          <w:tcPr>
            <w:tcW w:w="2250" w:type="dxa"/>
          </w:tcPr>
          <w:p w14:paraId="51611F33" w14:textId="77777777" w:rsidR="000673DA" w:rsidRDefault="00000000">
            <w:pPr>
              <w:pStyle w:val="Compact"/>
              <w:ind w:firstLine="0"/>
            </w:pPr>
            <w:r>
              <w:t>Transparency</w:t>
            </w:r>
          </w:p>
        </w:tc>
        <w:tc>
          <w:tcPr>
            <w:tcW w:w="3444" w:type="dxa"/>
          </w:tcPr>
          <w:p w14:paraId="15F6D24E" w14:textId="77777777" w:rsidR="000673DA" w:rsidRDefault="00000000">
            <w:pPr>
              <w:pStyle w:val="Compact"/>
              <w:ind w:firstLine="0"/>
            </w:pPr>
            <w:r>
              <w:t>Filed in advance of activation with full parameter disclosure</w:t>
            </w:r>
          </w:p>
        </w:tc>
        <w:tc>
          <w:tcPr>
            <w:tcW w:w="3882" w:type="dxa"/>
          </w:tcPr>
          <w:p w14:paraId="38EEA798" w14:textId="77777777" w:rsidR="000673DA" w:rsidRDefault="00000000">
            <w:pPr>
              <w:pStyle w:val="Compact"/>
              <w:ind w:firstLine="0"/>
            </w:pPr>
            <w:r>
              <w:t>Late or incomplete filing</w:t>
            </w:r>
          </w:p>
        </w:tc>
      </w:tr>
      <w:tr w:rsidR="000673DA" w14:paraId="542FED55" w14:textId="77777777" w:rsidTr="006C002A">
        <w:tc>
          <w:tcPr>
            <w:tcW w:w="2250" w:type="dxa"/>
          </w:tcPr>
          <w:p w14:paraId="3CE94043" w14:textId="77777777" w:rsidR="000673DA" w:rsidRDefault="00000000">
            <w:pPr>
              <w:pStyle w:val="Compact"/>
              <w:ind w:firstLine="0"/>
            </w:pPr>
            <w:r>
              <w:t>Reciprocal Deconfliction</w:t>
            </w:r>
          </w:p>
        </w:tc>
        <w:tc>
          <w:tcPr>
            <w:tcW w:w="3444" w:type="dxa"/>
          </w:tcPr>
          <w:p w14:paraId="5B531FD5" w14:textId="77777777" w:rsidR="000673DA" w:rsidRDefault="00000000">
            <w:pPr>
              <w:pStyle w:val="Compact"/>
              <w:ind w:firstLine="0"/>
            </w:pPr>
            <w:r>
              <w:t>SSA sharing protocol established</w:t>
            </w:r>
          </w:p>
        </w:tc>
        <w:tc>
          <w:tcPr>
            <w:tcW w:w="3882" w:type="dxa"/>
          </w:tcPr>
          <w:p w14:paraId="1EF911E3" w14:textId="77777777" w:rsidR="000673DA" w:rsidRDefault="00000000">
            <w:pPr>
              <w:pStyle w:val="Compact"/>
              <w:ind w:firstLine="0"/>
            </w:pPr>
            <w:r>
              <w:t>No coordination mechanism</w:t>
            </w:r>
          </w:p>
        </w:tc>
      </w:tr>
    </w:tbl>
    <w:p w14:paraId="4F85B83A" w14:textId="77777777" w:rsidR="006C002A" w:rsidRDefault="006C002A">
      <w:pPr>
        <w:pStyle w:val="BodyText"/>
      </w:pPr>
    </w:p>
    <w:p w14:paraId="4DB0B4BD" w14:textId="435C85CC" w:rsidR="000673DA" w:rsidRDefault="00000000">
      <w:pPr>
        <w:pStyle w:val="BodyText"/>
      </w:pPr>
      <w:r>
        <w:t>The behavioral hypothesis is that transparency creates reciprocity pressures. Operators receiving transparent safety zone information face social expectations to reciprocate with their own transparency. Violations become visible and carry reputational costs beyond bilateral relationships, activating third-party enforcement through status competition mechanisms.</w:t>
      </w:r>
    </w:p>
    <w:p w14:paraId="0F128EDB" w14:textId="77777777" w:rsidR="000673DA" w:rsidRDefault="00000000">
      <w:pPr>
        <w:pStyle w:val="Heading3"/>
      </w:pPr>
      <w:bookmarkStart w:id="27" w:name="Xec5491e31d543b91b3517ecd5ba1026b9f8fafb"/>
      <w:bookmarkEnd w:id="26"/>
      <w:r>
        <w:t>OA6.2 Evaluation Design: Qualitative Comparative Analysis</w:t>
      </w:r>
    </w:p>
    <w:p w14:paraId="55FF1304" w14:textId="77777777" w:rsidR="000673DA" w:rsidRDefault="00000000">
      <w:pPr>
        <w:pStyle w:val="FirstParagraph"/>
      </w:pPr>
      <w:r>
        <w:t>The expected small number of safety zone declarations within a reasonable evaluation window (likely 5-15 cases over five years) precludes standard large-N econometric analysis. Qualitative Comparative Analysis (QCA) developed by Ragin (</w:t>
      </w:r>
      <w:hyperlink w:anchor="ref-ragin2008">
        <w:r>
          <w:rPr>
            <w:rStyle w:val="Hyperlink"/>
          </w:rPr>
          <w:t>2008</w:t>
        </w:r>
      </w:hyperlink>
      <w:r>
        <w:t>) offers a systematic approach to small-N causal inference appropriate for this context.</w:t>
      </w:r>
    </w:p>
    <w:p w14:paraId="358967C8" w14:textId="77777777" w:rsidR="000673DA" w:rsidRDefault="00000000">
      <w:pPr>
        <w:pStyle w:val="BodyText"/>
      </w:pPr>
      <w:r>
        <w:lastRenderedPageBreak/>
        <w:t>QCA identifies configurations of conditions associated with outcomes of interest (compliance versus violation). Unlike regression analysis, which estimates the average effect of individual variables holding others constant, QCA examines how combinations of conditions jointly produce outcomes, appropriate when the same outcome can arise from multiple distinct causal pathways (equifinality) and individual conditions may be necessary but insufficient for the outcome.</w:t>
      </w:r>
    </w:p>
    <w:p w14:paraId="735F29A3" w14:textId="77777777" w:rsidR="000673DA" w:rsidRDefault="00000000">
      <w:pPr>
        <w:pStyle w:val="BodyText"/>
      </w:pPr>
      <w:r>
        <w:t>The analysis proceeds by constructing a truth table mapping all observed configurations of conditions (e.g., declaring state type, mission complexity, resource value, geopolitical context) to the outcome (compliance with all five guardrails versus violation). Logical minimization then identifies sufficient and necessary conditions for compliance.</w:t>
      </w:r>
    </w:p>
    <w:p w14:paraId="24CD4515" w14:textId="77777777" w:rsidR="000673DA" w:rsidRDefault="00000000">
      <w:pPr>
        <w:pStyle w:val="BodyText"/>
      </w:pPr>
      <w:r>
        <w:t>Important sample size constraints apply. Formal QCA typically requires a minimum of 12-15 cases for meaningful logical minimization. With fewer declarations, the analysis would need to limit conditions to 2-3 maximum and interpret results as exploratory pattern description rather than formal causal inference. If N &lt; 12, structured focused comparison (</w:t>
      </w:r>
      <w:hyperlink w:anchor="ref-georgebennett2005">
        <w:r>
          <w:rPr>
            <w:rStyle w:val="Hyperlink"/>
          </w:rPr>
          <w:t>George and Bennett, 2005</w:t>
        </w:r>
      </w:hyperlink>
      <w:r>
        <w:t>) may be more appropriate than formal QCA.</w:t>
      </w:r>
    </w:p>
    <w:p w14:paraId="71DFFBA3" w14:textId="77777777" w:rsidR="000673DA" w:rsidRDefault="00000000">
      <w:pPr>
        <w:pStyle w:val="Heading3"/>
      </w:pPr>
      <w:bookmarkStart w:id="28" w:name="oa6.3-compliance-monitoring"/>
      <w:bookmarkEnd w:id="27"/>
      <w:r>
        <w:t>OA6.3 Compliance Monitoring</w:t>
      </w:r>
    </w:p>
    <w:p w14:paraId="38C58138" w14:textId="77777777" w:rsidR="000673DA" w:rsidRDefault="00000000">
      <w:pPr>
        <w:pStyle w:val="FirstParagraph"/>
      </w:pPr>
      <w:r>
        <w:t>Beyond evaluation of the framework’s aggregate effects, ongoing compliance monitoring would be essential to detect scope creep, the gradual expansion of safety zones beyond their original justifications toward de facto resource appropriation. Monitoring protocols could include independent coding of all declarations against the five guardrails, with inter-coder reliability established through dual coding and consensus resolution.</w:t>
      </w:r>
    </w:p>
    <w:p w14:paraId="0BFB157E" w14:textId="77777777" w:rsidR="000673DA" w:rsidRDefault="00000000">
      <w:pPr>
        <w:pStyle w:val="BodyText"/>
      </w:pPr>
      <w:r>
        <w:t xml:space="preserve">Satellite imagery from commercial providers (Planet Labs, Maxar) enables verification that actual operational activities match declared zone boundaries and purposes. Significant </w:t>
      </w:r>
      <w:r>
        <w:lastRenderedPageBreak/>
        <w:t>discrepancies between declared and actual scope could trigger enhanced review. Textual analysis of renewal applications could assess whether justification language shifts from operational necessity toward resource exclusivity over time, a linguistic indicator of scope creep that may precede formal boundary expansion.</w:t>
      </w:r>
    </w:p>
    <w:p w14:paraId="5984428C" w14:textId="77777777" w:rsidR="005C2374" w:rsidRDefault="005C2374">
      <w:pPr>
        <w:spacing w:after="200" w:line="240" w:lineRule="auto"/>
        <w:rPr>
          <w:b/>
        </w:rPr>
      </w:pPr>
      <w:bookmarkStart w:id="29" w:name="X8dc2a755acd4331e25681b0c6ff5f80730a67d0"/>
      <w:bookmarkEnd w:id="25"/>
      <w:bookmarkEnd w:id="28"/>
      <w:r>
        <w:br w:type="page"/>
      </w:r>
    </w:p>
    <w:p w14:paraId="17382817" w14:textId="512026FB" w:rsidR="000673DA" w:rsidRDefault="00000000">
      <w:pPr>
        <w:pStyle w:val="Heading2"/>
        <w:spacing w:before="720" w:after="120"/>
      </w:pPr>
      <w:r>
        <w:lastRenderedPageBreak/>
        <w:t>OA</w:t>
      </w:r>
      <w:r w:rsidR="005C2374">
        <w:t>7</w:t>
      </w:r>
      <w:r>
        <w:t>. Existing System References and Institutional Precedents</w:t>
      </w:r>
    </w:p>
    <w:p w14:paraId="6066AC1B" w14:textId="77777777" w:rsidR="000673DA" w:rsidRDefault="00000000">
      <w:pPr>
        <w:pStyle w:val="FirstParagraph"/>
      </w:pPr>
      <w:r>
        <w:t>This section catalogs existing governance systems that inform the proposed instruments, providing policymakers with concrete precedents and contact points for implementation.</w:t>
      </w:r>
    </w:p>
    <w:p w14:paraId="5B3F3D50" w14:textId="77777777" w:rsidR="006C002A" w:rsidRDefault="006C002A" w:rsidP="006C002A">
      <w:pPr>
        <w:pStyle w:val="BodyText"/>
        <w:ind w:firstLine="0"/>
        <w:rPr>
          <w:i/>
          <w:iCs/>
        </w:rPr>
      </w:pPr>
    </w:p>
    <w:p w14:paraId="5DE57906" w14:textId="5A3FC396" w:rsidR="000673DA" w:rsidRDefault="00000000" w:rsidP="006C002A">
      <w:pPr>
        <w:pStyle w:val="BodyText"/>
        <w:ind w:firstLine="0"/>
      </w:pPr>
      <w:r>
        <w:rPr>
          <w:i/>
          <w:iCs/>
        </w:rPr>
        <w:t>Voluntary Commitment Registries (Instrument 1 Precedents).</w:t>
      </w:r>
    </w:p>
    <w:p w14:paraId="4760C6A0" w14:textId="77777777" w:rsidR="000673DA" w:rsidRDefault="00000000">
      <w:pPr>
        <w:pStyle w:val="BodyText"/>
      </w:pPr>
      <w:r>
        <w:t>The UN Global Compact provides the closest organizational model: a voluntary commitment platform where corporations pledge adherence to principles covering human rights, labor, environment, and anti-corruption. Launched in 2000, it now includes over 15,000 corporate participants. Critical design lessons include: commitments without monitoring yield limited behavioral change (the “blue-washing” critique); transparent reporting requirements enhance commitment credibility; and participant differentiation (active vs. non-communicating) creates reputational stakes. The proposed space registry incorporates these lessons through pre-specified compliance metrics and transparent tracking.</w:t>
      </w:r>
    </w:p>
    <w:p w14:paraId="66B0D418" w14:textId="77777777" w:rsidR="000673DA" w:rsidRDefault="00000000">
      <w:pPr>
        <w:pStyle w:val="BodyText"/>
      </w:pPr>
      <w:r>
        <w:t>The Space Data Association (SDA) provides a space-specific precedent for voluntary data sharing. Founded in 2009 by Inmarsat, Intelsat, and SES, the SDA facilitates conjunction warning and frequency coordination among members. Its success demonstrates that commercial competitors will share sensitive operational data when collective benefits are evident and participation is reciprocal.</w:t>
      </w:r>
    </w:p>
    <w:p w14:paraId="7CD9995E" w14:textId="77777777" w:rsidR="006C002A" w:rsidRDefault="006C002A" w:rsidP="006C002A">
      <w:pPr>
        <w:pStyle w:val="BodyText"/>
        <w:ind w:firstLine="0"/>
        <w:rPr>
          <w:i/>
          <w:iCs/>
        </w:rPr>
      </w:pPr>
    </w:p>
    <w:p w14:paraId="28C5931B" w14:textId="24200E84" w:rsidR="000673DA" w:rsidRDefault="00000000" w:rsidP="006C002A">
      <w:pPr>
        <w:pStyle w:val="BodyText"/>
        <w:ind w:firstLine="0"/>
      </w:pPr>
      <w:r>
        <w:rPr>
          <w:i/>
          <w:iCs/>
        </w:rPr>
        <w:t>Reputational Indices (Instrument 2 Precedents).</w:t>
      </w:r>
    </w:p>
    <w:p w14:paraId="3EA94C59" w14:textId="77777777" w:rsidR="000673DA" w:rsidRDefault="00000000">
      <w:pPr>
        <w:pStyle w:val="BodyText"/>
      </w:pPr>
      <w:r>
        <w:t xml:space="preserve">The World Economic Forum’s Space Sustainability Rating (SSR), launched in 2022, provides direct precedent. The SSR scores satellite operators on debris mitigation, collision avoidance, data sharing, and mission design, with annual assessments published publicly. Early </w:t>
      </w:r>
      <w:r>
        <w:lastRenderedPageBreak/>
        <w:t>evidence suggests operators actively seek favorable scores for use in investor communications and regulatory contexts. The proposed reputational index builds on the SSR methodology while adding behavioral outcome tracking.</w:t>
      </w:r>
    </w:p>
    <w:p w14:paraId="7FE2CE7E" w14:textId="77777777" w:rsidR="000673DA" w:rsidRDefault="00000000">
      <w:pPr>
        <w:pStyle w:val="BodyText"/>
      </w:pPr>
      <w:r>
        <w:t>ESG rating agencies (MSCI, Sustainalytics, CDP) demonstrate how reputational scoring affects capital allocation. Berg, Koelbel, and Rigobon (2022) document that ESG ratings, despite methodological divergence across providers, influence institutional investment flows. Space-specific ratings that align with ESG frameworks where possible would enable integration into existing responsible investment workflows.</w:t>
      </w:r>
    </w:p>
    <w:p w14:paraId="0AD0789F" w14:textId="77777777" w:rsidR="006C002A" w:rsidRDefault="006C002A" w:rsidP="006C002A">
      <w:pPr>
        <w:pStyle w:val="BodyText"/>
        <w:ind w:firstLine="0"/>
        <w:rPr>
          <w:i/>
          <w:iCs/>
        </w:rPr>
      </w:pPr>
    </w:p>
    <w:p w14:paraId="3B18A1A6" w14:textId="234E383E" w:rsidR="000673DA" w:rsidRDefault="00000000" w:rsidP="006C002A">
      <w:pPr>
        <w:pStyle w:val="BodyText"/>
        <w:ind w:firstLine="0"/>
      </w:pPr>
      <w:r>
        <w:rPr>
          <w:i/>
          <w:iCs/>
        </w:rPr>
        <w:t>Heritage Designations (Instrument 3 Precedents).</w:t>
      </w:r>
    </w:p>
    <w:p w14:paraId="3AFE2A1B" w14:textId="77777777" w:rsidR="000673DA" w:rsidRDefault="00000000">
      <w:pPr>
        <w:pStyle w:val="BodyText"/>
      </w:pPr>
      <w:r>
        <w:t>UNESCO World Heritage Sites provide the strongest institutional precedent for loss-framed designation. The 1972 Convention established that certain sites possess “outstanding universal value” warranting international protection. Designation creates legal obligations for state parties and normative expectations affecting development decisions even in non-party states. The proposed celestial heritage designation adapts this model for extra-terrestrial contexts, recognizing that existing treaty frameworks (Outer Space Treaty Article II) preclude territorial claims while permitting activity-based governance.</w:t>
      </w:r>
    </w:p>
    <w:p w14:paraId="43A22E9E" w14:textId="77777777" w:rsidR="000673DA" w:rsidRDefault="00000000">
      <w:pPr>
        <w:pStyle w:val="BodyText"/>
      </w:pPr>
      <w:r>
        <w:t>The Antarctic Treaty System, particularly the Protocol on Environmental Protection (1991), provides precedent for governing shared spaces without territorial sovereignty. Specially Protected Areas (ASPAs) restrict activities to preserve scientific or environmental values, with permits required for access. The 5-year management plan review cycle informs the proposed sunset clause duration for celestial safety zones.</w:t>
      </w:r>
    </w:p>
    <w:p w14:paraId="4D3FCAA7" w14:textId="77777777" w:rsidR="006C002A" w:rsidRDefault="006C002A" w:rsidP="006C002A">
      <w:pPr>
        <w:pStyle w:val="BodyText"/>
        <w:ind w:firstLine="0"/>
        <w:rPr>
          <w:i/>
          <w:iCs/>
        </w:rPr>
      </w:pPr>
    </w:p>
    <w:p w14:paraId="3FE330F3" w14:textId="42DDACED" w:rsidR="000673DA" w:rsidRDefault="00000000" w:rsidP="006C002A">
      <w:pPr>
        <w:pStyle w:val="BodyText"/>
        <w:ind w:firstLine="0"/>
      </w:pPr>
      <w:r>
        <w:rPr>
          <w:i/>
          <w:iCs/>
        </w:rPr>
        <w:lastRenderedPageBreak/>
        <w:t>Safety Zone Frameworks (Instrument 4 Precedents).</w:t>
      </w:r>
    </w:p>
    <w:p w14:paraId="09D9B40C" w14:textId="77777777" w:rsidR="000673DA" w:rsidRDefault="00000000">
      <w:pPr>
        <w:pStyle w:val="BodyText"/>
      </w:pPr>
      <w:r>
        <w:t>UNCLOS Article 60 authorizes coastal states to establish 500-meter safety zones around artificial islands and installations. While context differs (ocean vs. space), the legal architecture demonstrates how activity-based zones can protect operations without asserting territorial sovereignty. The proposed safety zone framework adapts this approach for celestial surfaces, with transparency requirements replacing enforcement authority.</w:t>
      </w:r>
    </w:p>
    <w:p w14:paraId="7FDCD4B2" w14:textId="77777777" w:rsidR="000673DA" w:rsidRDefault="00000000">
      <w:pPr>
        <w:pStyle w:val="BodyText"/>
      </w:pPr>
      <w:r>
        <w:t>The Artemis Accords (2020) provide precedent for safety zone concepts in space resource contexts. Section 11 establishes that signatories will provide notification of activities and coordinate to prevent harmful interference. With over 60 signatories including India, Japan, the Republic of Korea, the UAE, and numerous European, African, and Latin American states, the Accords demonstrate broad political feasibility for safety zone discussions. However, China and Russia’s parallel International Lunar Research Station framework demonstrates that safety zone governance must ultimately accommodate actors outside any single plurilateral arrangement.</w:t>
      </w:r>
    </w:p>
    <w:p w14:paraId="4FF92C5C" w14:textId="77777777" w:rsidR="006C002A" w:rsidRDefault="006C002A" w:rsidP="006C002A">
      <w:pPr>
        <w:pStyle w:val="BodyText"/>
        <w:ind w:firstLine="0"/>
        <w:rPr>
          <w:i/>
          <w:iCs/>
        </w:rPr>
      </w:pPr>
    </w:p>
    <w:p w14:paraId="55D8B489" w14:textId="7AB013EC" w:rsidR="000673DA" w:rsidRDefault="00000000" w:rsidP="006C002A">
      <w:pPr>
        <w:pStyle w:val="BodyText"/>
        <w:ind w:firstLine="0"/>
      </w:pPr>
      <w:r>
        <w:rPr>
          <w:i/>
          <w:iCs/>
        </w:rPr>
        <w:t>Existing Data Infrastructure.</w:t>
      </w:r>
    </w:p>
    <w:p w14:paraId="7592DFFB" w14:textId="77777777" w:rsidR="000673DA" w:rsidRDefault="00000000">
      <w:pPr>
        <w:pStyle w:val="BodyText"/>
      </w:pPr>
      <w:r>
        <w:t>Space-Track (www.space-track.org): The 18th Space Defense Squadron’s public portal provides Two-Line Elements (TLEs) and Conjunction Data Messages (CDMs) for registered users. This is the primary data source for debris tracking and collision assessment. Registration requires U.S. government approval but is routinely granted for research purposes.</w:t>
      </w:r>
    </w:p>
    <w:p w14:paraId="1EA795D3" w14:textId="77777777" w:rsidR="000673DA" w:rsidRDefault="00000000">
      <w:pPr>
        <w:pStyle w:val="BodyText"/>
      </w:pPr>
      <w:r>
        <w:t xml:space="preserve">ESA DISCOS Database: The European Space Agency’s Database and Information System Characterising Objects in Space provides comprehensive object catalog data including </w:t>
      </w:r>
      <w:r>
        <w:lastRenderedPageBreak/>
        <w:t>launch information, orbital history, and decay predictions. Access requires research agreement with ESA Space Debris Office.</w:t>
      </w:r>
    </w:p>
    <w:p w14:paraId="1E2B7A06" w14:textId="77777777" w:rsidR="000673DA" w:rsidRDefault="00000000">
      <w:pPr>
        <w:pStyle w:val="BodyText"/>
      </w:pPr>
      <w:r>
        <w:t>CelesTrak (celestrak.org): Maintained by Dr. T.S. Kelso, CelesTrak provides supplementary TLE data and analytical products including conjunction assessments. Publicly accessible without registration.</w:t>
      </w:r>
    </w:p>
    <w:p w14:paraId="6A36BBAB" w14:textId="77777777" w:rsidR="006C002A" w:rsidRDefault="006C002A">
      <w:pPr>
        <w:spacing w:after="200" w:line="240" w:lineRule="auto"/>
        <w:rPr>
          <w:b/>
        </w:rPr>
      </w:pPr>
      <w:bookmarkStart w:id="30" w:name="references"/>
      <w:bookmarkEnd w:id="29"/>
      <w:r>
        <w:br w:type="page"/>
      </w:r>
    </w:p>
    <w:p w14:paraId="45DE5CBA" w14:textId="7D4C110B" w:rsidR="000673DA" w:rsidRDefault="00000000">
      <w:pPr>
        <w:pStyle w:val="Heading2"/>
        <w:spacing w:before="720" w:after="120"/>
      </w:pPr>
      <w:r>
        <w:lastRenderedPageBreak/>
        <w:t>References</w:t>
      </w:r>
    </w:p>
    <w:p w14:paraId="7E9815E5" w14:textId="77777777" w:rsidR="000673DA" w:rsidRDefault="00000000">
      <w:pPr>
        <w:pStyle w:val="Bibliography"/>
        <w:ind w:left="720" w:hanging="720"/>
      </w:pPr>
      <w:bookmarkStart w:id="31" w:name="ref-abadie2015"/>
      <w:bookmarkStart w:id="32" w:name="refs"/>
      <w:r>
        <w:t xml:space="preserve">Abadie, A., Diamond, A., Hainmueller, J., 2015. Comparative politics and the synthetic control method. American Journal of Political Science 59, 495–510. </w:t>
      </w:r>
      <w:hyperlink r:id="rId5">
        <w:r>
          <w:rPr>
            <w:rStyle w:val="Hyperlink"/>
          </w:rPr>
          <w:t>https://doi.org/10.1111/ajps.12116</w:t>
        </w:r>
      </w:hyperlink>
    </w:p>
    <w:p w14:paraId="2B8CF997" w14:textId="77777777" w:rsidR="000673DA" w:rsidRDefault="00000000">
      <w:pPr>
        <w:pStyle w:val="Bibliography"/>
        <w:ind w:left="720" w:hanging="720"/>
      </w:pPr>
      <w:bookmarkStart w:id="33" w:name="ref-abadie2010"/>
      <w:bookmarkEnd w:id="31"/>
      <w:r>
        <w:t xml:space="preserve">Abadie, A., Diamond, A., Hainmueller, J., 2010. Synthetic control methods for comparative case studies: Estimating the effect of california’s tobacco control program. Journal of the American Statistical Association 105, 493–505. </w:t>
      </w:r>
      <w:hyperlink r:id="rId6">
        <w:r>
          <w:rPr>
            <w:rStyle w:val="Hyperlink"/>
          </w:rPr>
          <w:t>https://doi.org/10.1198/jasa.2009.ap08746</w:t>
        </w:r>
      </w:hyperlink>
    </w:p>
    <w:p w14:paraId="5A4FD206" w14:textId="77777777" w:rsidR="000673DA" w:rsidRDefault="00000000">
      <w:pPr>
        <w:pStyle w:val="Bibliography"/>
        <w:ind w:left="720" w:hanging="720"/>
      </w:pPr>
      <w:bookmarkStart w:id="34" w:name="ref-amiri2022"/>
      <w:bookmarkEnd w:id="33"/>
      <w:r>
        <w:t xml:space="preserve">Amiri, H.E.S., Brain, D., Sharaf, O., others, 2022. The Emirates Mars Mission. Space Science Reviews 218, 4. </w:t>
      </w:r>
      <w:hyperlink r:id="rId7">
        <w:r>
          <w:rPr>
            <w:rStyle w:val="Hyperlink"/>
          </w:rPr>
          <w:t>https://doi.org/10.1007/s11214-021-00868-x</w:t>
        </w:r>
      </w:hyperlink>
    </w:p>
    <w:p w14:paraId="4339048D" w14:textId="77777777" w:rsidR="000673DA" w:rsidRDefault="00000000">
      <w:pPr>
        <w:pStyle w:val="Bibliography"/>
        <w:ind w:left="720" w:hanging="720"/>
      </w:pPr>
      <w:bookmarkStart w:id="35" w:name="ref-baillon2020"/>
      <w:bookmarkEnd w:id="34"/>
      <w:r>
        <w:t xml:space="preserve">Baillon, A., Bleichrodt, H., Spinu, V., 2020. Searching for the reference point. Management Science 66, 93–112. </w:t>
      </w:r>
      <w:hyperlink r:id="rId8">
        <w:r>
          <w:rPr>
            <w:rStyle w:val="Hyperlink"/>
          </w:rPr>
          <w:t>https://doi.org/10.1287/mnsc.2018.3224</w:t>
        </w:r>
      </w:hyperlink>
    </w:p>
    <w:p w14:paraId="7D705CED" w14:textId="77777777" w:rsidR="000673DA" w:rsidRDefault="00000000">
      <w:pPr>
        <w:pStyle w:val="Bibliography"/>
        <w:ind w:left="720" w:hanging="720"/>
      </w:pPr>
      <w:bookmarkStart w:id="36" w:name="ref-bergkoelbelrigobon2022"/>
      <w:bookmarkEnd w:id="35"/>
      <w:r>
        <w:t xml:space="preserve">Berg, F., Kölbel, J.F., Rigobon, R., 2022. Aggregate confusion: The divergence of ESG ratings. Review of Finance 26, 1315–1344. </w:t>
      </w:r>
      <w:hyperlink r:id="rId9">
        <w:r>
          <w:rPr>
            <w:rStyle w:val="Hyperlink"/>
          </w:rPr>
          <w:t>https://doi.org/10.1093/rof/rfac033</w:t>
        </w:r>
      </w:hyperlink>
    </w:p>
    <w:p w14:paraId="5AA9E9C8" w14:textId="77777777" w:rsidR="000673DA" w:rsidRDefault="00000000">
      <w:pPr>
        <w:pStyle w:val="Bibliography"/>
        <w:ind w:left="720" w:hanging="720"/>
      </w:pPr>
      <w:bookmarkStart w:id="37" w:name="ref-bertrand2004"/>
      <w:bookmarkEnd w:id="36"/>
      <w:r>
        <w:t xml:space="preserve">Bertrand, M., Duflo, E., Mullainathan, S., 2004. How much should we trust differences-in-differences estimates? Quarterly Journal of Economics 119, 249–275. </w:t>
      </w:r>
      <w:hyperlink r:id="rId10">
        <w:r>
          <w:rPr>
            <w:rStyle w:val="Hyperlink"/>
          </w:rPr>
          <w:t>https://doi.org/10.1162/003355304772839588</w:t>
        </w:r>
      </w:hyperlink>
    </w:p>
    <w:p w14:paraId="437A76E5" w14:textId="77777777" w:rsidR="000673DA" w:rsidRDefault="00000000">
      <w:pPr>
        <w:pStyle w:val="Bibliography"/>
        <w:ind w:left="720" w:hanging="720"/>
      </w:pPr>
      <w:bookmarkStart w:id="38" w:name="ref-callaway2021"/>
      <w:bookmarkEnd w:id="37"/>
      <w:r>
        <w:t xml:space="preserve">Callaway, B., Sant’Anna, P.H.C., 2021. Difference-in-differences with multiple time periods. Journal of Econometrics 225, 200–230. </w:t>
      </w:r>
      <w:hyperlink r:id="rId11">
        <w:r>
          <w:rPr>
            <w:rStyle w:val="Hyperlink"/>
          </w:rPr>
          <w:t>https://doi.org/10.1016/j.jeconom.2020.12.001</w:t>
        </w:r>
      </w:hyperlink>
    </w:p>
    <w:p w14:paraId="4C3015D8" w14:textId="77777777" w:rsidR="000673DA" w:rsidRDefault="00000000">
      <w:pPr>
        <w:pStyle w:val="Bibliography"/>
        <w:ind w:left="720" w:hanging="720"/>
      </w:pPr>
      <w:bookmarkStart w:id="39" w:name="ref-dechaisemartin2020"/>
      <w:bookmarkEnd w:id="38"/>
      <w:r>
        <w:t xml:space="preserve">Chaisemartin, C. de, D’Haultfoeuille, X., 2020. Two-way fixed effects estimators with heterogeneous treatment effects. American Economic Review 110, 2964–2996. </w:t>
      </w:r>
      <w:hyperlink r:id="rId12">
        <w:r>
          <w:rPr>
            <w:rStyle w:val="Hyperlink"/>
          </w:rPr>
          <w:t>https://doi.org/10.1257/aer.20181169</w:t>
        </w:r>
      </w:hyperlink>
    </w:p>
    <w:p w14:paraId="6BC2D376" w14:textId="77777777" w:rsidR="000673DA" w:rsidRDefault="00000000">
      <w:pPr>
        <w:pStyle w:val="Bibliography"/>
        <w:ind w:left="720" w:hanging="720"/>
      </w:pPr>
      <w:bookmarkStart w:id="40" w:name="ref-esa2023"/>
      <w:bookmarkEnd w:id="39"/>
      <w:r>
        <w:t xml:space="preserve">ESA, 2023. </w:t>
      </w:r>
      <w:hyperlink r:id="rId13">
        <w:r>
          <w:rPr>
            <w:rStyle w:val="Hyperlink"/>
          </w:rPr>
          <w:t>ESA space environment report 2023</w:t>
        </w:r>
      </w:hyperlink>
      <w:r>
        <w:t>. European Space Agency.</w:t>
      </w:r>
    </w:p>
    <w:p w14:paraId="2C374776" w14:textId="77777777" w:rsidR="000673DA" w:rsidRDefault="00000000">
      <w:pPr>
        <w:pStyle w:val="Bibliography"/>
        <w:ind w:left="720" w:hanging="720"/>
      </w:pPr>
      <w:bookmarkStart w:id="41" w:name="ref-fehr2000"/>
      <w:bookmarkEnd w:id="40"/>
      <w:r>
        <w:lastRenderedPageBreak/>
        <w:t xml:space="preserve">Fehr, E., Gächter, S., 2000. Fairness and retaliation: The economics of reciprocity. Journal of Economic Perspectives 14, 159–181. </w:t>
      </w:r>
      <w:hyperlink r:id="rId14">
        <w:r>
          <w:rPr>
            <w:rStyle w:val="Hyperlink"/>
          </w:rPr>
          <w:t>https://doi.org/10.1257/jep.14.3.159</w:t>
        </w:r>
      </w:hyperlink>
    </w:p>
    <w:p w14:paraId="5FBD3B6E" w14:textId="77777777" w:rsidR="000673DA" w:rsidRDefault="00000000">
      <w:pPr>
        <w:pStyle w:val="Bibliography"/>
        <w:ind w:left="720" w:hanging="720"/>
      </w:pPr>
      <w:bookmarkStart w:id="42" w:name="ref-georgebennett2005"/>
      <w:bookmarkEnd w:id="41"/>
      <w:r>
        <w:t>George, A.L., Bennett, A., 2005. Case studies and theory development in the social sciences. MIT Press.</w:t>
      </w:r>
    </w:p>
    <w:p w14:paraId="799DC253" w14:textId="77777777" w:rsidR="000673DA" w:rsidRDefault="00000000">
      <w:pPr>
        <w:pStyle w:val="Bibliography"/>
        <w:ind w:left="720" w:hanging="720"/>
      </w:pPr>
      <w:bookmarkStart w:id="43" w:name="ref-goodmanbacon2021"/>
      <w:bookmarkEnd w:id="42"/>
      <w:r>
        <w:t xml:space="preserve">Goodman-Bacon, A., 2021. Difference-in-differences with variation in treatment timing. Journal of Econometrics 225, 254–277. </w:t>
      </w:r>
      <w:hyperlink r:id="rId15">
        <w:r>
          <w:rPr>
            <w:rStyle w:val="Hyperlink"/>
          </w:rPr>
          <w:t>https://doi.org/10.1016/j.jeconom.2021.03.014</w:t>
        </w:r>
      </w:hyperlink>
    </w:p>
    <w:p w14:paraId="3434E26A" w14:textId="77777777" w:rsidR="000673DA" w:rsidRDefault="00000000">
      <w:pPr>
        <w:pStyle w:val="Bibliography"/>
        <w:ind w:left="720" w:hanging="720"/>
      </w:pPr>
      <w:bookmarkStart w:id="44" w:name="ref-griskevicius2010"/>
      <w:bookmarkEnd w:id="43"/>
      <w:r>
        <w:t xml:space="preserve">Griskevicius, V., Tybur, J.M., Van den Bergh, B., 2010. Going green to be seen: Status, reputation, and conspicuous conservation. Journal of Personality and Social Psychology 98, 392–404. </w:t>
      </w:r>
      <w:hyperlink r:id="rId16">
        <w:r>
          <w:rPr>
            <w:rStyle w:val="Hyperlink"/>
          </w:rPr>
          <w:t>https://doi.org/10.1037/a0017346</w:t>
        </w:r>
      </w:hyperlink>
    </w:p>
    <w:p w14:paraId="6BDEC483" w14:textId="77777777" w:rsidR="000673DA" w:rsidRDefault="00000000">
      <w:pPr>
        <w:pStyle w:val="Bibliography"/>
        <w:ind w:left="720" w:hanging="720"/>
      </w:pPr>
      <w:bookmarkStart w:id="45" w:name="ref-jachimowicz2019"/>
      <w:bookmarkEnd w:id="44"/>
      <w:r>
        <w:t xml:space="preserve">Jachimowicz, J.M., Duncan, S., Weber, E.U., Johnson, E.J., 2019. When and why defaults influence decisions: A meta-analysis of default effects. Behavioural Public Policy 3, 159–186. </w:t>
      </w:r>
      <w:hyperlink r:id="rId17">
        <w:r>
          <w:rPr>
            <w:rStyle w:val="Hyperlink"/>
          </w:rPr>
          <w:t>https://doi.org/10.1017/bpp.2018.43</w:t>
        </w:r>
      </w:hyperlink>
    </w:p>
    <w:p w14:paraId="5C25C4C8" w14:textId="77777777" w:rsidR="000673DA" w:rsidRDefault="00000000">
      <w:pPr>
        <w:pStyle w:val="Bibliography"/>
        <w:ind w:left="720" w:hanging="720"/>
      </w:pPr>
      <w:bookmarkStart w:id="46" w:name="ref-kahneman1979"/>
      <w:bookmarkEnd w:id="45"/>
      <w:r>
        <w:t xml:space="preserve">Kahneman, D., Tversky, A., 1979. Prospect theory: An analysis of decision under risk. Econometrica 47, 263–291. </w:t>
      </w:r>
      <w:hyperlink r:id="rId18">
        <w:r>
          <w:rPr>
            <w:rStyle w:val="Hyperlink"/>
          </w:rPr>
          <w:t>https://doi.org/10.2307/1914185</w:t>
        </w:r>
      </w:hyperlink>
    </w:p>
    <w:p w14:paraId="2FFB1BC7" w14:textId="77777777" w:rsidR="000673DA" w:rsidRDefault="00000000">
      <w:pPr>
        <w:pStyle w:val="Bibliography"/>
        <w:ind w:left="720" w:hanging="720"/>
      </w:pPr>
      <w:bookmarkStart w:id="47" w:name="ref-keohane1986"/>
      <w:bookmarkEnd w:id="46"/>
      <w:r>
        <w:t>Keohane, R.O., 1986. Reciprocity in international relations. Princeton University Press.</w:t>
      </w:r>
    </w:p>
    <w:p w14:paraId="4F656314" w14:textId="77777777" w:rsidR="000673DA" w:rsidRDefault="00000000">
      <w:pPr>
        <w:pStyle w:val="Bibliography"/>
        <w:ind w:left="720" w:hanging="720"/>
      </w:pPr>
      <w:bookmarkStart w:id="48" w:name="ref-mackinlay1997"/>
      <w:bookmarkEnd w:id="47"/>
      <w:r>
        <w:t xml:space="preserve">MacKinlay, A.C., 1997. </w:t>
      </w:r>
      <w:hyperlink r:id="rId19">
        <w:r>
          <w:rPr>
            <w:rStyle w:val="Hyperlink"/>
          </w:rPr>
          <w:t>Event studies in economics and finance</w:t>
        </w:r>
      </w:hyperlink>
      <w:r>
        <w:t>. Journal of Economic Literature 35, 13–39.</w:t>
      </w:r>
    </w:p>
    <w:p w14:paraId="7F96E289" w14:textId="77777777" w:rsidR="000673DA" w:rsidRDefault="00000000">
      <w:pPr>
        <w:pStyle w:val="Bibliography"/>
        <w:ind w:left="720" w:hanging="720"/>
      </w:pPr>
      <w:bookmarkStart w:id="49" w:name="ref-madrian2001"/>
      <w:bookmarkEnd w:id="48"/>
      <w:r>
        <w:t xml:space="preserve">Madrian, B.C., Shea, D.F., 2001. The power of suggestion: Inertia in 401(k) participation and savings behavior. Quarterly Journal of Economics 116, 1149–1187. </w:t>
      </w:r>
      <w:hyperlink r:id="rId20">
        <w:r>
          <w:rPr>
            <w:rStyle w:val="Hyperlink"/>
          </w:rPr>
          <w:t>https://doi.org/10.1162/003355301753265543</w:t>
        </w:r>
      </w:hyperlink>
    </w:p>
    <w:p w14:paraId="5A7D8DAA" w14:textId="77777777" w:rsidR="000673DA" w:rsidRDefault="00000000">
      <w:pPr>
        <w:pStyle w:val="Bibliography"/>
        <w:ind w:left="720" w:hanging="720"/>
      </w:pPr>
      <w:bookmarkStart w:id="50" w:name="ref-mark2019adr"/>
      <w:bookmarkEnd w:id="49"/>
      <w:r>
        <w:t xml:space="preserve">Mark, C.P., Kamath, S., 2019. Review of active space debris removal methods. Space Policy 47, 194–206. </w:t>
      </w:r>
      <w:hyperlink r:id="rId21">
        <w:r>
          <w:rPr>
            <w:rStyle w:val="Hyperlink"/>
          </w:rPr>
          <w:t>https://doi.org/10.1016/j.spacepol.2018.12.005</w:t>
        </w:r>
      </w:hyperlink>
    </w:p>
    <w:p w14:paraId="1DB0A22E" w14:textId="77777777" w:rsidR="000673DA" w:rsidRDefault="00000000">
      <w:pPr>
        <w:pStyle w:val="Bibliography"/>
        <w:ind w:left="720" w:hanging="720"/>
      </w:pPr>
      <w:bookmarkStart w:id="51" w:name="ref-ogutu2021"/>
      <w:bookmarkEnd w:id="50"/>
      <w:r>
        <w:lastRenderedPageBreak/>
        <w:t xml:space="preserve">Osoro, O.B., Oughton, E.J., 2021. A techno-economic framework for satellite networks applied to low earth orbit constellations: Assessing Starlink, OneWeb and Kuiper. IEEE Access 9, 141611–141625. </w:t>
      </w:r>
      <w:hyperlink r:id="rId22">
        <w:r>
          <w:rPr>
            <w:rStyle w:val="Hyperlink"/>
          </w:rPr>
          <w:t>https://doi.org/10.1109/ACCESS.2021.3119634</w:t>
        </w:r>
      </w:hyperlink>
    </w:p>
    <w:p w14:paraId="1C4A7603" w14:textId="77777777" w:rsidR="000673DA" w:rsidRDefault="00000000">
      <w:pPr>
        <w:pStyle w:val="Bibliography"/>
        <w:ind w:left="720" w:hanging="720"/>
      </w:pPr>
      <w:bookmarkStart w:id="52" w:name="ref-palmroth2021"/>
      <w:bookmarkEnd w:id="51"/>
      <w:r>
        <w:t xml:space="preserve">Palmroth, M., Tapio, J., Soucek, A., Perrels, A., Jah, M., others, 2021. Toward sustainable use of space: Economic, technological, and legal perspectives. Space Policy 57, 101428. </w:t>
      </w:r>
      <w:hyperlink r:id="rId23">
        <w:r>
          <w:rPr>
            <w:rStyle w:val="Hyperlink"/>
          </w:rPr>
          <w:t>https://doi.org/10.1016/j.spacepol.2021.101428</w:t>
        </w:r>
      </w:hyperlink>
    </w:p>
    <w:p w14:paraId="6F9E0683" w14:textId="77777777" w:rsidR="000673DA" w:rsidRDefault="00000000">
      <w:pPr>
        <w:pStyle w:val="Bibliography"/>
        <w:ind w:left="720" w:hanging="720"/>
      </w:pPr>
      <w:bookmarkStart w:id="53" w:name="ref-ragin2008"/>
      <w:bookmarkEnd w:id="52"/>
      <w:r>
        <w:t>Ragin, C.C., 2008. Redesigning social inquiry: Fuzzy sets and beyond. University of Chicago Press.</w:t>
      </w:r>
    </w:p>
    <w:p w14:paraId="1C6CBCFD" w14:textId="77777777" w:rsidR="000673DA" w:rsidRDefault="00000000">
      <w:pPr>
        <w:pStyle w:val="Bibliography"/>
        <w:ind w:left="720" w:hanging="720"/>
      </w:pPr>
      <w:bookmarkStart w:id="54" w:name="ref-rajagopalan2024"/>
      <w:bookmarkEnd w:id="53"/>
      <w:r>
        <w:t xml:space="preserve">Rajagopalan, R.P., Stroikos, D., 2024. The transformation of India’s space policy: From space for development to the pursuit of security and prestige. Space Policy 69, 101633. </w:t>
      </w:r>
      <w:hyperlink r:id="rId24">
        <w:r>
          <w:rPr>
            <w:rStyle w:val="Hyperlink"/>
          </w:rPr>
          <w:t>https://doi.org/10.1016/j.spacepol.2024.101633</w:t>
        </w:r>
      </w:hyperlink>
    </w:p>
    <w:p w14:paraId="129AF0E2" w14:textId="77777777" w:rsidR="000673DA" w:rsidRDefault="00000000">
      <w:pPr>
        <w:pStyle w:val="Bibliography"/>
        <w:ind w:left="720" w:hanging="720"/>
      </w:pPr>
      <w:bookmarkStart w:id="55" w:name="ref-roth2023"/>
      <w:bookmarkEnd w:id="54"/>
      <w:r>
        <w:t xml:space="preserve">Roth, J., Sant’Anna, P.H.C., Bilinski, A., Poe, J., 2023. What’s trending in difference-in-differences? A synthesis of the recent econometrics literature. Journal of Econometrics 235, 105737. </w:t>
      </w:r>
      <w:hyperlink r:id="rId25">
        <w:r>
          <w:rPr>
            <w:rStyle w:val="Hyperlink"/>
          </w:rPr>
          <w:t>https://doi.org/10.1016/j.jeconom.2023.03.008</w:t>
        </w:r>
      </w:hyperlink>
    </w:p>
    <w:p w14:paraId="5D17BFB4" w14:textId="77777777" w:rsidR="000673DA" w:rsidRDefault="00000000">
      <w:pPr>
        <w:pStyle w:val="Bibliography"/>
        <w:ind w:left="720" w:hanging="720"/>
      </w:pPr>
      <w:bookmarkStart w:id="56" w:name="ref-sunandabraham2021"/>
      <w:bookmarkEnd w:id="55"/>
      <w:r>
        <w:t xml:space="preserve">Sun, L., Abraham, S., 2021. Estimating dynamic treatment effects in event studies with heterogeneous treatment effects. Journal of Econometrics 225, 175–199. </w:t>
      </w:r>
      <w:hyperlink r:id="rId26">
        <w:r>
          <w:rPr>
            <w:rStyle w:val="Hyperlink"/>
          </w:rPr>
          <w:t>https://doi.org/10.1016/j.jeconom.2020.09.006</w:t>
        </w:r>
      </w:hyperlink>
    </w:p>
    <w:p w14:paraId="73223FAB" w14:textId="77777777" w:rsidR="000673DA" w:rsidRDefault="00000000">
      <w:pPr>
        <w:pStyle w:val="Bibliography"/>
        <w:ind w:left="720" w:hanging="720"/>
      </w:pPr>
      <w:bookmarkStart w:id="57" w:name="ref-tversky1992"/>
      <w:bookmarkEnd w:id="56"/>
      <w:r>
        <w:t xml:space="preserve">Tversky, A., Kahneman, D., 1992. Advances in prospect theory: Cumulative representation of uncertainty. Journal of Risk and Uncertainty 5, 297–323. </w:t>
      </w:r>
      <w:hyperlink r:id="rId27">
        <w:r>
          <w:rPr>
            <w:rStyle w:val="Hyperlink"/>
          </w:rPr>
          <w:t>https://doi.org/10.1007/BF00122574</w:t>
        </w:r>
      </w:hyperlink>
    </w:p>
    <w:p w14:paraId="03F176D0" w14:textId="77777777" w:rsidR="000673DA" w:rsidRDefault="00000000">
      <w:pPr>
        <w:pStyle w:val="Bibliography"/>
        <w:ind w:left="720" w:hanging="720"/>
      </w:pPr>
      <w:bookmarkStart w:id="58" w:name="ref-tversky1991"/>
      <w:bookmarkEnd w:id="57"/>
      <w:r>
        <w:t xml:space="preserve">Tversky, A., Kahneman, D., 1991. Loss aversion in riskless choice: A reference-dependent model. Quarterly Journal of Economics 106, 1039–1061. </w:t>
      </w:r>
      <w:hyperlink r:id="rId28">
        <w:r>
          <w:rPr>
            <w:rStyle w:val="Hyperlink"/>
          </w:rPr>
          <w:t>https://doi.org/10.2307/2937956</w:t>
        </w:r>
      </w:hyperlink>
      <w:bookmarkEnd w:id="0"/>
      <w:bookmarkEnd w:id="30"/>
      <w:bookmarkEnd w:id="32"/>
      <w:bookmarkEnd w:id="58"/>
    </w:p>
    <w:sectPr w:rsidR="000673DA" w:rsidSect="000D5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8250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384D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48760583">
    <w:abstractNumId w:val="0"/>
  </w:num>
  <w:num w:numId="2" w16cid:durableId="139724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673DA"/>
    <w:rsid w:val="000673DA"/>
    <w:rsid w:val="005C2374"/>
    <w:rsid w:val="006C002A"/>
    <w:rsid w:val="00F8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8A6E"/>
  <w15:docId w15:val="{E60BFFED-D10B-4666-A2C5-7D8CE41E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style>
  <w:style w:type="paragraph" w:styleId="Heading1">
    <w:name w:val="heading 1"/>
    <w:basedOn w:val="Normal"/>
    <w:next w:val="BodyText"/>
    <w:link w:val="Heading1Char"/>
    <w:uiPriority w:val="9"/>
    <w:qFormat/>
    <w:rsid w:val="00A10FD9"/>
    <w:pPr>
      <w:keepNext/>
      <w:keepLines/>
      <w:spacing w:before="480"/>
      <w:jc w:val="center"/>
      <w:outlineLvl w:val="0"/>
    </w:pPr>
    <w:rPr>
      <w:b/>
    </w:rPr>
  </w:style>
  <w:style w:type="paragraph" w:styleId="Heading2">
    <w:name w:val="heading 2"/>
    <w:basedOn w:val="Normal"/>
    <w:next w:val="BodyText"/>
    <w:link w:val="Heading2Char"/>
    <w:uiPriority w:val="9"/>
    <w:semiHidden/>
    <w:unhideWhenUsed/>
    <w:qFormat/>
    <w:rsid w:val="00A10FD9"/>
    <w:pPr>
      <w:keepNext/>
      <w:keepLines/>
      <w:outlineLvl w:val="1"/>
    </w:pPr>
    <w:rPr>
      <w:b/>
    </w:rPr>
  </w:style>
  <w:style w:type="paragraph" w:styleId="Heading3">
    <w:name w:val="heading 3"/>
    <w:basedOn w:val="Normal"/>
    <w:next w:val="BodyText"/>
    <w:link w:val="Heading3Char"/>
    <w:uiPriority w:val="9"/>
    <w:semiHidden/>
    <w:unhideWhenUsed/>
    <w:qFormat/>
    <w:rsid w:val="00A10FD9"/>
    <w:pPr>
      <w:keepNext/>
      <w:keepLines/>
      <w:outlineLvl w:val="2"/>
    </w:pPr>
    <w:rPr>
      <w:b/>
      <w:i/>
    </w:rPr>
  </w:style>
  <w:style w:type="paragraph" w:styleId="Heading4">
    <w:name w:val="heading 4"/>
    <w:basedOn w:val="Normal"/>
    <w:next w:val="BodyText"/>
    <w:link w:val="Heading4Char"/>
    <w:uiPriority w:val="9"/>
    <w:semiHidden/>
    <w:unhideWhenUsed/>
    <w:qFormat/>
    <w:rsid w:val="00A10FD9"/>
    <w:pPr>
      <w:keepNext/>
      <w:keepLines/>
      <w:outlineLvl w:val="3"/>
    </w:pPr>
    <w:rPr>
      <w:b/>
      <w:i/>
      <w:iCs/>
    </w:rPr>
  </w:style>
  <w:style w:type="paragraph" w:styleId="Heading5">
    <w:name w:val="heading 5"/>
    <w:basedOn w:val="Normal"/>
    <w:next w:val="BodyText"/>
    <w:link w:val="Heading5Char"/>
    <w:uiPriority w:val="9"/>
    <w:semiHidden/>
    <w:unhideWhenUsed/>
    <w:qFormat/>
    <w:rsid w:val="00A10FD9"/>
    <w:pPr>
      <w:keepNext/>
      <w:keepLines/>
      <w:outlineLvl w:val="4"/>
    </w:pPr>
    <w:rPr>
      <w:b/>
    </w:rPr>
  </w:style>
  <w:style w:type="paragraph" w:styleId="Heading6">
    <w:name w:val="heading 6"/>
    <w:basedOn w:val="Normal"/>
    <w:next w:val="BodyText"/>
    <w:link w:val="Heading6Char"/>
    <w:uiPriority w:val="9"/>
    <w:semiHidden/>
    <w:unhideWhenUsed/>
    <w:qFormat/>
    <w:rsid w:val="00A10FD9"/>
    <w:pPr>
      <w:keepNext/>
      <w:keepLines/>
      <w:outlineLvl w:val="5"/>
    </w:pPr>
    <w:rPr>
      <w:b/>
      <w:i/>
      <w:iCs/>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b/>
    </w:rPr>
  </w:style>
  <w:style w:type="paragraph" w:styleId="Heading8">
    <w:name w:val="heading 8"/>
    <w:basedOn w:val="Normal"/>
    <w:next w:val="BodyText"/>
    <w:link w:val="Heading8Char"/>
    <w:uiPriority w:val="9"/>
    <w:semiHidden/>
    <w:unhideWhenUsed/>
    <w:qFormat/>
    <w:rsid w:val="00A10FD9"/>
    <w:pPr>
      <w:keepNext/>
      <w:keepLines/>
      <w:outlineLvl w:val="7"/>
    </w:pPr>
    <w:rPr>
      <w:b/>
      <w:i/>
      <w:iCs/>
    </w:rPr>
  </w:style>
  <w:style w:type="paragraph" w:styleId="Heading9">
    <w:name w:val="heading 9"/>
    <w:basedOn w:val="Normal"/>
    <w:next w:val="BodyText"/>
    <w:link w:val="Heading9Char"/>
    <w:uiPriority w:val="9"/>
    <w:semiHidden/>
    <w:unhideWhenUsed/>
    <w:qFormat/>
    <w:rsid w:val="00A10FD9"/>
    <w:pPr>
      <w:keepNext/>
      <w:keepLines/>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line="240" w:lineRule="auto"/>
    </w:pPr>
  </w:style>
  <w:style w:type="paragraph" w:styleId="Title">
    <w:name w:val="Title"/>
    <w:basedOn w:val="Normal"/>
    <w:next w:val="BodyText"/>
    <w:link w:val="TitleChar"/>
    <w:uiPriority w:val="10"/>
    <w:qFormat/>
    <w:rsid w:val="00A10FD9"/>
    <w:pPr>
      <w:contextualSpacing/>
      <w:jc w:val="center"/>
    </w:pPr>
  </w:style>
  <w:style w:type="character" w:customStyle="1" w:styleId="TitleChar">
    <w:name w:val="Title Char"/>
    <w:basedOn w:val="DefaultParagraphFont"/>
    <w:link w:val="Title"/>
    <w:uiPriority w:val="10"/>
    <w:rsid w:val="00A10FD9"/>
    <w:rPr>
      <w:rFonts w:ascii="Times New Roman" w:hAnsi="Times New Roman" w:cs="Times New Roman"/>
      <w:sz w:val="24"/>
      <w:szCs w:val="24"/>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jc w:val="center"/>
    </w:pPr>
    <w:rPr>
      <w:b/>
    </w:rPr>
  </w:style>
  <w:style w:type="paragraph" w:customStyle="1" w:styleId="Abstract">
    <w:name w:val="Abstract"/>
    <w:basedOn w:val="Normal"/>
    <w:next w:val="BodyText"/>
    <w:qFormat/>
    <w:pPr>
      <w:keepNext/>
      <w:keepLines/>
      <w:jc w:val="center"/>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A10FD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A10FD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A10FD9"/>
    <w:rPr>
      <w:rFonts w:ascii="Times New Roman" w:hAnsi="Times New Roman" w:cs="Times New Roman"/>
      <w:i/>
      <w:iCs/>
      <w:sz w:val="24"/>
      <w:szCs w:val="24"/>
    </w:rPr>
  </w:style>
  <w:style w:type="character" w:customStyle="1" w:styleId="Heading5Char">
    <w:name w:val="Heading 5 Char"/>
    <w:basedOn w:val="DefaultParagraphFont"/>
    <w:link w:val="Heading5"/>
    <w:uiPriority w:val="9"/>
    <w:semiHidden/>
    <w:rsid w:val="00A10FD9"/>
    <w:rPr>
      <w:rFonts w:ascii="Times New Roman" w:hAnsi="Times New Roman" w:cs="Times New Roman"/>
      <w:sz w:val="24"/>
      <w:szCs w:val="24"/>
    </w:rPr>
  </w:style>
  <w:style w:type="character" w:customStyle="1" w:styleId="Heading6Char">
    <w:name w:val="Heading 6 Char"/>
    <w:basedOn w:val="DefaultParagraphFont"/>
    <w:link w:val="Heading6"/>
    <w:uiPriority w:val="9"/>
    <w:semiHidden/>
    <w:rsid w:val="00A10FD9"/>
    <w:rPr>
      <w:rFonts w:ascii="Times New Roman" w:hAnsi="Times New Roman" w:cs="Times New Roman"/>
      <w:i/>
      <w:iCs/>
      <w:sz w:val="24"/>
      <w:szCs w:val="24"/>
    </w:rPr>
  </w:style>
  <w:style w:type="character" w:customStyle="1" w:styleId="Heading7Char">
    <w:name w:val="Heading 7 Char"/>
    <w:basedOn w:val="DefaultParagraphFont"/>
    <w:link w:val="Heading7"/>
    <w:uiPriority w:val="9"/>
    <w:semiHidden/>
    <w:rsid w:val="00A10FD9"/>
    <w:rPr>
      <w:rFonts w:ascii="Times New Roman" w:hAnsi="Times New Roman" w:cs="Times New Roman"/>
    </w:rPr>
  </w:style>
  <w:style w:type="character" w:customStyle="1" w:styleId="Heading8Char">
    <w:name w:val="Heading 8 Char"/>
    <w:basedOn w:val="DefaultParagraphFont"/>
    <w:link w:val="Heading8"/>
    <w:uiPriority w:val="9"/>
    <w:semiHidden/>
    <w:rsid w:val="00A10FD9"/>
    <w:rPr>
      <w:rFonts w:ascii="Times New Roman" w:hAnsi="Times New Roman" w:cs="Times New Roman"/>
      <w:i/>
      <w:iCs/>
    </w:rPr>
  </w:style>
  <w:style w:type="character" w:customStyle="1" w:styleId="Heading9Char">
    <w:name w:val="Heading 9 Char"/>
    <w:basedOn w:val="DefaultParagraphFont"/>
    <w:link w:val="Heading9"/>
    <w:uiPriority w:val="9"/>
    <w:semiHidden/>
    <w:rsid w:val="00A10FD9"/>
    <w:rPr>
      <w:rFonts w:ascii="Times New Roman" w:hAnsi="Times New Roman" w:cs="Times New Roman"/>
    </w:rPr>
  </w:style>
  <w:style w:type="paragraph" w:styleId="BlockText">
    <w:name w:val="Block Text"/>
    <w:basedOn w:val="BodyText"/>
    <w:next w:val="BodyText"/>
    <w:uiPriority w:val="9"/>
    <w:unhideWhenUsed/>
    <w:qFormat/>
    <w:pPr>
      <w:ind w:left="480" w:right="480" w:firstLine="0"/>
    </w:pPr>
  </w:style>
  <w:style w:type="paragraph" w:styleId="FootnoteText">
    <w:name w:val="footnote text"/>
    <w:basedOn w:val="Normal"/>
    <w:uiPriority w:val="9"/>
    <w:unhideWhenUsed/>
    <w:qFormat/>
    <w:pPr>
      <w:spacing w:line="240" w:lineRule="auto"/>
    </w:pPr>
    <w:rPr>
      <w:sz w:val="20"/>
      <w:szCs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after="0"/>
      <w:jc w:val="center"/>
    </w:pPr>
  </w:style>
  <w:style w:type="paragraph" w:customStyle="1" w:styleId="ImageCaption">
    <w:name w:val="Image Caption"/>
    <w:basedOn w:val="Caption"/>
    <w:pPr>
      <w:spacing w:after="0"/>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rPr>
  </w:style>
  <w:style w:type="character" w:customStyle="1" w:styleId="VerbatimChar">
    <w:name w:val="Verbatim Char"/>
    <w:basedOn w:val="CaptionChar"/>
    <w:link w:val="SourceCode"/>
    <w:rPr>
      <w:rFonts w:ascii="Consolas" w:hAnsi="Consolas" w:cs="Times New Roman"/>
      <w:sz w:val="22"/>
    </w:rPr>
  </w:style>
  <w:style w:type="character" w:customStyle="1" w:styleId="SectionNumber">
    <w:name w:val="Section Number"/>
    <w:basedOn w:val="CaptionChar"/>
    <w:rPr>
      <w:rFonts w:ascii="Times New Roman" w:hAnsi="Times New Roman" w:cs="Times New Roman"/>
    </w:rPr>
  </w:style>
  <w:style w:type="character" w:styleId="FootnoteReference">
    <w:name w:val="footnote reference"/>
    <w:basedOn w:val="CaptionChar"/>
    <w:rPr>
      <w:rFonts w:ascii="Times New Roman" w:hAnsi="Times New Roman" w:cs="Times New Roman"/>
      <w:vertAlign w:val="superscript"/>
    </w:rPr>
  </w:style>
  <w:style w:type="character" w:styleId="Hyperlink">
    <w:name w:val="Hyperlink"/>
    <w:basedOn w:val="CaptionChar"/>
    <w:rPr>
      <w:rFonts w:ascii="Times New Roman" w:hAnsi="Times New Roman" w:cs="Times New Roman"/>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Times New Roman"/>
      <w:b/>
      <w:color w:val="007020"/>
      <w:sz w:val="22"/>
    </w:rPr>
  </w:style>
  <w:style w:type="character" w:customStyle="1" w:styleId="DataTypeTok">
    <w:name w:val="DataTypeTok"/>
    <w:basedOn w:val="VerbatimChar"/>
    <w:rPr>
      <w:rFonts w:ascii="Consolas" w:hAnsi="Consolas" w:cs="Times New Roman"/>
      <w:color w:val="902000"/>
      <w:sz w:val="22"/>
    </w:rPr>
  </w:style>
  <w:style w:type="character" w:customStyle="1" w:styleId="DecValTok">
    <w:name w:val="DecValTok"/>
    <w:basedOn w:val="VerbatimChar"/>
    <w:rPr>
      <w:rFonts w:ascii="Consolas" w:hAnsi="Consolas" w:cs="Times New Roman"/>
      <w:color w:val="40A070"/>
      <w:sz w:val="22"/>
    </w:rPr>
  </w:style>
  <w:style w:type="character" w:customStyle="1" w:styleId="BaseNTok">
    <w:name w:val="BaseNTok"/>
    <w:basedOn w:val="VerbatimChar"/>
    <w:rPr>
      <w:rFonts w:ascii="Consolas" w:hAnsi="Consolas" w:cs="Times New Roman"/>
      <w:color w:val="40A070"/>
      <w:sz w:val="22"/>
    </w:rPr>
  </w:style>
  <w:style w:type="character" w:customStyle="1" w:styleId="FloatTok">
    <w:name w:val="FloatTok"/>
    <w:basedOn w:val="VerbatimChar"/>
    <w:rPr>
      <w:rFonts w:ascii="Consolas" w:hAnsi="Consolas" w:cs="Times New Roman"/>
      <w:color w:val="40A070"/>
      <w:sz w:val="22"/>
    </w:rPr>
  </w:style>
  <w:style w:type="character" w:customStyle="1" w:styleId="ConstantTok">
    <w:name w:val="ConstantTok"/>
    <w:basedOn w:val="VerbatimChar"/>
    <w:rPr>
      <w:rFonts w:ascii="Consolas" w:hAnsi="Consolas" w:cs="Times New Roman"/>
      <w:color w:val="880000"/>
      <w:sz w:val="22"/>
    </w:rPr>
  </w:style>
  <w:style w:type="character" w:customStyle="1" w:styleId="CharTok">
    <w:name w:val="CharTok"/>
    <w:basedOn w:val="VerbatimChar"/>
    <w:rPr>
      <w:rFonts w:ascii="Consolas" w:hAnsi="Consolas" w:cs="Times New Roman"/>
      <w:color w:val="4070A0"/>
      <w:sz w:val="22"/>
    </w:rPr>
  </w:style>
  <w:style w:type="character" w:customStyle="1" w:styleId="SpecialCharTok">
    <w:name w:val="SpecialCharTok"/>
    <w:basedOn w:val="VerbatimChar"/>
    <w:rPr>
      <w:rFonts w:ascii="Consolas" w:hAnsi="Consolas" w:cs="Times New Roman"/>
      <w:color w:val="4070A0"/>
      <w:sz w:val="22"/>
    </w:rPr>
  </w:style>
  <w:style w:type="character" w:customStyle="1" w:styleId="StringTok">
    <w:name w:val="StringTok"/>
    <w:basedOn w:val="VerbatimChar"/>
    <w:rPr>
      <w:rFonts w:ascii="Consolas" w:hAnsi="Consolas" w:cs="Times New Roman"/>
      <w:color w:val="4070A0"/>
      <w:sz w:val="22"/>
    </w:rPr>
  </w:style>
  <w:style w:type="character" w:customStyle="1" w:styleId="VerbatimStringTok">
    <w:name w:val="VerbatimStringTok"/>
    <w:basedOn w:val="VerbatimChar"/>
    <w:rPr>
      <w:rFonts w:ascii="Consolas" w:hAnsi="Consolas" w:cs="Times New Roman"/>
      <w:color w:val="4070A0"/>
      <w:sz w:val="22"/>
    </w:rPr>
  </w:style>
  <w:style w:type="character" w:customStyle="1" w:styleId="SpecialStringTok">
    <w:name w:val="SpecialStringTok"/>
    <w:basedOn w:val="VerbatimChar"/>
    <w:rPr>
      <w:rFonts w:ascii="Consolas" w:hAnsi="Consolas" w:cs="Times New Roman"/>
      <w:color w:val="BB6688"/>
      <w:sz w:val="22"/>
    </w:rPr>
  </w:style>
  <w:style w:type="character" w:customStyle="1" w:styleId="ImportTok">
    <w:name w:val="ImportTok"/>
    <w:basedOn w:val="VerbatimChar"/>
    <w:rPr>
      <w:rFonts w:ascii="Consolas" w:hAnsi="Consolas" w:cs="Times New Roman"/>
      <w:b/>
      <w:color w:val="008000"/>
      <w:sz w:val="22"/>
    </w:rPr>
  </w:style>
  <w:style w:type="character" w:customStyle="1" w:styleId="CommentTok">
    <w:name w:val="CommentTok"/>
    <w:basedOn w:val="VerbatimChar"/>
    <w:rPr>
      <w:rFonts w:ascii="Consolas" w:hAnsi="Consolas" w:cs="Times New Roman"/>
      <w:i/>
      <w:color w:val="60A0B0"/>
      <w:sz w:val="22"/>
    </w:rPr>
  </w:style>
  <w:style w:type="character" w:customStyle="1" w:styleId="DocumentationTok">
    <w:name w:val="DocumentationTok"/>
    <w:basedOn w:val="VerbatimChar"/>
    <w:rPr>
      <w:rFonts w:ascii="Consolas" w:hAnsi="Consolas" w:cs="Times New Roman"/>
      <w:i/>
      <w:color w:val="BA2121"/>
      <w:sz w:val="22"/>
    </w:rPr>
  </w:style>
  <w:style w:type="character" w:customStyle="1" w:styleId="AnnotationTok">
    <w:name w:val="AnnotationTok"/>
    <w:basedOn w:val="VerbatimChar"/>
    <w:rPr>
      <w:rFonts w:ascii="Consolas" w:hAnsi="Consolas" w:cs="Times New Roman"/>
      <w:b/>
      <w:i/>
      <w:color w:val="60A0B0"/>
      <w:sz w:val="22"/>
    </w:rPr>
  </w:style>
  <w:style w:type="character" w:customStyle="1" w:styleId="CommentVarTok">
    <w:name w:val="CommentVarTok"/>
    <w:basedOn w:val="VerbatimChar"/>
    <w:rPr>
      <w:rFonts w:ascii="Consolas" w:hAnsi="Consolas" w:cs="Times New Roman"/>
      <w:b/>
      <w:i/>
      <w:color w:val="60A0B0"/>
      <w:sz w:val="22"/>
    </w:rPr>
  </w:style>
  <w:style w:type="character" w:customStyle="1" w:styleId="OtherTok">
    <w:name w:val="OtherTok"/>
    <w:basedOn w:val="VerbatimChar"/>
    <w:rPr>
      <w:rFonts w:ascii="Consolas" w:hAnsi="Consolas" w:cs="Times New Roman"/>
      <w:color w:val="007020"/>
      <w:sz w:val="22"/>
    </w:rPr>
  </w:style>
  <w:style w:type="character" w:customStyle="1" w:styleId="FunctionTok">
    <w:name w:val="FunctionTok"/>
    <w:basedOn w:val="VerbatimChar"/>
    <w:rPr>
      <w:rFonts w:ascii="Consolas" w:hAnsi="Consolas" w:cs="Times New Roman"/>
      <w:color w:val="06287E"/>
      <w:sz w:val="22"/>
    </w:rPr>
  </w:style>
  <w:style w:type="character" w:customStyle="1" w:styleId="VariableTok">
    <w:name w:val="VariableTok"/>
    <w:basedOn w:val="VerbatimChar"/>
    <w:rPr>
      <w:rFonts w:ascii="Consolas" w:hAnsi="Consolas" w:cs="Times New Roman"/>
      <w:color w:val="19177C"/>
      <w:sz w:val="22"/>
    </w:rPr>
  </w:style>
  <w:style w:type="character" w:customStyle="1" w:styleId="ControlFlowTok">
    <w:name w:val="ControlFlowTok"/>
    <w:basedOn w:val="VerbatimChar"/>
    <w:rPr>
      <w:rFonts w:ascii="Consolas" w:hAnsi="Consolas" w:cs="Times New Roman"/>
      <w:b/>
      <w:color w:val="007020"/>
      <w:sz w:val="22"/>
    </w:rPr>
  </w:style>
  <w:style w:type="character" w:customStyle="1" w:styleId="OperatorTok">
    <w:name w:val="OperatorTok"/>
    <w:basedOn w:val="VerbatimChar"/>
    <w:rPr>
      <w:rFonts w:ascii="Consolas" w:hAnsi="Consolas" w:cs="Times New Roman"/>
      <w:color w:val="666666"/>
      <w:sz w:val="22"/>
    </w:rPr>
  </w:style>
  <w:style w:type="character" w:customStyle="1" w:styleId="BuiltInTok">
    <w:name w:val="BuiltInTok"/>
    <w:basedOn w:val="VerbatimChar"/>
    <w:rPr>
      <w:rFonts w:ascii="Consolas" w:hAnsi="Consolas" w:cs="Times New Roman"/>
      <w:color w:val="008000"/>
      <w:sz w:val="22"/>
    </w:rPr>
  </w:style>
  <w:style w:type="character" w:customStyle="1" w:styleId="ExtensionTok">
    <w:name w:val="ExtensionTok"/>
    <w:basedOn w:val="VerbatimChar"/>
    <w:rPr>
      <w:rFonts w:ascii="Consolas" w:hAnsi="Consolas" w:cs="Times New Roman"/>
      <w:sz w:val="22"/>
    </w:rPr>
  </w:style>
  <w:style w:type="character" w:customStyle="1" w:styleId="PreprocessorTok">
    <w:name w:val="PreprocessorTok"/>
    <w:basedOn w:val="VerbatimChar"/>
    <w:rPr>
      <w:rFonts w:ascii="Consolas" w:hAnsi="Consolas" w:cs="Times New Roman"/>
      <w:color w:val="BC7A00"/>
      <w:sz w:val="22"/>
    </w:rPr>
  </w:style>
  <w:style w:type="character" w:customStyle="1" w:styleId="AttributeTok">
    <w:name w:val="AttributeTok"/>
    <w:basedOn w:val="VerbatimChar"/>
    <w:rPr>
      <w:rFonts w:ascii="Consolas" w:hAnsi="Consolas" w:cs="Times New Roman"/>
      <w:color w:val="7D9029"/>
      <w:sz w:val="22"/>
    </w:rPr>
  </w:style>
  <w:style w:type="character" w:customStyle="1" w:styleId="RegionMarkerTok">
    <w:name w:val="RegionMarkerTok"/>
    <w:basedOn w:val="VerbatimChar"/>
    <w:rPr>
      <w:rFonts w:ascii="Consolas" w:hAnsi="Consolas" w:cs="Times New Roman"/>
      <w:sz w:val="22"/>
    </w:rPr>
  </w:style>
  <w:style w:type="character" w:customStyle="1" w:styleId="InformationTok">
    <w:name w:val="InformationTok"/>
    <w:basedOn w:val="VerbatimChar"/>
    <w:rPr>
      <w:rFonts w:ascii="Consolas" w:hAnsi="Consolas" w:cs="Times New Roman"/>
      <w:b/>
      <w:i/>
      <w:color w:val="60A0B0"/>
      <w:sz w:val="22"/>
    </w:rPr>
  </w:style>
  <w:style w:type="character" w:customStyle="1" w:styleId="WarningTok">
    <w:name w:val="WarningTok"/>
    <w:basedOn w:val="VerbatimChar"/>
    <w:rPr>
      <w:rFonts w:ascii="Consolas" w:hAnsi="Consolas" w:cs="Times New Roman"/>
      <w:b/>
      <w:i/>
      <w:color w:val="60A0B0"/>
      <w:sz w:val="22"/>
    </w:rPr>
  </w:style>
  <w:style w:type="character" w:customStyle="1" w:styleId="AlertTok">
    <w:name w:val="AlertTok"/>
    <w:basedOn w:val="VerbatimChar"/>
    <w:rPr>
      <w:rFonts w:ascii="Consolas" w:hAnsi="Consolas" w:cs="Times New Roman"/>
      <w:b/>
      <w:color w:val="FF0000"/>
      <w:sz w:val="22"/>
    </w:rPr>
  </w:style>
  <w:style w:type="character" w:customStyle="1" w:styleId="ErrorTok">
    <w:name w:val="ErrorTok"/>
    <w:basedOn w:val="VerbatimChar"/>
    <w:rPr>
      <w:rFonts w:ascii="Consolas" w:hAnsi="Consolas" w:cs="Times New Roman"/>
      <w:b/>
      <w:color w:val="FF0000"/>
      <w:sz w:val="22"/>
    </w:rPr>
  </w:style>
  <w:style w:type="character" w:customStyle="1" w:styleId="NormalTok">
    <w:name w:val="NormalTok"/>
    <w:basedOn w:val="VerbatimChar"/>
    <w:rPr>
      <w:rFonts w:ascii="Consolas" w:hAnsi="Consola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87/mnsc.2018.3224" TargetMode="External"/><Relationship Id="rId13" Type="http://schemas.openxmlformats.org/officeDocument/2006/relationships/hyperlink" Target="https://www.esa.int/Space_Safety/Space_Debris/ESA_s_Space_Environment_Report_2023" TargetMode="External"/><Relationship Id="rId18" Type="http://schemas.openxmlformats.org/officeDocument/2006/relationships/hyperlink" Target="https://doi.org/10.2307/1914185" TargetMode="External"/><Relationship Id="rId26" Type="http://schemas.openxmlformats.org/officeDocument/2006/relationships/hyperlink" Target="https://doi.org/10.1016/j.jeconom.2020.09.006" TargetMode="External"/><Relationship Id="rId3" Type="http://schemas.openxmlformats.org/officeDocument/2006/relationships/settings" Target="settings.xml"/><Relationship Id="rId21" Type="http://schemas.openxmlformats.org/officeDocument/2006/relationships/hyperlink" Target="https://doi.org/10.1016/j.spacepol.2018.12.005" TargetMode="External"/><Relationship Id="rId7" Type="http://schemas.openxmlformats.org/officeDocument/2006/relationships/hyperlink" Target="https://doi.org/10.1007/s11214-021-00868-x" TargetMode="External"/><Relationship Id="rId12" Type="http://schemas.openxmlformats.org/officeDocument/2006/relationships/hyperlink" Target="https://doi.org/10.1257/aer.20181169" TargetMode="External"/><Relationship Id="rId17" Type="http://schemas.openxmlformats.org/officeDocument/2006/relationships/hyperlink" Target="https://doi.org/10.1017/bpp.2018.43" TargetMode="External"/><Relationship Id="rId25" Type="http://schemas.openxmlformats.org/officeDocument/2006/relationships/hyperlink" Target="https://doi.org/10.1016/j.jeconom.2023.03.008" TargetMode="External"/><Relationship Id="rId2" Type="http://schemas.openxmlformats.org/officeDocument/2006/relationships/styles" Target="styles.xml"/><Relationship Id="rId16" Type="http://schemas.openxmlformats.org/officeDocument/2006/relationships/hyperlink" Target="https://doi.org/10.1037/a0017346" TargetMode="External"/><Relationship Id="rId20" Type="http://schemas.openxmlformats.org/officeDocument/2006/relationships/hyperlink" Target="https://doi.org/10.1162/00335530175326554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98/jasa.2009.ap08746" TargetMode="External"/><Relationship Id="rId11" Type="http://schemas.openxmlformats.org/officeDocument/2006/relationships/hyperlink" Target="https://doi.org/10.1016/j.jeconom.2020.12.001" TargetMode="External"/><Relationship Id="rId24" Type="http://schemas.openxmlformats.org/officeDocument/2006/relationships/hyperlink" Target="https://doi.org/10.1016/j.spacepol.2024.101633" TargetMode="External"/><Relationship Id="rId5" Type="http://schemas.openxmlformats.org/officeDocument/2006/relationships/hyperlink" Target="https://doi.org/10.1111/ajps.12116" TargetMode="External"/><Relationship Id="rId15" Type="http://schemas.openxmlformats.org/officeDocument/2006/relationships/hyperlink" Target="https://doi.org/10.1016/j.jeconom.2021.03.014" TargetMode="External"/><Relationship Id="rId23" Type="http://schemas.openxmlformats.org/officeDocument/2006/relationships/hyperlink" Target="https://doi.org/10.1016/j.spacepol.2021.101428" TargetMode="External"/><Relationship Id="rId28" Type="http://schemas.openxmlformats.org/officeDocument/2006/relationships/hyperlink" Target="https://doi.org/10.2307/2937956" TargetMode="External"/><Relationship Id="rId10" Type="http://schemas.openxmlformats.org/officeDocument/2006/relationships/hyperlink" Target="https://doi.org/10.1162/003355304772839588" TargetMode="External"/><Relationship Id="rId19" Type="http://schemas.openxmlformats.org/officeDocument/2006/relationships/hyperlink" Target="https://www.jstor.org/stable/2729691" TargetMode="External"/><Relationship Id="rId4" Type="http://schemas.openxmlformats.org/officeDocument/2006/relationships/webSettings" Target="webSettings.xml"/><Relationship Id="rId9" Type="http://schemas.openxmlformats.org/officeDocument/2006/relationships/hyperlink" Target="https://doi.org/10.1093/rof/rfac033" TargetMode="External"/><Relationship Id="rId14" Type="http://schemas.openxmlformats.org/officeDocument/2006/relationships/hyperlink" Target="https://doi.org/10.1257/jep.14.3.159" TargetMode="External"/><Relationship Id="rId22" Type="http://schemas.openxmlformats.org/officeDocument/2006/relationships/hyperlink" Target="https://doi.org/10.1109/ACCESS.2021.3119634" TargetMode="External"/><Relationship Id="rId27" Type="http://schemas.openxmlformats.org/officeDocument/2006/relationships/hyperlink" Target="https://doi.org/10.1007/BF0012257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31</Pages>
  <Words>7380</Words>
  <Characters>42066</Characters>
  <Application>Microsoft Office Word</Application>
  <DocSecurity>0</DocSecurity>
  <Lines>350</Lines>
  <Paragraphs>98</Paragraphs>
  <ScaleCrop>false</ScaleCrop>
  <Company/>
  <LinksUpToDate>false</LinksUpToDate>
  <CharactersWithSpaces>49348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Behavioral Micro-Foundations for the Space Commons: A Policy Toolkit</dc:title>
  <dc:creator/>
  <cp:keywords/>
  <cp:lastModifiedBy>Affonso, Felipe</cp:lastModifiedBy>
  <cp:revision>2</cp:revision>
  <dcterms:created xsi:type="dcterms:W3CDTF">2026-03-26T00:37:00Z</dcterms:created>
  <dcterms:modified xsi:type="dcterms:W3CDTF">2026-03-26T01:36:00Z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../../templates/csl/elsevier-harvard.csl</vt:lpwstr>
  </property>
  <property fmtid="{D5CDD505-2E9C-101B-9397-08002B2CF9AE}" pid="4" name="date">
    <vt:lpwstr/>
  </property>
  <property fmtid="{D5CDD505-2E9C-101B-9397-08002B2CF9AE}" pid="5" name="link-citations">
    <vt:lpwstr>True</vt:lpwstr>
  </property>
</Properties>
</file>