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B31C0" w14:textId="77777777" w:rsidR="002F36D3" w:rsidRDefault="00000000">
      <w:pPr>
        <w:pStyle w:val="Title"/>
      </w:pPr>
      <w:r>
        <w:t>Behavioral Micro-Foundations for the Space Commons: A Policy Toolkit</w:t>
      </w:r>
    </w:p>
    <w:p w14:paraId="4F2CEB4D" w14:textId="77777777" w:rsidR="00C5745B" w:rsidRPr="00C5745B" w:rsidRDefault="00C5745B" w:rsidP="00C5745B">
      <w:pPr>
        <w:pStyle w:val="BodyText"/>
      </w:pPr>
    </w:p>
    <w:p w14:paraId="3E4541DB" w14:textId="77777777" w:rsidR="002F36D3" w:rsidRDefault="00000000">
      <w:pPr>
        <w:pStyle w:val="FirstParagraph"/>
        <w:ind w:firstLine="0"/>
        <w:jc w:val="center"/>
      </w:pPr>
      <w:r>
        <w:rPr>
          <w:b/>
          <w:bCs/>
        </w:rPr>
        <w:t>Abstract</w:t>
      </w:r>
    </w:p>
    <w:p w14:paraId="63A371D2" w14:textId="728E379B" w:rsidR="00926FC7" w:rsidRDefault="00000000" w:rsidP="00926FC7">
      <w:pPr>
        <w:pStyle w:val="BodyText"/>
      </w:pPr>
      <w:r>
        <w:t>Satellite megaconstellations are transforming the space economy, yet the same commercial expansion that connects remote communities and monitors climate change is contaminating observations from the Hubble Space Telescope, increasing collision risks to irreplaceable scientific assets, and overwhelming governance institutions designed for a handful of state actors. The behavioral forces driving this expansion (status competition, prestige signaling, systematic discounting of long-term costs) are precisely the forces that Cold War-era frameworks fail to address. Because these patterns are predictable, they are also designable. This paper develops the Astro-Economic Behavioral (AEB) Framework, which proposes that the psychological forces producing governance failures can be redirected through choice architecture toward sustainable outcomes without binding enforcement. Three theoretical pillars, Narrative Capital, Conspicuous Exploration, and Behavioral Governance, identify how symbolic value, costly signaling, and decision defaults shape space governance outcomes. These pillars inform four policy instruments that operate through existing international regimes, requiring no new treaty authority: sustainable-practice defaults, a reputational index, loss-framed site designations, and time-bounded safety zones. For each instrument, pre-specified quasi-experimental evaluation designs enable evidence-based iteration. The framework contributes to innovation policy by providing behavioral micro-foundations for governance in emerging sectors where rapid technological change outpaces institutional adaptation.</w:t>
      </w:r>
    </w:p>
    <w:p w14:paraId="03EACB38" w14:textId="77777777" w:rsidR="00926FC7" w:rsidRDefault="00926FC7" w:rsidP="00926FC7">
      <w:pPr>
        <w:pStyle w:val="BodyText"/>
      </w:pPr>
    </w:p>
    <w:p w14:paraId="46752299" w14:textId="04ED5735" w:rsidR="002F36D3" w:rsidRDefault="00000000" w:rsidP="00926FC7">
      <w:pPr>
        <w:pStyle w:val="BodyText"/>
        <w:ind w:firstLine="0"/>
      </w:pPr>
      <w:r>
        <w:rPr>
          <w:b/>
          <w:bCs/>
        </w:rPr>
        <w:t>Keywords:</w:t>
      </w:r>
      <w:r>
        <w:t xml:space="preserve"> innovation policy; technology governance; space governance; behavioral economics</w:t>
      </w:r>
    </w:p>
    <w:p w14:paraId="16BD1CDB" w14:textId="77777777" w:rsidR="002F36D3" w:rsidRDefault="00000000">
      <w:pPr>
        <w:pStyle w:val="Heading2"/>
        <w:spacing w:before="720" w:after="120"/>
      </w:pPr>
      <w:bookmarkStart w:id="0" w:name="introduction"/>
      <w:r>
        <w:lastRenderedPageBreak/>
        <w:t>1. Introduction</w:t>
      </w:r>
    </w:p>
    <w:p w14:paraId="7008BCCC" w14:textId="77777777" w:rsidR="002F36D3" w:rsidRDefault="00000000">
      <w:pPr>
        <w:pStyle w:val="FirstParagraph"/>
      </w:pPr>
      <w:r>
        <w:t>On November 15, 2021, seven astronauts aboard the International Space Station received an urgent warning: seek shelter immediately. A Russian anti-satellite weapons test</w:t>
      </w:r>
      <w:r>
        <w:rPr>
          <w:rStyle w:val="FootnoteReference"/>
        </w:rPr>
        <w:footnoteReference w:id="1"/>
      </w:r>
      <w:r>
        <w:t xml:space="preserve"> had destroyed a defunct Soviet-era satellite, creating over 1,500 fragments hurtling through low Earth orbit at 28,000 kilometers per hour (</w:t>
      </w:r>
      <w:hyperlink w:anchor="ref-nasa2021">
        <w:r w:rsidR="002F36D3">
          <w:rPr>
            <w:rStyle w:val="Hyperlink"/>
          </w:rPr>
          <w:t>NASA, 2021</w:t>
        </w:r>
      </w:hyperlink>
      <w:r>
        <w:t>). Among those scrambling to their return vehicles were two Russian cosmonauts, endangered by their own nation’s military demonstration.</w:t>
      </w:r>
    </w:p>
    <w:p w14:paraId="1A3FC3A4" w14:textId="77777777" w:rsidR="002F36D3" w:rsidRDefault="00000000">
      <w:pPr>
        <w:pStyle w:val="BodyText"/>
      </w:pPr>
      <w:r>
        <w:t>Far from an aberration, this incident followed a pattern visible over a decade earlier, when in 2009 the first accidental hypervelocity collision between two intact satellites (Iridium 33 and Kosmos 2251) created over 2,000 trackable debris fragments (</w:t>
      </w:r>
      <w:hyperlink w:anchor="ref-esa2009">
        <w:r w:rsidR="002F36D3">
          <w:rPr>
            <w:rStyle w:val="Hyperlink"/>
          </w:rPr>
          <w:t>European Space Agency, 2009</w:t>
        </w:r>
      </w:hyperlink>
      <w:r>
        <w:t>). In 2021, close approaches between Starlink satellites and China’s Tiangong space station (on July 1 and October 21) prompted a formal notification to the UN Secretary-General in December 2021 citing dangers to astronaut safety and state responsibility under Articles V and VI of the Outer Space Treaty (</w:t>
      </w:r>
      <w:hyperlink w:anchor="ref-un2022">
        <w:r w:rsidR="002F36D3">
          <w:rPr>
            <w:rStyle w:val="Hyperlink"/>
          </w:rPr>
          <w:t>United Nations, 2022</w:t>
        </w:r>
      </w:hyperlink>
      <w:r>
        <w:t>). The fragments from such events will persist in orbit for decades, threatening crewed missions and scientific assets including the Hubble Space Telescope and the observatories on which our understanding of the universe depends, because an expanding set of space actors driven by status competition continues to operate under institutions that were never designed for this environment.</w:t>
      </w:r>
    </w:p>
    <w:p w14:paraId="1B4122DA" w14:textId="77777777" w:rsidR="002F36D3" w:rsidRDefault="00000000">
      <w:pPr>
        <w:pStyle w:val="BodyText"/>
      </w:pPr>
      <w:r>
        <w:t xml:space="preserve">Why would Russia accept such risks to demonstrate a capability that might render the orbital environment unusable for everyone, including Russia itself? The answer lies in behavioral dynamics that conventional policy analysis overlooks: status signaling, prestige competition, and systematic underweighting of long-term collective costs relative to short-term competitive gains. </w:t>
      </w:r>
      <w:r>
        <w:lastRenderedPageBreak/>
        <w:t>The challenge confronting space governance meets the criteria that Rittel and Webber (</w:t>
      </w:r>
      <w:hyperlink w:anchor="ref-rittel1973">
        <w:r w:rsidR="002F36D3">
          <w:rPr>
            <w:rStyle w:val="Hyperlink"/>
          </w:rPr>
          <w:t>1973</w:t>
        </w:r>
      </w:hyperlink>
      <w:r>
        <w:t>) established for “wicked problems”</w:t>
      </w:r>
      <w:r>
        <w:rPr>
          <w:rStyle w:val="FootnoteReference"/>
        </w:rPr>
        <w:footnoteReference w:id="2"/>
      </w:r>
      <w:r>
        <w:t xml:space="preserve"> and, following Levin et al. (</w:t>
      </w:r>
      <w:hyperlink w:anchor="ref-levin2012">
        <w:r w:rsidR="002F36D3">
          <w:rPr>
            <w:rStyle w:val="Hyperlink"/>
          </w:rPr>
          <w:t>2012</w:t>
        </w:r>
      </w:hyperlink>
      <w:r>
        <w:t>), may constitute a “super wicked” problem where time is running out, those causing the problem are those seeking solutions, no central authority exists, and decision-makers systematically discount long-term sustainability.</w:t>
      </w:r>
    </w:p>
    <w:p w14:paraId="2CE2C87B" w14:textId="77777777" w:rsidR="002F36D3" w:rsidRDefault="00000000">
      <w:pPr>
        <w:pStyle w:val="Heading3"/>
      </w:pPr>
      <w:bookmarkStart w:id="1" w:name="Xd96b23e5d53559220d87f9ffcdb41c86eb4695f"/>
      <w:r>
        <w:t>1.1 The Space Economy and Sustainability Challenge</w:t>
      </w:r>
    </w:p>
    <w:p w14:paraId="1331F4DF" w14:textId="77777777" w:rsidR="002F36D3" w:rsidRDefault="00000000">
      <w:pPr>
        <w:pStyle w:val="FirstParagraph"/>
      </w:pPr>
      <w:r>
        <w:t>The global space economy is undergoing structural transformations driven by accelerating innovation cycles, declining launch costs, and private R&amp;D investment (</w:t>
      </w:r>
      <w:hyperlink w:anchor="ref-brycetech2024">
        <w:r w:rsidR="002F36D3">
          <w:rPr>
            <w:rStyle w:val="Hyperlink"/>
          </w:rPr>
          <w:t>BryceTech, 2024</w:t>
        </w:r>
      </w:hyperlink>
      <w:r>
        <w:t xml:space="preserve">; </w:t>
      </w:r>
      <w:hyperlink w:anchor="ref-oecd2023newspace">
        <w:r w:rsidR="002F36D3">
          <w:rPr>
            <w:rStyle w:val="Hyperlink"/>
          </w:rPr>
          <w:t>OECD, 2023</w:t>
        </w:r>
      </w:hyperlink>
      <w:r>
        <w:t xml:space="preserve">; </w:t>
      </w:r>
      <w:hyperlink w:anchor="ref-spacefoundation2024">
        <w:r w:rsidR="002F36D3">
          <w:rPr>
            <w:rStyle w:val="Hyperlink"/>
          </w:rPr>
          <w:t>Space Foundation, 2024</w:t>
        </w:r>
      </w:hyperlink>
      <w:r>
        <w:t>). The “New Space” paradigm</w:t>
      </w:r>
      <w:r>
        <w:rPr>
          <w:rStyle w:val="FootnoteReference"/>
        </w:rPr>
        <w:footnoteReference w:id="3"/>
      </w:r>
      <w:r>
        <w:t xml:space="preserve"> involves commercialization that alters how space activities are financed and governed (</w:t>
      </w:r>
      <w:hyperlink w:anchor="ref-Bousedra_2023">
        <w:r w:rsidR="002F36D3">
          <w:rPr>
            <w:rStyle w:val="Hyperlink"/>
          </w:rPr>
          <w:t>Bousedra, 2023</w:t>
        </w:r>
      </w:hyperlink>
      <w:r>
        <w:t xml:space="preserve">; </w:t>
      </w:r>
      <w:hyperlink w:anchor="ref-Denis_2020">
        <w:r w:rsidR="002F36D3">
          <w:rPr>
            <w:rStyle w:val="Hyperlink"/>
          </w:rPr>
          <w:t>Denis et al., 2020</w:t>
        </w:r>
      </w:hyperlink>
      <w:r>
        <w:t xml:space="preserve">; </w:t>
      </w:r>
      <w:hyperlink w:anchor="ref-Paikowsky_2017">
        <w:r w:rsidR="002F36D3">
          <w:rPr>
            <w:rStyle w:val="Hyperlink"/>
          </w:rPr>
          <w:t>Paikowsky, 2017</w:t>
        </w:r>
      </w:hyperlink>
      <w:r>
        <w:t>). In addition, participation is expanding well beyond traditional spacefaring states: India’s Chandrayaan-3 achieved the first soft landing near the lunar south pole in August 2023 (</w:t>
      </w:r>
      <w:hyperlink w:anchor="ref-kanu2024">
        <w:r w:rsidR="002F36D3">
          <w:rPr>
            <w:rStyle w:val="Hyperlink"/>
          </w:rPr>
          <w:t>Kanu et al., 2024</w:t>
        </w:r>
      </w:hyperlink>
      <w:r>
        <w:t>), the UAE’s Hope orbiter reached Mars in 2021 (</w:t>
      </w:r>
      <w:hyperlink w:anchor="ref-amiri2022">
        <w:r w:rsidR="002F36D3">
          <w:rPr>
            <w:rStyle w:val="Hyperlink"/>
          </w:rPr>
          <w:t>Amiri et al., 2022</w:t>
        </w:r>
      </w:hyperlink>
      <w:r>
        <w:t>), Japan’s SLIM lander demonstrated precision lunar landing in January 2024 (</w:t>
      </w:r>
      <w:hyperlink w:anchor="ref-sakai2025">
        <w:r w:rsidR="002F36D3">
          <w:rPr>
            <w:rStyle w:val="Hyperlink"/>
          </w:rPr>
          <w:t>Sakai et al., 2025</w:t>
        </w:r>
      </w:hyperlink>
      <w:r>
        <w:t>), and South Korea achieved independent orbital launch capability with its Nuri rocket (</w:t>
      </w:r>
      <w:hyperlink w:anchor="ref-oecd2022">
        <w:r w:rsidR="002F36D3">
          <w:rPr>
            <w:rStyle w:val="Hyperlink"/>
          </w:rPr>
          <w:t>OECD, 2022a</w:t>
        </w:r>
      </w:hyperlink>
      <w:r>
        <w:t>). Yet even as new entrants multiply, Rementeria (</w:t>
      </w:r>
      <w:hyperlink w:anchor="ref-rementeria2022">
        <w:r w:rsidR="002F36D3">
          <w:rPr>
            <w:rStyle w:val="Hyperlink"/>
          </w:rPr>
          <w:t>2022</w:t>
        </w:r>
      </w:hyperlink>
      <w:r>
        <w:t>) demonstrates that established power hierarchies persist, creating conditions for status competition between incumbents seeking to maintain dominance and newcomers seeking to signal capability.</w:t>
      </w:r>
    </w:p>
    <w:p w14:paraId="7E8BCED9" w14:textId="4D11E617" w:rsidR="002F36D3" w:rsidRDefault="00000000">
      <w:pPr>
        <w:pStyle w:val="BodyText"/>
      </w:pPr>
      <w:r>
        <w:t xml:space="preserve">The pace of expansion is </w:t>
      </w:r>
      <w:proofErr w:type="gramStart"/>
      <w:r>
        <w:t>accelerating:</w:t>
      </w:r>
      <w:proofErr w:type="gramEnd"/>
      <w:r>
        <w:t xml:space="preserve"> orbital launches </w:t>
      </w:r>
      <w:r w:rsidR="00926FC7">
        <w:t>more than doubled</w:t>
      </w:r>
      <w:r>
        <w:t xml:space="preserve"> from approximately 114 in 2020 to over 250 in 2024, active satellites quadrupled from approximately 3,400 to over 14,000 in the same period, and a single operator (Starlink) now accounts for </w:t>
      </w:r>
      <w:r>
        <w:lastRenderedPageBreak/>
        <w:t>approximately 65% of all active satellites. The global space economy reached a record $613 billion in 2024 (</w:t>
      </w:r>
      <w:hyperlink w:anchor="ref-spacefoundation2025">
        <w:r w:rsidR="002F36D3">
          <w:rPr>
            <w:rStyle w:val="Hyperlink"/>
          </w:rPr>
          <w:t>Space Foundation, 2025</w:t>
        </w:r>
      </w:hyperlink>
      <w:r>
        <w:t>), and space represents one of the most R&amp;D-intensive sectors globally. Public investment has historically created the technological foundations upon which commercial innovation now builds (</w:t>
      </w:r>
      <w:hyperlink w:anchor="ref-fleming2019">
        <w:r w:rsidR="002F36D3">
          <w:rPr>
            <w:rStyle w:val="Hyperlink"/>
          </w:rPr>
          <w:t>Fleming et al., 2019</w:t>
        </w:r>
      </w:hyperlink>
      <w:r>
        <w:t xml:space="preserve">; </w:t>
      </w:r>
      <w:hyperlink w:anchor="ref-jaffe1998">
        <w:r w:rsidR="002F36D3">
          <w:rPr>
            <w:rStyle w:val="Hyperlink"/>
          </w:rPr>
          <w:t>Jaffe et al., 1998</w:t>
        </w:r>
      </w:hyperlink>
      <w:r>
        <w:t>). Recent research documents substantial economic returns from this investment: Kantor and Whalley (</w:t>
      </w:r>
      <w:hyperlink w:anchor="ref-kantor2025">
        <w:r w:rsidR="002F36D3">
          <w:rPr>
            <w:rStyle w:val="Hyperlink"/>
          </w:rPr>
          <w:t>2025</w:t>
        </w:r>
      </w:hyperlink>
      <w:r>
        <w:t>) find that public R&amp;D during the space race increased manufacturing employment and capital accumulation among contractor firms, while Corrado et al. (</w:t>
      </w:r>
      <w:hyperlink w:anchor="ref-corrado2023">
        <w:r w:rsidR="002F36D3">
          <w:rPr>
            <w:rStyle w:val="Hyperlink"/>
          </w:rPr>
          <w:t>2023</w:t>
        </w:r>
      </w:hyperlink>
      <w:r>
        <w:t>) estimate aggregate macroeconomic growth effects from space activity.</w:t>
      </w:r>
    </w:p>
    <w:p w14:paraId="548B51BE" w14:textId="77777777" w:rsidR="002F36D3" w:rsidRDefault="00000000">
      <w:pPr>
        <w:pStyle w:val="BodyText"/>
      </w:pPr>
      <w:r>
        <w:t>Scientific research depends on access to the same orbital environment that commercial operators are rapidly filling. Borlaff et al. (</w:t>
      </w:r>
      <w:hyperlink w:anchor="ref-borlaff2025">
        <w:r w:rsidR="002F36D3">
          <w:rPr>
            <w:rStyle w:val="Hyperlink"/>
          </w:rPr>
          <w:t>2025</w:t>
        </w:r>
      </w:hyperlink>
      <w:r>
        <w:t>) demonstrate that satellite megaconstellations will contaminate over 96% of exposures from future space-based telescopes, with the Hubble Space Telescope already experiencing satellite trail contamination in approximately one-third of its images. Kruk et al. (</w:t>
      </w:r>
      <w:hyperlink w:anchor="ref-kruk2023">
        <w:r w:rsidR="002F36D3">
          <w:rPr>
            <w:rStyle w:val="Hyperlink"/>
          </w:rPr>
          <w:t>2023</w:t>
        </w:r>
      </w:hyperlink>
      <w:r>
        <w:t>) document that 2.7% of Hubble exposures were crossed by satellites between 2018 and 2021, a fraction projected to increase by an order of magnitude as constellations expand. Ground-based observatories face comparable disruption: the Vera C. Rubin Observatory’s planned Legacy Survey of Space and Time, designed to catalogue near-Earth asteroids and map dark matter (the invisible mass that holds galaxies together), could see 30% of all images affected by satellite trails. Boley and Byers (</w:t>
      </w:r>
      <w:hyperlink w:anchor="ref-boley2021">
        <w:r w:rsidR="002F36D3">
          <w:rPr>
            <w:rStyle w:val="Hyperlink"/>
          </w:rPr>
          <w:t>2021</w:t>
        </w:r>
      </w:hyperlink>
      <w:r>
        <w:t>) argue that megaconstellations create multiple simultaneous tragedies of the commons, degrading ground-based astronomy, orbital safety, and Earth’s upper atmosphere. Radio astronomy faces a distinct but related threat: Grigg et al. (</w:t>
      </w:r>
      <w:hyperlink w:anchor="ref-grigg2025">
        <w:r w:rsidR="002F36D3">
          <w:rPr>
            <w:rStyle w:val="Hyperlink"/>
          </w:rPr>
          <w:t>2025</w:t>
        </w:r>
      </w:hyperlink>
      <w:r>
        <w:t xml:space="preserve">) report that unintended electromagnetic emissions from Starlink satellites have been detected in the 150.8 MHz band formally protected for radio astronomy. Among the research at stake are observations of the “cosmic dark ages,” the period </w:t>
      </w:r>
      <w:r>
        <w:lastRenderedPageBreak/>
        <w:t>before the first stars formed, when the universe was less than a few hundred million years old. These signals can only be detected from radio-quiet environments, and once commercial transmissions saturate the relevant frequencies, the window for this science closes permanently.</w:t>
      </w:r>
    </w:p>
    <w:p w14:paraId="7FCBCA0D" w14:textId="77777777" w:rsidR="002F36D3" w:rsidRDefault="00000000">
      <w:pPr>
        <w:pStyle w:val="BodyText"/>
      </w:pPr>
      <w:r>
        <w:t>Beyond scientific research, the space environment underpins economic infrastructure on which billions of people depend. GPS signals coordinate commercial aviation, synchronize financial transactions, and guide precision agriculture. Weather satellites enable forecasting that prevents billions in storm damage annually. Earth observation satellites monitor climate change, verify arms control agreements, and track illegal fishing. A cascading debris event</w:t>
      </w:r>
      <w:r>
        <w:rPr>
          <w:rStyle w:val="FootnoteReference"/>
        </w:rPr>
        <w:footnoteReference w:id="4"/>
      </w:r>
      <w:r>
        <w:t xml:space="preserve"> could damage not only the space industry but critical infrastructure underlying much of modern economic life. Debris-related costs already impose an estimated $86-103 million annually (</w:t>
      </w:r>
      <w:hyperlink w:anchor="ref-adilov2023">
        <w:r w:rsidR="002F36D3">
          <w:rPr>
            <w:rStyle w:val="Hyperlink"/>
          </w:rPr>
          <w:t>Adilov et al., 2023</w:t>
        </w:r>
      </w:hyperlink>
      <w:r>
        <w:t>), with assets at risk exceeding $191 billion (</w:t>
      </w:r>
      <w:hyperlink w:anchor="ref-oecd2022orbits">
        <w:r w:rsidR="002F36D3">
          <w:rPr>
            <w:rStyle w:val="Hyperlink"/>
          </w:rPr>
          <w:t>OECD, 2022b</w:t>
        </w:r>
      </w:hyperlink>
      <w:r>
        <w:t>). Adilov et al. (</w:t>
      </w:r>
      <w:hyperlink w:anchor="ref-adilov2023">
        <w:r w:rsidR="002F36D3">
          <w:rPr>
            <w:rStyle w:val="Hyperlink"/>
          </w:rPr>
          <w:t>2023</w:t>
        </w:r>
      </w:hyperlink>
      <w:r>
        <w:t>) introduce the concept of “Economic Kessler Syndrome” to capture how debris accumulation may render orbital operations economically unviable well before physical cascade thresholds are reached, threatening the innovation infrastructure that supports downstream sectors including telecommunications, positioning, and Earth observation. Together, these scientific and economic impacts illustrate that the governance challenge encompasses the preservation of research infrastructure that is, in some cases, irreplaceable, alongside commercial systems on which modern economies depend.</w:t>
      </w:r>
    </w:p>
    <w:p w14:paraId="4813415E" w14:textId="77777777" w:rsidR="002F36D3" w:rsidRDefault="00000000">
      <w:pPr>
        <w:pStyle w:val="Heading3"/>
      </w:pPr>
      <w:bookmarkStart w:id="2" w:name="Xae3114fd6a4c6adf9be1664a0db3e7ae394eb6a"/>
      <w:bookmarkEnd w:id="1"/>
      <w:r>
        <w:t>1.2 From Innovation Policy Challenge to Behavioral Framework</w:t>
      </w:r>
    </w:p>
    <w:p w14:paraId="25BF9BAD" w14:textId="77777777" w:rsidR="002F36D3" w:rsidRDefault="00000000">
      <w:pPr>
        <w:pStyle w:val="FirstParagraph"/>
      </w:pPr>
      <w:r>
        <w:t>This paper addresses what Robinson and Mazzucato (</w:t>
      </w:r>
      <w:hyperlink w:anchor="ref-robinson2019">
        <w:r w:rsidR="002F36D3">
          <w:rPr>
            <w:rStyle w:val="Hyperlink"/>
          </w:rPr>
          <w:t>2019</w:t>
        </w:r>
      </w:hyperlink>
      <w:r>
        <w:t xml:space="preserve">) identify as a fundamental challenge for innovation policy: how to govern domains that are simultaneously critical to technological progress, increasingly commercialized, and exhibiting tragedy-of-the-commons </w:t>
      </w:r>
      <w:r>
        <w:lastRenderedPageBreak/>
        <w:t>dynamics. Space exemplifies what Marchant et al. (</w:t>
      </w:r>
      <w:hyperlink w:anchor="ref-marchant2011">
        <w:r w:rsidR="002F36D3">
          <w:rPr>
            <w:rStyle w:val="Hyperlink"/>
          </w:rPr>
          <w:t>2011</w:t>
        </w:r>
      </w:hyperlink>
      <w:r>
        <w:t>) call the “pacing problem”: technology advancing faster than governance institutions can adapt, with the consequences of delayed action compounding over orbital timescales. Space sustainability requires governance suited to “polycentric systems”</w:t>
      </w:r>
      <w:r>
        <w:rPr>
          <w:rStyle w:val="FootnoteReference"/>
        </w:rPr>
        <w:footnoteReference w:id="5"/>
      </w:r>
      <w:r>
        <w:t xml:space="preserve"> where no single actor possesses adequate authority for hierarchical enforcement.</w:t>
      </w:r>
    </w:p>
    <w:p w14:paraId="42C3FE3C" w14:textId="77777777" w:rsidR="002F36D3" w:rsidRDefault="00000000">
      <w:pPr>
        <w:pStyle w:val="BodyText"/>
      </w:pPr>
      <w:r>
        <w:t>Standard policy analysis assumes rational actors calculate material costs and benefits, but the incidents documented above reveal behavioral dynamics that this assumption cannot capture. Costly signaling theory (</w:t>
      </w:r>
      <w:hyperlink w:anchor="ref-fearon1997">
        <w:r w:rsidR="002F36D3">
          <w:rPr>
            <w:rStyle w:val="Hyperlink"/>
          </w:rPr>
          <w:t>Fearon, 1997</w:t>
        </w:r>
      </w:hyperlink>
      <w:r>
        <w:t xml:space="preserve">; </w:t>
      </w:r>
      <w:hyperlink w:anchor="ref-zahavi1975">
        <w:r w:rsidR="002F36D3">
          <w:rPr>
            <w:rStyle w:val="Hyperlink"/>
          </w:rPr>
          <w:t>Zahavi, 1975</w:t>
        </w:r>
      </w:hyperlink>
      <w:r>
        <w:t>) explains why destructive demonstrations persist despite their collective costs: signals must be expensive to be credible, and the willingness to degrade the shared environment communicates resolve more effectively than benign alternatives. The same logic drives commercial behavior, where first-mover competitive pressures lead operators like SpaceX to prioritize rapid Starlink deployment over coordinated debris mitigation. Addressing these behavioral patterns requires governance that operates within existing frameworks, building on adaptive governance for complex social-ecological systems (</w:t>
      </w:r>
      <w:hyperlink w:anchor="ref-folke2005">
        <w:r w:rsidR="002F36D3">
          <w:rPr>
            <w:rStyle w:val="Hyperlink"/>
          </w:rPr>
          <w:t>Folke et al., 2005</w:t>
        </w:r>
      </w:hyperlink>
      <w:r>
        <w:t>) and consistent with what Kuhlmann et al. (</w:t>
      </w:r>
      <w:hyperlink w:anchor="ref-Kuhlmann_2019">
        <w:r w:rsidR="002F36D3">
          <w:rPr>
            <w:rStyle w:val="Hyperlink"/>
          </w:rPr>
          <w:t>2019</w:t>
        </w:r>
      </w:hyperlink>
      <w:r>
        <w:t>) term “tentative governance”: provisional interventions explicitly designed for learning under uncertainty.</w:t>
      </w:r>
    </w:p>
    <w:p w14:paraId="73FD1B16" w14:textId="07C36BBE" w:rsidR="002F36D3" w:rsidRDefault="00000000">
      <w:pPr>
        <w:pStyle w:val="BodyText"/>
      </w:pPr>
      <w:r>
        <w:t xml:space="preserve">The Astro-Economic Behavioral (AEB) Framework developed in this paper proposes that these governance problems are failures of behavioral design. The rationale is that existing institutions do not account for the psychological forces that drive actors toward unsustainable outcomes. However, this paper argues that the same behavioral patterns causing governance failures (status competition, narrative-driven attention, systematic discounting of future costs) </w:t>
      </w:r>
      <w:r>
        <w:lastRenderedPageBreak/>
        <w:t xml:space="preserve">can be redirected through choice architecture </w:t>
      </w:r>
      <w:r w:rsidR="00C5745B">
        <w:t xml:space="preserve">(the deliberate design of decision environments) </w:t>
      </w:r>
      <w:r>
        <w:t>toward sustainable outcomes without binding enforcement.</w:t>
      </w:r>
    </w:p>
    <w:p w14:paraId="50050C48" w14:textId="77777777" w:rsidR="002F36D3" w:rsidRDefault="00000000">
      <w:pPr>
        <w:pStyle w:val="Heading3"/>
      </w:pPr>
      <w:bookmarkStart w:id="3" w:name="contribution"/>
      <w:bookmarkEnd w:id="2"/>
      <w:r>
        <w:t>1.3 Contribution</w:t>
      </w:r>
    </w:p>
    <w:p w14:paraId="6CB51892" w14:textId="77777777" w:rsidR="002F36D3" w:rsidRDefault="00000000">
      <w:pPr>
        <w:pStyle w:val="FirstParagraph"/>
      </w:pPr>
      <w:r>
        <w:t>The paper offers three contributions to innovation policy scholarship. The framework provides behavioral micro-foundations for understanding why innovation governance fails when it must operate through influence where command is unavailable. The responsible innovation framework of Stilgoe et al. (</w:t>
      </w:r>
      <w:hyperlink w:anchor="ref-stilgoe2013">
        <w:r w:rsidR="002F36D3">
          <w:rPr>
            <w:rStyle w:val="Hyperlink"/>
          </w:rPr>
          <w:t>2013</w:t>
        </w:r>
      </w:hyperlink>
      <w:r>
        <w:t>) established anticipation, reflexivity, inclusion, and responsiveness as principles, but left underspecified why actors systematically fail to anticipate, reflect, include, and respond. The AEB Framework explains these failures through documented psychological mechanisms: prestige competition, narrative-driven attention, and systematic discounting of future costs.</w:t>
      </w:r>
    </w:p>
    <w:p w14:paraId="7A7C80E3" w14:textId="77777777" w:rsidR="002F36D3" w:rsidRDefault="00000000">
      <w:pPr>
        <w:pStyle w:val="BodyText"/>
      </w:pPr>
      <w:r>
        <w:t>In addition, the framework translates these theoretical insights into four instruments anchored in existing international regimes that operationalize transformative innovation policy goals (</w:t>
      </w:r>
      <w:hyperlink w:anchor="ref-schot2018">
        <w:r w:rsidR="002F36D3">
          <w:rPr>
            <w:rStyle w:val="Hyperlink"/>
          </w:rPr>
          <w:t>Schot and Steinmueller, 2018</w:t>
        </w:r>
      </w:hyperlink>
      <w:r>
        <w:t>). Each instrument targets a distinct behavioral mechanism (defaults, social proof, loss aversion, reciprocity), operates through existing institutional frameworks requiring no new treaty authority, and generates evaluable outcomes through quasi-experimental designs. The framework also specifies ex ante evaluation protocols that enable learning and evidence-based iteration, addressing the challenge that randomized controlled trials are typically infeasible in international governance contexts. Pre-specified designs for difference-in-differences, event studies, and synthetic control methods provide methodological infrastructure applicable beyond space governance to other emerging technology domains.</w:t>
      </w:r>
    </w:p>
    <w:p w14:paraId="15697B61" w14:textId="77777777" w:rsidR="002F36D3" w:rsidRDefault="00000000">
      <w:pPr>
        <w:pStyle w:val="BodyText"/>
      </w:pPr>
      <w:r>
        <w:t xml:space="preserve">The paper proceeds as follows. Section 2 maps the governance context, documenting how legal ambiguity interacts with behavioral incentive structures to produce coordination failures. </w:t>
      </w:r>
      <w:r>
        <w:lastRenderedPageBreak/>
        <w:t>Section 3 describes the integrative conceptual synthesis methodology. Section 4 develops the Astro-Economic Behavioral (AEB) Framework, specifying how narrative salience, costly signaling, and choice architecture shape space governance outcomes. Section 5 translates these insights into four implementable policy instruments, each targeting a distinct behavioral mechanism and operating through established institutional frameworks. Section 6 presents the integrated evaluation framework with quasi-experimental designs. Section 7 addresses anticipated critiques, scope conditions, and implementation pathways. Section 8 examines ethics and legitimacy, and Section 9 concludes. Figure 1 provides a visual overview of the paper’s conceptual architecture.</w:t>
      </w:r>
    </w:p>
    <w:p w14:paraId="0AAEF5E8" w14:textId="77777777" w:rsidR="002F36D3" w:rsidRDefault="00000000">
      <w:pPr>
        <w:pStyle w:val="CaptionedFigure"/>
      </w:pPr>
      <w:r>
        <w:rPr>
          <w:noProof/>
        </w:rPr>
        <w:drawing>
          <wp:inline distT="0" distB="0" distL="0" distR="0" wp14:anchorId="7CC2B3FE" wp14:editId="06CE8FBA">
            <wp:extent cx="5029175" cy="3759200"/>
            <wp:effectExtent l="0" t="0" r="0" b="0"/>
            <wp:docPr id="17" name="Picture" descr="Figure 1. Conceptual Architecture of the Behavioral Governance Framework. The paper proceeds from diagnosing governance challenges and their behavioral drivers (Section 2) through the AEB Framework’s three theoretical pillars (Section 4), which inform four policy instruments targeting distinct behavioral mechanisms (Section 5), to an integrated evaluation framework enabling evidence-based iteration (Section 6). The adaptive feedback loop reflects the tentative governance approach: evaluation outcomes inform instrument refinement."/>
            <wp:cNvGraphicFramePr/>
            <a:graphic xmlns:a="http://schemas.openxmlformats.org/drawingml/2006/main">
              <a:graphicData uri="http://schemas.openxmlformats.org/drawingml/2006/picture">
                <pic:pic xmlns:pic="http://schemas.openxmlformats.org/drawingml/2006/picture">
                  <pic:nvPicPr>
                    <pic:cNvPr id="18" name="Picture" descr="figures/framework_figure.png"/>
                    <pic:cNvPicPr>
                      <a:picLocks noChangeAspect="1" noChangeArrowheads="1"/>
                    </pic:cNvPicPr>
                  </pic:nvPicPr>
                  <pic:blipFill rotWithShape="1">
                    <a:blip r:embed="rId7"/>
                    <a:srcRect b="18580"/>
                    <a:stretch>
                      <a:fillRect/>
                    </a:stretch>
                  </pic:blipFill>
                  <pic:spPr bwMode="auto">
                    <a:xfrm>
                      <a:off x="0" y="0"/>
                      <a:ext cx="5029200" cy="3759219"/>
                    </a:xfrm>
                    <a:prstGeom prst="rect">
                      <a:avLst/>
                    </a:prstGeom>
                    <a:noFill/>
                    <a:ln>
                      <a:noFill/>
                    </a:ln>
                    <a:extLst>
                      <a:ext uri="{53640926-AAD7-44D8-BBD7-CCE9431645EC}">
                        <a14:shadowObscured xmlns:a14="http://schemas.microsoft.com/office/drawing/2010/main"/>
                      </a:ext>
                    </a:extLst>
                  </pic:spPr>
                </pic:pic>
              </a:graphicData>
            </a:graphic>
          </wp:inline>
        </w:drawing>
      </w:r>
    </w:p>
    <w:p w14:paraId="751C8B90" w14:textId="77777777" w:rsidR="002F36D3" w:rsidRDefault="00000000" w:rsidP="00926FC7">
      <w:pPr>
        <w:pStyle w:val="ImageCaption"/>
        <w:spacing w:line="240" w:lineRule="auto"/>
        <w:jc w:val="left"/>
      </w:pPr>
      <w:r>
        <w:rPr>
          <w:b/>
          <w:bCs/>
        </w:rPr>
        <w:t>Figure 1. Conceptual Architecture of the Behavioral Governance Framework.</w:t>
      </w:r>
      <w:r>
        <w:t xml:space="preserve"> The paper proceeds from diagnosing governance challenges and their behavioral drivers (Section 2) through the AEB Framework’s three theoretical pillars (Section 4), which inform four policy instruments targeting distinct behavioral mechanisms (Section 5), to an integrated evaluation framework enabling evidence-based iteration (Section 6). The adaptive feedback loop reflects the tentative governance approach: evaluation outcomes inform instrument refinement.</w:t>
      </w:r>
    </w:p>
    <w:p w14:paraId="6322FBB0" w14:textId="77777777" w:rsidR="002F36D3" w:rsidRDefault="00000000">
      <w:pPr>
        <w:pStyle w:val="Heading2"/>
        <w:spacing w:before="720" w:after="120"/>
      </w:pPr>
      <w:bookmarkStart w:id="4" w:name="X7ca519339e502d6ae293bee8d52cc20a723c227"/>
      <w:bookmarkEnd w:id="0"/>
      <w:bookmarkEnd w:id="3"/>
      <w:r>
        <w:lastRenderedPageBreak/>
        <w:t>2. The Governance Context: Legal Ambiguity and Behavioral Incentives</w:t>
      </w:r>
    </w:p>
    <w:p w14:paraId="501E69D3" w14:textId="77777777" w:rsidR="002F36D3" w:rsidRDefault="00000000">
      <w:pPr>
        <w:pStyle w:val="FirstParagraph"/>
      </w:pPr>
      <w:r>
        <w:t>This section maps the institutional landscape in which behavioral governance must operate: the legal foundations inherited from the Cold War era, the behavioral incentive structures that drive coordination failures, and the achievements of existing governance mechanisms that any new framework must complement.</w:t>
      </w:r>
    </w:p>
    <w:p w14:paraId="39CEAA28" w14:textId="77777777" w:rsidR="002F36D3" w:rsidRDefault="00000000">
      <w:pPr>
        <w:pStyle w:val="Heading3"/>
      </w:pPr>
      <w:bookmarkStart w:id="5" w:name="legal-foundations-and-coordination-gaps"/>
      <w:r>
        <w:t>2.1 Legal Foundations and Coordination Gaps</w:t>
      </w:r>
    </w:p>
    <w:p w14:paraId="48628697" w14:textId="77777777" w:rsidR="002F36D3" w:rsidRDefault="00000000">
      <w:pPr>
        <w:pStyle w:val="FirstParagraph"/>
      </w:pPr>
      <w:r>
        <w:t>The 1967 Outer Space Treaty (OST) establishes foundational principles of international space law, with Article II prohibiting national appropriation while Article IX requires “due regard” for other states’ interests and mandates consultations regarding “potentially harmful interference” (</w:t>
      </w:r>
      <w:hyperlink w:anchor="ref-un1967">
        <w:r w:rsidR="002F36D3">
          <w:rPr>
            <w:rStyle w:val="Hyperlink"/>
          </w:rPr>
          <w:t>United Nations, 1967</w:t>
        </w:r>
      </w:hyperlink>
      <w:r>
        <w:t>). These provisions left ambiguities that contemporary developments have rendered problematic.</w:t>
      </w:r>
    </w:p>
    <w:p w14:paraId="06D22254" w14:textId="77777777" w:rsidR="002F36D3" w:rsidRDefault="00000000">
      <w:pPr>
        <w:pStyle w:val="BodyText"/>
      </w:pPr>
      <w:r>
        <w:t>Several ambiguities in this foundational framework have become particularly consequential as commercial activities expand. The question of whether resource extraction constitutes “appropriation” remains unresolved: the United States and Luxembourg have enacted domestic legislation recognizing property rights in extracted resources (</w:t>
      </w:r>
      <w:hyperlink w:anchor="ref-luxembourg2017">
        <w:r w:rsidR="002F36D3">
          <w:rPr>
            <w:rStyle w:val="Hyperlink"/>
          </w:rPr>
          <w:t>Luxembourg, 2017</w:t>
        </w:r>
      </w:hyperlink>
      <w:r>
        <w:t xml:space="preserve">; </w:t>
      </w:r>
      <w:hyperlink w:anchor="ref-uscongress2015">
        <w:r w:rsidR="002F36D3">
          <w:rPr>
            <w:rStyle w:val="Hyperlink"/>
          </w:rPr>
          <w:t>U.S. Congress, 2015</w:t>
        </w:r>
      </w:hyperlink>
      <w:r>
        <w:t>), but no international consensus has emerged (</w:t>
      </w:r>
      <w:hyperlink w:anchor="ref-jakhu2017">
        <w:r w:rsidR="002F36D3">
          <w:rPr>
            <w:rStyle w:val="Hyperlink"/>
          </w:rPr>
          <w:t>Jakhu et al., 2017</w:t>
        </w:r>
      </w:hyperlink>
      <w:r>
        <w:t>). The Artemis Accords</w:t>
      </w:r>
      <w:r>
        <w:rPr>
          <w:rStyle w:val="FootnoteReference"/>
        </w:rPr>
        <w:footnoteReference w:id="6"/>
      </w:r>
      <w:r>
        <w:t xml:space="preserve"> propose operational “safety zones” around lunar installations, but critics argue these risk circumventing the non-appropriation principle (</w:t>
      </w:r>
      <w:hyperlink w:anchor="ref-freeland2021">
        <w:r w:rsidR="002F36D3">
          <w:rPr>
            <w:rStyle w:val="Hyperlink"/>
          </w:rPr>
          <w:t>Martin and Freeland, 2021</w:t>
        </w:r>
      </w:hyperlink>
      <w:r>
        <w:t>), while proponents cite Article IX’s “due regard” obligation as justification (</w:t>
      </w:r>
      <w:hyperlink w:anchor="ref-hobe2020">
        <w:r w:rsidR="002F36D3">
          <w:rPr>
            <w:rStyle w:val="Hyperlink"/>
          </w:rPr>
          <w:t>Hobe, 2020</w:t>
        </w:r>
      </w:hyperlink>
      <w:r>
        <w:t xml:space="preserve">). Perhaps most pressing, no mechanism exists to enforce debris mitigation despite its recognized urgency; the </w:t>
      </w:r>
      <w:r>
        <w:lastRenderedPageBreak/>
        <w:t>COPUOS</w:t>
      </w:r>
      <w:r>
        <w:rPr>
          <w:rStyle w:val="FootnoteReference"/>
        </w:rPr>
        <w:footnoteReference w:id="7"/>
      </w:r>
      <w:r>
        <w:t xml:space="preserve"> Long-Term Sustainability Guidelines, COSPAR</w:t>
      </w:r>
      <w:r>
        <w:rPr>
          <w:rStyle w:val="FootnoteReference"/>
        </w:rPr>
        <w:footnoteReference w:id="8"/>
      </w:r>
      <w:r>
        <w:t xml:space="preserve"> protocols, ISO 24113 standards (the international technical standard for debris mitigation), and recommendations from the Inter-Agency Space Debris Coordination Committee (IADC, comprising 13 national space agencies) all lack binding authority and systematic compliance assessment (</w:t>
      </w:r>
      <w:hyperlink w:anchor="ref-iso2023">
        <w:r w:rsidR="002F36D3">
          <w:rPr>
            <w:rStyle w:val="Hyperlink"/>
          </w:rPr>
          <w:t>ISO, 2023</w:t>
        </w:r>
      </w:hyperlink>
      <w:r>
        <w:t xml:space="preserve">; </w:t>
      </w:r>
      <w:hyperlink w:anchor="ref-un2019">
        <w:r w:rsidR="002F36D3">
          <w:rPr>
            <w:rStyle w:val="Hyperlink"/>
          </w:rPr>
          <w:t>United Nations, 2019</w:t>
        </w:r>
      </w:hyperlink>
      <w:r>
        <w:t>).</w:t>
      </w:r>
    </w:p>
    <w:p w14:paraId="467BB154" w14:textId="77777777" w:rsidR="002F36D3" w:rsidRDefault="00000000">
      <w:pPr>
        <w:pStyle w:val="BodyText"/>
      </w:pPr>
      <w:r>
        <w:t>The Starlink-Tiangong close approaches discussed in Section 1 illustrate the consequences of this institutional fragmentation. China’s formal complaint (</w:t>
      </w:r>
      <w:hyperlink w:anchor="ref-un2022">
        <w:r w:rsidR="002F36D3">
          <w:rPr>
            <w:rStyle w:val="Hyperlink"/>
          </w:rPr>
          <w:t>United Nations, 2022</w:t>
        </w:r>
      </w:hyperlink>
      <w:r>
        <w:t>) highlights the absence of binding separation standards, incomplete data-sharing arrangements, and the lack of any dispute-resolution mechanism for “due regard” claims. This episode, occurring between an Artemis Accords signatory (United States) and non-signatory (China), exemplifies how institutional ambiguity creates opportunities for conflict while providing no pathway toward authoritative resolution.</w:t>
      </w:r>
    </w:p>
    <w:p w14:paraId="124EC1EE" w14:textId="77777777" w:rsidR="002F36D3" w:rsidRDefault="00000000">
      <w:pPr>
        <w:pStyle w:val="Heading3"/>
      </w:pPr>
      <w:bookmarkStart w:id="6" w:name="behavioral-incentive-structures"/>
      <w:bookmarkEnd w:id="5"/>
      <w:r>
        <w:t>2.2 Behavioral Incentive Structures</w:t>
      </w:r>
    </w:p>
    <w:p w14:paraId="727275D7" w14:textId="77777777" w:rsidR="002F36D3" w:rsidRDefault="00000000">
      <w:pPr>
        <w:pStyle w:val="FirstParagraph"/>
      </w:pPr>
      <w:r>
        <w:t>Legal ambiguity interacts with behavioral dynamics to create systematic governance risks at three levels that purely rational-actor models fail to capture. At the material level, localized scarcity concentrates competition despite space’s seemingly unlimited resources. Near-term value concentrates in specific locations: geosynchronous orbital slots (approximately 1,800 usable positions; ITU (</w:t>
      </w:r>
      <w:hyperlink w:anchor="ref-itu2020">
        <w:r w:rsidR="002F36D3">
          <w:rPr>
            <w:rStyle w:val="Hyperlink"/>
          </w:rPr>
          <w:t>2020</w:t>
        </w:r>
      </w:hyperlink>
      <w:r>
        <w:t>)), lunar farside radio-quiet zones essential for radio astronomy, polar ice deposits critical for sustained operations, and sites targeted for space resource extraction. The emerging space mining sector, with six nations having enacted resource-rights legislation (</w:t>
      </w:r>
      <w:hyperlink w:anchor="ref-luxembourg2017">
        <w:r w:rsidR="002F36D3">
          <w:rPr>
            <w:rStyle w:val="Hyperlink"/>
          </w:rPr>
          <w:t>Luxembourg, 2017</w:t>
        </w:r>
      </w:hyperlink>
      <w:r>
        <w:t xml:space="preserve">; </w:t>
      </w:r>
      <w:hyperlink w:anchor="ref-uscongress2015">
        <w:r w:rsidR="002F36D3">
          <w:rPr>
            <w:rStyle w:val="Hyperlink"/>
          </w:rPr>
          <w:t>U.S. Congress, 2015</w:t>
        </w:r>
      </w:hyperlink>
      <w:r>
        <w:t xml:space="preserve">) and commercial ventures pursuing asteroid mineral </w:t>
      </w:r>
      <w:r>
        <w:lastRenderedPageBreak/>
        <w:t>recovery and lunar helium-3 harvesting, adds a new dimension to the commons problem by creating potential property-rights conflicts in a domain where the relationship between resource extraction and the Outer Space Treaty’s non-appropriation principle remains unresolved. These sites exhibit rival consumption (one actor’s use diminishes another’s access), first-mover advantages, and interference potential without clear property rights, creating classic commons problems where actors rush to establish presence before governance crystallizes (</w:t>
      </w:r>
      <w:hyperlink w:anchor="ref-libecap1989">
        <w:r w:rsidR="002F36D3">
          <w:rPr>
            <w:rStyle w:val="Hyperlink"/>
          </w:rPr>
          <w:t>Libecap, 1989</w:t>
        </w:r>
      </w:hyperlink>
      <w:r>
        <w:t xml:space="preserve">; </w:t>
      </w:r>
      <w:hyperlink w:anchor="ref-ostrom1990">
        <w:r w:rsidR="002F36D3">
          <w:rPr>
            <w:rStyle w:val="Hyperlink"/>
          </w:rPr>
          <w:t>Ostrom, 1990</w:t>
        </w:r>
      </w:hyperlink>
      <w:r>
        <w:t>).</w:t>
      </w:r>
    </w:p>
    <w:p w14:paraId="2C1FA3A8" w14:textId="77777777" w:rsidR="002F36D3" w:rsidRDefault="00000000">
      <w:pPr>
        <w:pStyle w:val="BodyText"/>
      </w:pPr>
      <w:r>
        <w:t>At the psychological level, prestige competition operates independently of material returns. Space achievements signal technological capability and national power to multiple audiences: geopolitical rivals, domestic publics, commercial investors, and the scientific community. This creates zero-sum status competition that material gains alone cannot satisfy. The ASAT testing pattern illustrates this dynamic starkly. China’s 2007 test generated more than 3,500 trackable debris fragments (</w:t>
      </w:r>
      <w:hyperlink w:anchor="ref-weeden2022">
        <w:r w:rsidR="002F36D3">
          <w:rPr>
            <w:rStyle w:val="Hyperlink"/>
          </w:rPr>
          <w:t>Weeden and Samson, 2022</w:t>
        </w:r>
      </w:hyperlink>
      <w:r>
        <w:t>); the United States’ 2008 intercept of USA-193, though conducted at lower altitude to limit persistent debris, demonstrated similar capabilities; and Russia’s 2021 test (described in the opening of this paper) endangered its own cosmonauts aboard the International Space Station (</w:t>
      </w:r>
      <w:hyperlink w:anchor="ref-nasa2021">
        <w:r w:rsidR="002F36D3">
          <w:rPr>
            <w:rStyle w:val="Hyperlink"/>
          </w:rPr>
          <w:t>NASA, 2021</w:t>
        </w:r>
      </w:hyperlink>
      <w:r>
        <w:t>). These tests imposed substantial long-term collective costs, including costs to the testing states themselves, in exchange for short-term signaling benefits. Section 4.2 develops the costly signaling framework (</w:t>
      </w:r>
      <w:hyperlink w:anchor="ref-fearon1997">
        <w:r w:rsidR="002F36D3">
          <w:rPr>
            <w:rStyle w:val="Hyperlink"/>
          </w:rPr>
          <w:t>Fearon, 1997</w:t>
        </w:r>
      </w:hyperlink>
      <w:r>
        <w:t xml:space="preserve">; </w:t>
      </w:r>
      <w:hyperlink w:anchor="ref-zahavi1975">
        <w:r w:rsidR="002F36D3">
          <w:rPr>
            <w:rStyle w:val="Hyperlink"/>
          </w:rPr>
          <w:t>Zahavi, 1975</w:t>
        </w:r>
      </w:hyperlink>
      <w:r>
        <w:t>) explaining this pattern: the willingness to degrade the shared orbital environment serves as a credible capability signal precisely because less destructive alternatives would be less costly and therefore less informative.</w:t>
      </w:r>
    </w:p>
    <w:p w14:paraId="54D622E5" w14:textId="77777777" w:rsidR="002F36D3" w:rsidRDefault="00000000">
      <w:pPr>
        <w:pStyle w:val="BodyText"/>
      </w:pPr>
      <w:r>
        <w:t xml:space="preserve">At the political level, geopolitical fragmentation produces competing governance architectures that impede global coordination. The Artemis Accords and the International Lunar </w:t>
      </w:r>
      <w:r>
        <w:lastRenderedPageBreak/>
        <w:t>Research Station represent parallel frameworks with limited cross-participation, a pattern consistent with what evolutionary psychologists term parochial altruism: stronger cooperation within coalitions than across coalition boundaries (</w:t>
      </w:r>
      <w:hyperlink w:anchor="ref-choi2007">
        <w:r w:rsidR="002F36D3">
          <w:rPr>
            <w:rStyle w:val="Hyperlink"/>
          </w:rPr>
          <w:t>Choi and Bowles, 2007</w:t>
        </w:r>
      </w:hyperlink>
      <w:r>
        <w:t>). The resulting governance architecture, featuring parallel plurilateral arrangements, creates coordination challenges as each framework develops standards and procedures independently, while the relationship between these plurilateral initiatives and the COPUOS multilateral process remains a subject of ongoing negotiation.</w:t>
      </w:r>
    </w:p>
    <w:p w14:paraId="3605943E" w14:textId="77777777" w:rsidR="002F36D3" w:rsidRDefault="00000000">
      <w:pPr>
        <w:pStyle w:val="BodyText"/>
      </w:pPr>
      <w:r>
        <w:t>These three dynamics create behavioral patterns that rational-actor models treating preferences as exogenous cannot adequately capture. Localized scarcity drives resource competition, psychological scarcity drives status competition, and geopolitical fragmentation drives coalition formation, with each dynamic reinforcing the others in ways that standard policy analysis overlooks. Critically, these governance failures affect not only commercial operators but also the scientific research that depends on the space environment. Megaconstellation deployments driven by commercial signaling dynamics are already degrading the observational conditions on which astronomy and fundamental physics depend (</w:t>
      </w:r>
      <w:hyperlink w:anchor="ref-boley2021">
        <w:r w:rsidR="002F36D3">
          <w:rPr>
            <w:rStyle w:val="Hyperlink"/>
          </w:rPr>
          <w:t>Boley and Byers, 2021</w:t>
        </w:r>
      </w:hyperlink>
      <w:r>
        <w:t xml:space="preserve">; </w:t>
      </w:r>
      <w:hyperlink w:anchor="ref-borlaff2025">
        <w:r w:rsidR="002F36D3">
          <w:rPr>
            <w:rStyle w:val="Hyperlink"/>
          </w:rPr>
          <w:t>Borlaff et al., 2025</w:t>
        </w:r>
      </w:hyperlink>
      <w:r>
        <w:t>), while collision risks increasingly threaten irreplaceable research platforms. Before developing the framework that addresses these patterns, the following subsection acknowledges the substantial achievements of existing governance mechanisms, which any new framework must complement rather than replace.</w:t>
      </w:r>
    </w:p>
    <w:p w14:paraId="0F14DB54" w14:textId="77777777" w:rsidR="002F36D3" w:rsidRDefault="00000000">
      <w:pPr>
        <w:pStyle w:val="Heading3"/>
      </w:pPr>
      <w:bookmarkStart w:id="7" w:name="Xb538d59977c2ce8a179c8587fb6c1679b142d8b"/>
      <w:bookmarkEnd w:id="6"/>
      <w:r>
        <w:t>2.3 Acknowledging Current System Achievements</w:t>
      </w:r>
    </w:p>
    <w:p w14:paraId="2E2EDFF6" w14:textId="77777777" w:rsidR="002F36D3" w:rsidRDefault="00000000">
      <w:pPr>
        <w:pStyle w:val="FirstParagraph"/>
      </w:pPr>
      <w:r>
        <w:t xml:space="preserve">Existing governance mechanisms have achieved substantial success. The International Space Station, sustained for over two decades across five space agencies despite severe geopolitical tensions including Russia’s 2022 invasion of Ukraine, demonstrates that </w:t>
      </w:r>
      <w:r>
        <w:lastRenderedPageBreak/>
        <w:t>international space cooperation can survive political stress when institutional frameworks provide adequate structure (</w:t>
      </w:r>
      <w:hyperlink w:anchor="ref-pace2023">
        <w:r w:rsidR="002F36D3">
          <w:rPr>
            <w:rStyle w:val="Hyperlink"/>
          </w:rPr>
          <w:t>Pace, 2020</w:t>
        </w:r>
      </w:hyperlink>
      <w:r>
        <w:t>). India’s missions, including the Mars Orbiter Mission (2014) and Chandrayaan program, have achieved significant milestones at a fraction of traditional costs (</w:t>
      </w:r>
      <w:hyperlink w:anchor="ref-rajagopalan2024">
        <w:r w:rsidR="002F36D3">
          <w:rPr>
            <w:rStyle w:val="Hyperlink"/>
          </w:rPr>
          <w:t>Rajagopalan and Stroikos, 2024</w:t>
        </w:r>
      </w:hyperlink>
      <w:r>
        <w:t>), expanding the range of actors contributing to space science. At the voluntary level, the IADC’s guidelines show increasing compliance among responsible operators, and the Space Data Association facilitates conjunction</w:t>
      </w:r>
      <w:r>
        <w:rPr>
          <w:rStyle w:val="FootnoteReference"/>
        </w:rPr>
        <w:footnoteReference w:id="9"/>
      </w:r>
      <w:r>
        <w:t xml:space="preserve"> data sharing among commercial actors. Industry self-regulation has produced autonomous collision avoidance capabilities exceeding regulatory requirements, while the World Economic Forum’s Space Sustainability Rating demonstrates that mission-level sustainability scoring can operate in this domain (</w:t>
      </w:r>
      <w:hyperlink w:anchor="ref-wef2026">
        <w:r w:rsidR="002F36D3">
          <w:rPr>
            <w:rStyle w:val="Hyperlink"/>
          </w:rPr>
          <w:t>World Economic Forum, 2026</w:t>
        </w:r>
      </w:hyperlink>
      <w:r>
        <w:t>). Emerging active debris removal (ADR) technologies demonstrate that remediation of the orbital environment is becoming technically feasible (</w:t>
      </w:r>
      <w:hyperlink w:anchor="ref-mark2019adr">
        <w:r w:rsidR="002F36D3">
          <w:rPr>
            <w:rStyle w:val="Hyperlink"/>
          </w:rPr>
          <w:t>Mark and Kamath, 2019</w:t>
        </w:r>
      </w:hyperlink>
      <w:r>
        <w:t>), with recent missions such as ESA’s ClearSpace-1 program and Astroscale’s ELSA-d demonstration advancing from concept to operational testing, and ADR raises new governance questions regarding authorization to remove another state’s objects and liability allocation.</w:t>
      </w:r>
    </w:p>
    <w:p w14:paraId="5752ADEB" w14:textId="77777777" w:rsidR="002F36D3" w:rsidRDefault="00000000">
      <w:pPr>
        <w:pStyle w:val="BodyText"/>
      </w:pPr>
      <w:r>
        <w:t>These achievements notwithstanding, the compliance data reveal precisely the governance gap that behavioral instruments are designed to address. Only 52% of large payloads (&gt;1000 kg) meet the 25-year disposal requirement, and compliance with the stricter 5-year standard ranges from 5-55% (</w:t>
      </w:r>
      <w:hyperlink w:anchor="ref-esa2023">
        <w:r w:rsidR="002F36D3">
          <w:rPr>
            <w:rStyle w:val="Hyperlink"/>
          </w:rPr>
          <w:t>ESA, 2023</w:t>
        </w:r>
      </w:hyperlink>
      <w:r>
        <w:t xml:space="preserve">), demonstrating that voluntary guidelines without behavioral architecture fail to achieve adequate compliance even among actors who accept those guidelines in principle. Voluntary arrangements exclude military satellites, and the ISS model may not translate to governance involving hundreds of commercial actors with diverse time </w:t>
      </w:r>
      <w:r>
        <w:lastRenderedPageBreak/>
        <w:t>horizons. The AEB Framework aims to complement these existing mechanisms with additional behavioral levers.</w:t>
      </w:r>
    </w:p>
    <w:p w14:paraId="19E6EA23" w14:textId="77777777" w:rsidR="002F36D3" w:rsidRDefault="00000000">
      <w:pPr>
        <w:pStyle w:val="Heading2"/>
        <w:spacing w:before="720" w:after="120"/>
      </w:pPr>
      <w:bookmarkStart w:id="8" w:name="Xe3d589921edc845254006790984af349e9a8579"/>
      <w:bookmarkEnd w:id="4"/>
      <w:bookmarkEnd w:id="7"/>
      <w:r>
        <w:t>3. Methodology: Integrative Conceptual Synthesis</w:t>
      </w:r>
    </w:p>
    <w:p w14:paraId="4AB10B6B" w14:textId="77777777" w:rsidR="002F36D3" w:rsidRDefault="00000000">
      <w:pPr>
        <w:pStyle w:val="FirstParagraph"/>
      </w:pPr>
      <w:r>
        <w:t>Having documented the governance context and the behavioral dynamics that drive coordination failures, this section describes how the paper develops its response. The paper employs an integrative conceptual synthesis methodology, combining design science principles with systematic theory development to address an emerging governance challenge (</w:t>
      </w:r>
      <w:hyperlink w:anchor="ref-jaakkola2020">
        <w:r w:rsidR="002F36D3">
          <w:rPr>
            <w:rStyle w:val="Hyperlink"/>
          </w:rPr>
          <w:t>Jaakkola, 2020</w:t>
        </w:r>
      </w:hyperlink>
      <w:r>
        <w:t xml:space="preserve">; </w:t>
      </w:r>
      <w:hyperlink w:anchor="ref-vanaken2004">
        <w:r w:rsidR="002F36D3">
          <w:rPr>
            <w:rStyle w:val="Hyperlink"/>
          </w:rPr>
          <w:t>Van Aken, 2004</w:t>
        </w:r>
      </w:hyperlink>
      <w:r>
        <w:t>). Following MacInnis (</w:t>
      </w:r>
      <w:hyperlink w:anchor="ref-macinnis2011">
        <w:r w:rsidR="002F36D3">
          <w:rPr>
            <w:rStyle w:val="Hyperlink"/>
          </w:rPr>
          <w:t>2011</w:t>
        </w:r>
      </w:hyperlink>
      <w:r>
        <w:t>), the contribution combines “envisioning,” conceptualizing a novel governance approach for an emerging policy domain, with “explicating” the mechanisms through which behavioral interventions address space sustainability. This methodological approach is appropriate for emerging domains where empirical data remain scarce and anticipatory governance requires theoretical groundwork prior to implementation (</w:t>
      </w:r>
      <w:hyperlink w:anchor="ref-guston2014">
        <w:r w:rsidR="002F36D3">
          <w:rPr>
            <w:rStyle w:val="Hyperlink"/>
          </w:rPr>
          <w:t>Guston, 2014</w:t>
        </w:r>
      </w:hyperlink>
      <w:r>
        <w:t>).</w:t>
      </w:r>
    </w:p>
    <w:p w14:paraId="050FE563" w14:textId="77777777" w:rsidR="002F36D3" w:rsidRDefault="00000000">
      <w:pPr>
        <w:pStyle w:val="BodyText"/>
      </w:pPr>
      <w:r>
        <w:t xml:space="preserve">The synthesis proceeds through four sequential stages. The first stage diagnoses governance failures and behavioral drivers in space innovation systems, drawing on documented incidents, legal ambiguities, and existing policy regimes to identify patterns that current frameworks fail to address. The second synthesizes insights from three distinct literatures (behavioral economics and psychology, international relations and game theory, and commons governance), extracting design principles relevant to the space domain. These principles inform the third stage: developing implementable policy instruments, each specified in terms of the behavioral mechanisms it engages and the conditions under which effects would be expected to </w:t>
      </w:r>
      <w:r>
        <w:lastRenderedPageBreak/>
        <w:t>manifest. The final stage develops ex ante evaluation protocols that would enable empirical assessment as instruments are piloted and refined.</w:t>
      </w:r>
    </w:p>
    <w:p w14:paraId="4DDFAE74" w14:textId="77777777" w:rsidR="002F36D3" w:rsidRDefault="00000000">
      <w:pPr>
        <w:pStyle w:val="BodyText"/>
      </w:pPr>
      <w:r>
        <w:t>This approach aligns with design-science research traditions that emphasize artifact construction and evaluation design when full-scale empirical implementation is not yet feasible (</w:t>
      </w:r>
      <w:hyperlink w:anchor="ref-Hevner_2004">
        <w:r w:rsidR="002F36D3">
          <w:rPr>
            <w:rStyle w:val="Hyperlink"/>
          </w:rPr>
          <w:t>Hevner et al., 2004</w:t>
        </w:r>
      </w:hyperlink>
      <w:r>
        <w:t xml:space="preserve">; </w:t>
      </w:r>
      <w:hyperlink w:anchor="ref-Peffers_2007">
        <w:r w:rsidR="002F36D3">
          <w:rPr>
            <w:rStyle w:val="Hyperlink"/>
          </w:rPr>
          <w:t>Peffers et al., 2007</w:t>
        </w:r>
      </w:hyperlink>
      <w:r>
        <w:t>). The resulting policy instruments constitute what Van Aken (</w:t>
      </w:r>
      <w:hyperlink w:anchor="ref-vanaken2004">
        <w:r w:rsidR="002F36D3">
          <w:rPr>
            <w:rStyle w:val="Hyperlink"/>
          </w:rPr>
          <w:t>2004</w:t>
        </w:r>
      </w:hyperlink>
      <w:r>
        <w:t>) terms “technological rules,” that is, propositions of the form “if you want to achieve outcome Y in situation X, then perform action A,” whose validity is ultimately established through pragmatic testing.</w:t>
      </w:r>
    </w:p>
    <w:p w14:paraId="0A702E18" w14:textId="63048E88" w:rsidR="002F36D3" w:rsidRDefault="00000000">
      <w:pPr>
        <w:pStyle w:val="BodyText"/>
      </w:pPr>
      <w:r>
        <w:t>This methodological approach suits the space governance domain particularly well because the governance innovations are anticipatory, designed to address coordination failures before they become entrenched. The rapid evolution of the space industry, with megaconstellations emerging as a significant phenomenon only within the past five years, means that historical data cannot reliably inform governance approaches for fundamentally novel activities. Space governance presents a domain where existing legal frameworks are increasingly contested, behavioral economics has not previously been applied, and the unique characteristics of orbital resources (non-excludability, rival consumption, international scope) require domain-specific theoretical development (</w:t>
      </w:r>
      <w:hyperlink w:anchor="ref-whetten1989">
        <w:r w:rsidR="002F36D3">
          <w:rPr>
            <w:rStyle w:val="Hyperlink"/>
          </w:rPr>
          <w:t>Whetten, 1989</w:t>
        </w:r>
      </w:hyperlink>
      <w:r>
        <w:t>).</w:t>
      </w:r>
      <w:r w:rsidR="009B628C">
        <w:t xml:space="preserve"> </w:t>
      </w:r>
      <w:r>
        <w:t>Several strategies address the methodological challenges inherent in conceptual contributions. Following Jaakkola (</w:t>
      </w:r>
      <w:hyperlink w:anchor="ref-jaakkola2020">
        <w:r w:rsidR="002F36D3">
          <w:rPr>
            <w:rStyle w:val="Hyperlink"/>
          </w:rPr>
          <w:t>2020</w:t>
        </w:r>
      </w:hyperlink>
      <w:r>
        <w:t>), each theoretical claim draws on established literatures, cites meta-analytic evidence where available (particularly for behavioral intervention effect sizes), and specifies falsifiable predictions enabling empirical assessment as implementation proceeds. The pre-specified evaluation designs ensure that the framework generates testable hypotheses amenable to empirical assessment.</w:t>
      </w:r>
    </w:p>
    <w:p w14:paraId="0CA5075E" w14:textId="77777777" w:rsidR="002F36D3" w:rsidRDefault="00000000">
      <w:pPr>
        <w:pStyle w:val="Heading2"/>
        <w:spacing w:before="720" w:after="120"/>
      </w:pPr>
      <w:bookmarkStart w:id="9" w:name="Xa051e792ca55181b55ec7734d41c1a8becc8eb8"/>
      <w:bookmarkEnd w:id="8"/>
      <w:r>
        <w:lastRenderedPageBreak/>
        <w:t>4. The Astro-Economic Behavioral (AEB) Framework</w:t>
      </w:r>
    </w:p>
    <w:p w14:paraId="321860EA" w14:textId="77777777" w:rsidR="002F36D3" w:rsidRDefault="00000000">
      <w:pPr>
        <w:pStyle w:val="FirstParagraph"/>
      </w:pPr>
      <w:r>
        <w:t xml:space="preserve">The governance context documented above reveals a repeating pattern: legal ambiguity creates space for behavioral dynamics to drive outcomes that purely rational-actor models cannot predict. The AEB Framework addresses this pattern through three questions (see the middle tier of Figure 1). </w:t>
      </w:r>
      <w:r>
        <w:rPr>
          <w:i/>
          <w:iCs/>
        </w:rPr>
        <w:t>Where</w:t>
      </w:r>
      <w:r>
        <w:t xml:space="preserve"> does competition concentrate? Narrative Capital explains how symbolic value accumulates on specific celestial targets, predicting which sites will face the most intense competitive pressure. </w:t>
      </w:r>
      <w:r>
        <w:rPr>
          <w:i/>
          <w:iCs/>
        </w:rPr>
        <w:t>Why</w:t>
      </w:r>
      <w:r>
        <w:t xml:space="preserve"> do actors accept risks that material cost-benefit analysis cannot justify? Conspicuous Exploration applies costly signaling theory to explain how space activities function as credibility signals whose value depends on their costliness. </w:t>
      </w:r>
      <w:r>
        <w:rPr>
          <w:i/>
          <w:iCs/>
        </w:rPr>
        <w:t>How</w:t>
      </w:r>
      <w:r>
        <w:t xml:space="preserve"> can governance redirect these forces? Behavioral Governance specifies choice architecture instruments that channel status competition and narrative-driven attention toward sustainable outcomes without binding enforcement.</w:t>
      </w:r>
    </w:p>
    <w:p w14:paraId="6C4ABA96" w14:textId="77777777" w:rsidR="002F36D3" w:rsidRDefault="00000000">
      <w:pPr>
        <w:pStyle w:val="Heading3"/>
      </w:pPr>
      <w:bookmarkStart w:id="10" w:name="narrative-capital-and-target-selection"/>
      <w:r>
        <w:t>4.1 Narrative Capital and Target Selection</w:t>
      </w:r>
    </w:p>
    <w:p w14:paraId="09E4F492" w14:textId="77777777" w:rsidR="002F36D3" w:rsidRDefault="00000000">
      <w:pPr>
        <w:pStyle w:val="FirstParagraph"/>
      </w:pPr>
      <w:r>
        <w:t xml:space="preserve">Celestial targets accumulate what the framework terms </w:t>
      </w:r>
      <w:r>
        <w:rPr>
          <w:i/>
          <w:iCs/>
        </w:rPr>
        <w:t>Narrative Capital</w:t>
      </w:r>
      <w:r>
        <w:t>: symbolic value derived from cultural associations, historical resonance, and narrative significance that biases resource allocation beyond what material expected returns would predict. This concept extends Bourdieu (</w:t>
      </w:r>
      <w:hyperlink w:anchor="ref-bourdieu1986">
        <w:r w:rsidR="002F36D3">
          <w:rPr>
            <w:rStyle w:val="Hyperlink"/>
          </w:rPr>
          <w:t>1986</w:t>
        </w:r>
      </w:hyperlink>
      <w:r>
        <w:t>)’s notion of symbolic capital to the space domain, where targets like the lunar south pole, Mars, and metallic asteroids carry cultural weight disproportionate to their near-term economic value. The underlying mechanism draws on the Narrative Policy Framework (NPF), which demonstrates through extensive empirical research that policy salience derives substantially from narrative structures (characters, plots, moral framings, and emotional resonance) beyond what objective risk magnitudes or expected value calculations would predict (</w:t>
      </w:r>
      <w:hyperlink w:anchor="ref-jones2010">
        <w:r w:rsidR="002F36D3">
          <w:rPr>
            <w:rStyle w:val="Hyperlink"/>
          </w:rPr>
          <w:t>Jones and McBeth, 2010</w:t>
        </w:r>
      </w:hyperlink>
      <w:r>
        <w:t xml:space="preserve">; </w:t>
      </w:r>
      <w:hyperlink w:anchor="ref-shanahan2018">
        <w:r w:rsidR="002F36D3">
          <w:rPr>
            <w:rStyle w:val="Hyperlink"/>
          </w:rPr>
          <w:t>Shanahan et al., 2018</w:t>
        </w:r>
      </w:hyperlink>
      <w:r>
        <w:t xml:space="preserve">). Narratives spread through social learning </w:t>
      </w:r>
      <w:r>
        <w:lastRenderedPageBreak/>
        <w:t>biases that cultural evolution scholars have documented, including prestige bias (preferentially copying high-status individuals), content bias (preferentially retaining emotionally resonant information), and conformity bias (preferentially adopting prevalent beliefs) (</w:t>
      </w:r>
      <w:hyperlink w:anchor="ref-henrich2015">
        <w:r w:rsidR="002F36D3">
          <w:rPr>
            <w:rStyle w:val="Hyperlink"/>
          </w:rPr>
          <w:t>Henrich, 2015</w:t>
        </w:r>
      </w:hyperlink>
      <w:r>
        <w:t>).</w:t>
      </w:r>
    </w:p>
    <w:p w14:paraId="2F87440E" w14:textId="77777777" w:rsidR="002F36D3" w:rsidRDefault="00000000">
      <w:pPr>
        <w:pStyle w:val="BodyText"/>
      </w:pPr>
      <w:r>
        <w:t xml:space="preserve">Consider asteroid 16 Psyche, frequently valued in media coverage at approximately $10 quintillion based on its metallic composition (e.g., </w:t>
      </w:r>
      <w:hyperlink w:anchor="ref-elkinstanton2022">
        <w:r w:rsidR="002F36D3">
          <w:rPr>
            <w:rStyle w:val="Hyperlink"/>
          </w:rPr>
          <w:t>Elkins-Tanton et al., 2022</w:t>
        </w:r>
      </w:hyperlink>
      <w:r>
        <w:t>). This valuation is economically meaningless because transportation costs alone would exceed any conceivable market price, and introducing such quantities of metal to Earth markets would collapse the prices on which the valuation depends. Yet the figure persists in media coverage and investor presentations because it serves narrative functions: anchoring prestige claims, attracting attention, and justifying exploration budgets. Commercial interest stems substantially from narrative-driven attention independent of realistic economic calculations.</w:t>
      </w:r>
    </w:p>
    <w:p w14:paraId="734A9DB5" w14:textId="77777777" w:rsidR="002F36D3" w:rsidRDefault="00000000">
      <w:pPr>
        <w:pStyle w:val="BodyText"/>
      </w:pPr>
      <w:r>
        <w:t>The theoretical claim underlying the Narrative Capital concept is that a bias emerges when narrative salience spikes: high-narrative-capital targets receive disproportionate resources relative to their expected material returns. This bias operates through budget allocation (funding flows toward narratively compelling missions), timeline prioritization (high-NCI targets face accelerated schedules), and risk-tolerance adjustments (actors accept higher risks for narratively significant achievements). For governance purposes, this mechanism predicts which celestial locations will face concentrated competitive pressure before that pressure materializes.</w:t>
      </w:r>
    </w:p>
    <w:p w14:paraId="109113AE" w14:textId="77777777" w:rsidR="002F36D3" w:rsidRDefault="00000000">
      <w:pPr>
        <w:pStyle w:val="BodyText"/>
      </w:pPr>
      <w:r>
        <w:t xml:space="preserve">Narrative Capital could be operationalized through a composite Narrative Capital Index (NCI) with three measurable components: media salience (coverage frequency weighted by outlet authority and reach), prestige co-mentions (association with high-status concepts such as “historic,” “unprecedented,” or “first” in media and scientific discourse), and funding-return mismatch (the ratio of allocated resources to projected economic returns, with higher ratios </w:t>
      </w:r>
      <w:r>
        <w:lastRenderedPageBreak/>
        <w:t>indicating narrative motivations beyond material ones). Such an index would generate testable predictions: when NCI crosses specified thresholds, theory predicts accelerated mission timelines, reduced risk-mitigation investment, and intensified competitive pressure. These patterns could be assessed empirically as data accumulate, providing an ex ante governance tool that identifies sites requiring enhanced protection before competitive dynamics make such protection politically costly (Online Appendix OA2 specifies the data sources that would support such operationalization).</w:t>
      </w:r>
    </w:p>
    <w:p w14:paraId="28ACB57B" w14:textId="77777777" w:rsidR="002F36D3" w:rsidRDefault="00000000">
      <w:pPr>
        <w:pStyle w:val="BodyText"/>
      </w:pPr>
      <w:r>
        <w:t>High-NCI targets create governance challenges precisely because they combine scientific or strategic importance with competitive dynamics that discourage caution. Sites of greatest scientific value (Mars special regions potentially harboring life, lunar permanently-shadowed region ice deposits recording billions of years of solar system history) often carry the highest Narrative Capital, attracting the most aggressive competitive behavior. COSPAR planetary protection policy (</w:t>
      </w:r>
      <w:hyperlink w:anchor="ref-cospar2020">
        <w:r w:rsidR="002F36D3">
          <w:rPr>
            <w:rStyle w:val="Hyperlink"/>
          </w:rPr>
          <w:t>COSPAR, 2020</w:t>
        </w:r>
      </w:hyperlink>
      <w:r>
        <w:t>) recognizes contamination risks at such sites but lacks enforcement mechanisms. The NCI enables preemptive governance: identifying high-NCI sites allows policymakers to implement enhanced protections before missions arrive, when resistance to protective measures is lower than it would be after actors have committed resources. This follows the precedent of the Antarctic Treaty System, which established environmental protections before extensive commercial activity made such restrictions politically costly (</w:t>
      </w:r>
      <w:hyperlink w:anchor="ref-bastmeijer2004">
        <w:r w:rsidR="002F36D3">
          <w:rPr>
            <w:rStyle w:val="Hyperlink"/>
          </w:rPr>
          <w:t>Bastmeijer and Roura, 2004</w:t>
        </w:r>
      </w:hyperlink>
      <w:r>
        <w:t>).</w:t>
      </w:r>
    </w:p>
    <w:p w14:paraId="04BAFD2A" w14:textId="77777777" w:rsidR="002F36D3" w:rsidRDefault="00000000">
      <w:pPr>
        <w:pStyle w:val="Heading3"/>
      </w:pPr>
      <w:bookmarkStart w:id="11" w:name="X0286847f6d3bbeca2813253beb32f1eb109c19e"/>
      <w:bookmarkEnd w:id="10"/>
      <w:r>
        <w:t>4.2 Conspicuous Exploration as Costly Signaling</w:t>
      </w:r>
    </w:p>
    <w:p w14:paraId="148EE0B1" w14:textId="77777777" w:rsidR="002F36D3" w:rsidRDefault="00000000">
      <w:pPr>
        <w:pStyle w:val="FirstParagraph"/>
      </w:pPr>
      <w:r>
        <w:t xml:space="preserve">Space activities function as what the framework terms </w:t>
      </w:r>
      <w:r>
        <w:rPr>
          <w:i/>
          <w:iCs/>
        </w:rPr>
        <w:t>Conspicuous Exploration</w:t>
      </w:r>
      <w:r>
        <w:t xml:space="preserve">: high-cost, high-visibility missions that credibly communicate technological capability, organizational competence, and geopolitical resolve precisely because they are expensive, risky, and publicly </w:t>
      </w:r>
      <w:r>
        <w:lastRenderedPageBreak/>
        <w:t>observable. The concept applies costly signaling theory (</w:t>
      </w:r>
      <w:hyperlink w:anchor="ref-spence1973">
        <w:r w:rsidR="002F36D3">
          <w:rPr>
            <w:rStyle w:val="Hyperlink"/>
          </w:rPr>
          <w:t>Spence, 1973</w:t>
        </w:r>
      </w:hyperlink>
      <w:r>
        <w:t xml:space="preserve">; </w:t>
      </w:r>
      <w:hyperlink w:anchor="ref-zahavi1975">
        <w:r w:rsidR="002F36D3">
          <w:rPr>
            <w:rStyle w:val="Hyperlink"/>
          </w:rPr>
          <w:t>Zahavi, 1975</w:t>
        </w:r>
      </w:hyperlink>
      <w:r>
        <w:t>) to explain a pattern that material cost-benefit analysis cannot: why actors undertake space activities whose costs demonstrably exceed their material returns. Signals must be costly to be credible because cheap signals could be mimicked by actors lacking the quality being signaled and would therefore convey no reliable information. Veblen (</w:t>
      </w:r>
      <w:hyperlink w:anchor="ref-veblen1899">
        <w:r w:rsidR="002F36D3">
          <w:rPr>
            <w:rStyle w:val="Hyperlink"/>
          </w:rPr>
          <w:t>1899</w:t>
        </w:r>
      </w:hyperlink>
      <w:r>
        <w:t>) applied this logic to conspicuous consumption, demonstrating how wasteful expenditure signals wealth precisely because only the wealthy can afford such waste. More recent work demonstrates that status motives amplify costly pro-environmental behaviors when those behaviors are publicly visible (</w:t>
      </w:r>
      <w:hyperlink w:anchor="ref-griskevicius2010">
        <w:r w:rsidR="002F36D3">
          <w:rPr>
            <w:rStyle w:val="Hyperlink"/>
          </w:rPr>
          <w:t>Griskevicius et al., 2010</w:t>
        </w:r>
      </w:hyperlink>
      <w:r>
        <w:t>), while related research shows that romantic motives can similarly trigger conspicuous prosocial signaling (</w:t>
      </w:r>
      <w:hyperlink w:anchor="ref-griskevicius2007">
        <w:r w:rsidR="002F36D3">
          <w:rPr>
            <w:rStyle w:val="Hyperlink"/>
          </w:rPr>
          <w:t>Griskevicius et al., 2007</w:t>
        </w:r>
      </w:hyperlink>
      <w:r>
        <w:t>).</w:t>
      </w:r>
    </w:p>
    <w:p w14:paraId="484EB520" w14:textId="77777777" w:rsidR="002F36D3" w:rsidRDefault="00000000">
      <w:pPr>
        <w:pStyle w:val="BodyText"/>
      </w:pPr>
      <w:r>
        <w:t>Conspicuous Exploration operates through signaling to three distinct audiences: geopolitical rivals (demonstrating technological and organizational capacity that transfers to military applications), commercial investors (proving operational competence that predicts future success), and domestic publics (legitimizing expenditures through national pride and symbolic achievements). The signal value operates independently of material mission returns because the very costliness of the undertaking communicates capability more credibly than efficient achievement would, explaining why missions that achieve their objectives efficiently generate weaker signals than those demonstrating capacity for ambitious undertakings.</w:t>
      </w:r>
    </w:p>
    <w:p w14:paraId="0E8769C4" w14:textId="77777777" w:rsidR="002F36D3" w:rsidRDefault="00000000">
      <w:pPr>
        <w:pStyle w:val="BodyText"/>
      </w:pPr>
      <w:r>
        <w:t>The Cold War Space Race exemplifies this dynamic in its purest form. McDougall (</w:t>
      </w:r>
      <w:hyperlink w:anchor="ref-mcdougall1985">
        <w:r w:rsidR="002F36D3">
          <w:rPr>
            <w:rStyle w:val="Hyperlink"/>
          </w:rPr>
          <w:t>1985</w:t>
        </w:r>
      </w:hyperlink>
      <w:r>
        <w:t xml:space="preserve">) documents how Project Apollo served geopolitical signaling objectives alongside its scientific mission. The program’s enormous scale reflected signaling imperatives that scientific goals alone would not have justified, because crewed lunar missions demonstrated complex systems integration capabilities that robotic alternatives could not signal with equal credibility. The </w:t>
      </w:r>
      <w:r>
        <w:lastRenderedPageBreak/>
        <w:t>investment beyond what scientific objectives required was not incidental but constitutive of the signal’s value, as Fearon (</w:t>
      </w:r>
      <w:hyperlink w:anchor="ref-fearon1997">
        <w:r w:rsidR="002F36D3">
          <w:rPr>
            <w:rStyle w:val="Hyperlink"/>
          </w:rPr>
          <w:t>1997</w:t>
        </w:r>
      </w:hyperlink>
      <w:r>
        <w:t>) would predict from the costly signaling framework.</w:t>
      </w:r>
    </w:p>
    <w:p w14:paraId="7BF12F35" w14:textId="77777777" w:rsidR="002F36D3" w:rsidRDefault="00000000">
      <w:pPr>
        <w:pStyle w:val="BodyText"/>
      </w:pPr>
      <w:r>
        <w:t>The same signaling logic explains contemporary ASAT tests. As discussed in Section 2.2, these debris-generating demonstrations impose substantial long-term collective costs in exchange for short-term signaling benefits. Debris-generating tests credibly signal resolve precisely because cleaner alternatives would be less costly and therefore less credible. A state conducting a debris-generating ASAT test demonstrates not only the technical capability to destroy satellites but also the political willingness to accept international opprobrium and environmental consequences, a combination difficult to counterfeit and therefore valuable as a signal precisely because of its costliness.</w:t>
      </w:r>
    </w:p>
    <w:p w14:paraId="6EAD0E7E" w14:textId="77777777" w:rsidR="002F36D3" w:rsidRDefault="00000000">
      <w:pPr>
        <w:pStyle w:val="BodyText"/>
      </w:pPr>
      <w:r>
        <w:t>Private-sector conspicuous exploration manifests in innovation strategy and commercial positioning. Startup launch attempts, even those with low objective success probability, signal risk tolerance and capital access to investors. A public launch attempt functions as a sunk-cost credential demonstrating commitment and capability. This creates rush dynamics central to R&amp;D management: companies prioritize visible technological milestones (launches, demonstrations, deployments) over optimization work that occurs invisibly. First-mover advantages make aggressive technology deployment individually rational for each firm even when collectively risky for the innovation ecosystem as a whole.</w:t>
      </w:r>
    </w:p>
    <w:p w14:paraId="0011FCED" w14:textId="77777777" w:rsidR="002F36D3" w:rsidRDefault="00000000">
      <w:pPr>
        <w:pStyle w:val="BodyText"/>
      </w:pPr>
      <w:r>
        <w:t>Large-scale megaconstellation deployment illustrates this tension. SpaceX’s rapid Starlink deployment, alongside planned constellations from Amazon’s Project Kuiper and existing systems such as OneWeb (</w:t>
      </w:r>
      <w:hyperlink w:anchor="ref-ogutu2021">
        <w:r w:rsidR="002F36D3">
          <w:rPr>
            <w:rStyle w:val="Hyperlink"/>
          </w:rPr>
          <w:t>Osoro and Oughton, 2021</w:t>
        </w:r>
      </w:hyperlink>
      <w:r>
        <w:t>), has transformed the orbital environment faster than governance frameworks have adapted (</w:t>
      </w:r>
      <w:hyperlink w:anchor="ref-foust2023">
        <w:r w:rsidR="002F36D3">
          <w:rPr>
            <w:rStyle w:val="Hyperlink"/>
          </w:rPr>
          <w:t>Foust, 2022</w:t>
        </w:r>
      </w:hyperlink>
      <w:r>
        <w:t xml:space="preserve">; </w:t>
      </w:r>
      <w:hyperlink w:anchor="ref-palmroth2021">
        <w:r w:rsidR="002F36D3">
          <w:rPr>
            <w:rStyle w:val="Hyperlink"/>
          </w:rPr>
          <w:t>Palmroth et al., 2021</w:t>
        </w:r>
      </w:hyperlink>
      <w:r>
        <w:t xml:space="preserve">). From a costly-signaling perspective, large-scale orbital deployment demonstrates </w:t>
      </w:r>
      <w:r>
        <w:lastRenderedPageBreak/>
        <w:t>capability and market commitment. The competitive advantage of rapid deployment may outweigh coordination costs for individual operators, even when unmitigated externalities impose costs that no single operator fully internalizes. As documented in Section 1.1, these externalities extend beyond orbital congestion to scientific research, contaminating astronomical observations from both ground-based and space-based telescopes, creating a collective action problem driven by signaling dynamics that rational-actor models overlook.</w:t>
      </w:r>
    </w:p>
    <w:p w14:paraId="4D20BB08" w14:textId="77777777" w:rsidR="002F36D3" w:rsidRDefault="00000000">
      <w:pPr>
        <w:pStyle w:val="BodyText"/>
      </w:pPr>
      <w:r>
        <w:t>The debris cascade risks modeled by Kessler and Cour-Palais (</w:t>
      </w:r>
      <w:hyperlink w:anchor="ref-kessler1978">
        <w:r w:rsidR="002F36D3">
          <w:rPr>
            <w:rStyle w:val="Hyperlink"/>
          </w:rPr>
          <w:t>1978</w:t>
        </w:r>
      </w:hyperlink>
      <w:r>
        <w:t>) represent the endpoint of this collective action problem. IADC guidelines and ISO 24113 (</w:t>
      </w:r>
      <w:hyperlink w:anchor="ref-iso2023">
        <w:r w:rsidR="002F36D3">
          <w:rPr>
            <w:rStyle w:val="Hyperlink"/>
          </w:rPr>
          <w:t>ISO, 2023</w:t>
        </w:r>
      </w:hyperlink>
      <w:r>
        <w:t>) recommend post-mission disposal practices, yet compliance remains voluntary and imperfect (Section 2.3). Operators face misaligned incentives: individual missions capture signaling benefits while externalizing debris risks to all orbital users. The framework explains persistent non-compliance through costly signaling dynamics: actors prioritizing status and competitive positioning discount long-term collective costs relative to short-term signaling gains.</w:t>
      </w:r>
    </w:p>
    <w:p w14:paraId="7BB3FED1" w14:textId="77777777" w:rsidR="002F36D3" w:rsidRDefault="00000000">
      <w:pPr>
        <w:pStyle w:val="Heading3"/>
      </w:pPr>
      <w:bookmarkStart w:id="12" w:name="behavioral-governance-principles"/>
      <w:bookmarkEnd w:id="11"/>
      <w:r>
        <w:t>4.3 Behavioral Governance Principles</w:t>
      </w:r>
    </w:p>
    <w:p w14:paraId="43438865" w14:textId="77777777" w:rsidR="002F36D3" w:rsidRDefault="00000000">
      <w:pPr>
        <w:pStyle w:val="FirstParagraph"/>
      </w:pPr>
      <w:r>
        <w:t>The behavioral forces identified by Narrative Capital and Conspicuous Exploration can be redirected toward sustainable outcomes through choice architecture, even without the binding enforcement authority that space governance lacks. Meta-analytic evidence documents meaningful effect sizes (Cohen’s d, where values above 0.20 are considered small and above 0.50 medium) for behavioral interventions: d = 0.43 overall (</w:t>
      </w:r>
      <w:hyperlink w:anchor="ref-mertens2022pnas">
        <w:r w:rsidR="002F36D3">
          <w:rPr>
            <w:rStyle w:val="Hyperlink"/>
          </w:rPr>
          <w:t>Mertens et al., 2022</w:t>
        </w:r>
      </w:hyperlink>
      <w:r>
        <w:t>) and notably stronger effects for default-based instruments (d = 0.68 per Jachimowicz et al. (</w:t>
      </w:r>
      <w:hyperlink w:anchor="ref-jachimowicz2019">
        <w:r w:rsidR="002F36D3">
          <w:rPr>
            <w:rStyle w:val="Hyperlink"/>
          </w:rPr>
          <w:t>2019</w:t>
        </w:r>
      </w:hyperlink>
      <w:r>
        <w:t xml:space="preserve">)), which constitute the primary mechanism in the proposed instruments. The framework employs defaults where this evidence is strongest, while relying on competence-building interventions where </w:t>
      </w:r>
      <w:r>
        <w:lastRenderedPageBreak/>
        <w:t>technical expertise is required (such as training planetary protection officers and conjunction screening tools).</w:t>
      </w:r>
    </w:p>
    <w:p w14:paraId="10D456E6" w14:textId="77777777" w:rsidR="002F36D3" w:rsidRDefault="00000000">
      <w:pPr>
        <w:pStyle w:val="BodyText"/>
      </w:pPr>
      <w:r>
        <w:t>This approach aligns with tentative governance of emerging technologies (</w:t>
      </w:r>
      <w:hyperlink w:anchor="ref-Budde_2019">
        <w:r w:rsidR="002F36D3">
          <w:rPr>
            <w:rStyle w:val="Hyperlink"/>
          </w:rPr>
          <w:t>Budde and Konrad, 2019</w:t>
        </w:r>
      </w:hyperlink>
      <w:r>
        <w:t xml:space="preserve">; </w:t>
      </w:r>
      <w:hyperlink w:anchor="ref-Kuhlmann_2019">
        <w:r w:rsidR="002F36D3">
          <w:rPr>
            <w:rStyle w:val="Hyperlink"/>
          </w:rPr>
          <w:t>Kuhlmann et al., 2019</w:t>
        </w:r>
      </w:hyperlink>
      <w:r>
        <w:t>), which combines provisional, revisable elements with clear procedural commitments. The framework also engages adaptive governance scholarship (</w:t>
      </w:r>
      <w:hyperlink w:anchor="ref-folke2005">
        <w:r w:rsidR="002F36D3">
          <w:rPr>
            <w:rStyle w:val="Hyperlink"/>
          </w:rPr>
          <w:t>Folke et al., 2005</w:t>
        </w:r>
      </w:hyperlink>
      <w:r>
        <w:t>), which emphasizes learning through feedback in governing complex social-ecological systems, and resonates with emerging proposals for a dedicated Sustainable Development Goal for space (</w:t>
      </w:r>
      <w:hyperlink w:anchor="ref-Losch_2024">
        <w:r w:rsidR="002F36D3">
          <w:rPr>
            <w:rStyle w:val="Hyperlink"/>
          </w:rPr>
          <w:t>Losch et al., 2024</w:t>
        </w:r>
      </w:hyperlink>
      <w:r>
        <w:t>) and the UN Space2030 Agenda (</w:t>
      </w:r>
      <w:hyperlink w:anchor="ref-un2021space2030">
        <w:r w:rsidR="002F36D3">
          <w:rPr>
            <w:rStyle w:val="Hyperlink"/>
          </w:rPr>
          <w:t>United Nations, 2021</w:t>
        </w:r>
      </w:hyperlink>
      <w:r>
        <w:t>) that recognize the need for governance frameworks keeping pace with space activity expansion. Accordingly, each instrument includes built-in feedback mechanisms enabling recalibration as experience accumulates.</w:t>
      </w:r>
    </w:p>
    <w:p w14:paraId="3D165E9E" w14:textId="77777777" w:rsidR="002F36D3" w:rsidRDefault="00000000">
      <w:pPr>
        <w:pStyle w:val="BodyText"/>
      </w:pPr>
      <w:r>
        <w:t>Ostrom (</w:t>
      </w:r>
      <w:hyperlink w:anchor="ref-ostrom2010">
        <w:r w:rsidR="002F36D3">
          <w:rPr>
            <w:rStyle w:val="Hyperlink"/>
          </w:rPr>
          <w:t>2010</w:t>
        </w:r>
      </w:hyperlink>
      <w:r>
        <w:t>)’s work on polycentric governance demonstrates that systems with multiple overlapping governance centers can manage commons problems when hierarchical coordination fails. Space governance exhibits polycentricity by necessity, with authority fragmented across national agencies, international bodies, industry associations, and operators. The proposed instruments work within this reality, linking existing regimes with behavioral levers that operate without requiring politically unattainable comprehensive coordination.</w:t>
      </w:r>
    </w:p>
    <w:p w14:paraId="1E389B8F" w14:textId="77777777" w:rsidR="002F36D3" w:rsidRDefault="00000000">
      <w:pPr>
        <w:pStyle w:val="BodyText"/>
      </w:pPr>
      <w:r>
        <w:t xml:space="preserve">Three design principles guide the specific instruments developed in the following section. Each instrument builds on existing international regimes (COPUOS, COSPAR, the International Telecommunication Union [ITU], ISO/IADC), leveraging established legitimacy and avoiding the transaction costs of creating new institutional structures. Each enlists insurers and commercial actors for market-based enforcement, aligning private incentives with sustainability objectives where possible. And each employs transparency and reciprocity mechanisms to create </w:t>
      </w:r>
      <w:r>
        <w:lastRenderedPageBreak/>
        <w:t>reputational pressure, exploiting social proof (the tendency of actors to conform to observed behavior of peers) and status concerns that the AEB Framework identifies as powerful behavioral drivers. These principles ensure that the instruments can be implemented within current institutional capacity while addressing the behavioral dynamics documented above. Table 1 summarizes how the design principles led to specific instruments.</w:t>
      </w:r>
    </w:p>
    <w:p w14:paraId="7CB46D59" w14:textId="77777777" w:rsidR="002F36D3" w:rsidRDefault="00000000">
      <w:pPr>
        <w:pStyle w:val="BodyText"/>
        <w:ind w:firstLine="0"/>
        <w:jc w:val="center"/>
      </w:pPr>
      <w:r>
        <w:rPr>
          <w:b/>
          <w:bCs/>
        </w:rPr>
        <w:t>Table 1. Framework Integration: From Theoretical Pillars to Policy Instruments</w:t>
      </w:r>
    </w:p>
    <w:tbl>
      <w:tblPr>
        <w:tblStyle w:val="Table"/>
        <w:tblW w:w="5000" w:type="pct"/>
        <w:tblInd w:w="108" w:type="dxa"/>
        <w:tblLayout w:type="fixed"/>
        <w:tblLook w:val="0020" w:firstRow="1" w:lastRow="0" w:firstColumn="0" w:lastColumn="0" w:noHBand="0" w:noVBand="0"/>
      </w:tblPr>
      <w:tblGrid>
        <w:gridCol w:w="1710"/>
        <w:gridCol w:w="2250"/>
        <w:gridCol w:w="2160"/>
        <w:gridCol w:w="3456"/>
      </w:tblGrid>
      <w:tr w:rsidR="002F36D3" w14:paraId="54F9AF07" w14:textId="77777777">
        <w:trPr>
          <w:tblHeader/>
        </w:trPr>
        <w:tc>
          <w:tcPr>
            <w:tcW w:w="1710" w:type="dxa"/>
          </w:tcPr>
          <w:p w14:paraId="30D3FC93" w14:textId="77777777" w:rsidR="002F36D3" w:rsidRDefault="00000000">
            <w:pPr>
              <w:pStyle w:val="Compact"/>
              <w:ind w:firstLine="0"/>
            </w:pPr>
            <w:r>
              <w:t>Theoretical Pillar</w:t>
            </w:r>
          </w:p>
        </w:tc>
        <w:tc>
          <w:tcPr>
            <w:tcW w:w="2250" w:type="dxa"/>
          </w:tcPr>
          <w:p w14:paraId="4F8D5603" w14:textId="77777777" w:rsidR="002F36D3" w:rsidRDefault="00000000">
            <w:pPr>
              <w:pStyle w:val="Compact"/>
              <w:ind w:firstLine="0"/>
            </w:pPr>
            <w:r>
              <w:t>Core Mechanism</w:t>
            </w:r>
          </w:p>
        </w:tc>
        <w:tc>
          <w:tcPr>
            <w:tcW w:w="2160" w:type="dxa"/>
          </w:tcPr>
          <w:p w14:paraId="7C299D48" w14:textId="77777777" w:rsidR="002F36D3" w:rsidRDefault="00000000">
            <w:pPr>
              <w:pStyle w:val="Compact"/>
              <w:ind w:firstLine="0"/>
            </w:pPr>
            <w:r>
              <w:t>Governance Implication</w:t>
            </w:r>
          </w:p>
        </w:tc>
        <w:tc>
          <w:tcPr>
            <w:tcW w:w="3456" w:type="dxa"/>
          </w:tcPr>
          <w:p w14:paraId="6383DE72" w14:textId="77777777" w:rsidR="002F36D3" w:rsidRDefault="00000000">
            <w:pPr>
              <w:pStyle w:val="Compact"/>
              <w:ind w:firstLine="0"/>
            </w:pPr>
            <w:r>
              <w:t>Linked Instruments</w:t>
            </w:r>
          </w:p>
        </w:tc>
      </w:tr>
      <w:tr w:rsidR="002F36D3" w14:paraId="0E9EC613" w14:textId="77777777">
        <w:tc>
          <w:tcPr>
            <w:tcW w:w="1710" w:type="dxa"/>
          </w:tcPr>
          <w:p w14:paraId="09BC83CD" w14:textId="75F785A7" w:rsidR="002F36D3" w:rsidRDefault="00000000">
            <w:pPr>
              <w:pStyle w:val="Compact"/>
              <w:ind w:firstLine="0"/>
            </w:pPr>
            <w:r>
              <w:rPr>
                <w:b/>
                <w:bCs/>
              </w:rPr>
              <w:t>Behavioral Governance</w:t>
            </w:r>
          </w:p>
        </w:tc>
        <w:tc>
          <w:tcPr>
            <w:tcW w:w="2250" w:type="dxa"/>
          </w:tcPr>
          <w:p w14:paraId="2019044D" w14:textId="77777777" w:rsidR="002F36D3" w:rsidRDefault="00000000">
            <w:pPr>
              <w:pStyle w:val="Compact"/>
              <w:ind w:firstLine="0"/>
            </w:pPr>
            <w:r>
              <w:t>Defaults, loss framing, and social proof shape choices (</w:t>
            </w:r>
            <w:hyperlink w:anchor="ref-kahneman1979">
              <w:r w:rsidR="002F36D3">
                <w:rPr>
                  <w:rStyle w:val="Hyperlink"/>
                </w:rPr>
                <w:t>Kahneman and Tversky, 1979</w:t>
              </w:r>
            </w:hyperlink>
            <w:r>
              <w:t xml:space="preserve">; </w:t>
            </w:r>
            <w:hyperlink w:anchor="ref-thaler2008">
              <w:r w:rsidR="002F36D3">
                <w:rPr>
                  <w:rStyle w:val="Hyperlink"/>
                </w:rPr>
                <w:t>Thaler and Sunstein, 2008</w:t>
              </w:r>
            </w:hyperlink>
            <w:r>
              <w:t>)</w:t>
            </w:r>
          </w:p>
        </w:tc>
        <w:tc>
          <w:tcPr>
            <w:tcW w:w="2160" w:type="dxa"/>
          </w:tcPr>
          <w:p w14:paraId="7AC6B39E" w14:textId="77777777" w:rsidR="002F36D3" w:rsidRDefault="00000000">
            <w:pPr>
              <w:pStyle w:val="Compact"/>
              <w:ind w:firstLine="0"/>
            </w:pPr>
            <w:r>
              <w:t>Choice architecture can steer behavior without formal enforcement</w:t>
            </w:r>
          </w:p>
        </w:tc>
        <w:tc>
          <w:tcPr>
            <w:tcW w:w="3456" w:type="dxa"/>
          </w:tcPr>
          <w:p w14:paraId="33E5B6B3" w14:textId="77777777" w:rsidR="002F36D3" w:rsidRDefault="00000000">
            <w:pPr>
              <w:pStyle w:val="Compact"/>
              <w:ind w:firstLine="0"/>
            </w:pPr>
            <w:r>
              <w:t>Instrument 1 (Registry Defaults): Status quo bias promotes compliance; All instruments: Transparency mechanisms activate social proof</w:t>
            </w:r>
          </w:p>
        </w:tc>
      </w:tr>
      <w:tr w:rsidR="002F36D3" w14:paraId="18F27C69" w14:textId="77777777">
        <w:tc>
          <w:tcPr>
            <w:tcW w:w="1710" w:type="dxa"/>
          </w:tcPr>
          <w:p w14:paraId="7C218098" w14:textId="35790B9A" w:rsidR="002F36D3" w:rsidRDefault="00000000">
            <w:pPr>
              <w:pStyle w:val="Compact"/>
              <w:ind w:firstLine="0"/>
            </w:pPr>
            <w:r>
              <w:rPr>
                <w:b/>
                <w:bCs/>
              </w:rPr>
              <w:t>Conspicuous Exploration</w:t>
            </w:r>
          </w:p>
        </w:tc>
        <w:tc>
          <w:tcPr>
            <w:tcW w:w="2250" w:type="dxa"/>
          </w:tcPr>
          <w:p w14:paraId="2C4F422D" w14:textId="77777777" w:rsidR="002F36D3" w:rsidRDefault="00000000">
            <w:pPr>
              <w:pStyle w:val="Compact"/>
              <w:ind w:firstLine="0"/>
            </w:pPr>
            <w:r>
              <w:t>Costly signaling incentivizes visible achievements over sustainability (</w:t>
            </w:r>
            <w:hyperlink w:anchor="ref-fearon1997">
              <w:r w:rsidR="002F36D3">
                <w:rPr>
                  <w:rStyle w:val="Hyperlink"/>
                </w:rPr>
                <w:t>Fearon, 1997</w:t>
              </w:r>
            </w:hyperlink>
            <w:r>
              <w:t xml:space="preserve">; </w:t>
            </w:r>
            <w:hyperlink w:anchor="ref-veblen1899">
              <w:r w:rsidR="002F36D3">
                <w:rPr>
                  <w:rStyle w:val="Hyperlink"/>
                </w:rPr>
                <w:t>Veblen, 1899</w:t>
              </w:r>
            </w:hyperlink>
            <w:r>
              <w:t>)</w:t>
            </w:r>
          </w:p>
        </w:tc>
        <w:tc>
          <w:tcPr>
            <w:tcW w:w="2160" w:type="dxa"/>
          </w:tcPr>
          <w:p w14:paraId="77AA9508" w14:textId="77777777" w:rsidR="002F36D3" w:rsidRDefault="00000000">
            <w:pPr>
              <w:pStyle w:val="Compact"/>
              <w:ind w:firstLine="0"/>
            </w:pPr>
            <w:r>
              <w:t>Status competition generates debris externalities requiring coordination mechanisms</w:t>
            </w:r>
          </w:p>
        </w:tc>
        <w:tc>
          <w:tcPr>
            <w:tcW w:w="3456" w:type="dxa"/>
          </w:tcPr>
          <w:p w14:paraId="66244831" w14:textId="77777777" w:rsidR="002F36D3" w:rsidRDefault="00000000">
            <w:pPr>
              <w:pStyle w:val="Compact"/>
              <w:ind w:firstLine="0"/>
            </w:pPr>
            <w:r>
              <w:t>Instrument 2 (Reputational Index): Channel status-seeking toward compliance; Instrument 4 (Safety Zones): Reciprocal commitments enable status gain through cooperation</w:t>
            </w:r>
          </w:p>
        </w:tc>
      </w:tr>
      <w:tr w:rsidR="002F36D3" w14:paraId="3A5EA66C" w14:textId="77777777">
        <w:tc>
          <w:tcPr>
            <w:tcW w:w="1710" w:type="dxa"/>
          </w:tcPr>
          <w:p w14:paraId="299B7E3F" w14:textId="5AF907E8" w:rsidR="002F36D3" w:rsidRDefault="00000000">
            <w:pPr>
              <w:pStyle w:val="Compact"/>
              <w:ind w:firstLine="0"/>
            </w:pPr>
            <w:r>
              <w:rPr>
                <w:b/>
                <w:bCs/>
              </w:rPr>
              <w:t>Narrative Capital</w:t>
            </w:r>
          </w:p>
        </w:tc>
        <w:tc>
          <w:tcPr>
            <w:tcW w:w="2250" w:type="dxa"/>
          </w:tcPr>
          <w:p w14:paraId="4D46EFE8" w14:textId="77777777" w:rsidR="002F36D3" w:rsidRDefault="00000000">
            <w:pPr>
              <w:pStyle w:val="Compact"/>
              <w:ind w:firstLine="0"/>
            </w:pPr>
            <w:r>
              <w:t>High-NCI targets attract accelerated timelines and reduced caution (</w:t>
            </w:r>
            <w:hyperlink w:anchor="ref-bourdieu1986">
              <w:r w:rsidR="002F36D3">
                <w:rPr>
                  <w:rStyle w:val="Hyperlink"/>
                </w:rPr>
                <w:t>Bourdieu, 1986</w:t>
              </w:r>
            </w:hyperlink>
            <w:r>
              <w:t xml:space="preserve">; </w:t>
            </w:r>
            <w:hyperlink w:anchor="ref-henrich2015">
              <w:r w:rsidR="002F36D3">
                <w:rPr>
                  <w:rStyle w:val="Hyperlink"/>
                </w:rPr>
                <w:t>Henrich, 2015</w:t>
              </w:r>
            </w:hyperlink>
            <w:r>
              <w:t xml:space="preserve">; </w:t>
            </w:r>
            <w:hyperlink w:anchor="ref-jones2010">
              <w:r w:rsidR="002F36D3">
                <w:rPr>
                  <w:rStyle w:val="Hyperlink"/>
                </w:rPr>
                <w:t>Jones and McBeth, 2010</w:t>
              </w:r>
            </w:hyperlink>
            <w:r>
              <w:t>)</w:t>
            </w:r>
          </w:p>
        </w:tc>
        <w:tc>
          <w:tcPr>
            <w:tcW w:w="2160" w:type="dxa"/>
          </w:tcPr>
          <w:p w14:paraId="356E79E3" w14:textId="77777777" w:rsidR="002F36D3" w:rsidRDefault="00000000">
            <w:pPr>
              <w:pStyle w:val="Compact"/>
              <w:ind w:firstLine="0"/>
            </w:pPr>
            <w:r>
              <w:t>Preemptive identification of competition-prone sites enables early protection</w:t>
            </w:r>
          </w:p>
        </w:tc>
        <w:tc>
          <w:tcPr>
            <w:tcW w:w="3456" w:type="dxa"/>
          </w:tcPr>
          <w:p w14:paraId="6A46D4CD" w14:textId="77777777" w:rsidR="002F36D3" w:rsidRDefault="00000000">
            <w:pPr>
              <w:pStyle w:val="Compact"/>
              <w:ind w:firstLine="0"/>
            </w:pPr>
            <w:r>
              <w:t>Instrument 3 (Loss-Framed Site Designation): Loss-framed designation triggers protective norms before resource commitment</w:t>
            </w:r>
          </w:p>
        </w:tc>
      </w:tr>
    </w:tbl>
    <w:p w14:paraId="5C2350EE" w14:textId="77777777" w:rsidR="002F36D3" w:rsidRDefault="00000000" w:rsidP="009B628C">
      <w:pPr>
        <w:pStyle w:val="BodyText"/>
        <w:spacing w:line="240" w:lineRule="auto"/>
        <w:ind w:firstLine="0"/>
      </w:pPr>
      <w:r>
        <w:rPr>
          <w:i/>
          <w:iCs/>
        </w:rPr>
        <w:t>Note:</w:t>
      </w:r>
      <w:r>
        <w:t xml:space="preserve"> Each pillar informs multiple instruments, and instruments combine mechanisms for complementary effects following policy mix principles (</w:t>
      </w:r>
      <w:hyperlink w:anchor="ref-Rogge_2016">
        <w:r w:rsidR="002F36D3">
          <w:rPr>
            <w:rStyle w:val="Hyperlink"/>
          </w:rPr>
          <w:t>Rogge and Reichardt, 2016</w:t>
        </w:r>
      </w:hyperlink>
      <w:r>
        <w:t>).</w:t>
      </w:r>
    </w:p>
    <w:p w14:paraId="51E4902E" w14:textId="77777777" w:rsidR="002F36D3" w:rsidRDefault="00000000" w:rsidP="009B628C">
      <w:pPr>
        <w:pStyle w:val="BodyText"/>
        <w:spacing w:before="240"/>
      </w:pPr>
      <w:r>
        <w:rPr>
          <w:i/>
          <w:iCs/>
        </w:rPr>
        <w:t>Instrument Selection Rationale.</w:t>
      </w:r>
      <w:r>
        <w:t xml:space="preserve"> Several alternatives were considered but not included: cap-and-trade systems and orbital-use fees (no binding allocation authority exists, though economic modeling suggests substantial welfare gains from such fees; Rao et al. (</w:t>
      </w:r>
      <w:hyperlink w:anchor="ref-rao2020">
        <w:r w:rsidR="002F36D3">
          <w:rPr>
            <w:rStyle w:val="Hyperlink"/>
          </w:rPr>
          <w:t>2020</w:t>
        </w:r>
      </w:hyperlink>
      <w:r>
        <w:t>); OECD (</w:t>
      </w:r>
      <w:hyperlink w:anchor="ref-oecd2022orbits">
        <w:r w:rsidR="002F36D3">
          <w:rPr>
            <w:rStyle w:val="Hyperlink"/>
          </w:rPr>
          <w:t>2022b</w:t>
        </w:r>
      </w:hyperlink>
      <w:r>
        <w:t>)), mandatory liability insurance (moral hazard concerns; Adilov et al. (</w:t>
      </w:r>
      <w:hyperlink w:anchor="ref-adilov2023">
        <w:r w:rsidR="002F36D3">
          <w:rPr>
            <w:rStyle w:val="Hyperlink"/>
          </w:rPr>
          <w:t>2023</w:t>
        </w:r>
      </w:hyperlink>
      <w:r>
        <w:t xml:space="preserve">)), and technology mandates (premature standardization under the Collingridge dilemma, where </w:t>
      </w:r>
      <w:r>
        <w:lastRenderedPageBreak/>
        <w:t>governance must act before technological trajectories are fully understood; Collingridge (</w:t>
      </w:r>
      <w:hyperlink w:anchor="ref-collingridge1980">
        <w:r w:rsidR="002F36D3">
          <w:rPr>
            <w:rStyle w:val="Hyperlink"/>
          </w:rPr>
          <w:t>1980</w:t>
        </w:r>
      </w:hyperlink>
      <w:r>
        <w:t>); ESA (</w:t>
      </w:r>
      <w:hyperlink w:anchor="ref-esa2023">
        <w:r w:rsidR="002F36D3">
          <w:rPr>
            <w:rStyle w:val="Hyperlink"/>
          </w:rPr>
          <w:t>2023</w:t>
        </w:r>
      </w:hyperlink>
      <w:r>
        <w:t>)). By contrast, the four instruments were selected because each (1) targets a distinct behavioral mechanism, (2) addresses a different governance domain, (3) operates through existing frameworks without new treaty authority, and (4) generates evaluable outcomes through quasi-experimental designs. This combination provides complementary coverage while remaining implementable.</w:t>
      </w:r>
    </w:p>
    <w:p w14:paraId="487C06C2" w14:textId="77777777" w:rsidR="002F36D3" w:rsidRDefault="00000000">
      <w:pPr>
        <w:pStyle w:val="BodyText"/>
      </w:pPr>
      <w:r>
        <w:t>The framework has important limitations. Behavioral interventions cannot unilaterally restrain deliberate military competition, because where states engage in hard geopolitical conflict, deterrence dynamics and power-based bargaining determine outcomes regardless of choice architecture. The framework’s domain of applicability is the broad middle ground of commercial missions, scientific cooperation, and government activities where competitive pressures create sustainability risks but where actors remain responsive to reputational concerns and economic incentives. By reducing friction for cooperation and increasing reputational costs for defection within this domain, behavioral interventions can shift equilibria toward sustainable practices, complementing enforcement-based approaches with mechanisms that operate where formal authority cannot reach.</w:t>
      </w:r>
    </w:p>
    <w:p w14:paraId="591C1658" w14:textId="77777777" w:rsidR="002F36D3" w:rsidRDefault="00000000">
      <w:pPr>
        <w:pStyle w:val="Heading2"/>
        <w:spacing w:before="720" w:after="120"/>
      </w:pPr>
      <w:bookmarkStart w:id="13" w:name="X45284ddd05bf0e7642ba9626b746f70e446e6d3"/>
      <w:bookmarkEnd w:id="9"/>
      <w:bookmarkEnd w:id="12"/>
      <w:r>
        <w:t>5. Policy Toolkit: Four Implementable Instruments</w:t>
      </w:r>
    </w:p>
    <w:p w14:paraId="25920DF4" w14:textId="6268A899" w:rsidR="002F36D3" w:rsidRDefault="00000000">
      <w:pPr>
        <w:pStyle w:val="FirstParagraph"/>
      </w:pPr>
      <w:r>
        <w:t>The AEB Framework identifies the behavioral forces driving governance failures; this section translates those theoretical insights into four policy instruments, each targeting a distinct mechanism (see the lower tiers of Figure 1). For each instrument, the following sections specify the behavioral mechanism it engages, describe a potential implementation pathway anchored in existing international regimes, provide a concrete operational illustration, and identify the quasi-</w:t>
      </w:r>
      <w:r>
        <w:lastRenderedPageBreak/>
        <w:t>experimental design for evaluation. Where specific design parameters lack precise precedent, they represent proposed starting points for empirical calibration, with the evaluation framework enabling iterative refinement as evidence accumulates. Table 2 through Table 4 summarize the instrument parameters, proposed site designations, and evaluation protocols, respectively. The Online Appendix provides extended detail on each instrument, including expected effect sizes grounded in meta-analytic evidence (Online Appendix OA1), data infrastructure and baseline statistics (Online Appendix OA2), full evaluation protocols with statistical specifications (Online Appendix OA3-OA6), institutional precedents informing each instrument’s design (Online Appendix OA</w:t>
      </w:r>
      <w:r w:rsidR="0096184E">
        <w:t>7</w:t>
      </w:r>
      <w:r>
        <w:t>), and a phased implementation pathway (Online Appendix, “Potential Implementation Pathways”).</w:t>
      </w:r>
    </w:p>
    <w:p w14:paraId="6F2E1744" w14:textId="77777777" w:rsidR="002F36D3" w:rsidRDefault="00000000">
      <w:pPr>
        <w:pStyle w:val="Heading3"/>
      </w:pPr>
      <w:bookmarkStart w:id="14" w:name="X1c474107b1d5fd4c5ba545ba86b32a39c8de941"/>
      <w:r>
        <w:t>5.1 Instrument 1: Voluntary Registry with Sustainable-Practice Defaults</w:t>
      </w:r>
    </w:p>
    <w:p w14:paraId="563F6C6F" w14:textId="77777777" w:rsidR="002F36D3" w:rsidRDefault="00000000">
      <w:pPr>
        <w:pStyle w:val="FirstParagraph"/>
      </w:pPr>
      <w:r>
        <w:t>Status quo bias, the tendency to disproportionately prefer the current or pre-selected option, shapes compliance when default options are visible and easy to accept (</w:t>
      </w:r>
      <w:hyperlink w:anchor="ref-johnson2003">
        <w:r w:rsidR="002F36D3">
          <w:rPr>
            <w:rStyle w:val="Hyperlink"/>
          </w:rPr>
          <w:t>Johnson and Goldstein, 2003</w:t>
        </w:r>
      </w:hyperlink>
      <w:r>
        <w:t xml:space="preserve">; </w:t>
      </w:r>
      <w:hyperlink w:anchor="ref-madrian2001">
        <w:r w:rsidR="002F36D3">
          <w:rPr>
            <w:rStyle w:val="Hyperlink"/>
          </w:rPr>
          <w:t>Madrian and Shea, 2001</w:t>
        </w:r>
      </w:hyperlink>
      <w:r>
        <w:t xml:space="preserve">; </w:t>
      </w:r>
      <w:hyperlink w:anchor="ref-samuelson1988">
        <w:r w:rsidR="002F36D3">
          <w:rPr>
            <w:rStyle w:val="Hyperlink"/>
          </w:rPr>
          <w:t>Samuelson and Zeckhauser, 1988</w:t>
        </w:r>
      </w:hyperlink>
      <w:r>
        <w:t>). The psychological mechanisms underlying default effects include inertia (effort required to deviate from defaults), implied endorsement (defaults signal recommended behavior), and loss aversion (deviating from defaults frames alternatives as losses relative to the reference point). Transparency strengthens default effects by linking opt-outs to reputational exposure, increasing the perceived social cost of deviation from established norms (</w:t>
      </w:r>
      <w:hyperlink w:anchor="ref-sunstein2014">
        <w:r w:rsidR="002F36D3">
          <w:rPr>
            <w:rStyle w:val="Hyperlink"/>
          </w:rPr>
          <w:t>Sunstein, 2014</w:t>
        </w:r>
      </w:hyperlink>
      <w:r>
        <w:t>).</w:t>
      </w:r>
    </w:p>
    <w:p w14:paraId="5A2FCB58" w14:textId="77777777" w:rsidR="002F36D3" w:rsidRDefault="00000000">
      <w:pPr>
        <w:pStyle w:val="BodyText"/>
      </w:pPr>
      <w:r>
        <w:t>One potential implementation would build on the existing Article VIII registration framework and the United Nations Register of Objects Launched into Outer Space, administered by the United Nations Office for Outer Space Affairs (UNOOSA) (</w:t>
      </w:r>
      <w:hyperlink w:anchor="ref-unoosa_register2025">
        <w:r w:rsidR="002F36D3">
          <w:rPr>
            <w:rStyle w:val="Hyperlink"/>
          </w:rPr>
          <w:t>United Nations Office for Outer Space Affairs, 2025</w:t>
        </w:r>
      </w:hyperlink>
      <w:r>
        <w:t xml:space="preserve">). Such a registry could include pre-selected defaults aligned with </w:t>
      </w:r>
      <w:r>
        <w:lastRenderedPageBreak/>
        <w:t>established best-practice standards, including COPUOS Long-Term Sustainability Guidelines and relevant national policies, with operators able to opt out from specific defaults by providing written justification recorded in a publicly accessible log (</w:t>
      </w:r>
      <w:hyperlink w:anchor="ref-whitehouse2018spd3">
        <w:r w:rsidR="002F36D3">
          <w:rPr>
            <w:rStyle w:val="Hyperlink"/>
          </w:rPr>
          <w:t>The White House, 2018</w:t>
        </w:r>
      </w:hyperlink>
      <w:r>
        <w:t xml:space="preserve">; </w:t>
      </w:r>
      <w:hyperlink w:anchor="ref-un2019">
        <w:r w:rsidR="002F36D3">
          <w:rPr>
            <w:rStyle w:val="Hyperlink"/>
          </w:rPr>
          <w:t>United Nations, 2019</w:t>
        </w:r>
      </w:hyperlink>
      <w:r>
        <w:t>). Table 2 summarizes the proposed default settings, drawn from existing international standards to ensure legitimacy and technical appropriateness.</w:t>
      </w:r>
    </w:p>
    <w:p w14:paraId="7698D3D2" w14:textId="77777777" w:rsidR="002F36D3" w:rsidRDefault="00000000">
      <w:pPr>
        <w:pStyle w:val="BodyText"/>
        <w:ind w:firstLine="0"/>
        <w:jc w:val="center"/>
      </w:pPr>
      <w:r>
        <w:rPr>
          <w:b/>
          <w:bCs/>
        </w:rPr>
        <w:t>Table 2. Registry Default Options and Standards (Expanded)</w:t>
      </w:r>
    </w:p>
    <w:tbl>
      <w:tblPr>
        <w:tblStyle w:val="Table"/>
        <w:tblW w:w="5000" w:type="pct"/>
        <w:tblInd w:w="108" w:type="dxa"/>
        <w:tblLayout w:type="fixed"/>
        <w:tblLook w:val="0020" w:firstRow="1" w:lastRow="0" w:firstColumn="0" w:lastColumn="0" w:noHBand="0" w:noVBand="0"/>
      </w:tblPr>
      <w:tblGrid>
        <w:gridCol w:w="1710"/>
        <w:gridCol w:w="3330"/>
        <w:gridCol w:w="1971"/>
        <w:gridCol w:w="2565"/>
      </w:tblGrid>
      <w:tr w:rsidR="002F36D3" w14:paraId="7DFC9C16" w14:textId="77777777">
        <w:trPr>
          <w:tblHeader/>
        </w:trPr>
        <w:tc>
          <w:tcPr>
            <w:tcW w:w="1710" w:type="dxa"/>
          </w:tcPr>
          <w:p w14:paraId="60030BDC" w14:textId="77777777" w:rsidR="002F36D3" w:rsidRDefault="00000000">
            <w:pPr>
              <w:pStyle w:val="Compact"/>
              <w:ind w:firstLine="0"/>
            </w:pPr>
            <w:r>
              <w:t>Practice Domain</w:t>
            </w:r>
          </w:p>
        </w:tc>
        <w:tc>
          <w:tcPr>
            <w:tcW w:w="3330" w:type="dxa"/>
          </w:tcPr>
          <w:p w14:paraId="6FEAD867" w14:textId="77777777" w:rsidR="002F36D3" w:rsidRDefault="00000000">
            <w:pPr>
              <w:pStyle w:val="Compact"/>
              <w:ind w:firstLine="0"/>
            </w:pPr>
            <w:r>
              <w:t>Default Requirements</w:t>
            </w:r>
          </w:p>
        </w:tc>
        <w:tc>
          <w:tcPr>
            <w:tcW w:w="1971" w:type="dxa"/>
          </w:tcPr>
          <w:p w14:paraId="1F7CCD53" w14:textId="77777777" w:rsidR="002F36D3" w:rsidRDefault="00000000">
            <w:pPr>
              <w:pStyle w:val="Compact"/>
              <w:ind w:firstLine="0"/>
            </w:pPr>
            <w:r>
              <w:t>Source Standard</w:t>
            </w:r>
          </w:p>
        </w:tc>
        <w:tc>
          <w:tcPr>
            <w:tcW w:w="2565" w:type="dxa"/>
          </w:tcPr>
          <w:p w14:paraId="11DD9DD5" w14:textId="77777777" w:rsidR="002F36D3" w:rsidRDefault="00000000">
            <w:pPr>
              <w:pStyle w:val="Compact"/>
              <w:ind w:firstLine="0"/>
            </w:pPr>
            <w:r>
              <w:t>Precedent/Justification</w:t>
            </w:r>
          </w:p>
        </w:tc>
      </w:tr>
      <w:tr w:rsidR="002F36D3" w14:paraId="59F776A4" w14:textId="77777777">
        <w:tc>
          <w:tcPr>
            <w:tcW w:w="1710" w:type="dxa"/>
          </w:tcPr>
          <w:p w14:paraId="5EFD0288" w14:textId="77777777" w:rsidR="002F36D3" w:rsidRDefault="00000000">
            <w:pPr>
              <w:pStyle w:val="Compact"/>
              <w:ind w:firstLine="0"/>
            </w:pPr>
            <w:r>
              <w:rPr>
                <w:b/>
                <w:bCs/>
              </w:rPr>
              <w:t>Debris Mitigation</w:t>
            </w:r>
          </w:p>
        </w:tc>
        <w:tc>
          <w:tcPr>
            <w:tcW w:w="3330" w:type="dxa"/>
          </w:tcPr>
          <w:p w14:paraId="2B571611" w14:textId="77777777" w:rsidR="002F36D3" w:rsidRDefault="00000000">
            <w:pPr>
              <w:pStyle w:val="Compact"/>
              <w:ind w:firstLine="0"/>
            </w:pPr>
            <w:r>
              <w:t>Post-mission disposal within 25 years; passivation; collision-avoidance screening; design for demise</w:t>
            </w:r>
          </w:p>
        </w:tc>
        <w:tc>
          <w:tcPr>
            <w:tcW w:w="1971" w:type="dxa"/>
          </w:tcPr>
          <w:p w14:paraId="46F64AEA" w14:textId="77777777" w:rsidR="002F36D3" w:rsidRDefault="00000000">
            <w:pPr>
              <w:pStyle w:val="Compact"/>
              <w:ind w:firstLine="0"/>
            </w:pPr>
            <w:r>
              <w:t>ISO 24113:2023 / IADC Guidelines</w:t>
            </w:r>
          </w:p>
        </w:tc>
        <w:tc>
          <w:tcPr>
            <w:tcW w:w="2565" w:type="dxa"/>
          </w:tcPr>
          <w:p w14:paraId="71A4CA72" w14:textId="77777777" w:rsidR="002F36D3" w:rsidRDefault="00000000">
            <w:pPr>
              <w:pStyle w:val="Compact"/>
              <w:ind w:firstLine="0"/>
            </w:pPr>
            <w:r>
              <w:t>Meta-analysis shows d=0.68 for default effects (</w:t>
            </w:r>
            <w:hyperlink w:anchor="ref-jachimowicz2019">
              <w:r w:rsidR="002F36D3">
                <w:rPr>
                  <w:rStyle w:val="Hyperlink"/>
                </w:rPr>
                <w:t>Jachimowicz et al., 2019</w:t>
              </w:r>
            </w:hyperlink>
            <w:r>
              <w:t>)</w:t>
            </w:r>
          </w:p>
        </w:tc>
      </w:tr>
      <w:tr w:rsidR="002F36D3" w14:paraId="2EC2033C" w14:textId="77777777">
        <w:tc>
          <w:tcPr>
            <w:tcW w:w="1710" w:type="dxa"/>
          </w:tcPr>
          <w:p w14:paraId="058F5BE8" w14:textId="77777777" w:rsidR="002F36D3" w:rsidRDefault="00000000">
            <w:pPr>
              <w:pStyle w:val="Compact"/>
              <w:ind w:firstLine="0"/>
            </w:pPr>
            <w:r>
              <w:rPr>
                <w:b/>
                <w:bCs/>
              </w:rPr>
              <w:t>Planetary Protection</w:t>
            </w:r>
          </w:p>
        </w:tc>
        <w:tc>
          <w:tcPr>
            <w:tcW w:w="3330" w:type="dxa"/>
          </w:tcPr>
          <w:p w14:paraId="67C57D17" w14:textId="77777777" w:rsidR="002F36D3" w:rsidRDefault="00000000">
            <w:pPr>
              <w:pStyle w:val="Compact"/>
              <w:ind w:firstLine="0"/>
            </w:pPr>
            <w:r>
              <w:t>Bioburden limits; special-region avoidance; contamination monitoring for Category III+ missions</w:t>
            </w:r>
          </w:p>
        </w:tc>
        <w:tc>
          <w:tcPr>
            <w:tcW w:w="1971" w:type="dxa"/>
          </w:tcPr>
          <w:p w14:paraId="1E5CC2D5" w14:textId="77777777" w:rsidR="002F36D3" w:rsidRDefault="00000000">
            <w:pPr>
              <w:pStyle w:val="Compact"/>
              <w:ind w:firstLine="0"/>
            </w:pPr>
            <w:r>
              <w:t>COSPAR Categories III-V</w:t>
            </w:r>
          </w:p>
        </w:tc>
        <w:tc>
          <w:tcPr>
            <w:tcW w:w="2565" w:type="dxa"/>
          </w:tcPr>
          <w:p w14:paraId="67AB394C" w14:textId="77777777" w:rsidR="002F36D3" w:rsidRDefault="00000000">
            <w:pPr>
              <w:pStyle w:val="Compact"/>
              <w:ind w:firstLine="0"/>
            </w:pPr>
            <w:r>
              <w:t>Antarctic Treaty precedent for preemptive environmental protection</w:t>
            </w:r>
          </w:p>
        </w:tc>
      </w:tr>
      <w:tr w:rsidR="002F36D3" w14:paraId="6B9A6883" w14:textId="77777777">
        <w:tc>
          <w:tcPr>
            <w:tcW w:w="1710" w:type="dxa"/>
          </w:tcPr>
          <w:p w14:paraId="6402DA7A" w14:textId="77777777" w:rsidR="002F36D3" w:rsidRDefault="00000000">
            <w:pPr>
              <w:pStyle w:val="Compact"/>
              <w:ind w:firstLine="0"/>
            </w:pPr>
            <w:r>
              <w:rPr>
                <w:b/>
                <w:bCs/>
              </w:rPr>
              <w:t>Spectrum Discipline</w:t>
            </w:r>
          </w:p>
        </w:tc>
        <w:tc>
          <w:tcPr>
            <w:tcW w:w="3330" w:type="dxa"/>
          </w:tcPr>
          <w:p w14:paraId="5C8477AD" w14:textId="77777777" w:rsidR="002F36D3" w:rsidRDefault="00000000">
            <w:pPr>
              <w:pStyle w:val="Compact"/>
              <w:ind w:firstLine="0"/>
            </w:pPr>
            <w:r>
              <w:t>For lunar farside operations, compliance with ITU-R RA.479 transmission restrictions; coordination filing 7+ years before activation</w:t>
            </w:r>
          </w:p>
        </w:tc>
        <w:tc>
          <w:tcPr>
            <w:tcW w:w="1971" w:type="dxa"/>
          </w:tcPr>
          <w:p w14:paraId="60EFFD44" w14:textId="77777777" w:rsidR="002F36D3" w:rsidRDefault="00000000">
            <w:pPr>
              <w:pStyle w:val="Compact"/>
              <w:ind w:firstLine="0"/>
            </w:pPr>
            <w:r>
              <w:t>ITU-R Recommendation RA.479</w:t>
            </w:r>
          </w:p>
        </w:tc>
        <w:tc>
          <w:tcPr>
            <w:tcW w:w="2565" w:type="dxa"/>
          </w:tcPr>
          <w:p w14:paraId="71D3F63D" w14:textId="77777777" w:rsidR="002F36D3" w:rsidRDefault="00000000">
            <w:pPr>
              <w:pStyle w:val="Compact"/>
              <w:ind w:firstLine="0"/>
            </w:pPr>
            <w:r>
              <w:t>ITU advance filing requirements for GEO slots</w:t>
            </w:r>
          </w:p>
        </w:tc>
      </w:tr>
      <w:tr w:rsidR="002F36D3" w14:paraId="2A16C553" w14:textId="77777777">
        <w:tc>
          <w:tcPr>
            <w:tcW w:w="1710" w:type="dxa"/>
          </w:tcPr>
          <w:p w14:paraId="1DA8483A" w14:textId="77777777" w:rsidR="002F36D3" w:rsidRDefault="00000000">
            <w:pPr>
              <w:pStyle w:val="Compact"/>
              <w:ind w:firstLine="0"/>
            </w:pPr>
            <w:r>
              <w:rPr>
                <w:b/>
                <w:bCs/>
              </w:rPr>
              <w:t>Data Sharing</w:t>
            </w:r>
          </w:p>
        </w:tc>
        <w:tc>
          <w:tcPr>
            <w:tcW w:w="3330" w:type="dxa"/>
          </w:tcPr>
          <w:p w14:paraId="5BE79C6E" w14:textId="77777777" w:rsidR="002F36D3" w:rsidRDefault="00000000">
            <w:pPr>
              <w:pStyle w:val="Compact"/>
              <w:ind w:firstLine="0"/>
            </w:pPr>
            <w:r>
              <w:t>Space Situational Awareness (SSA) data contribution to multilateral tracking systems; conjunction warning responsiveness</w:t>
            </w:r>
          </w:p>
        </w:tc>
        <w:tc>
          <w:tcPr>
            <w:tcW w:w="1971" w:type="dxa"/>
          </w:tcPr>
          <w:p w14:paraId="5F690D1D" w14:textId="77777777" w:rsidR="002F36D3" w:rsidRDefault="00000000">
            <w:pPr>
              <w:pStyle w:val="Compact"/>
              <w:ind w:firstLine="0"/>
            </w:pPr>
            <w:r>
              <w:t>COPUOS LTS Guidelines</w:t>
            </w:r>
          </w:p>
        </w:tc>
        <w:tc>
          <w:tcPr>
            <w:tcW w:w="2565" w:type="dxa"/>
          </w:tcPr>
          <w:p w14:paraId="5C28F39D" w14:textId="77777777" w:rsidR="002F36D3" w:rsidRDefault="00000000">
            <w:pPr>
              <w:pStyle w:val="Compact"/>
              <w:ind w:firstLine="0"/>
            </w:pPr>
            <w:r>
              <w:t>Space Data Association voluntary precedent</w:t>
            </w:r>
          </w:p>
        </w:tc>
      </w:tr>
      <w:tr w:rsidR="002F36D3" w14:paraId="16DA959D" w14:textId="77777777">
        <w:tc>
          <w:tcPr>
            <w:tcW w:w="1710" w:type="dxa"/>
          </w:tcPr>
          <w:p w14:paraId="469CBB39" w14:textId="77777777" w:rsidR="002F36D3" w:rsidRDefault="00000000">
            <w:pPr>
              <w:pStyle w:val="Compact"/>
              <w:ind w:firstLine="0"/>
            </w:pPr>
            <w:r>
              <w:rPr>
                <w:b/>
                <w:bCs/>
              </w:rPr>
              <w:t>Transparency</w:t>
            </w:r>
          </w:p>
        </w:tc>
        <w:tc>
          <w:tcPr>
            <w:tcW w:w="3330" w:type="dxa"/>
          </w:tcPr>
          <w:p w14:paraId="05C74AC9" w14:textId="77777777" w:rsidR="002F36D3" w:rsidRDefault="00000000">
            <w:pPr>
              <w:pStyle w:val="Compact"/>
              <w:ind w:firstLine="0"/>
            </w:pPr>
            <w:r>
              <w:t>Public mission registration 3+ years before launch; trajectory and operational parameter disclosure</w:t>
            </w:r>
          </w:p>
        </w:tc>
        <w:tc>
          <w:tcPr>
            <w:tcW w:w="1971" w:type="dxa"/>
          </w:tcPr>
          <w:p w14:paraId="498CA2A9" w14:textId="77777777" w:rsidR="002F36D3" w:rsidRDefault="00000000">
            <w:pPr>
              <w:pStyle w:val="Compact"/>
              <w:ind w:firstLine="0"/>
            </w:pPr>
            <w:r>
              <w:t>Article VIII OST / COPUOS</w:t>
            </w:r>
          </w:p>
        </w:tc>
        <w:tc>
          <w:tcPr>
            <w:tcW w:w="2565" w:type="dxa"/>
          </w:tcPr>
          <w:p w14:paraId="33491C97" w14:textId="77777777" w:rsidR="002F36D3" w:rsidRDefault="00000000">
            <w:pPr>
              <w:pStyle w:val="Compact"/>
              <w:ind w:firstLine="0"/>
            </w:pPr>
            <w:r>
              <w:t>UN Register of Objects Launched into Outer Space</w:t>
            </w:r>
          </w:p>
        </w:tc>
      </w:tr>
    </w:tbl>
    <w:p w14:paraId="5AAA69D2" w14:textId="77777777" w:rsidR="002F36D3" w:rsidRDefault="00000000" w:rsidP="009B628C">
      <w:pPr>
        <w:pStyle w:val="BodyText"/>
        <w:spacing w:line="240" w:lineRule="auto"/>
        <w:ind w:firstLine="0"/>
      </w:pPr>
      <w:r>
        <w:rPr>
          <w:i/>
          <w:iCs/>
        </w:rPr>
        <w:t>Note.</w:t>
      </w:r>
      <w:r>
        <w:t xml:space="preserve"> Passivation refers to depleting a spacecraft’s residual energy sources (fuel, batteries, pressurized vessels) after mission completion to prevent accidental explosions that generate debris. Bioburden is the quantity of viable microorganisms on a spacecraft, controlled to prevent biological contamination of celestial bodies.</w:t>
      </w:r>
    </w:p>
    <w:p w14:paraId="56AA898F" w14:textId="77777777" w:rsidR="002F36D3" w:rsidRDefault="00000000" w:rsidP="009B628C">
      <w:pPr>
        <w:pStyle w:val="BodyText"/>
        <w:spacing w:before="240"/>
      </w:pPr>
      <w:r>
        <w:t xml:space="preserve">The behavioral mechanism relies on status quo bias to make sustainable practices the path of least resistance. Operators who comply simply accept defaults, while operators who </w:t>
      </w:r>
      <w:r>
        <w:lastRenderedPageBreak/>
        <w:t>deviate must actively justify their choices, creating both cognitive friction and reputational exposure. The public opt-out log enables monitoring by civil society, insurers, and other operators, thereby activating social proof dynamics where visible compliance by leading operators pressures others toward conformity.</w:t>
      </w:r>
    </w:p>
    <w:p w14:paraId="676C1ED8" w14:textId="77777777" w:rsidR="002F36D3" w:rsidRDefault="00000000">
      <w:pPr>
        <w:pStyle w:val="BodyText"/>
      </w:pPr>
      <w:r>
        <w:t>To illustrate how this works in practice, consider a commercial operator planning a lunar communications relay mission. During the licensing process, national authorities would direct the operator to UNOOSA’s registry portal, where a registration form presents pre-selected compliance commitments: debris mitigation protocols, data sharing agreements, and planetary protection standards. The operator reviews each commitment. Finding them acceptable, the operator submits without changes, and the defaults become binding commitments documented in the public registry. Alternatively, if the operator wishes to decline data sharing due to proprietary concerns, the operator must provide written justification (“competitive sensitivity of orbital parameters; will share aggregated statistics quarterly”). This opt-out appears in the public log, visible to insurers adjusting premiums, investors assessing ESG profiles, and competitors benchmarking compliance. Over time, as major operators join and accept defaults, the registry creates social proof that sustainable practices are industry standard.</w:t>
      </w:r>
    </w:p>
    <w:p w14:paraId="39E833E3" w14:textId="77777777" w:rsidR="002F36D3" w:rsidRDefault="00000000">
      <w:pPr>
        <w:pStyle w:val="BodyText"/>
      </w:pPr>
      <w:r>
        <w:t>Evaluation employs difference-in-differences methodology exploiting staggered adoption, measuring disposal compliance, conjunction behavior, planetary protection deviations, and insurance premiums at one, three, and five years post-registration (detailed protocol in Online Appendix Section OA3).</w:t>
      </w:r>
    </w:p>
    <w:p w14:paraId="1C1B6921" w14:textId="77777777" w:rsidR="002F36D3" w:rsidRDefault="00000000">
      <w:pPr>
        <w:pStyle w:val="Heading3"/>
      </w:pPr>
      <w:bookmarkStart w:id="15" w:name="X36169f2fd2b8a7a4aeffbb3a16c5356f2d4df6f"/>
      <w:bookmarkEnd w:id="14"/>
      <w:r>
        <w:t>5.2 Instrument 2: Responsible Space Actor Reputational Index</w:t>
      </w:r>
    </w:p>
    <w:p w14:paraId="629CCC69" w14:textId="77777777" w:rsidR="002F36D3" w:rsidRDefault="00000000">
      <w:pPr>
        <w:pStyle w:val="FirstParagraph"/>
      </w:pPr>
      <w:r>
        <w:t xml:space="preserve">Public rankings shape investment decisions, contracting outcomes, and talent flows when reputational stakes are high, a pattern documented extensively in corporate reputation research </w:t>
      </w:r>
      <w:r>
        <w:lastRenderedPageBreak/>
        <w:t>(</w:t>
      </w:r>
      <w:hyperlink w:anchor="ref-fombrun1990">
        <w:r w:rsidR="002F36D3">
          <w:rPr>
            <w:rStyle w:val="Hyperlink"/>
          </w:rPr>
          <w:t>Fombrun and Shanley, 1990</w:t>
        </w:r>
      </w:hyperlink>
      <w:r>
        <w:t>) and behavioral economics (</w:t>
      </w:r>
      <w:hyperlink w:anchor="ref-cialdini2001">
        <w:r w:rsidR="002F36D3">
          <w:rPr>
            <w:rStyle w:val="Hyperlink"/>
          </w:rPr>
          <w:t>Cialdini, 2001</w:t>
        </w:r>
      </w:hyperlink>
      <w:r>
        <w:t>). Visibility creates social proof effects where highly-ranked actors attract resources while poorly-ranked actors face constraints, generating compliance incentives independent of formal enforcement. The Space Sustainability Rating demonstrates that mission-level scoring can operate in this domain (</w:t>
      </w:r>
      <w:hyperlink w:anchor="ref-wef2026">
        <w:r w:rsidR="002F36D3">
          <w:rPr>
            <w:rStyle w:val="Hyperlink"/>
          </w:rPr>
          <w:t>World Economic Forum, 2026</w:t>
        </w:r>
      </w:hyperlink>
      <w:r>
        <w:t>); an operator-level index aggregating compliance behavior across missions would extend this logic to create stronger reputational incentives.</w:t>
      </w:r>
    </w:p>
    <w:p w14:paraId="345AC58A" w14:textId="77777777" w:rsidR="002F36D3" w:rsidRDefault="00000000">
      <w:pPr>
        <w:pStyle w:val="BodyText"/>
      </w:pPr>
      <w:r>
        <w:t>A Responsible Space Actor Reputational Index could be administered by a multi-stakeholder body (potentially convened by the Space Safety Coalition with UNOOSA participation) ensuring independence from individual national or commercial interests. Such an index could publish periodic scores based on four categories: debris compliance (disposal success, passivation, collision avoidance responsiveness), spectrum discipline (coordination compliance, interference incidents), planetary protection (COSPAR requirement adherence, waiver patterns), and transparency (voluntary disclosure, space situational awareness [SSA] data sharing, conjunction response time). Scoring could use publicly available records supplemented by verified operator disclosures, with methodology published transparently and subject to independent audit.</w:t>
      </w:r>
    </w:p>
    <w:p w14:paraId="19592078" w14:textId="77777777" w:rsidR="002F36D3" w:rsidRDefault="00000000">
      <w:pPr>
        <w:pStyle w:val="BodyText"/>
      </w:pPr>
      <w:r>
        <w:t>The behavioral mechanism leverages social proof (highly-rated actors set compliance norms), status competition (operators compete for ranking positions), and economic incentives (ratings affect insurance pricing, investment, and procurement decisions). The combination of visibility and consequential outcomes creates stronger compliance pressure than any single mechanism alone.</w:t>
      </w:r>
    </w:p>
    <w:p w14:paraId="0B3F4D33" w14:textId="77777777" w:rsidR="002F36D3" w:rsidRDefault="00000000">
      <w:pPr>
        <w:pStyle w:val="BodyText"/>
      </w:pPr>
      <w:r>
        <w:t xml:space="preserve">In practical operation, consider an operator receiving notification that its quarterly score has dropped from 78 to 65 following a conjunction incident where the operator failed to respond </w:t>
      </w:r>
      <w:r>
        <w:lastRenderedPageBreak/>
        <w:t>promptly to collision warnings. The score change appears in the public index; industry media covers the downgrade. Within days, the operator’s insurance broker contacts them regarding premium implications for the upcoming renewal cycle. A venture capital firm considering follow-on investment requests an explanation. The operator’s management, motivated by these tangible consequences, implements improved conjunction response protocols and demonstrates the improvements to the rating body. At the next quarterly update, the score recovers. The mechanism works not because the rating body has enforcement authority, but because the rating makes compliance visible in ways that matter to actors the operator depends upon.</w:t>
      </w:r>
    </w:p>
    <w:p w14:paraId="16815A72" w14:textId="77777777" w:rsidR="002F36D3" w:rsidRDefault="00000000">
      <w:pPr>
        <w:pStyle w:val="BodyText"/>
      </w:pPr>
      <w:r>
        <w:t>Evaluation employs event study methodology examining firm responses to quarterly releases, comparing operators with score changes to identify rating effects on funding, insurance, procurement, and media sentiment (detailed protocol in Online Appendix Section OA4).</w:t>
      </w:r>
    </w:p>
    <w:p w14:paraId="7B7794BD" w14:textId="77777777" w:rsidR="002F36D3" w:rsidRDefault="00000000">
      <w:pPr>
        <w:pStyle w:val="Heading3"/>
      </w:pPr>
      <w:bookmarkStart w:id="16" w:name="Xf11dd852261d82896de5e13a95a0239a4debe79"/>
      <w:bookmarkEnd w:id="15"/>
      <w:r>
        <w:t>5.3 Instrument 3: Loss-Framed Designation of Sites of Extraordinary Scientific Importance</w:t>
      </w:r>
    </w:p>
    <w:p w14:paraId="359201E2" w14:textId="77777777" w:rsidR="002F36D3" w:rsidRDefault="00000000">
      <w:pPr>
        <w:pStyle w:val="FirstParagraph"/>
      </w:pPr>
      <w:r>
        <w:t>Prospect theory demonstrates that loss frames carry substantially greater psychological weight than equivalent gain frames, with losses typically weighted approximately 1.5-2.5 times more heavily than gains of the same magnitude (</w:t>
      </w:r>
      <w:hyperlink w:anchor="ref-kahneman1979">
        <w:r w:rsidR="002F36D3">
          <w:rPr>
            <w:rStyle w:val="Hyperlink"/>
          </w:rPr>
          <w:t>Kahneman and Tversky, 1979</w:t>
        </w:r>
      </w:hyperlink>
      <w:r>
        <w:t xml:space="preserve">; </w:t>
      </w:r>
      <w:hyperlink w:anchor="ref-tversky1992">
        <w:r w:rsidR="002F36D3">
          <w:rPr>
            <w:rStyle w:val="Hyperlink"/>
          </w:rPr>
          <w:t>Tversky and Kahneman, 1992</w:t>
        </w:r>
      </w:hyperlink>
      <w:r>
        <w:t>). Systematic reviews of environmental messaging find that loss-framed appeals generate stronger pro-environmental behavioral responses than gain-framed alternatives, particularly for behavioral intentions and actual behavior (</w:t>
      </w:r>
      <w:hyperlink w:anchor="ref-homar2021">
        <w:r w:rsidR="002F36D3">
          <w:rPr>
            <w:rStyle w:val="Hyperlink"/>
          </w:rPr>
          <w:t>Homar and Cvelbar, 2021</w:t>
        </w:r>
      </w:hyperlink>
      <w:r>
        <w:t>). Framing shapes not only individual decisions but also policy acceptance and institutional design (</w:t>
      </w:r>
      <w:hyperlink w:anchor="ref-tversky1981">
        <w:r w:rsidR="002F36D3">
          <w:rPr>
            <w:rStyle w:val="Hyperlink"/>
          </w:rPr>
          <w:t>Tversky and Kahneman, 1981</w:t>
        </w:r>
      </w:hyperlink>
      <w:r>
        <w:t>).</w:t>
      </w:r>
    </w:p>
    <w:p w14:paraId="3D5F123E" w14:textId="77777777" w:rsidR="002F36D3" w:rsidRDefault="00000000">
      <w:pPr>
        <w:pStyle w:val="BodyText"/>
      </w:pPr>
      <w:r>
        <w:t xml:space="preserve">A multilateral working group (potentially including COPUOS, COSPAR, ITU Radiocommunication Sector, and IAU participation) could pre-designate a limited set of sites as having “extraordinary scientific importance,” building on existing scientific protection </w:t>
      </w:r>
      <w:r>
        <w:lastRenderedPageBreak/>
        <w:t>frameworks including ITU radio quiet zones and COSPAR special regions for Mars and ocean worlds (</w:t>
      </w:r>
      <w:hyperlink w:anchor="ref-cospar2020">
        <w:r w:rsidR="002F36D3">
          <w:rPr>
            <w:rStyle w:val="Hyperlink"/>
          </w:rPr>
          <w:t>COSPAR, 2020</w:t>
        </w:r>
      </w:hyperlink>
      <w:r>
        <w:t xml:space="preserve">; </w:t>
      </w:r>
      <w:hyperlink w:anchor="ref-itur2022">
        <w:r w:rsidR="002F36D3">
          <w:rPr>
            <w:rStyle w:val="Hyperlink"/>
          </w:rPr>
          <w:t>ITU-R, 2022</w:t>
        </w:r>
      </w:hyperlink>
      <w:r>
        <w:t>). Effective designation would emphasize irreversibility, that is, the permanent foreclosure of scientific opportunities, framed in concrete terms that activate loss aversion. Table 3 specifies five initial site categories with their scientific rationale and proposed loss-framing language, drawn from existing protection frameworks.</w:t>
      </w:r>
    </w:p>
    <w:p w14:paraId="034BB7E2" w14:textId="77777777" w:rsidR="002F36D3" w:rsidRDefault="00000000">
      <w:pPr>
        <w:pStyle w:val="BodyText"/>
        <w:ind w:firstLine="0"/>
        <w:jc w:val="center"/>
      </w:pPr>
      <w:r>
        <w:rPr>
          <w:b/>
          <w:bCs/>
        </w:rPr>
        <w:t>Table 3. Proposed Initial Site Designations (Expanded)</w:t>
      </w:r>
    </w:p>
    <w:tbl>
      <w:tblPr>
        <w:tblStyle w:val="Table"/>
        <w:tblW w:w="5000" w:type="pct"/>
        <w:tblInd w:w="108" w:type="dxa"/>
        <w:tblLayout w:type="fixed"/>
        <w:tblLook w:val="0020" w:firstRow="1" w:lastRow="0" w:firstColumn="0" w:lastColumn="0" w:noHBand="0" w:noVBand="0"/>
      </w:tblPr>
      <w:tblGrid>
        <w:gridCol w:w="1170"/>
        <w:gridCol w:w="1350"/>
        <w:gridCol w:w="2790"/>
        <w:gridCol w:w="2970"/>
        <w:gridCol w:w="1296"/>
      </w:tblGrid>
      <w:tr w:rsidR="002F36D3" w14:paraId="383F2F76" w14:textId="77777777" w:rsidTr="009B628C">
        <w:trPr>
          <w:tblHeader/>
        </w:trPr>
        <w:tc>
          <w:tcPr>
            <w:tcW w:w="1170" w:type="dxa"/>
          </w:tcPr>
          <w:p w14:paraId="0ADA0709" w14:textId="77777777" w:rsidR="002F36D3" w:rsidRDefault="00000000">
            <w:pPr>
              <w:pStyle w:val="Compact"/>
              <w:ind w:firstLine="0"/>
            </w:pPr>
            <w:r>
              <w:t>Site Category</w:t>
            </w:r>
          </w:p>
        </w:tc>
        <w:tc>
          <w:tcPr>
            <w:tcW w:w="1350" w:type="dxa"/>
          </w:tcPr>
          <w:p w14:paraId="694CA502" w14:textId="77777777" w:rsidR="002F36D3" w:rsidRDefault="00000000">
            <w:pPr>
              <w:pStyle w:val="Compact"/>
              <w:ind w:firstLine="0"/>
            </w:pPr>
            <w:r>
              <w:t>Specific Examples</w:t>
            </w:r>
          </w:p>
        </w:tc>
        <w:tc>
          <w:tcPr>
            <w:tcW w:w="2790" w:type="dxa"/>
          </w:tcPr>
          <w:p w14:paraId="3C632C29" w14:textId="77777777" w:rsidR="002F36D3" w:rsidRDefault="00000000">
            <w:pPr>
              <w:pStyle w:val="Compact"/>
              <w:ind w:firstLine="0"/>
            </w:pPr>
            <w:r>
              <w:t>Scientific Rationale</w:t>
            </w:r>
          </w:p>
        </w:tc>
        <w:tc>
          <w:tcPr>
            <w:tcW w:w="2970" w:type="dxa"/>
          </w:tcPr>
          <w:p w14:paraId="43A207C5" w14:textId="77777777" w:rsidR="002F36D3" w:rsidRDefault="00000000">
            <w:pPr>
              <w:pStyle w:val="Compact"/>
              <w:ind w:firstLine="0"/>
            </w:pPr>
            <w:r>
              <w:t>Loss Framing Language</w:t>
            </w:r>
          </w:p>
        </w:tc>
        <w:tc>
          <w:tcPr>
            <w:tcW w:w="1296" w:type="dxa"/>
          </w:tcPr>
          <w:p w14:paraId="3A10F977" w14:textId="77777777" w:rsidR="002F36D3" w:rsidRDefault="00000000">
            <w:pPr>
              <w:pStyle w:val="Compact"/>
              <w:ind w:firstLine="0"/>
            </w:pPr>
            <w:r>
              <w:t>Precedent</w:t>
            </w:r>
          </w:p>
        </w:tc>
      </w:tr>
      <w:tr w:rsidR="002F36D3" w14:paraId="244495B0" w14:textId="77777777" w:rsidTr="009B628C">
        <w:tc>
          <w:tcPr>
            <w:tcW w:w="1170" w:type="dxa"/>
          </w:tcPr>
          <w:p w14:paraId="6B0C848D" w14:textId="77777777" w:rsidR="002F36D3" w:rsidRDefault="00000000">
            <w:pPr>
              <w:pStyle w:val="Compact"/>
              <w:ind w:firstLine="0"/>
            </w:pPr>
            <w:r>
              <w:rPr>
                <w:b/>
                <w:bCs/>
              </w:rPr>
              <w:t>Lunar Farside Radio-Quiet Zones</w:t>
            </w:r>
          </w:p>
        </w:tc>
        <w:tc>
          <w:tcPr>
            <w:tcW w:w="1350" w:type="dxa"/>
          </w:tcPr>
          <w:p w14:paraId="5A460863" w14:textId="77777777" w:rsidR="002F36D3" w:rsidRDefault="00000000">
            <w:pPr>
              <w:pStyle w:val="Compact"/>
              <w:ind w:firstLine="0"/>
            </w:pPr>
            <w:r>
              <w:t>ITU-R RA.479 protected regions; Daedalus Crater</w:t>
            </w:r>
          </w:p>
        </w:tc>
        <w:tc>
          <w:tcPr>
            <w:tcW w:w="2790" w:type="dxa"/>
          </w:tcPr>
          <w:p w14:paraId="4BBC9ED9" w14:textId="77777777" w:rsidR="002F36D3" w:rsidRDefault="00000000">
            <w:pPr>
              <w:pStyle w:val="Compact"/>
              <w:ind w:firstLine="0"/>
            </w:pPr>
            <w:r>
              <w:t>Uniquely radio-silent environment enabling observations of cosmic dawn, dark ages impossible anywhere on Earth or in cis-lunar space</w:t>
            </w:r>
          </w:p>
        </w:tc>
        <w:tc>
          <w:tcPr>
            <w:tcW w:w="2970" w:type="dxa"/>
          </w:tcPr>
          <w:p w14:paraId="1E26BF5B" w14:textId="77777777" w:rsidR="002F36D3" w:rsidRDefault="00000000">
            <w:pPr>
              <w:pStyle w:val="Compact"/>
              <w:ind w:firstLine="0"/>
            </w:pPr>
            <w:r>
              <w:t>“Irreversible loss of humanity’s only radio-silent observatory, with observations impossible to recover once transmissions begin”</w:t>
            </w:r>
          </w:p>
        </w:tc>
        <w:tc>
          <w:tcPr>
            <w:tcW w:w="1296" w:type="dxa"/>
          </w:tcPr>
          <w:p w14:paraId="4F87B556" w14:textId="77777777" w:rsidR="002F36D3" w:rsidRDefault="00000000">
            <w:pPr>
              <w:pStyle w:val="Compact"/>
              <w:ind w:firstLine="0"/>
            </w:pPr>
            <w:r>
              <w:t>ITU radio astronomy protection zones</w:t>
            </w:r>
          </w:p>
        </w:tc>
      </w:tr>
      <w:tr w:rsidR="002F36D3" w14:paraId="0C65D8F4" w14:textId="77777777" w:rsidTr="009B628C">
        <w:tc>
          <w:tcPr>
            <w:tcW w:w="1170" w:type="dxa"/>
          </w:tcPr>
          <w:p w14:paraId="762F348F" w14:textId="77777777" w:rsidR="002F36D3" w:rsidRDefault="00000000">
            <w:pPr>
              <w:pStyle w:val="Compact"/>
              <w:ind w:firstLine="0"/>
            </w:pPr>
            <w:r>
              <w:rPr>
                <w:b/>
                <w:bCs/>
              </w:rPr>
              <w:t>Mars Special Regions</w:t>
            </w:r>
          </w:p>
        </w:tc>
        <w:tc>
          <w:tcPr>
            <w:tcW w:w="1350" w:type="dxa"/>
          </w:tcPr>
          <w:p w14:paraId="0C0057ED" w14:textId="77777777" w:rsidR="002F36D3" w:rsidRDefault="00000000">
            <w:pPr>
              <w:pStyle w:val="Compact"/>
              <w:ind w:firstLine="0"/>
            </w:pPr>
            <w:r>
              <w:t>Recurring Slope Lineae; subsurface aquifers; Jezero Crater</w:t>
            </w:r>
          </w:p>
        </w:tc>
        <w:tc>
          <w:tcPr>
            <w:tcW w:w="2790" w:type="dxa"/>
          </w:tcPr>
          <w:p w14:paraId="0439C9E3" w14:textId="77777777" w:rsidR="002F36D3" w:rsidRDefault="00000000">
            <w:pPr>
              <w:pStyle w:val="Compact"/>
              <w:ind w:firstLine="0"/>
            </w:pPr>
            <w:r>
              <w:t>Environments where terrestrial contamination could permanently foreclose answering astrobiology’s central question</w:t>
            </w:r>
          </w:p>
        </w:tc>
        <w:tc>
          <w:tcPr>
            <w:tcW w:w="2970" w:type="dxa"/>
          </w:tcPr>
          <w:p w14:paraId="3802B214" w14:textId="77777777" w:rsidR="002F36D3" w:rsidRDefault="00000000">
            <w:pPr>
              <w:pStyle w:val="Compact"/>
              <w:ind w:firstLine="0"/>
            </w:pPr>
            <w:r>
              <w:t>“Forever preventing discovery of whether life exists beyond Earth, the most consequential scientific question humans can ask”</w:t>
            </w:r>
          </w:p>
        </w:tc>
        <w:tc>
          <w:tcPr>
            <w:tcW w:w="1296" w:type="dxa"/>
          </w:tcPr>
          <w:p w14:paraId="5A766DF9" w14:textId="77777777" w:rsidR="002F36D3" w:rsidRDefault="00000000">
            <w:pPr>
              <w:pStyle w:val="Compact"/>
              <w:ind w:firstLine="0"/>
            </w:pPr>
            <w:r>
              <w:t>COSPAR Category IV/V protections</w:t>
            </w:r>
          </w:p>
        </w:tc>
      </w:tr>
      <w:tr w:rsidR="002F36D3" w14:paraId="0959C74F" w14:textId="77777777" w:rsidTr="009B628C">
        <w:tc>
          <w:tcPr>
            <w:tcW w:w="1170" w:type="dxa"/>
          </w:tcPr>
          <w:p w14:paraId="3A40C6E8" w14:textId="77777777" w:rsidR="002F36D3" w:rsidRDefault="00000000">
            <w:pPr>
              <w:pStyle w:val="Compact"/>
              <w:ind w:firstLine="0"/>
            </w:pPr>
            <w:r>
              <w:rPr>
                <w:b/>
                <w:bCs/>
              </w:rPr>
              <w:t>Lunar PSR Ice Deposits</w:t>
            </w:r>
          </w:p>
        </w:tc>
        <w:tc>
          <w:tcPr>
            <w:tcW w:w="1350" w:type="dxa"/>
          </w:tcPr>
          <w:p w14:paraId="621B89F2" w14:textId="77777777" w:rsidR="002F36D3" w:rsidRDefault="00000000">
            <w:pPr>
              <w:pStyle w:val="Compact"/>
              <w:ind w:firstLine="0"/>
            </w:pPr>
            <w:r>
              <w:t>Shackleton Crater; Cabeus Crater (LCROSS impact site)</w:t>
            </w:r>
          </w:p>
        </w:tc>
        <w:tc>
          <w:tcPr>
            <w:tcW w:w="2790" w:type="dxa"/>
          </w:tcPr>
          <w:p w14:paraId="5587F6AF" w14:textId="77777777" w:rsidR="002F36D3" w:rsidRDefault="00000000">
            <w:pPr>
              <w:pStyle w:val="Compact"/>
              <w:ind w:firstLine="0"/>
            </w:pPr>
            <w:r>
              <w:t>Volatile deposits recording 4 billion years of solar system history, destroyed by thermal disturbance from operations</w:t>
            </w:r>
          </w:p>
        </w:tc>
        <w:tc>
          <w:tcPr>
            <w:tcW w:w="2970" w:type="dxa"/>
          </w:tcPr>
          <w:p w14:paraId="5C0F7562" w14:textId="77777777" w:rsidR="002F36D3" w:rsidRDefault="00000000">
            <w:pPr>
              <w:pStyle w:val="Compact"/>
              <w:ind w:firstLine="0"/>
            </w:pPr>
            <w:r>
              <w:t>“Destroying the only preserved record of early solar system conditions, a library that took billions of years to accumulate”</w:t>
            </w:r>
          </w:p>
        </w:tc>
        <w:tc>
          <w:tcPr>
            <w:tcW w:w="1296" w:type="dxa"/>
          </w:tcPr>
          <w:p w14:paraId="58171A53" w14:textId="77777777" w:rsidR="002F36D3" w:rsidRDefault="00000000">
            <w:pPr>
              <w:pStyle w:val="Compact"/>
              <w:ind w:firstLine="0"/>
            </w:pPr>
            <w:r>
              <w:t>Antarctic ice core protection protocols</w:t>
            </w:r>
          </w:p>
        </w:tc>
      </w:tr>
      <w:tr w:rsidR="002F36D3" w14:paraId="2A8DDB1E" w14:textId="77777777" w:rsidTr="009B628C">
        <w:tc>
          <w:tcPr>
            <w:tcW w:w="1170" w:type="dxa"/>
          </w:tcPr>
          <w:p w14:paraId="543FDD6B" w14:textId="77777777" w:rsidR="002F36D3" w:rsidRDefault="00000000">
            <w:pPr>
              <w:pStyle w:val="Compact"/>
              <w:ind w:firstLine="0"/>
            </w:pPr>
            <w:r>
              <w:rPr>
                <w:b/>
                <w:bCs/>
              </w:rPr>
              <w:t>Apollo/Luna Heritage Sites</w:t>
            </w:r>
          </w:p>
        </w:tc>
        <w:tc>
          <w:tcPr>
            <w:tcW w:w="1350" w:type="dxa"/>
          </w:tcPr>
          <w:p w14:paraId="311E22CB" w14:textId="77777777" w:rsidR="002F36D3" w:rsidRDefault="00000000">
            <w:pPr>
              <w:pStyle w:val="Compact"/>
              <w:ind w:firstLine="0"/>
            </w:pPr>
            <w:r>
              <w:t>Tranquility Base; Luna 2 impact site</w:t>
            </w:r>
          </w:p>
        </w:tc>
        <w:tc>
          <w:tcPr>
            <w:tcW w:w="2790" w:type="dxa"/>
          </w:tcPr>
          <w:p w14:paraId="6C29A62D" w14:textId="77777777" w:rsidR="002F36D3" w:rsidRDefault="00000000">
            <w:pPr>
              <w:pStyle w:val="Compact"/>
              <w:ind w:firstLine="0"/>
            </w:pPr>
            <w:r>
              <w:t>Cultural heritage and scientific calibration baselines documenting early lunar exploration</w:t>
            </w:r>
          </w:p>
        </w:tc>
        <w:tc>
          <w:tcPr>
            <w:tcW w:w="2970" w:type="dxa"/>
          </w:tcPr>
          <w:p w14:paraId="14D903C9" w14:textId="77777777" w:rsidR="002F36D3" w:rsidRDefault="00000000">
            <w:pPr>
              <w:pStyle w:val="Compact"/>
              <w:ind w:firstLine="0"/>
            </w:pPr>
            <w:r>
              <w:t>“Erasing humanity’s first footsteps beyond Earth, cultural heritage belonging to all humanity”</w:t>
            </w:r>
          </w:p>
        </w:tc>
        <w:tc>
          <w:tcPr>
            <w:tcW w:w="1296" w:type="dxa"/>
          </w:tcPr>
          <w:p w14:paraId="6472FE2C" w14:textId="77777777" w:rsidR="002F36D3" w:rsidRDefault="00000000">
            <w:pPr>
              <w:pStyle w:val="Compact"/>
              <w:ind w:firstLine="0"/>
            </w:pPr>
            <w:r>
              <w:t>UNESCO World Heritage precedents</w:t>
            </w:r>
          </w:p>
        </w:tc>
      </w:tr>
      <w:tr w:rsidR="002F36D3" w14:paraId="10D1F49B" w14:textId="77777777" w:rsidTr="009B628C">
        <w:tc>
          <w:tcPr>
            <w:tcW w:w="1170" w:type="dxa"/>
          </w:tcPr>
          <w:p w14:paraId="1F1BCE6A" w14:textId="77777777" w:rsidR="002F36D3" w:rsidRDefault="00000000">
            <w:pPr>
              <w:pStyle w:val="Compact"/>
              <w:ind w:firstLine="0"/>
            </w:pPr>
            <w:r>
              <w:rPr>
                <w:b/>
                <w:bCs/>
              </w:rPr>
              <w:t>Lunar Lava Tubes</w:t>
            </w:r>
          </w:p>
        </w:tc>
        <w:tc>
          <w:tcPr>
            <w:tcW w:w="1350" w:type="dxa"/>
          </w:tcPr>
          <w:p w14:paraId="08CA7B0C" w14:textId="77777777" w:rsidR="002F36D3" w:rsidRDefault="00000000">
            <w:pPr>
              <w:pStyle w:val="Compact"/>
              <w:ind w:firstLine="0"/>
            </w:pPr>
            <w:r>
              <w:t>Marius Hills; Mare Tranquillitatis pits</w:t>
            </w:r>
          </w:p>
        </w:tc>
        <w:tc>
          <w:tcPr>
            <w:tcW w:w="2790" w:type="dxa"/>
          </w:tcPr>
          <w:p w14:paraId="5ADF3A39" w14:textId="77777777" w:rsidR="002F36D3" w:rsidRDefault="00000000">
            <w:pPr>
              <w:pStyle w:val="Compact"/>
              <w:ind w:firstLine="0"/>
            </w:pPr>
            <w:r>
              <w:t>Pristine geological records and potential astrobiology sites; subsurface environments shielded from radiation</w:t>
            </w:r>
          </w:p>
        </w:tc>
        <w:tc>
          <w:tcPr>
            <w:tcW w:w="2970" w:type="dxa"/>
          </w:tcPr>
          <w:p w14:paraId="40C985C2" w14:textId="77777777" w:rsidR="002F36D3" w:rsidRDefault="00000000">
            <w:pPr>
              <w:pStyle w:val="Compact"/>
              <w:ind w:firstLine="0"/>
            </w:pPr>
            <w:r>
              <w:t>“Contaminating sealed environments before their scientific potential can be assessed”</w:t>
            </w:r>
          </w:p>
        </w:tc>
        <w:tc>
          <w:tcPr>
            <w:tcW w:w="1296" w:type="dxa"/>
          </w:tcPr>
          <w:p w14:paraId="0E1D3048" w14:textId="77777777" w:rsidR="002F36D3" w:rsidRDefault="00000000">
            <w:pPr>
              <w:pStyle w:val="Compact"/>
              <w:ind w:firstLine="0"/>
            </w:pPr>
            <w:r>
              <w:t>Cave protection regimes (terrestrial)</w:t>
            </w:r>
          </w:p>
        </w:tc>
      </w:tr>
    </w:tbl>
    <w:p w14:paraId="61A1857F" w14:textId="77777777" w:rsidR="002F36D3" w:rsidRDefault="00000000" w:rsidP="009B628C">
      <w:pPr>
        <w:pStyle w:val="BodyText"/>
        <w:spacing w:before="240"/>
      </w:pPr>
      <w:r>
        <w:t xml:space="preserve">The designation could employ a traffic-light system scaling review intensity to scientific risk, where green status indicates standard procedures are adequate, yellow status requires </w:t>
      </w:r>
      <w:r>
        <w:lastRenderedPageBreak/>
        <w:t>enhanced review, and red status creates a presumption against activity absent compelling justification and independent scientific review. Public communications would emphasize irreversibility and time sensitivity through accessible visualizations and scientific narratives, activating loss aversion among publics, policymakers, and operators. The behavioral mechanism combines loss aversion (framing degradation as irreversible loss) with social proof (designated status signals that protective behavior is normatively expected) and identity appeals (linking protection to humanity’s collective long-term interests).</w:t>
      </w:r>
    </w:p>
    <w:p w14:paraId="0C8B32E7" w14:textId="77777777" w:rsidR="002F36D3" w:rsidRDefault="00000000">
      <w:pPr>
        <w:pStyle w:val="BodyText"/>
      </w:pPr>
      <w:r>
        <w:t>To illustrate the practical operation, consider a commercial operator planning a communications relay satellite in lunar orbit. During mission design, the operator would receive notification that proposed orbital parameters could create radio interference with a designated heritage site: the Farside radio-quiet zone. The operator consults the public designation registry, which describes the zone not as “scientifically important” but as “irreplaceable for observations of the cosmic dark ages, a window to the universe’s first billion years that exists nowhere else and, once closed by interference, cannot be reopened.” Facing this loss-framed description, the operator has options. Adjusting orbital parameters to avoid interference imposes modest engineering costs but avoids reputational risk. Proceeding despite the designation is legally permissible but invites public criticism, investor concerns about ESG alignment, and enhanced regulatory scrutiny from national licensing authorities who factor heritage site impacts into their decisions. Most operators, facing this choice architecture, adjust their plans because defending the degradation of an irreplaceable scientific resource would impose reputational costs exceeding the engineering adjustments required.</w:t>
      </w:r>
    </w:p>
    <w:p w14:paraId="532C929F" w14:textId="77777777" w:rsidR="002F36D3" w:rsidRDefault="00000000">
      <w:pPr>
        <w:pStyle w:val="BodyText"/>
      </w:pPr>
      <w:r>
        <w:t xml:space="preserve">Evaluation employs synthetic control methodology, comparing each designated site to counterfactuals constructed from non-designated comparable sites, tracking interference </w:t>
      </w:r>
      <w:r>
        <w:lastRenderedPageBreak/>
        <w:t>incidents, waiver requests, and preservation outcomes over extended observation periods (detailed protocol in Online Appendix Section OA5).</w:t>
      </w:r>
    </w:p>
    <w:p w14:paraId="7001BB45" w14:textId="77777777" w:rsidR="002F36D3" w:rsidRDefault="00000000">
      <w:pPr>
        <w:pStyle w:val="Heading3"/>
      </w:pPr>
      <w:bookmarkStart w:id="17" w:name="X6b99d5aa2a98fc709e43b24e1c500994f151bc4"/>
      <w:bookmarkEnd w:id="16"/>
      <w:r>
        <w:t>5.4 Instrument 4: Time-Bounded Safety Zones with Transparency Guardrails</w:t>
      </w:r>
    </w:p>
    <w:p w14:paraId="0D7A3A49" w14:textId="77777777" w:rsidR="002F36D3" w:rsidRDefault="00000000">
      <w:pPr>
        <w:pStyle w:val="FirstParagraph"/>
      </w:pPr>
      <w:r>
        <w:t>Reciprocity norms support cooperation when observability is high and when commitments are mutual, patterns extensively documented in experimental and field research (</w:t>
      </w:r>
      <w:hyperlink w:anchor="ref-axelrod1984">
        <w:r w:rsidR="002F36D3">
          <w:rPr>
            <w:rStyle w:val="Hyperlink"/>
          </w:rPr>
          <w:t>Axelrod, 1984</w:t>
        </w:r>
      </w:hyperlink>
      <w:r>
        <w:t xml:space="preserve">; </w:t>
      </w:r>
      <w:hyperlink w:anchor="ref-ostrom2010">
        <w:r w:rsidR="002F36D3">
          <w:rPr>
            <w:rStyle w:val="Hyperlink"/>
          </w:rPr>
          <w:t>Ostrom, 2010</w:t>
        </w:r>
      </w:hyperlink>
      <w:r>
        <w:t>). Sunset clauses (mandatory expiration dates requiring active renewal) reduce resistance to coordination agreements by limiting time horizons, addressing concerns about permanent constraints while enabling cooperation over defined periods (</w:t>
      </w:r>
      <w:hyperlink w:anchor="ref-ranchordas2015">
        <w:r w:rsidR="002F36D3">
          <w:rPr>
            <w:rStyle w:val="Hyperlink"/>
          </w:rPr>
          <w:t>Ranchordás, 2015</w:t>
        </w:r>
      </w:hyperlink>
      <w:r>
        <w:t>). The combination of limited duration and reciprocal commitment lowers barriers to agreement while creating pathways for renewal based on demonstrated benefits.</w:t>
      </w:r>
    </w:p>
    <w:p w14:paraId="251AAB82" w14:textId="77777777" w:rsidR="002F36D3" w:rsidRDefault="00000000">
      <w:pPr>
        <w:pStyle w:val="BodyText"/>
      </w:pPr>
      <w:r>
        <w:t>States declaring safety zones under Artemis Accords or bilateral arrangements could anchor declarations in COPUOS notification to link plurilateral arrangements to multilateral frameworks. Drawing on established international law precedents, five design principles merit consideration. Purpose limitation would tie zones to specific operational risks with engineering justification, adapting the concept of operational safety zones from maritime law (Article 60 of UNCLOS) while incorporating design features that address the well-known limitations of that regime, including weak enforcement, flag-state jurisdiction problems, and the near-impossibility of amendment (</w:t>
      </w:r>
      <w:hyperlink w:anchor="ref-vaangal2022">
        <w:r w:rsidR="002F36D3">
          <w:rPr>
            <w:rStyle w:val="Hyperlink"/>
          </w:rPr>
          <w:t>Vaangal, 2022</w:t>
        </w:r>
      </w:hyperlink>
      <w:r>
        <w:t xml:space="preserve">). Specifically, the proposed guardrails add mandatory sunset clauses, transparency requirements, and reciprocal obligations that UNCLOS lacks. Time bounds, following Antarctic Treaty and WTO safeguard precedents, would cap duration with mandatory renewal demonstrating continued necessity. Geographic scope limitation, drawing on the “minimum necessary” principle from environmental law, would constrain zones to operationally necessary areas. Transparency, extending ITU advance coordination procedures, </w:t>
      </w:r>
      <w:r>
        <w:lastRenderedPageBreak/>
        <w:t>would involve filing declarations with UNOOSA before activation. And reciprocal deconfliction would involve data sharing and mutual recognition of equivalent zones declared under comparable standards.</w:t>
      </w:r>
    </w:p>
    <w:p w14:paraId="0B325B6B" w14:textId="77777777" w:rsidR="002F36D3" w:rsidRDefault="00000000">
      <w:pPr>
        <w:pStyle w:val="BodyText"/>
      </w:pPr>
      <w:r>
        <w:t>The behavioral mechanism combines reciprocity (mutual commitments are easier to accept than unilateral constraints), transparency (public filing enables monitoring and accountability), and temporal framing (limited duration reduces resistance while creating precedents for renewal). The guardrails distinguish operational coordination from territorial claims, providing assurance to both participants and non-participants about the nature of the commitment.</w:t>
      </w:r>
    </w:p>
    <w:p w14:paraId="25E9CC66" w14:textId="77777777" w:rsidR="002F36D3" w:rsidRDefault="00000000">
      <w:pPr>
        <w:pStyle w:val="BodyText"/>
      </w:pPr>
      <w:r>
        <w:t>To illustrate the operational logic, consider a scenario where the United States plans a crewed lunar surface mission to the Shackleton Crater rim. In advance of the mission, NASA would file a safety zone declaration with UNOOSA specifying purpose (protecting astronaut safety during surface operations), limited duration, geographic scope justified by engineering analysis of operational requirements, and data-sharing commitments. Another state planning its own mission to a nearby location could review the declaration. Finding it consistent with transparency principles, that state would file its own comparable declaration and share tracking data as reciprocity would suggest. The missions would proceed without conflict, each state having assurance that the other’s zone serves operational coordination distinct from territorial appropriation. If a declaration were to appear inconsistent with these principles, claiming territory far larger than operationally justified or lacking sunset provisions, civil society monitors could flag the discrepancy, potentially triggering scrutiny from the COPUOS Legal Subcommittee and reputational consequences.</w:t>
      </w:r>
    </w:p>
    <w:p w14:paraId="15532532" w14:textId="77777777" w:rsidR="002F36D3" w:rsidRDefault="00000000">
      <w:pPr>
        <w:pStyle w:val="BodyText"/>
      </w:pPr>
      <w:r>
        <w:lastRenderedPageBreak/>
        <w:t>Evaluation employs structured content analysis and Qualitative Comparative Analysis (QCA), tracking guardrail compliance, scope creep, conflict episodes, and reciprocity patterns (detailed protocol in Online Appendix Section OA6).</w:t>
      </w:r>
    </w:p>
    <w:p w14:paraId="31C6B539" w14:textId="77777777" w:rsidR="002F36D3" w:rsidRDefault="00000000">
      <w:pPr>
        <w:pStyle w:val="Heading2"/>
        <w:spacing w:before="720" w:after="120"/>
      </w:pPr>
      <w:bookmarkStart w:id="18" w:name="evaluation-framework-and-research-design"/>
      <w:bookmarkEnd w:id="13"/>
      <w:bookmarkEnd w:id="17"/>
      <w:r>
        <w:t>6. Evaluation Framework and Research Design</w:t>
      </w:r>
    </w:p>
    <w:p w14:paraId="2F231F2E" w14:textId="77777777" w:rsidR="002F36D3" w:rsidRDefault="00000000">
      <w:pPr>
        <w:pStyle w:val="FirstParagraph"/>
      </w:pPr>
      <w:r>
        <w:t>Having specified the four instruments and their behavioral mechanisms, this section develops the evaluation infrastructure needed to assess whether these instruments achieve their intended effects, completing the adaptive feedback loop shown in Figure 1.</w:t>
      </w:r>
    </w:p>
    <w:p w14:paraId="716FE885" w14:textId="77777777" w:rsidR="002F36D3" w:rsidRDefault="00000000">
      <w:pPr>
        <w:pStyle w:val="Heading3"/>
      </w:pPr>
      <w:bookmarkStart w:id="19" w:name="integrated-evaluation-approach"/>
      <w:r>
        <w:t>6.1 Integrated Evaluation Approach</w:t>
      </w:r>
    </w:p>
    <w:p w14:paraId="6D383B16" w14:textId="77777777" w:rsidR="002F36D3" w:rsidRDefault="00000000">
      <w:pPr>
        <w:pStyle w:val="FirstParagraph"/>
      </w:pPr>
      <w:r>
        <w:t>The framework integrates evaluation protocols across all instruments, prioritizing rigorous quasi-experimental designs where feasible. Randomized controlled trials (RCTs) are infeasible in international space governance given few actors and ethical constraints on withholding beneficial mechanisms. The alternatives specified here, difference-in-differences (comparing outcomes before and after adoption across adopting and non-adopting groups), event studies (measuring outcomes in a narrow window around a specific policy change to isolate its causal effect), synthetic control (constructing a weighted comparison unit to estimate what would have happened absent intervention), and qualitative comparative analysis (QCA), represent the most rigorous available approaches (</w:t>
      </w:r>
      <w:hyperlink w:anchor="ref-abadie2021">
        <w:r w:rsidR="002F36D3">
          <w:rPr>
            <w:rStyle w:val="Hyperlink"/>
          </w:rPr>
          <w:t>Abadie, 2021</w:t>
        </w:r>
      </w:hyperlink>
      <w:r>
        <w:t xml:space="preserve">; </w:t>
      </w:r>
      <w:hyperlink w:anchor="ref-callaway2021">
        <w:r w:rsidR="002F36D3">
          <w:rPr>
            <w:rStyle w:val="Hyperlink"/>
          </w:rPr>
          <w:t>Callaway and Sant’Anna, 2021</w:t>
        </w:r>
      </w:hyperlink>
      <w:r>
        <w:t xml:space="preserve">; </w:t>
      </w:r>
      <w:hyperlink w:anchor="ref-ragin2008">
        <w:r w:rsidR="002F36D3">
          <w:rPr>
            <w:rStyle w:val="Hyperlink"/>
          </w:rPr>
          <w:t>Ragin, 2008</w:t>
        </w:r>
      </w:hyperlink>
      <w:r>
        <w:t>).</w:t>
      </w:r>
    </w:p>
    <w:p w14:paraId="213FB61A" w14:textId="77777777" w:rsidR="002F36D3" w:rsidRDefault="00000000">
      <w:pPr>
        <w:pStyle w:val="BodyText"/>
        <w:ind w:firstLine="0"/>
        <w:jc w:val="center"/>
      </w:pPr>
      <w:r>
        <w:rPr>
          <w:b/>
          <w:bCs/>
        </w:rPr>
        <w:t>Table 4. Evaluation Framework Summary (Expanded)</w:t>
      </w:r>
    </w:p>
    <w:tbl>
      <w:tblPr>
        <w:tblStyle w:val="Table"/>
        <w:tblW w:w="5000" w:type="pct"/>
        <w:tblInd w:w="108" w:type="dxa"/>
        <w:tblLayout w:type="fixed"/>
        <w:tblLook w:val="0020" w:firstRow="1" w:lastRow="0" w:firstColumn="0" w:lastColumn="0" w:noHBand="0" w:noVBand="0"/>
      </w:tblPr>
      <w:tblGrid>
        <w:gridCol w:w="1620"/>
        <w:gridCol w:w="1800"/>
        <w:gridCol w:w="1620"/>
        <w:gridCol w:w="1530"/>
        <w:gridCol w:w="1350"/>
        <w:gridCol w:w="1656"/>
      </w:tblGrid>
      <w:tr w:rsidR="002F36D3" w14:paraId="64D9C7E4" w14:textId="77777777">
        <w:trPr>
          <w:tblHeader/>
        </w:trPr>
        <w:tc>
          <w:tcPr>
            <w:tcW w:w="1620" w:type="dxa"/>
          </w:tcPr>
          <w:p w14:paraId="2439C7B5" w14:textId="77777777" w:rsidR="002F36D3" w:rsidRDefault="00000000">
            <w:pPr>
              <w:pStyle w:val="Compact"/>
              <w:ind w:firstLine="0"/>
            </w:pPr>
            <w:r>
              <w:t>Intervention</w:t>
            </w:r>
          </w:p>
        </w:tc>
        <w:tc>
          <w:tcPr>
            <w:tcW w:w="1800" w:type="dxa"/>
          </w:tcPr>
          <w:p w14:paraId="57AF3070" w14:textId="77777777" w:rsidR="002F36D3" w:rsidRDefault="00000000">
            <w:pPr>
              <w:pStyle w:val="Compact"/>
              <w:ind w:firstLine="0"/>
            </w:pPr>
            <w:r>
              <w:t>Primary Outcomes</w:t>
            </w:r>
          </w:p>
        </w:tc>
        <w:tc>
          <w:tcPr>
            <w:tcW w:w="1620" w:type="dxa"/>
          </w:tcPr>
          <w:p w14:paraId="76E20FAD" w14:textId="77777777" w:rsidR="002F36D3" w:rsidRDefault="00000000">
            <w:pPr>
              <w:pStyle w:val="Compact"/>
              <w:ind w:firstLine="0"/>
            </w:pPr>
            <w:r>
              <w:t>Identification Strategy</w:t>
            </w:r>
          </w:p>
        </w:tc>
        <w:tc>
          <w:tcPr>
            <w:tcW w:w="1530" w:type="dxa"/>
          </w:tcPr>
          <w:p w14:paraId="59805BA1" w14:textId="77777777" w:rsidR="002F36D3" w:rsidRDefault="00000000">
            <w:pPr>
              <w:pStyle w:val="Compact"/>
              <w:ind w:firstLine="0"/>
            </w:pPr>
            <w:r>
              <w:t>Key Data Sources</w:t>
            </w:r>
          </w:p>
        </w:tc>
        <w:tc>
          <w:tcPr>
            <w:tcW w:w="1350" w:type="dxa"/>
          </w:tcPr>
          <w:p w14:paraId="2C480C07" w14:textId="77777777" w:rsidR="002F36D3" w:rsidRDefault="00000000">
            <w:pPr>
              <w:pStyle w:val="Compact"/>
              <w:ind w:firstLine="0"/>
            </w:pPr>
            <w:r>
              <w:t>Timeline</w:t>
            </w:r>
          </w:p>
        </w:tc>
        <w:tc>
          <w:tcPr>
            <w:tcW w:w="1656" w:type="dxa"/>
          </w:tcPr>
          <w:p w14:paraId="63022888" w14:textId="77777777" w:rsidR="002F36D3" w:rsidRDefault="00000000">
            <w:pPr>
              <w:pStyle w:val="Compact"/>
              <w:ind w:firstLine="0"/>
            </w:pPr>
            <w:r>
              <w:t>Expected Effect Size</w:t>
            </w:r>
          </w:p>
        </w:tc>
      </w:tr>
      <w:tr w:rsidR="002F36D3" w14:paraId="375983CF" w14:textId="77777777">
        <w:tc>
          <w:tcPr>
            <w:tcW w:w="1620" w:type="dxa"/>
          </w:tcPr>
          <w:p w14:paraId="11D6518B" w14:textId="77777777" w:rsidR="002F36D3" w:rsidRDefault="00000000">
            <w:pPr>
              <w:pStyle w:val="Compact"/>
              <w:ind w:firstLine="0"/>
            </w:pPr>
            <w:r>
              <w:rPr>
                <w:b/>
                <w:bCs/>
              </w:rPr>
              <w:t>Voluntary Registry</w:t>
            </w:r>
          </w:p>
        </w:tc>
        <w:tc>
          <w:tcPr>
            <w:tcW w:w="1800" w:type="dxa"/>
          </w:tcPr>
          <w:p w14:paraId="6603018F" w14:textId="77777777" w:rsidR="002F36D3" w:rsidRDefault="00000000">
            <w:pPr>
              <w:pStyle w:val="Compact"/>
              <w:ind w:firstLine="0"/>
            </w:pPr>
            <w:r>
              <w:t xml:space="preserve">Disposal compliance, conjunction </w:t>
            </w:r>
            <w:r>
              <w:lastRenderedPageBreak/>
              <w:t>behavior, insurance premiums</w:t>
            </w:r>
          </w:p>
        </w:tc>
        <w:tc>
          <w:tcPr>
            <w:tcW w:w="1620" w:type="dxa"/>
          </w:tcPr>
          <w:p w14:paraId="1C5FB068" w14:textId="77777777" w:rsidR="002F36D3" w:rsidRDefault="00000000">
            <w:pPr>
              <w:pStyle w:val="Compact"/>
              <w:ind w:firstLine="0"/>
            </w:pPr>
            <w:r>
              <w:lastRenderedPageBreak/>
              <w:t xml:space="preserve">Difference-in-differences with </w:t>
            </w:r>
            <w:r>
              <w:lastRenderedPageBreak/>
              <w:t>staggered adoption (Callaway &amp; Sant’Anna estimator)</w:t>
            </w:r>
          </w:p>
        </w:tc>
        <w:tc>
          <w:tcPr>
            <w:tcW w:w="1530" w:type="dxa"/>
          </w:tcPr>
          <w:p w14:paraId="1DFF3703" w14:textId="77777777" w:rsidR="002F36D3" w:rsidRDefault="00000000">
            <w:pPr>
              <w:pStyle w:val="Compact"/>
              <w:ind w:firstLine="0"/>
            </w:pPr>
            <w:r>
              <w:lastRenderedPageBreak/>
              <w:t xml:space="preserve">Space-Track CDMs, UNOOSA </w:t>
            </w:r>
            <w:r>
              <w:lastRenderedPageBreak/>
              <w:t>filings, insurer reports</w:t>
            </w:r>
          </w:p>
        </w:tc>
        <w:tc>
          <w:tcPr>
            <w:tcW w:w="1350" w:type="dxa"/>
          </w:tcPr>
          <w:p w14:paraId="62EE2E87" w14:textId="77777777" w:rsidR="002F36D3" w:rsidRDefault="00000000">
            <w:pPr>
              <w:pStyle w:val="Compact"/>
              <w:ind w:firstLine="0"/>
            </w:pPr>
            <w:r>
              <w:lastRenderedPageBreak/>
              <w:t xml:space="preserve">Multi-year follow-up (duration </w:t>
            </w:r>
            <w:r>
              <w:lastRenderedPageBreak/>
              <w:t>informed by ISO 24113 disposal timelines)</w:t>
            </w:r>
          </w:p>
        </w:tc>
        <w:tc>
          <w:tcPr>
            <w:tcW w:w="1656" w:type="dxa"/>
          </w:tcPr>
          <w:p w14:paraId="667BD2F9" w14:textId="77777777" w:rsidR="002F36D3" w:rsidRDefault="00000000">
            <w:pPr>
              <w:pStyle w:val="Compact"/>
              <w:ind w:firstLine="0"/>
            </w:pPr>
            <w:r>
              <w:lastRenderedPageBreak/>
              <w:t>d ≈ 0.30-0.50, attenuated from meta-</w:t>
            </w:r>
            <w:r>
              <w:lastRenderedPageBreak/>
              <w:t>analytic benchmark for active-choice context (Online Appendix OA1)</w:t>
            </w:r>
          </w:p>
        </w:tc>
      </w:tr>
      <w:tr w:rsidR="002F36D3" w14:paraId="7C160585" w14:textId="77777777">
        <w:tc>
          <w:tcPr>
            <w:tcW w:w="1620" w:type="dxa"/>
          </w:tcPr>
          <w:p w14:paraId="00225E84" w14:textId="77777777" w:rsidR="002F36D3" w:rsidRDefault="00000000">
            <w:pPr>
              <w:pStyle w:val="Compact"/>
              <w:ind w:firstLine="0"/>
            </w:pPr>
            <w:r>
              <w:rPr>
                <w:b/>
                <w:bCs/>
              </w:rPr>
              <w:lastRenderedPageBreak/>
              <w:t>Reputational Index</w:t>
            </w:r>
          </w:p>
        </w:tc>
        <w:tc>
          <w:tcPr>
            <w:tcW w:w="1800" w:type="dxa"/>
          </w:tcPr>
          <w:p w14:paraId="419097EA" w14:textId="77777777" w:rsidR="002F36D3" w:rsidRDefault="00000000">
            <w:pPr>
              <w:pStyle w:val="Compact"/>
              <w:ind w:firstLine="0"/>
            </w:pPr>
            <w:r>
              <w:t>Funding rounds, insurance premiums, contract awards, media sentiment</w:t>
            </w:r>
          </w:p>
        </w:tc>
        <w:tc>
          <w:tcPr>
            <w:tcW w:w="1620" w:type="dxa"/>
          </w:tcPr>
          <w:p w14:paraId="6320BB0F" w14:textId="77777777" w:rsidR="002F36D3" w:rsidRDefault="00000000">
            <w:pPr>
              <w:pStyle w:val="Compact"/>
              <w:ind w:firstLine="0"/>
            </w:pPr>
            <w:r>
              <w:t>Event study around periodic releases with pre-trend diagnostics</w:t>
            </w:r>
          </w:p>
        </w:tc>
        <w:tc>
          <w:tcPr>
            <w:tcW w:w="1530" w:type="dxa"/>
          </w:tcPr>
          <w:p w14:paraId="79B50883" w14:textId="77777777" w:rsidR="002F36D3" w:rsidRDefault="00000000">
            <w:pPr>
              <w:pStyle w:val="Compact"/>
              <w:ind w:firstLine="0"/>
            </w:pPr>
            <w:r>
              <w:t>Crunchbase/PitchBook, procurement databases, media corpora</w:t>
            </w:r>
          </w:p>
        </w:tc>
        <w:tc>
          <w:tcPr>
            <w:tcW w:w="1350" w:type="dxa"/>
          </w:tcPr>
          <w:p w14:paraId="3114702B" w14:textId="77777777" w:rsidR="002F36D3" w:rsidRDefault="00000000">
            <w:pPr>
              <w:pStyle w:val="Compact"/>
              <w:ind w:firstLine="0"/>
            </w:pPr>
            <w:r>
              <w:t>Short-term windows around releases</w:t>
            </w:r>
          </w:p>
        </w:tc>
        <w:tc>
          <w:tcPr>
            <w:tcW w:w="1656" w:type="dxa"/>
          </w:tcPr>
          <w:p w14:paraId="781FEEB8" w14:textId="77777777" w:rsidR="002F36D3" w:rsidRDefault="00000000">
            <w:pPr>
              <w:pStyle w:val="Compact"/>
              <w:ind w:firstLine="0"/>
            </w:pPr>
            <w:r>
              <w:t>Effect sizes informed by corporate reputation literature (</w:t>
            </w:r>
            <w:hyperlink w:anchor="ref-fombrun1990">
              <w:r w:rsidR="002F36D3">
                <w:rPr>
                  <w:rStyle w:val="Hyperlink"/>
                </w:rPr>
                <w:t>Fombrun and Shanley, 1990</w:t>
              </w:r>
            </w:hyperlink>
            <w:r>
              <w:t>)</w:t>
            </w:r>
          </w:p>
        </w:tc>
      </w:tr>
      <w:tr w:rsidR="002F36D3" w14:paraId="4DAFFA47" w14:textId="77777777">
        <w:tc>
          <w:tcPr>
            <w:tcW w:w="1620" w:type="dxa"/>
          </w:tcPr>
          <w:p w14:paraId="73DEC91B" w14:textId="77777777" w:rsidR="002F36D3" w:rsidRDefault="00000000">
            <w:pPr>
              <w:pStyle w:val="Compact"/>
              <w:ind w:firstLine="0"/>
            </w:pPr>
            <w:r>
              <w:rPr>
                <w:b/>
                <w:bCs/>
              </w:rPr>
              <w:t>Site Designation</w:t>
            </w:r>
          </w:p>
        </w:tc>
        <w:tc>
          <w:tcPr>
            <w:tcW w:w="1800" w:type="dxa"/>
          </w:tcPr>
          <w:p w14:paraId="44D61282" w14:textId="77777777" w:rsidR="002F36D3" w:rsidRDefault="00000000">
            <w:pPr>
              <w:pStyle w:val="Compact"/>
              <w:ind w:firstLine="0"/>
            </w:pPr>
            <w:r>
              <w:t>Interference incidents, waiver requests, planning changes, access preservation</w:t>
            </w:r>
          </w:p>
        </w:tc>
        <w:tc>
          <w:tcPr>
            <w:tcW w:w="1620" w:type="dxa"/>
          </w:tcPr>
          <w:p w14:paraId="6390EF40" w14:textId="77777777" w:rsidR="002F36D3" w:rsidRDefault="00000000">
            <w:pPr>
              <w:pStyle w:val="Compact"/>
              <w:ind w:firstLine="0"/>
            </w:pPr>
            <w:r>
              <w:t>Synthetic control with matched sites and permutation inference</w:t>
            </w:r>
          </w:p>
        </w:tc>
        <w:tc>
          <w:tcPr>
            <w:tcW w:w="1530" w:type="dxa"/>
          </w:tcPr>
          <w:p w14:paraId="4A3744EA" w14:textId="77777777" w:rsidR="002F36D3" w:rsidRDefault="00000000">
            <w:pPr>
              <w:pStyle w:val="Compact"/>
              <w:ind w:firstLine="0"/>
            </w:pPr>
            <w:r>
              <w:t>ITU filings, COSPAR records, mission announcements</w:t>
            </w:r>
          </w:p>
        </w:tc>
        <w:tc>
          <w:tcPr>
            <w:tcW w:w="1350" w:type="dxa"/>
          </w:tcPr>
          <w:p w14:paraId="455B969B" w14:textId="77777777" w:rsidR="002F36D3" w:rsidRDefault="00000000">
            <w:pPr>
              <w:pStyle w:val="Compact"/>
              <w:ind w:firstLine="0"/>
            </w:pPr>
            <w:r>
              <w:t>Long-term horizon (matching mission planning cycles)</w:t>
            </w:r>
          </w:p>
        </w:tc>
        <w:tc>
          <w:tcPr>
            <w:tcW w:w="1656" w:type="dxa"/>
          </w:tcPr>
          <w:p w14:paraId="65AD8ABA" w14:textId="77777777" w:rsidR="002F36D3" w:rsidRDefault="00000000">
            <w:pPr>
              <w:pStyle w:val="Compact"/>
              <w:ind w:firstLine="0"/>
            </w:pPr>
            <w:r>
              <w:t>Depends on site characteristics</w:t>
            </w:r>
          </w:p>
        </w:tc>
      </w:tr>
      <w:tr w:rsidR="002F36D3" w14:paraId="57709794" w14:textId="77777777">
        <w:tc>
          <w:tcPr>
            <w:tcW w:w="1620" w:type="dxa"/>
          </w:tcPr>
          <w:p w14:paraId="73216788" w14:textId="77777777" w:rsidR="002F36D3" w:rsidRDefault="00000000">
            <w:pPr>
              <w:pStyle w:val="Compact"/>
              <w:ind w:firstLine="0"/>
            </w:pPr>
            <w:r>
              <w:rPr>
                <w:b/>
                <w:bCs/>
              </w:rPr>
              <w:t>Safety Zones</w:t>
            </w:r>
          </w:p>
        </w:tc>
        <w:tc>
          <w:tcPr>
            <w:tcW w:w="1800" w:type="dxa"/>
          </w:tcPr>
          <w:p w14:paraId="638DC244" w14:textId="77777777" w:rsidR="002F36D3" w:rsidRDefault="00000000">
            <w:pPr>
              <w:pStyle w:val="Compact"/>
              <w:ind w:firstLine="0"/>
            </w:pPr>
            <w:r>
              <w:t>Compliance with guardrails, scope creep, conflicts, legal compatibility</w:t>
            </w:r>
          </w:p>
        </w:tc>
        <w:tc>
          <w:tcPr>
            <w:tcW w:w="1620" w:type="dxa"/>
          </w:tcPr>
          <w:p w14:paraId="5062A044" w14:textId="77777777" w:rsidR="002F36D3" w:rsidRDefault="00000000">
            <w:pPr>
              <w:pStyle w:val="Compact"/>
              <w:ind w:firstLine="0"/>
            </w:pPr>
            <w:r>
              <w:t>Content analysis and QCA audit with inter-rater reliability</w:t>
            </w:r>
          </w:p>
        </w:tc>
        <w:tc>
          <w:tcPr>
            <w:tcW w:w="1530" w:type="dxa"/>
          </w:tcPr>
          <w:p w14:paraId="72AB2A51" w14:textId="77777777" w:rsidR="002F36D3" w:rsidRDefault="00000000">
            <w:pPr>
              <w:pStyle w:val="Compact"/>
              <w:ind w:firstLine="0"/>
            </w:pPr>
            <w:r>
              <w:t>UNOOSA filings, COPUOS records, satellite imagery</w:t>
            </w:r>
          </w:p>
        </w:tc>
        <w:tc>
          <w:tcPr>
            <w:tcW w:w="1350" w:type="dxa"/>
          </w:tcPr>
          <w:p w14:paraId="2B83488F" w14:textId="77777777" w:rsidR="002F36D3" w:rsidRDefault="00000000">
            <w:pPr>
              <w:pStyle w:val="Compact"/>
              <w:ind w:firstLine="0"/>
            </w:pPr>
            <w:r>
              <w:t>Ongoing monitoring with periodic comprehensive review</w:t>
            </w:r>
          </w:p>
        </w:tc>
        <w:tc>
          <w:tcPr>
            <w:tcW w:w="1656" w:type="dxa"/>
          </w:tcPr>
          <w:p w14:paraId="66835569" w14:textId="77777777" w:rsidR="002F36D3" w:rsidRDefault="00000000">
            <w:pPr>
              <w:pStyle w:val="Compact"/>
              <w:ind w:firstLine="0"/>
            </w:pPr>
            <w:r>
              <w:t>Qualitative assessment</w:t>
            </w:r>
          </w:p>
        </w:tc>
      </w:tr>
    </w:tbl>
    <w:p w14:paraId="2B9CC1F0" w14:textId="77777777" w:rsidR="009B628C" w:rsidRDefault="009B628C">
      <w:pPr>
        <w:pStyle w:val="Heading3"/>
      </w:pPr>
      <w:bookmarkStart w:id="20" w:name="outcome-metrics"/>
      <w:bookmarkEnd w:id="19"/>
    </w:p>
    <w:p w14:paraId="1573DAF7" w14:textId="692E2DB7" w:rsidR="002F36D3" w:rsidRDefault="00000000">
      <w:pPr>
        <w:pStyle w:val="Heading3"/>
      </w:pPr>
      <w:r>
        <w:t>6.2 Outcome Metrics</w:t>
      </w:r>
    </w:p>
    <w:p w14:paraId="18A3F32D" w14:textId="77777777" w:rsidR="002F36D3" w:rsidRDefault="00000000">
      <w:pPr>
        <w:pStyle w:val="FirstParagraph"/>
      </w:pPr>
      <w:r>
        <w:t xml:space="preserve">The evaluation framework identifies six measurable outcome categories. Debris compliance metrics include post-mission disposal success rates, passivation completion, and time-to-disposal relative to operational lifetime. Collision risk is measured through conjunction data message frequency per mission-year normalized by orbital density, close approach distances, and collision avoidance maneuver frequency. Planetary protection indicators encompass COSPAR waiver request frequency, documented bioburden exceedances, and special region approach incidents. Spectrum discipline is tracked through ITU coordination compliance, </w:t>
      </w:r>
      <w:r>
        <w:lastRenderedPageBreak/>
        <w:t>documented interference incidents, and radio quiet zone violations. Economic indicators capture insurance premium differentials between compliant and non-compliant operators (controlling for mission characteristics), investment flows by operator rating category, and procurement outcomes. Finally, geopolitical cooperation is assessed through data-sharing participation rates, conflict incidents, and reciprocity patterns in zone recognition.</w:t>
      </w:r>
    </w:p>
    <w:p w14:paraId="64B4B6B9" w14:textId="77777777" w:rsidR="002F36D3" w:rsidRDefault="00000000">
      <w:pPr>
        <w:pStyle w:val="Heading2"/>
        <w:spacing w:before="720" w:after="120"/>
      </w:pPr>
      <w:bookmarkStart w:id="21" w:name="addressing-anticipated-critiques"/>
      <w:bookmarkEnd w:id="18"/>
      <w:bookmarkEnd w:id="20"/>
      <w:r>
        <w:t>7. Addressing Anticipated Critiques</w:t>
      </w:r>
    </w:p>
    <w:p w14:paraId="03D2CBF3" w14:textId="77777777" w:rsidR="002F36D3" w:rsidRDefault="00000000">
      <w:pPr>
        <w:pStyle w:val="FirstParagraph"/>
      </w:pPr>
      <w:r>
        <w:t>The framework developed above raises several questions regarding generalizability, scope conditions, legal compatibility, robustness to geopolitical competition, and practical implementation. This section begins by articulating the paper’s broader contributions to innovation policy scholarship, then addresses five categories of anticipated critique, concluding with a discussion of implementation pathways and the barriers that must be overcome.</w:t>
      </w:r>
    </w:p>
    <w:p w14:paraId="48E6DC9A" w14:textId="77777777" w:rsidR="002F36D3" w:rsidRDefault="00000000">
      <w:pPr>
        <w:pStyle w:val="Heading3"/>
      </w:pPr>
      <w:bookmarkStart w:id="22" w:name="X847e4590ed135e6cf1e3441c05cd8c6b22bc86c"/>
      <w:r>
        <w:t>7.1 Contribution to Innovation Policy and Technology Governance</w:t>
      </w:r>
    </w:p>
    <w:p w14:paraId="5BA9EA0B" w14:textId="77777777" w:rsidR="002F36D3" w:rsidRDefault="00000000">
      <w:pPr>
        <w:pStyle w:val="FirstParagraph"/>
      </w:pPr>
      <w:r>
        <w:t>This paper makes three contributions to innovation policy scholarship beyond its application to space governance. First, the framework provides behavioral foundations for responsible innovation by endogenizing the preferences that standard innovation economics treats as exogenous. Where Stilgoe et al. (</w:t>
      </w:r>
      <w:hyperlink w:anchor="ref-stilgoe2013">
        <w:r w:rsidR="002F36D3">
          <w:rPr>
            <w:rStyle w:val="Hyperlink"/>
          </w:rPr>
          <w:t>2013</w:t>
        </w:r>
      </w:hyperlink>
      <w:r>
        <w:t>) identified the governance principles that responsible innovation should achieve, the AEB Framework specifies why those goals prove elusive: prestige-seeking from evolved cognitive architecture (</w:t>
      </w:r>
      <w:hyperlink w:anchor="ref-choi2007">
        <w:r w:rsidR="002F36D3">
          <w:rPr>
            <w:rStyle w:val="Hyperlink"/>
          </w:rPr>
          <w:t>Choi and Bowles, 2007</w:t>
        </w:r>
      </w:hyperlink>
      <w:r>
        <w:t xml:space="preserve">; </w:t>
      </w:r>
      <w:hyperlink w:anchor="ref-griskevicius2010">
        <w:r w:rsidR="002F36D3">
          <w:rPr>
            <w:rStyle w:val="Hyperlink"/>
          </w:rPr>
          <w:t>Griskevicius et al., 2010</w:t>
        </w:r>
      </w:hyperlink>
      <w:r>
        <w:t>), narrative-shaped attention allocation (</w:t>
      </w:r>
      <w:hyperlink w:anchor="ref-henrich2015">
        <w:r w:rsidR="002F36D3">
          <w:rPr>
            <w:rStyle w:val="Hyperlink"/>
          </w:rPr>
          <w:t>Henrich, 2015</w:t>
        </w:r>
      </w:hyperlink>
      <w:r>
        <w:t xml:space="preserve">; </w:t>
      </w:r>
      <w:hyperlink w:anchor="ref-jones2010">
        <w:r w:rsidR="002F36D3">
          <w:rPr>
            <w:rStyle w:val="Hyperlink"/>
          </w:rPr>
          <w:t>Jones and McBeth, 2010</w:t>
        </w:r>
      </w:hyperlink>
      <w:r>
        <w:t>), and context-dependent decision-making through status quo bias (</w:t>
      </w:r>
      <w:hyperlink w:anchor="ref-samuelson1988">
        <w:r w:rsidR="002F36D3">
          <w:rPr>
            <w:rStyle w:val="Hyperlink"/>
          </w:rPr>
          <w:t>Samuelson and Zeckhauser, 1988</w:t>
        </w:r>
      </w:hyperlink>
      <w:r>
        <w:t xml:space="preserve">; </w:t>
      </w:r>
      <w:hyperlink w:anchor="ref-sunstein2014">
        <w:r w:rsidR="002F36D3">
          <w:rPr>
            <w:rStyle w:val="Hyperlink"/>
          </w:rPr>
          <w:t>Sunstein, 2014</w:t>
        </w:r>
      </w:hyperlink>
      <w:r>
        <w:t xml:space="preserve">) generate predictable failures of anticipation and </w:t>
      </w:r>
      <w:r>
        <w:lastRenderedPageBreak/>
        <w:t>responsiveness. This diagnostic precision suggests how choice architecture can channel the same psychological forces toward sustainable outcomes.</w:t>
      </w:r>
    </w:p>
    <w:p w14:paraId="208489A1" w14:textId="77777777" w:rsidR="002F36D3" w:rsidRDefault="00000000">
      <w:pPr>
        <w:pStyle w:val="BodyText"/>
      </w:pPr>
      <w:r>
        <w:t>Second, it operationalizes transformative innovation policy by showing how behavioral governance can complement traditional instruments when binding regulation proves infeasible. Schot and Steinmueller (</w:t>
      </w:r>
      <w:hyperlink w:anchor="ref-schot2018">
        <w:r w:rsidR="002F36D3">
          <w:rPr>
            <w:rStyle w:val="Hyperlink"/>
          </w:rPr>
          <w:t>2018</w:t>
        </w:r>
      </w:hyperlink>
      <w:r>
        <w:t>) called for innovation policy addressing societal challenges including collective action problems and commons dilemmas, and Mazzucato (</w:t>
      </w:r>
      <w:hyperlink w:anchor="ref-mazzucato2018">
        <w:r w:rsidR="002F36D3">
          <w:rPr>
            <w:rStyle w:val="Hyperlink"/>
          </w:rPr>
          <w:t>2018</w:t>
        </w:r>
      </w:hyperlink>
      <w:r>
        <w:t>) argued that mission-oriented policy requires governance frameworks capable of steering innovation toward socially desirable outcomes. Space sustainability exemplifies such challenges: the “pacing problem” (</w:t>
      </w:r>
      <w:hyperlink w:anchor="ref-marchant2011">
        <w:r w:rsidR="002F36D3">
          <w:rPr>
            <w:rStyle w:val="Hyperlink"/>
          </w:rPr>
          <w:t>Marchant et al., 2011</w:t>
        </w:r>
      </w:hyperlink>
      <w:r>
        <w:t>) means that governance must be designed anticipatorily (</w:t>
      </w:r>
      <w:hyperlink w:anchor="ref-guston2014">
        <w:r w:rsidR="002F36D3">
          <w:rPr>
            <w:rStyle w:val="Hyperlink"/>
          </w:rPr>
          <w:t>Guston, 2014</w:t>
        </w:r>
      </w:hyperlink>
      <w:r>
        <w:t>) because the uncoordinated expansion of commercial activities threatens both the innovation infrastructure supporting downstream sectors and the scientific research platforms (space telescopes, radio observatories, planetary science missions) on which fundamental discovery depends (</w:t>
      </w:r>
      <w:hyperlink w:anchor="ref-borlaff2025">
        <w:r w:rsidR="002F36D3">
          <w:rPr>
            <w:rStyle w:val="Hyperlink"/>
          </w:rPr>
          <w:t>Borlaff et al., 2025</w:t>
        </w:r>
      </w:hyperlink>
      <w:r>
        <w:t>). The framework addresses the implementation gap between transformative goals and available policy tools.</w:t>
      </w:r>
    </w:p>
    <w:p w14:paraId="17A0B2F8" w14:textId="77777777" w:rsidR="002F36D3" w:rsidRDefault="00000000">
      <w:pPr>
        <w:pStyle w:val="BodyText"/>
      </w:pPr>
      <w:r>
        <w:t>Third, this article contributes pre-specified evaluation infrastructure to a domain where such infrastructure remains underdeveloped. Innovation policy scholarship has emphasized the importance of rigorous evaluation (</w:t>
      </w:r>
      <w:hyperlink w:anchor="ref-cunningham2016">
        <w:r w:rsidR="002F36D3">
          <w:rPr>
            <w:rStyle w:val="Hyperlink"/>
          </w:rPr>
          <w:t>Cunningham et al., 2016</w:t>
        </w:r>
      </w:hyperlink>
      <w:r>
        <w:t>), yet evaluation frameworks for anticipatory governance in emerging sectors remain sparse. The quasi-experimental designs specified here (difference-in-differences, event studies, synthetic control, qualitative comparative analysis) enable evidence-based iteration where randomized trials are infeasible, providing methodological infrastructure applicable to innovation policy evaluation beyond space.</w:t>
      </w:r>
    </w:p>
    <w:p w14:paraId="0AFE8088" w14:textId="77777777" w:rsidR="002F36D3" w:rsidRDefault="00000000">
      <w:pPr>
        <w:pStyle w:val="Heading3"/>
      </w:pPr>
      <w:bookmarkStart w:id="23" w:name="X333054fdd30cb84932c06380c2de6fced1c7678"/>
      <w:bookmarkEnd w:id="22"/>
      <w:r>
        <w:lastRenderedPageBreak/>
        <w:t>7.2 Scope Conditions for Behavioral Interventions</w:t>
      </w:r>
    </w:p>
    <w:p w14:paraId="609589DE" w14:textId="77777777" w:rsidR="002F36D3" w:rsidRDefault="00000000">
      <w:pPr>
        <w:pStyle w:val="FirstParagraph"/>
      </w:pPr>
      <w:r>
        <w:t>Recent meta-analyses have moderated enthusiasm about behavioral intervention effectiveness, with Maier et al. (</w:t>
      </w:r>
      <w:hyperlink w:anchor="ref-maier2022">
        <w:r w:rsidR="002F36D3">
          <w:rPr>
            <w:rStyle w:val="Hyperlink"/>
          </w:rPr>
          <w:t>2022</w:t>
        </w:r>
      </w:hyperlink>
      <w:r>
        <w:t>) arguing that effect size estimates drop substantially after adjusting for publication bias, and Loewenstein and Chater (</w:t>
      </w:r>
      <w:hyperlink w:anchor="ref-loewenstein2017">
        <w:r w:rsidR="002F36D3">
          <w:rPr>
            <w:rStyle w:val="Hyperlink"/>
          </w:rPr>
          <w:t>2017</w:t>
        </w:r>
      </w:hyperlink>
      <w:r>
        <w:t>) cautioning that choice architecture addresses symptoms while structural causes persist. The framework addresses these concerns by targeting default-based interventions to compliance decisions where meta-analytic evidence is strongest (Section 4.3), and by combining behavioral mechanisms with market incentives to achieve policy-relevant magnitudes. Insurance premium adjustments for compliance recognition (</w:t>
      </w:r>
      <w:hyperlink w:anchor="ref-jin2021">
        <w:r w:rsidR="002F36D3">
          <w:rPr>
            <w:rStyle w:val="Hyperlink"/>
          </w:rPr>
          <w:t>Jin and Vasserman, 2021</w:t>
        </w:r>
      </w:hyperlink>
      <w:r>
        <w:t>), funding access conditioned on ratings, and procurement preferences amplify behavioral effects beyond what choice architecture alone could deliver. The framework’s built-in evaluation designs enable assessment of whether these instruments achieve their intended effects.</w:t>
      </w:r>
    </w:p>
    <w:p w14:paraId="63D6E6C8" w14:textId="77777777" w:rsidR="002F36D3" w:rsidRDefault="00000000">
      <w:pPr>
        <w:pStyle w:val="Heading3"/>
      </w:pPr>
      <w:bookmarkStart w:id="24" w:name="legal-compatibility-of-safety-zones"/>
      <w:bookmarkEnd w:id="23"/>
      <w:r>
        <w:t>7.3 Legal Compatibility of Safety Zones</w:t>
      </w:r>
    </w:p>
    <w:p w14:paraId="46607E64" w14:textId="77777777" w:rsidR="002F36D3" w:rsidRDefault="00000000">
      <w:pPr>
        <w:pStyle w:val="FirstParagraph"/>
      </w:pPr>
      <w:r>
        <w:t>Whether safety zones proposed in the Artemis Accords comply with OST Article II’s non-appropriation principle remains debated. Scholars disagree on whether exclusive-use zones functionally constitute appropriation (</w:t>
      </w:r>
      <w:hyperlink w:anchor="ref-jakhu2017">
        <w:r w:rsidR="002F36D3">
          <w:rPr>
            <w:rStyle w:val="Hyperlink"/>
          </w:rPr>
          <w:t>Jakhu et al., 2017</w:t>
        </w:r>
      </w:hyperlink>
      <w:r>
        <w:t xml:space="preserve">; </w:t>
      </w:r>
      <w:hyperlink w:anchor="ref-freeland2021">
        <w:r w:rsidR="002F36D3">
          <w:rPr>
            <w:rStyle w:val="Hyperlink"/>
          </w:rPr>
          <w:t>Martin and Freeland, 2021</w:t>
        </w:r>
      </w:hyperlink>
      <w:r>
        <w:t>) or whether Article IX’s “due regard” provision permits operational separation (</w:t>
      </w:r>
      <w:hyperlink w:anchor="ref-hobe2020">
        <w:r w:rsidR="002F36D3">
          <w:rPr>
            <w:rStyle w:val="Hyperlink"/>
          </w:rPr>
          <w:t>Hobe, 2020</w:t>
        </w:r>
      </w:hyperlink>
      <w:r>
        <w:t xml:space="preserve">; </w:t>
      </w:r>
      <w:hyperlink w:anchor="ref-sundahl2013">
        <w:r w:rsidR="002F36D3">
          <w:rPr>
            <w:rStyle w:val="Hyperlink"/>
          </w:rPr>
          <w:t>Sundahl, 2013</w:t>
        </w:r>
      </w:hyperlink>
      <w:r>
        <w:t>). UNCLOS maritime safety zones, while providing a conceptual precedent, have been subject to substantial criticism regarding enforcement failures, flag-state jurisdiction problems, and the effective impossibility of treaty amendment (</w:t>
      </w:r>
      <w:hyperlink w:anchor="ref-vaangal2022">
        <w:r w:rsidR="002F36D3">
          <w:rPr>
            <w:rStyle w:val="Hyperlink"/>
          </w:rPr>
          <w:t>Vaangal, 2022</w:t>
        </w:r>
      </w:hyperlink>
      <w:r>
        <w:t xml:space="preserve">). The framework’s proposed safety zones are explicitly designed to avoid these pitfalls: sunset clauses prevent permanent territorial claims, transparency requirements enable monitoring by non-participants, and reciprocal obligations create mutual accountability absent from the UNCLOS regime. The Antarctic Treaty, </w:t>
      </w:r>
      <w:r>
        <w:lastRenderedPageBreak/>
        <w:t>whose preemptive environmental protections succeeded precisely because they preceded commercial exploitation (</w:t>
      </w:r>
      <w:hyperlink w:anchor="ref-bastmeijer2004">
        <w:r w:rsidR="002F36D3">
          <w:rPr>
            <w:rStyle w:val="Hyperlink"/>
          </w:rPr>
          <w:t>Bastmeijer and Roura, 2004</w:t>
        </w:r>
      </w:hyperlink>
      <w:r>
        <w:t>), provides a more apt precedent than UNCLOS for the approach advocated here.</w:t>
      </w:r>
    </w:p>
    <w:p w14:paraId="7EDDA634" w14:textId="77777777" w:rsidR="002F36D3" w:rsidRDefault="00000000">
      <w:pPr>
        <w:pStyle w:val="BodyText"/>
      </w:pPr>
      <w:r>
        <w:t>The framework’s contribution is institutional design minimizing abuse risk while enabling coordination. The five guardrails (purpose limitation, time bounds, geographic scope, transparency, reciprocity) distinguish operational coordination from territorial claims through monitorable criteria. The evaluation framework explicitly tracks scope creep, documenting any expansion beyond operational justification.</w:t>
      </w:r>
    </w:p>
    <w:p w14:paraId="183E1DF7" w14:textId="77777777" w:rsidR="002F36D3" w:rsidRDefault="00000000">
      <w:pPr>
        <w:pStyle w:val="Heading3"/>
      </w:pPr>
      <w:bookmarkStart w:id="25" w:name="X4583c875f9110afa62839f997b7d26b13de8625"/>
      <w:bookmarkEnd w:id="24"/>
      <w:r>
        <w:t>7.4 Reputational Mechanisms Under Geopolitical Competition</w:t>
      </w:r>
    </w:p>
    <w:p w14:paraId="221056FD" w14:textId="77777777" w:rsidR="002F36D3" w:rsidRDefault="00000000">
      <w:pPr>
        <w:pStyle w:val="FirstParagraph"/>
      </w:pPr>
      <w:r>
        <w:t>The framework would be expected to produce heterogeneous effects across actor types (see Online Appendix Table OA5 for expected responsiveness patterns by operator type). States with independent media and competitive electoral accountability face stronger domestic reputational incentives, while states with more centralized governance structures may face weaker domestic but potentially strong international reputational pressures, as Sheehan (</w:t>
      </w:r>
      <w:hyperlink w:anchor="ref-sheehan2013">
        <w:r w:rsidR="002F36D3">
          <w:rPr>
            <w:rStyle w:val="Hyperlink"/>
          </w:rPr>
          <w:t>2013</w:t>
        </w:r>
      </w:hyperlink>
      <w:r>
        <w:t xml:space="preserve">) documents for China’s space program, where international prestige has been a primary policy driver. Multiple enforcement channels create additional incentives beyond domestic reputation alone, because insurance premiums, investment access, procurement decisions, and technical reciprocity in SSA data sharing all respond to demonstrated responsibility regardless of governance structure. Moreover, coalition strategies can achieve improvements without universal participation, as behavioral interventions facilitate cooperative equilibria among willing participants while creating competitive pressure where responsible actors capture reputational and economic benefits. Behavioral interventions cannot, however, compel states engaged in hard geopolitical competition, and where military activities dominate, deterrence dynamics will </w:t>
      </w:r>
      <w:r>
        <w:lastRenderedPageBreak/>
        <w:t>determine outcomes. The framework’s contribution addresses the broad middle ground of commercial and scientific activities where cooperation benefits all actors but where competitive pressures create sustainability risks that traditional regulatory approaches cannot reach.</w:t>
      </w:r>
    </w:p>
    <w:p w14:paraId="67E5DB9C" w14:textId="77777777" w:rsidR="002F36D3" w:rsidRDefault="00000000">
      <w:pPr>
        <w:pStyle w:val="Heading3"/>
      </w:pPr>
      <w:bookmarkStart w:id="26" w:name="X150df1ae7edd50d28861fb3b1883e3879251e41"/>
      <w:bookmarkEnd w:id="25"/>
      <w:r>
        <w:t>7.5 Limitations Regarding Technological Uncertainty</w:t>
      </w:r>
    </w:p>
    <w:p w14:paraId="7826D63F" w14:textId="77777777" w:rsidR="002F36D3" w:rsidRDefault="00000000">
      <w:pPr>
        <w:pStyle w:val="FirstParagraph"/>
      </w:pPr>
      <w:r>
        <w:t>The Collingridge (</w:t>
      </w:r>
      <w:hyperlink w:anchor="ref-collingridge1980">
        <w:r w:rsidR="002F36D3">
          <w:rPr>
            <w:rStyle w:val="Hyperlink"/>
          </w:rPr>
          <w:t>1980</w:t>
        </w:r>
      </w:hyperlink>
      <w:r>
        <w:t>) dilemma applies directly to space governance, where intervention is easiest early when understanding of consequences remains limited, yet most needed later when technological trajectories are entrenched and difficult to alter. Space governance faces this acutely, exemplifying the “pacing problem” identified in Section 1.2. The framework addresses uncertainty through several design features (see Online Appendix for detailed methodology). Built-in provisionality includes sunset clauses and mandatory review periods, and as Ranchordás (</w:t>
      </w:r>
      <w:hyperlink w:anchor="ref-ranchordas2015">
        <w:r w:rsidR="002F36D3">
          <w:rPr>
            <w:rStyle w:val="Hyperlink"/>
          </w:rPr>
          <w:t>2015</w:t>
        </w:r>
      </w:hyperlink>
      <w:r>
        <w:t>) argue, experimental regulations balance innovation with governance needs. Pre-specified evaluation designs generate evidence enabling iterative adjustment, aligning with experimentalist governance principles (</w:t>
      </w:r>
      <w:hyperlink w:anchor="ref-sabel2012">
        <w:r w:rsidR="002F36D3">
          <w:rPr>
            <w:rStyle w:val="Hyperlink"/>
          </w:rPr>
          <w:t>Sabel and Zeitlin, 2012</w:t>
        </w:r>
      </w:hyperlink>
      <w:r>
        <w:t>). The underlying behavioral principles (status quo bias, loss aversion, reciprocity) remain stable across technological generations, providing robustness over context-specific optimization (</w:t>
      </w:r>
      <w:hyperlink w:anchor="ref-marchau2019">
        <w:r w:rsidR="002F36D3">
          <w:rPr>
            <w:rStyle w:val="Hyperlink"/>
          </w:rPr>
          <w:t>Marchau et al., 2019</w:t>
        </w:r>
      </w:hyperlink>
      <w:r>
        <w:t>). Following Migaud et al. (</w:t>
      </w:r>
      <w:hyperlink w:anchor="ref-migaud2021">
        <w:r w:rsidR="002F36D3">
          <w:rPr>
            <w:rStyle w:val="Hyperlink"/>
          </w:rPr>
          <w:t>2021</w:t>
        </w:r>
      </w:hyperlink>
      <w:r>
        <w:t>), the instruments include feedback mechanisms enabling governance to evolve alongside industry maturation, although even adaptive mechanisms may fail to anticipate disruptive innovations, and the transition from behavioral “soft” governance to binding “hard” rules remains underspecified, a limitation future research could address.</w:t>
      </w:r>
    </w:p>
    <w:p w14:paraId="04F62248" w14:textId="77777777" w:rsidR="002F36D3" w:rsidRDefault="00000000">
      <w:pPr>
        <w:pStyle w:val="Heading3"/>
      </w:pPr>
      <w:bookmarkStart w:id="27" w:name="implementation-pathways-and-barriers"/>
      <w:bookmarkEnd w:id="26"/>
      <w:r>
        <w:t>7.6 Implementation Pathways and Barriers</w:t>
      </w:r>
    </w:p>
    <w:p w14:paraId="718DCD24" w14:textId="77777777" w:rsidR="002F36D3" w:rsidRDefault="00000000">
      <w:pPr>
        <w:pStyle w:val="FirstParagraph"/>
      </w:pPr>
      <w:r>
        <w:t xml:space="preserve">The framework must confront the practical question of how voluntary governance instruments gain adoption in a domain characterized by sovereignty concerns, divergent </w:t>
      </w:r>
      <w:r>
        <w:lastRenderedPageBreak/>
        <w:t>interests, and no central enforcement authority. Recent experience with space governance initiatives offers both encouraging precedents and sobering lessons about the barriers involved.</w:t>
      </w:r>
    </w:p>
    <w:p w14:paraId="6803C5A0" w14:textId="77777777" w:rsidR="002F36D3" w:rsidRDefault="00000000">
      <w:pPr>
        <w:pStyle w:val="BodyText"/>
      </w:pPr>
      <w:r>
        <w:t>The most relevant adoption model is the Artemis Accords, which grew from eight signatories in October 2020 to over sixty by early 2026. The Accords were structured as bilateral agreements between the United States and each signatory rather than as a multilateral treaty (</w:t>
      </w:r>
      <w:hyperlink w:anchor="ref-deplano2021">
        <w:r w:rsidR="002F36D3">
          <w:rPr>
            <w:rStyle w:val="Hyperlink"/>
          </w:rPr>
          <w:t>Deplano, 2021</w:t>
        </w:r>
      </w:hyperlink>
      <w:r>
        <w:t>), a design choice that enabled rapid expansion by avoiding the consensus requirements that slow multilateral negotiations. As NASA Administrator Jim Bridenstine acknowledged at the time of the Accords’ launch, pursuing the same objectives through COPUOS “would have taken too long” (</w:t>
      </w:r>
      <w:hyperlink w:anchor="ref-nasa2020artemis">
        <w:r w:rsidR="002F36D3">
          <w:rPr>
            <w:rStyle w:val="Hyperlink"/>
          </w:rPr>
          <w:t>National Aeronautics and Space Administration, 2020</w:t>
        </w:r>
      </w:hyperlink>
      <w:r>
        <w:t>). The core incentive for participation was access to collaborative opportunities within the Artemis lunar program, creating a tangible benefit tied to signing. However, the Accords also illustrate a fundamental limitation: Russia and China remain outside the framework, and the resulting governance fragmentation between the Artemis Accords and the International Lunar Research Station reproduces rather than resolves the coordination challenge.</w:t>
      </w:r>
    </w:p>
    <w:p w14:paraId="73C18C86" w14:textId="77777777" w:rsidR="002F36D3" w:rsidRDefault="00000000">
      <w:pPr>
        <w:pStyle w:val="BodyText"/>
      </w:pPr>
      <w:r>
        <w:t>The World Economic Forum’s Space Sustainability Rating (SSR) provides a second precedent, operating through voluntary assessment rather than state-level diplomacy (</w:t>
      </w:r>
      <w:hyperlink w:anchor="ref-rathnasabapathy2025">
        <w:r w:rsidR="002F36D3">
          <w:rPr>
            <w:rStyle w:val="Hyperlink"/>
          </w:rPr>
          <w:t>Rathnasabapathy et al., 2025</w:t>
        </w:r>
      </w:hyperlink>
      <w:r>
        <w:t xml:space="preserve">). Developed by a consortium including ESA, MIT Media Lab, and BryceTech, and operated as a nonprofit by the EPFL Space Center, the SSR assigns bronze, silver, gold, or platinum ratings to individual missions based on six sustainability modules. Beta testers have included SpaceX, Planet, OneWeb, Airbus, and Astroscale, and Eutelsat Group earned a platinum rating in June 2024. The SSR model demonstrates that market-facing sustainability assessments can attract participation from major operators when designed as </w:t>
      </w:r>
      <w:r>
        <w:lastRenderedPageBreak/>
        <w:t>positive credentials analogous to LEED certification in green building, rather than as punitive compliance mechanisms.</w:t>
      </w:r>
    </w:p>
    <w:p w14:paraId="6338E51E" w14:textId="77777777" w:rsidR="002F36D3" w:rsidRDefault="00000000">
      <w:pPr>
        <w:pStyle w:val="BodyText"/>
      </w:pPr>
      <w:r>
        <w:t>These precedents suggest that the proposed instruments would face several identifiable barriers. The absence of enforcement mechanisms means that compliance is guided by cost-benefit assessment rather than legal obligation, and where compliance costs are high relative to non-compliance costs, adoption will be incomplete. ESA’s Space Environment Report documents that even the improving compliance rates with existing voluntary guidelines (approximately 80-90% for rocket body disposal, but substantially lower for payload disposal by mass) still result in net growth of the orbital population, indicating that voluntary measures alone may prove insufficient. Regulatory arbitrage presents a further challenge: operators can register in jurisdictions with weaker oversight requirements, analogous to the “flags of convenience” problem that has undermined maritime governance under UNCLOS. The fragmentation among major spacefaring powers means that no voluntary initiative currently includes all significant actors, and geopolitical competition between the Artemis and ILRS frameworks may impede universal adoption.</w:t>
      </w:r>
    </w:p>
    <w:p w14:paraId="18BA943B" w14:textId="77777777" w:rsidR="002F36D3" w:rsidRDefault="00000000">
      <w:pPr>
        <w:pStyle w:val="BodyText"/>
      </w:pPr>
      <w:r>
        <w:t>Overcoming these barriers likely requires a coalition-of-the-willing strategy rather than universal participation from the outset. The proposed instruments are designed to create competitive advantages for early adopters through insurance premium differentiation, preferential procurement, and reputational benefits that make non-participation costly over time. National licensing authorities can amplify adoption by incorporating registry standards into domestic launch authorization requirements, as the U.S. Federal Communications Commission did when it adopted a five-year post-mission disposal rule in September 2022 (</w:t>
      </w:r>
      <w:hyperlink w:anchor="ref-fcc2022">
        <w:r w:rsidR="002F36D3">
          <w:rPr>
            <w:rStyle w:val="Hyperlink"/>
          </w:rPr>
          <w:t>Federal Communications Commission, 2022</w:t>
        </w:r>
      </w:hyperlink>
      <w:r>
        <w:t xml:space="preserve">). The COPUOS Working Group on the Long-Term </w:t>
      </w:r>
      <w:r>
        <w:lastRenderedPageBreak/>
        <w:t>Sustainability of Outer Space Activities, which produced twenty-one consensus guidelines through four expert groups over eight years (2010-2018) (</w:t>
      </w:r>
      <w:hyperlink w:anchor="ref-martinez2021">
        <w:r w:rsidR="002F36D3">
          <w:rPr>
            <w:rStyle w:val="Hyperlink"/>
          </w:rPr>
          <w:t>Martinez, 2021</w:t>
        </w:r>
      </w:hyperlink>
      <w:r>
        <w:t>), demonstrates that multilateral expert deliberation on space governance is feasible, although time-consuming. Expert road-testing of the specific instruments proposed here, through dedicated COPUOS working groups, the recently established Action Team on Lunar Activities, or academic-industry partnerships, represents a natural and necessary next step that this paper’s framework is designed to inform rather than replace.</w:t>
      </w:r>
    </w:p>
    <w:p w14:paraId="48D5573A" w14:textId="77777777" w:rsidR="002F36D3" w:rsidRDefault="00000000">
      <w:pPr>
        <w:pStyle w:val="Heading2"/>
        <w:spacing w:before="720" w:after="120"/>
      </w:pPr>
      <w:bookmarkStart w:id="28" w:name="X3514ca1e9739e63624bfc5e5d41962a23ffcd91"/>
      <w:bookmarkEnd w:id="21"/>
      <w:bookmarkEnd w:id="27"/>
      <w:r>
        <w:t>8. Ethics and Legitimacy of Behavioral Instruments in Global Governance</w:t>
      </w:r>
    </w:p>
    <w:p w14:paraId="3B8023F6" w14:textId="77777777" w:rsidR="002F36D3" w:rsidRDefault="00000000">
      <w:pPr>
        <w:pStyle w:val="FirstParagraph"/>
      </w:pPr>
      <w:r>
        <w:t>International governance operates through institutional legitimacy in the absence of direct democratic authorization, making transparency and contestability central design requirements for behavioral instruments. Because choice architecture can obscure policy choices if implemented opaquely (</w:t>
      </w:r>
      <w:hyperlink w:anchor="ref-loewenstein2017">
        <w:r w:rsidR="002F36D3">
          <w:rPr>
            <w:rStyle w:val="Hyperlink"/>
          </w:rPr>
          <w:t>Loewenstein and Chater, 2017</w:t>
        </w:r>
      </w:hyperlink>
      <w:r>
        <w:t>), several safeguards merit consideration. Ex-ante transparency would involve publishing all defaults, scoring rules, and criteria before implementation, and drawing registry defaults from established international standards (ISO, COSPAR, ITU-R) grounds legitimacy in prior multilateral consensus.</w:t>
      </w:r>
    </w:p>
    <w:p w14:paraId="3DF070AE" w14:textId="77777777" w:rsidR="002F36D3" w:rsidRDefault="00000000">
      <w:pPr>
        <w:pStyle w:val="BodyText"/>
      </w:pPr>
      <w:r>
        <w:t>Autonomy preservation ensures that all interventions preserve operator choice through voluntary participation. The registry permits opt-outs with stated justification, site designations employ graduated guidance that stops short of outright prohibition, and safety zones include sunset clauses ensuring periodic reassessment.</w:t>
      </w:r>
    </w:p>
    <w:p w14:paraId="4C1F94A8" w14:textId="77777777" w:rsidR="002F36D3" w:rsidRDefault="00000000">
      <w:pPr>
        <w:pStyle w:val="BodyText"/>
      </w:pPr>
      <w:r>
        <w:t xml:space="preserve">Contestability and independent audit provide accountability mechanisms compensating for the absence of democratic authorization. Design features such as appeals windows for ratings, peer review for site designations, and pre-specified evaluation protocols would help </w:t>
      </w:r>
      <w:r>
        <w:lastRenderedPageBreak/>
        <w:t>ensure that behavioral instruments remain subject to scrutiny and revision. Together, these safeguards address the requirement that behavioral instruments operating in international contexts must maintain legitimacy through procedural openness even when formal democratic accountability is absent.</w:t>
      </w:r>
    </w:p>
    <w:p w14:paraId="7296DBE0" w14:textId="77777777" w:rsidR="002F36D3" w:rsidRDefault="00000000">
      <w:pPr>
        <w:pStyle w:val="Heading2"/>
        <w:spacing w:before="720" w:after="120"/>
      </w:pPr>
      <w:bookmarkStart w:id="29" w:name="conclusion"/>
      <w:bookmarkEnd w:id="28"/>
      <w:r>
        <w:t>9. Conclusion</w:t>
      </w:r>
    </w:p>
    <w:p w14:paraId="207E2154" w14:textId="77777777" w:rsidR="002F36D3" w:rsidRDefault="00000000">
      <w:pPr>
        <w:pStyle w:val="FirstParagraph"/>
      </w:pPr>
      <w:r>
        <w:t>Space governance confronts a fundamental challenge because Cold War institutions cannot manage contemporary multi-actor expansion driven by both commercial ambition and scientific exploration, and traditional analysis assuming rational optimization misses behavioral patterns that create predictable governance failures. The Astro-Economic Behavioral (AEB) Framework addresses this through behavioral micro-foundations, modeling how narrative salience biases target selection (Narrative Capital), costly signaling drives high-risk activities (Conspicuous Exploration), and choice architecture channels these forces toward sustainable outcomes (Behavioral Governance). These mechanisms generate testable predictions distinguishing AEB from rational-actor models.</w:t>
      </w:r>
    </w:p>
    <w:p w14:paraId="21D15E39" w14:textId="77777777" w:rsidR="002F36D3" w:rsidRDefault="00000000">
      <w:pPr>
        <w:pStyle w:val="BodyText"/>
      </w:pPr>
      <w:r>
        <w:t>The framework specifies four instruments anchored in existing regimes. Registry defaults, a reputational index, loss-framed designations, and time-bounded safety zones require no new treaties and leverage behavioral mechanisms where meta-analytic evidence supports effectiveness. Pre-specified quasi-experimental evaluation designs enable evidence-based iteration where RCTs are infeasible.</w:t>
      </w:r>
    </w:p>
    <w:p w14:paraId="781867DA" w14:textId="77777777" w:rsidR="002F36D3" w:rsidRDefault="00000000">
      <w:pPr>
        <w:pStyle w:val="BodyText"/>
      </w:pPr>
      <w:r>
        <w:t xml:space="preserve">The framework has important limitations: it cannot restrain deliberate military competition, reputational mechanisms work heterogeneously across actor types, and polycentric governance lacks binding enforcement. These constraints require complementary approaches, </w:t>
      </w:r>
      <w:r>
        <w:lastRenderedPageBreak/>
        <w:t>but the framework’s contribution is making responsible behavior easier and more attractive for actors motivated by scientific discovery and commercial success, reducing friction for cooperation and increasing reputational costs for defection to shift equilibria toward sustainable practices. A phased approach would enable learning (the Online Appendix specifies a three-phase implementation pathway from foundation building through pilot programs to site designations and safety zones), with evaluation and evidence-based refinement allowing the framework to evolve while opening research agendas for behavioral scientists, policy scholars, and legal analysts. The window for preventive governance is narrowing. Satellite megaconstellations are already degrading astronomical observations from both ground and space (</w:t>
      </w:r>
      <w:hyperlink w:anchor="ref-borlaff2025">
        <w:r w:rsidR="002F36D3">
          <w:rPr>
            <w:rStyle w:val="Hyperlink"/>
          </w:rPr>
          <w:t>Borlaff et al., 2025</w:t>
        </w:r>
      </w:hyperlink>
      <w:r>
        <w:t xml:space="preserve">; </w:t>
      </w:r>
      <w:hyperlink w:anchor="ref-kruk2023">
        <w:r w:rsidR="002F36D3">
          <w:rPr>
            <w:rStyle w:val="Hyperlink"/>
          </w:rPr>
          <w:t>Kruk et al., 2023</w:t>
        </w:r>
      </w:hyperlink>
      <w:r>
        <w:t>), unintended radio emissions threaten frequency bands protected for scientific use, and escalating debris densities increase collision risks to irreplaceable research assets. Acting now with behavioral insights, rigorous evaluation, and adaptive iteration offers the best prospect for preserving space as an environment for both scientific discovery and sustainable commercial activity.</w:t>
      </w:r>
    </w:p>
    <w:p w14:paraId="5B550A68" w14:textId="77777777" w:rsidR="002F36D3" w:rsidRDefault="00000000">
      <w:pPr>
        <w:pStyle w:val="Heading2"/>
        <w:spacing w:before="720" w:after="120"/>
      </w:pPr>
      <w:bookmarkStart w:id="30" w:name="data-availability-statement"/>
      <w:bookmarkEnd w:id="29"/>
      <w:r>
        <w:t>Data Availability Statement</w:t>
      </w:r>
    </w:p>
    <w:p w14:paraId="290325E2" w14:textId="77777777" w:rsidR="009B628C" w:rsidRDefault="00000000" w:rsidP="009B628C">
      <w:pPr>
        <w:pStyle w:val="FirstParagraph"/>
        <w:ind w:firstLine="0"/>
      </w:pPr>
      <w:r>
        <w:t>No new data were created or analyzed in this study. The framework provides designs for future data collection and evaluation.</w:t>
      </w:r>
      <w:bookmarkStart w:id="31" w:name="funding-statement"/>
      <w:bookmarkEnd w:id="30"/>
    </w:p>
    <w:p w14:paraId="25472254" w14:textId="30AE47BF" w:rsidR="002F36D3" w:rsidRPr="009B628C" w:rsidRDefault="00000000" w:rsidP="009B628C">
      <w:pPr>
        <w:pStyle w:val="FirstParagraph"/>
        <w:ind w:firstLine="0"/>
        <w:rPr>
          <w:b/>
          <w:bCs/>
        </w:rPr>
      </w:pPr>
      <w:r w:rsidRPr="009B628C">
        <w:rPr>
          <w:b/>
          <w:bCs/>
        </w:rPr>
        <w:t>Funding Statement</w:t>
      </w:r>
    </w:p>
    <w:p w14:paraId="6C9DFE9C" w14:textId="77777777" w:rsidR="009B628C" w:rsidRDefault="00000000" w:rsidP="009B628C">
      <w:pPr>
        <w:pStyle w:val="FirstParagraph"/>
        <w:ind w:firstLine="0"/>
      </w:pPr>
      <w:r>
        <w:t xml:space="preserve">This research did not receive specific funding from public, commercial, or </w:t>
      </w:r>
      <w:proofErr w:type="gramStart"/>
      <w:r>
        <w:t>not-for</w:t>
      </w:r>
      <w:proofErr w:type="gramEnd"/>
      <w:r>
        <w:t>-profit sources.</w:t>
      </w:r>
      <w:bookmarkStart w:id="32" w:name="competing-interests"/>
      <w:bookmarkEnd w:id="31"/>
    </w:p>
    <w:p w14:paraId="5B545722" w14:textId="06A46AB3" w:rsidR="002F36D3" w:rsidRPr="009B628C" w:rsidRDefault="00000000" w:rsidP="009B628C">
      <w:pPr>
        <w:pStyle w:val="FirstParagraph"/>
        <w:ind w:firstLine="0"/>
        <w:rPr>
          <w:b/>
          <w:bCs/>
        </w:rPr>
      </w:pPr>
      <w:r w:rsidRPr="009B628C">
        <w:rPr>
          <w:b/>
          <w:bCs/>
        </w:rPr>
        <w:t>Competing Interests</w:t>
      </w:r>
    </w:p>
    <w:p w14:paraId="4D9F9FC6" w14:textId="3D02EE17" w:rsidR="002F36D3" w:rsidRDefault="00000000" w:rsidP="009B628C">
      <w:pPr>
        <w:pStyle w:val="FirstParagraph"/>
        <w:ind w:firstLine="0"/>
      </w:pPr>
      <w:r>
        <w:t>The author</w:t>
      </w:r>
      <w:r w:rsidR="009B628C">
        <w:t>s</w:t>
      </w:r>
      <w:r>
        <w:t xml:space="preserve"> declare no competing interests.</w:t>
      </w:r>
    </w:p>
    <w:p w14:paraId="7FC14265" w14:textId="77777777" w:rsidR="002F36D3" w:rsidRDefault="00000000">
      <w:pPr>
        <w:pStyle w:val="Heading2"/>
        <w:spacing w:before="720" w:after="120"/>
      </w:pPr>
      <w:bookmarkStart w:id="33" w:name="appendix-glossary-of-key-terms"/>
      <w:bookmarkEnd w:id="32"/>
      <w:r>
        <w:lastRenderedPageBreak/>
        <w:t>Appendix: Glossary of Key Terms</w:t>
      </w:r>
    </w:p>
    <w:tbl>
      <w:tblPr>
        <w:tblStyle w:val="Table"/>
        <w:tblW w:w="5000" w:type="pct"/>
        <w:tblInd w:w="108" w:type="dxa"/>
        <w:tblLayout w:type="fixed"/>
        <w:tblLook w:val="0020" w:firstRow="1" w:lastRow="0" w:firstColumn="0" w:lastColumn="0" w:noHBand="0" w:noVBand="0"/>
      </w:tblPr>
      <w:tblGrid>
        <w:gridCol w:w="1890"/>
        <w:gridCol w:w="7686"/>
      </w:tblGrid>
      <w:tr w:rsidR="002F36D3" w14:paraId="73D8CE15" w14:textId="77777777" w:rsidTr="009B628C">
        <w:trPr>
          <w:tblHeader/>
        </w:trPr>
        <w:tc>
          <w:tcPr>
            <w:tcW w:w="1890" w:type="dxa"/>
          </w:tcPr>
          <w:p w14:paraId="341D2A3B" w14:textId="77777777" w:rsidR="002F36D3" w:rsidRDefault="00000000">
            <w:pPr>
              <w:pStyle w:val="Compact"/>
              <w:ind w:firstLine="0"/>
            </w:pPr>
            <w:r>
              <w:t>Term</w:t>
            </w:r>
          </w:p>
        </w:tc>
        <w:tc>
          <w:tcPr>
            <w:tcW w:w="7686" w:type="dxa"/>
          </w:tcPr>
          <w:p w14:paraId="5DE9F7EB" w14:textId="77777777" w:rsidR="002F36D3" w:rsidRDefault="00000000">
            <w:pPr>
              <w:pStyle w:val="Compact"/>
              <w:ind w:firstLine="0"/>
            </w:pPr>
            <w:r>
              <w:t>Definition</w:t>
            </w:r>
          </w:p>
        </w:tc>
      </w:tr>
      <w:tr w:rsidR="002F36D3" w14:paraId="23EC1D99" w14:textId="77777777" w:rsidTr="009B628C">
        <w:tc>
          <w:tcPr>
            <w:tcW w:w="1890" w:type="dxa"/>
          </w:tcPr>
          <w:p w14:paraId="5F66E20E" w14:textId="77777777" w:rsidR="002F36D3" w:rsidRDefault="00000000">
            <w:pPr>
              <w:pStyle w:val="Compact"/>
              <w:ind w:firstLine="0"/>
            </w:pPr>
            <w:r>
              <w:t>Low Earth Orbit (LEO)</w:t>
            </w:r>
          </w:p>
        </w:tc>
        <w:tc>
          <w:tcPr>
            <w:tcW w:w="7686" w:type="dxa"/>
          </w:tcPr>
          <w:p w14:paraId="08FB189E" w14:textId="77777777" w:rsidR="002F36D3" w:rsidRDefault="00000000">
            <w:pPr>
              <w:pStyle w:val="Compact"/>
              <w:ind w:firstLine="0"/>
            </w:pPr>
            <w:r>
              <w:t>Orbital region from approximately 160 to 2,000 km altitude, hosting the majority of commercial satellites and the International Space Station</w:t>
            </w:r>
          </w:p>
        </w:tc>
      </w:tr>
      <w:tr w:rsidR="002F36D3" w14:paraId="4DA074C0" w14:textId="77777777" w:rsidTr="009B628C">
        <w:tc>
          <w:tcPr>
            <w:tcW w:w="1890" w:type="dxa"/>
          </w:tcPr>
          <w:p w14:paraId="343832E6" w14:textId="77777777" w:rsidR="002F36D3" w:rsidRDefault="00000000">
            <w:pPr>
              <w:pStyle w:val="Compact"/>
              <w:ind w:firstLine="0"/>
            </w:pPr>
            <w:r>
              <w:t>Geostationary Orbit (GEO)</w:t>
            </w:r>
          </w:p>
        </w:tc>
        <w:tc>
          <w:tcPr>
            <w:tcW w:w="7686" w:type="dxa"/>
          </w:tcPr>
          <w:p w14:paraId="6B0583DC" w14:textId="77777777" w:rsidR="002F36D3" w:rsidRDefault="00000000">
            <w:pPr>
              <w:pStyle w:val="Compact"/>
              <w:ind w:firstLine="0"/>
            </w:pPr>
            <w:r>
              <w:t>Circular orbit at 35,786 km altitude where satellites appear stationary relative to Earth’s surface, critical for telecommunications and weather observation</w:t>
            </w:r>
          </w:p>
        </w:tc>
      </w:tr>
      <w:tr w:rsidR="002F36D3" w14:paraId="26D929BE" w14:textId="77777777" w:rsidTr="009B628C">
        <w:tc>
          <w:tcPr>
            <w:tcW w:w="1890" w:type="dxa"/>
          </w:tcPr>
          <w:p w14:paraId="1FABBDE6" w14:textId="77777777" w:rsidR="002F36D3" w:rsidRDefault="00000000">
            <w:pPr>
              <w:pStyle w:val="Compact"/>
              <w:ind w:firstLine="0"/>
            </w:pPr>
            <w:r>
              <w:t>Space Debris</w:t>
            </w:r>
          </w:p>
        </w:tc>
        <w:tc>
          <w:tcPr>
            <w:tcW w:w="7686" w:type="dxa"/>
          </w:tcPr>
          <w:p w14:paraId="1AA0D35C" w14:textId="77777777" w:rsidR="002F36D3" w:rsidRDefault="00000000">
            <w:pPr>
              <w:pStyle w:val="Compact"/>
              <w:ind w:firstLine="0"/>
            </w:pPr>
            <w:r>
              <w:t>Non-functional spacecraft, spent rocket stages, and fragments from collisions or deterioration that remain in orbit, posing collision risks to operational assets</w:t>
            </w:r>
          </w:p>
        </w:tc>
      </w:tr>
      <w:tr w:rsidR="002F36D3" w14:paraId="1C490EFC" w14:textId="77777777" w:rsidTr="009B628C">
        <w:tc>
          <w:tcPr>
            <w:tcW w:w="1890" w:type="dxa"/>
          </w:tcPr>
          <w:p w14:paraId="74233623" w14:textId="77777777" w:rsidR="002F36D3" w:rsidRDefault="00000000">
            <w:pPr>
              <w:pStyle w:val="Compact"/>
              <w:ind w:firstLine="0"/>
            </w:pPr>
            <w:r>
              <w:t>Kessler Syndrome</w:t>
            </w:r>
          </w:p>
        </w:tc>
        <w:tc>
          <w:tcPr>
            <w:tcW w:w="7686" w:type="dxa"/>
          </w:tcPr>
          <w:p w14:paraId="05E0CDEF" w14:textId="77777777" w:rsidR="002F36D3" w:rsidRDefault="00000000">
            <w:pPr>
              <w:pStyle w:val="Compact"/>
              <w:ind w:firstLine="0"/>
            </w:pPr>
            <w:r>
              <w:t>A theoretical cascade scenario in which debris density reaches a point where collisions generate more debris than natural decay removes, potentially rendering certain orbital regions unusable for generations</w:t>
            </w:r>
          </w:p>
        </w:tc>
      </w:tr>
      <w:tr w:rsidR="002F36D3" w14:paraId="564F45F5" w14:textId="77777777" w:rsidTr="009B628C">
        <w:tc>
          <w:tcPr>
            <w:tcW w:w="1890" w:type="dxa"/>
          </w:tcPr>
          <w:p w14:paraId="39D0A620" w14:textId="77777777" w:rsidR="002F36D3" w:rsidRDefault="00000000">
            <w:pPr>
              <w:pStyle w:val="Compact"/>
              <w:ind w:firstLine="0"/>
            </w:pPr>
            <w:r>
              <w:t>Conjunction</w:t>
            </w:r>
          </w:p>
        </w:tc>
        <w:tc>
          <w:tcPr>
            <w:tcW w:w="7686" w:type="dxa"/>
          </w:tcPr>
          <w:p w14:paraId="1481E588" w14:textId="77777777" w:rsidR="002F36D3" w:rsidRDefault="00000000">
            <w:pPr>
              <w:pStyle w:val="Compact"/>
              <w:ind w:firstLine="0"/>
            </w:pPr>
            <w:r>
              <w:t>A predicted close approach between two space objects, requiring assessment and potentially avoidance maneuvers</w:t>
            </w:r>
          </w:p>
        </w:tc>
      </w:tr>
      <w:tr w:rsidR="002F36D3" w14:paraId="28E47938" w14:textId="77777777" w:rsidTr="009B628C">
        <w:tc>
          <w:tcPr>
            <w:tcW w:w="1890" w:type="dxa"/>
          </w:tcPr>
          <w:p w14:paraId="3A3BA0A5" w14:textId="77777777" w:rsidR="002F36D3" w:rsidRDefault="00000000">
            <w:pPr>
              <w:pStyle w:val="Compact"/>
              <w:ind w:firstLine="0"/>
            </w:pPr>
            <w:r>
              <w:t>Megaconstellation</w:t>
            </w:r>
          </w:p>
        </w:tc>
        <w:tc>
          <w:tcPr>
            <w:tcW w:w="7686" w:type="dxa"/>
          </w:tcPr>
          <w:p w14:paraId="1C8EAF36" w14:textId="77777777" w:rsidR="002F36D3" w:rsidRDefault="00000000">
            <w:pPr>
              <w:pStyle w:val="Compact"/>
              <w:ind w:firstLine="0"/>
            </w:pPr>
            <w:r>
              <w:t>Large satellite systems comprising hundreds or thousands of coordinated satellites in low Earth orbit, such as SpaceX’s Starlink, Amazon’s Project Kuiper, and OneWeb</w:t>
            </w:r>
          </w:p>
        </w:tc>
      </w:tr>
      <w:tr w:rsidR="002F36D3" w14:paraId="63D73B78" w14:textId="77777777" w:rsidTr="009B628C">
        <w:tc>
          <w:tcPr>
            <w:tcW w:w="1890" w:type="dxa"/>
          </w:tcPr>
          <w:p w14:paraId="600B2193" w14:textId="77777777" w:rsidR="002F36D3" w:rsidRDefault="00000000">
            <w:pPr>
              <w:pStyle w:val="Compact"/>
              <w:ind w:firstLine="0"/>
            </w:pPr>
            <w:r>
              <w:t>Passivation</w:t>
            </w:r>
          </w:p>
        </w:tc>
        <w:tc>
          <w:tcPr>
            <w:tcW w:w="7686" w:type="dxa"/>
          </w:tcPr>
          <w:p w14:paraId="2613E224" w14:textId="77777777" w:rsidR="002F36D3" w:rsidRDefault="00000000">
            <w:pPr>
              <w:pStyle w:val="Compact"/>
              <w:ind w:firstLine="0"/>
            </w:pPr>
            <w:r>
              <w:t>Depleting a spacecraft’s residual energy sources (fuel, batteries, pressurized vessels) after mission completion to prevent accidental explosions that generate debris</w:t>
            </w:r>
          </w:p>
        </w:tc>
      </w:tr>
      <w:tr w:rsidR="002F36D3" w14:paraId="44637081" w14:textId="77777777" w:rsidTr="009B628C">
        <w:tc>
          <w:tcPr>
            <w:tcW w:w="1890" w:type="dxa"/>
          </w:tcPr>
          <w:p w14:paraId="531153DE" w14:textId="77777777" w:rsidR="002F36D3" w:rsidRDefault="00000000">
            <w:pPr>
              <w:pStyle w:val="Compact"/>
              <w:ind w:firstLine="0"/>
            </w:pPr>
            <w:r>
              <w:t>Bioburden</w:t>
            </w:r>
          </w:p>
        </w:tc>
        <w:tc>
          <w:tcPr>
            <w:tcW w:w="7686" w:type="dxa"/>
          </w:tcPr>
          <w:p w14:paraId="5ACB4D5B" w14:textId="77777777" w:rsidR="002F36D3" w:rsidRDefault="00000000">
            <w:pPr>
              <w:pStyle w:val="Compact"/>
              <w:ind w:firstLine="0"/>
            </w:pPr>
            <w:r>
              <w:t>The quantity of viable microorganisms on a spacecraft, controlled to prevent biological contamination of celestial bodies during exploration missions</w:t>
            </w:r>
          </w:p>
        </w:tc>
      </w:tr>
      <w:tr w:rsidR="002F36D3" w14:paraId="6755AA7E" w14:textId="77777777" w:rsidTr="009B628C">
        <w:tc>
          <w:tcPr>
            <w:tcW w:w="1890" w:type="dxa"/>
          </w:tcPr>
          <w:p w14:paraId="35DFD38A" w14:textId="77777777" w:rsidR="002F36D3" w:rsidRDefault="00000000">
            <w:pPr>
              <w:pStyle w:val="Compact"/>
              <w:ind w:firstLine="0"/>
            </w:pPr>
            <w:r>
              <w:t>Active Debris Removal (ADR)</w:t>
            </w:r>
          </w:p>
        </w:tc>
        <w:tc>
          <w:tcPr>
            <w:tcW w:w="7686" w:type="dxa"/>
          </w:tcPr>
          <w:p w14:paraId="66C32454" w14:textId="77777777" w:rsidR="002F36D3" w:rsidRDefault="00000000">
            <w:pPr>
              <w:pStyle w:val="Compact"/>
              <w:ind w:firstLine="0"/>
            </w:pPr>
            <w:r>
              <w:t>Technologies and missions designed to physically remove existing debris from orbit, such as ESA’s ClearSpace-1 and Astroscale’s ELSA-d</w:t>
            </w:r>
          </w:p>
        </w:tc>
      </w:tr>
      <w:tr w:rsidR="002F36D3" w14:paraId="13FC6097" w14:textId="77777777" w:rsidTr="009B628C">
        <w:tc>
          <w:tcPr>
            <w:tcW w:w="1890" w:type="dxa"/>
          </w:tcPr>
          <w:p w14:paraId="5C7A86E7" w14:textId="77777777" w:rsidR="002F36D3" w:rsidRDefault="00000000">
            <w:pPr>
              <w:pStyle w:val="Compact"/>
              <w:ind w:firstLine="0"/>
            </w:pPr>
            <w:r>
              <w:t>Outer Space Treaty (OST)</w:t>
            </w:r>
          </w:p>
        </w:tc>
        <w:tc>
          <w:tcPr>
            <w:tcW w:w="7686" w:type="dxa"/>
          </w:tcPr>
          <w:p w14:paraId="639631AB" w14:textId="77777777" w:rsidR="002F36D3" w:rsidRDefault="00000000">
            <w:pPr>
              <w:pStyle w:val="Compact"/>
              <w:ind w:firstLine="0"/>
            </w:pPr>
            <w:r>
              <w:t>The 1967 treaty forming the foundation of international space law, establishing principles including non-appropriation of celestial bodies and “due regard” for other states’ interests</w:t>
            </w:r>
          </w:p>
        </w:tc>
      </w:tr>
      <w:tr w:rsidR="002F36D3" w14:paraId="3E3FF3C0" w14:textId="77777777" w:rsidTr="009B628C">
        <w:tc>
          <w:tcPr>
            <w:tcW w:w="1890" w:type="dxa"/>
          </w:tcPr>
          <w:p w14:paraId="541230CF" w14:textId="77777777" w:rsidR="002F36D3" w:rsidRDefault="00000000">
            <w:pPr>
              <w:pStyle w:val="Compact"/>
              <w:ind w:firstLine="0"/>
            </w:pPr>
            <w:r>
              <w:t>Artemis Accords</w:t>
            </w:r>
          </w:p>
        </w:tc>
        <w:tc>
          <w:tcPr>
            <w:tcW w:w="7686" w:type="dxa"/>
          </w:tcPr>
          <w:p w14:paraId="58E758A1" w14:textId="77777777" w:rsidR="002F36D3" w:rsidRDefault="00000000">
            <w:pPr>
              <w:pStyle w:val="Compact"/>
              <w:ind w:firstLine="0"/>
            </w:pPr>
            <w:r>
              <w:t>A set of bilateral agreements initiated by the United States in 2020 establishing principles for cooperative lunar exploration, signed by over 60 nations as of early 2026</w:t>
            </w:r>
          </w:p>
        </w:tc>
      </w:tr>
      <w:tr w:rsidR="002F36D3" w14:paraId="6CA48B17" w14:textId="77777777" w:rsidTr="009B628C">
        <w:tc>
          <w:tcPr>
            <w:tcW w:w="1890" w:type="dxa"/>
          </w:tcPr>
          <w:p w14:paraId="3676EFBB" w14:textId="77777777" w:rsidR="002F36D3" w:rsidRDefault="00000000">
            <w:pPr>
              <w:pStyle w:val="Compact"/>
              <w:ind w:firstLine="0"/>
            </w:pPr>
            <w:r>
              <w:t>COPUOS</w:t>
            </w:r>
          </w:p>
        </w:tc>
        <w:tc>
          <w:tcPr>
            <w:tcW w:w="7686" w:type="dxa"/>
          </w:tcPr>
          <w:p w14:paraId="0BD7B0C1" w14:textId="77777777" w:rsidR="002F36D3" w:rsidRDefault="00000000">
            <w:pPr>
              <w:pStyle w:val="Compact"/>
              <w:ind w:firstLine="0"/>
            </w:pPr>
            <w:r>
              <w:t>United Nations Committee on the Peaceful Uses of Outer Space, the primary multilateral forum for developing space governance norms</w:t>
            </w:r>
          </w:p>
        </w:tc>
      </w:tr>
      <w:tr w:rsidR="002F36D3" w14:paraId="2D29F533" w14:textId="77777777" w:rsidTr="009B628C">
        <w:tc>
          <w:tcPr>
            <w:tcW w:w="1890" w:type="dxa"/>
          </w:tcPr>
          <w:p w14:paraId="7F78ED49" w14:textId="77777777" w:rsidR="002F36D3" w:rsidRDefault="00000000">
            <w:pPr>
              <w:pStyle w:val="Compact"/>
              <w:ind w:firstLine="0"/>
            </w:pPr>
            <w:r>
              <w:t>COSPAR</w:t>
            </w:r>
          </w:p>
        </w:tc>
        <w:tc>
          <w:tcPr>
            <w:tcW w:w="7686" w:type="dxa"/>
          </w:tcPr>
          <w:p w14:paraId="5D33F424" w14:textId="77777777" w:rsidR="002F36D3" w:rsidRDefault="00000000">
            <w:pPr>
              <w:pStyle w:val="Compact"/>
              <w:ind w:firstLine="0"/>
            </w:pPr>
            <w:r>
              <w:t>Committee on Space Research, the scientific body that establishes planetary protection categories and guidelines</w:t>
            </w:r>
          </w:p>
        </w:tc>
      </w:tr>
      <w:tr w:rsidR="002F36D3" w14:paraId="21B3B3AB" w14:textId="77777777" w:rsidTr="009B628C">
        <w:tc>
          <w:tcPr>
            <w:tcW w:w="1890" w:type="dxa"/>
          </w:tcPr>
          <w:p w14:paraId="3DB0837D" w14:textId="77777777" w:rsidR="002F36D3" w:rsidRDefault="00000000">
            <w:pPr>
              <w:pStyle w:val="Compact"/>
              <w:ind w:firstLine="0"/>
            </w:pPr>
            <w:r>
              <w:t>IADC</w:t>
            </w:r>
          </w:p>
        </w:tc>
        <w:tc>
          <w:tcPr>
            <w:tcW w:w="7686" w:type="dxa"/>
          </w:tcPr>
          <w:p w14:paraId="37B123B5" w14:textId="77777777" w:rsidR="002F36D3" w:rsidRDefault="00000000">
            <w:pPr>
              <w:pStyle w:val="Compact"/>
              <w:ind w:firstLine="0"/>
            </w:pPr>
            <w:r>
              <w:t>Inter-Agency Space Debris Coordination Committee, comprising 13 national space agencies, which develops consensus guidelines for debris mitigation</w:t>
            </w:r>
          </w:p>
        </w:tc>
      </w:tr>
      <w:tr w:rsidR="002F36D3" w14:paraId="152746E3" w14:textId="77777777" w:rsidTr="009B628C">
        <w:tc>
          <w:tcPr>
            <w:tcW w:w="1890" w:type="dxa"/>
          </w:tcPr>
          <w:p w14:paraId="06006398" w14:textId="77777777" w:rsidR="002F36D3" w:rsidRDefault="00000000">
            <w:pPr>
              <w:pStyle w:val="Compact"/>
              <w:ind w:firstLine="0"/>
            </w:pPr>
            <w:r>
              <w:t>ITU</w:t>
            </w:r>
          </w:p>
        </w:tc>
        <w:tc>
          <w:tcPr>
            <w:tcW w:w="7686" w:type="dxa"/>
          </w:tcPr>
          <w:p w14:paraId="57F961BC" w14:textId="77777777" w:rsidR="002F36D3" w:rsidRDefault="00000000">
            <w:pPr>
              <w:pStyle w:val="Compact"/>
              <w:ind w:firstLine="0"/>
            </w:pPr>
            <w:r>
              <w:t>International Telecommunication Union, the UN agency that coordinates global radio spectrum allocation and satellite orbital positions</w:t>
            </w:r>
          </w:p>
        </w:tc>
      </w:tr>
      <w:tr w:rsidR="002F36D3" w14:paraId="0B258D6D" w14:textId="77777777" w:rsidTr="009B628C">
        <w:tc>
          <w:tcPr>
            <w:tcW w:w="1890" w:type="dxa"/>
          </w:tcPr>
          <w:p w14:paraId="1ED720EC" w14:textId="77777777" w:rsidR="002F36D3" w:rsidRDefault="00000000">
            <w:pPr>
              <w:pStyle w:val="Compact"/>
              <w:ind w:firstLine="0"/>
            </w:pPr>
            <w:r>
              <w:t>UNOOSA</w:t>
            </w:r>
          </w:p>
        </w:tc>
        <w:tc>
          <w:tcPr>
            <w:tcW w:w="7686" w:type="dxa"/>
          </w:tcPr>
          <w:p w14:paraId="3E16C8E3" w14:textId="77777777" w:rsidR="002F36D3" w:rsidRDefault="00000000">
            <w:pPr>
              <w:pStyle w:val="Compact"/>
              <w:ind w:firstLine="0"/>
            </w:pPr>
            <w:r>
              <w:t>United Nations Office for Outer Space Affairs, which administers the UN Register of Objects Launched into Outer Space and supports COPUOS</w:t>
            </w:r>
          </w:p>
        </w:tc>
      </w:tr>
      <w:tr w:rsidR="002F36D3" w14:paraId="72718E62" w14:textId="77777777" w:rsidTr="009B628C">
        <w:tc>
          <w:tcPr>
            <w:tcW w:w="1890" w:type="dxa"/>
          </w:tcPr>
          <w:p w14:paraId="3AAF43B9" w14:textId="77777777" w:rsidR="002F36D3" w:rsidRDefault="00000000">
            <w:pPr>
              <w:pStyle w:val="Compact"/>
              <w:ind w:firstLine="0"/>
            </w:pPr>
            <w:r>
              <w:t>ISO 24113</w:t>
            </w:r>
          </w:p>
        </w:tc>
        <w:tc>
          <w:tcPr>
            <w:tcW w:w="7686" w:type="dxa"/>
          </w:tcPr>
          <w:p w14:paraId="70C5E1BA" w14:textId="77777777" w:rsidR="002F36D3" w:rsidRDefault="00000000">
            <w:pPr>
              <w:pStyle w:val="Compact"/>
              <w:ind w:firstLine="0"/>
            </w:pPr>
            <w:r>
              <w:t>The international technical standard specifying debris mitigation requirements for spacecraft design and operations</w:t>
            </w:r>
          </w:p>
        </w:tc>
      </w:tr>
      <w:tr w:rsidR="002F36D3" w14:paraId="491F1E4C" w14:textId="77777777" w:rsidTr="009B628C">
        <w:tc>
          <w:tcPr>
            <w:tcW w:w="1890" w:type="dxa"/>
          </w:tcPr>
          <w:p w14:paraId="09704283" w14:textId="77777777" w:rsidR="002F36D3" w:rsidRDefault="00000000">
            <w:pPr>
              <w:pStyle w:val="Compact"/>
              <w:ind w:firstLine="0"/>
            </w:pPr>
            <w:r>
              <w:t>SSA</w:t>
            </w:r>
          </w:p>
        </w:tc>
        <w:tc>
          <w:tcPr>
            <w:tcW w:w="7686" w:type="dxa"/>
          </w:tcPr>
          <w:p w14:paraId="32B44746" w14:textId="77777777" w:rsidR="002F36D3" w:rsidRDefault="00000000">
            <w:pPr>
              <w:pStyle w:val="Compact"/>
              <w:ind w:firstLine="0"/>
            </w:pPr>
            <w:r>
              <w:t>Space Situational Awareness, the tracking and monitoring of objects in orbit to predict conjunctions and manage collision risk</w:t>
            </w:r>
          </w:p>
        </w:tc>
      </w:tr>
    </w:tbl>
    <w:p w14:paraId="49DA2998" w14:textId="77777777" w:rsidR="002F36D3" w:rsidRDefault="00000000">
      <w:pPr>
        <w:pStyle w:val="Heading2"/>
        <w:spacing w:before="720" w:after="120"/>
      </w:pPr>
      <w:bookmarkStart w:id="34" w:name="references"/>
      <w:bookmarkEnd w:id="33"/>
      <w:r>
        <w:lastRenderedPageBreak/>
        <w:t>References</w:t>
      </w:r>
    </w:p>
    <w:p w14:paraId="517A79D8" w14:textId="77777777" w:rsidR="002F36D3" w:rsidRDefault="00000000">
      <w:pPr>
        <w:pStyle w:val="Bibliography"/>
        <w:ind w:left="720" w:hanging="720"/>
      </w:pPr>
      <w:bookmarkStart w:id="35" w:name="ref-abadie2021"/>
      <w:bookmarkStart w:id="36" w:name="refs"/>
      <w:r>
        <w:t xml:space="preserve">Abadie, A., 2021. Using synthetic controls: Feasibility, data requirements, and methodological aspects. Journal of Economic Literature 59, 391–425. </w:t>
      </w:r>
      <w:hyperlink r:id="rId8">
        <w:r w:rsidR="002F36D3">
          <w:rPr>
            <w:rStyle w:val="Hyperlink"/>
          </w:rPr>
          <w:t>https://doi.org/10.1257/jel.20191450</w:t>
        </w:r>
      </w:hyperlink>
    </w:p>
    <w:p w14:paraId="62A13433" w14:textId="77777777" w:rsidR="002F36D3" w:rsidRDefault="00000000">
      <w:pPr>
        <w:pStyle w:val="Bibliography"/>
        <w:ind w:left="720" w:hanging="720"/>
      </w:pPr>
      <w:bookmarkStart w:id="37" w:name="ref-adilov2023"/>
      <w:bookmarkEnd w:id="35"/>
      <w:r>
        <w:t xml:space="preserve">Adilov, N., Braun, V., Alexander, P., Cunningham, B., 2023. An estimate of expected economic losses from satellite collisions with orbital debris. Journal of Space Safety Engineering 10, 66–69. </w:t>
      </w:r>
      <w:hyperlink r:id="rId9">
        <w:r w:rsidR="002F36D3">
          <w:rPr>
            <w:rStyle w:val="Hyperlink"/>
          </w:rPr>
          <w:t>https://doi.org/10.1016/j.jsse.2023.01.002</w:t>
        </w:r>
      </w:hyperlink>
    </w:p>
    <w:p w14:paraId="5D5C7579" w14:textId="77777777" w:rsidR="002F36D3" w:rsidRDefault="00000000">
      <w:pPr>
        <w:pStyle w:val="Bibliography"/>
        <w:ind w:left="720" w:hanging="720"/>
      </w:pPr>
      <w:bookmarkStart w:id="38" w:name="ref-amiri2022"/>
      <w:bookmarkEnd w:id="37"/>
      <w:r>
        <w:t xml:space="preserve">Amiri, H.E.S., Brain, D., Sharaf, O., others, 2022. The Emirates Mars Mission. Space Science Reviews 218, 4. </w:t>
      </w:r>
      <w:hyperlink r:id="rId10">
        <w:r w:rsidR="002F36D3">
          <w:rPr>
            <w:rStyle w:val="Hyperlink"/>
          </w:rPr>
          <w:t>https://doi.org/10.1007/s11214-021-00868-x</w:t>
        </w:r>
      </w:hyperlink>
    </w:p>
    <w:p w14:paraId="3F1380D8" w14:textId="77777777" w:rsidR="002F36D3" w:rsidRDefault="00000000">
      <w:pPr>
        <w:pStyle w:val="Bibliography"/>
        <w:ind w:left="720" w:hanging="720"/>
      </w:pPr>
      <w:bookmarkStart w:id="39" w:name="ref-axelrod1984"/>
      <w:bookmarkEnd w:id="38"/>
      <w:r>
        <w:t>Axelrod, R., 1984. The evolution of cooperation. Basic Books.</w:t>
      </w:r>
    </w:p>
    <w:p w14:paraId="6A42A8CC" w14:textId="77777777" w:rsidR="002F36D3" w:rsidRDefault="00000000">
      <w:pPr>
        <w:pStyle w:val="Bibliography"/>
        <w:ind w:left="720" w:hanging="720"/>
      </w:pPr>
      <w:bookmarkStart w:id="40" w:name="ref-bastmeijer2004"/>
      <w:bookmarkEnd w:id="39"/>
      <w:r>
        <w:t xml:space="preserve">Bastmeijer, K., Roura, R., 2004. Regulating antarctic tourism and the precautionary principle. American Journal of International Law 98, 763–781. </w:t>
      </w:r>
      <w:hyperlink r:id="rId11">
        <w:r w:rsidR="002F36D3">
          <w:rPr>
            <w:rStyle w:val="Hyperlink"/>
          </w:rPr>
          <w:t>https://doi.org/10.2307/3216699</w:t>
        </w:r>
      </w:hyperlink>
    </w:p>
    <w:p w14:paraId="1A527B25" w14:textId="77777777" w:rsidR="002F36D3" w:rsidRDefault="00000000">
      <w:pPr>
        <w:pStyle w:val="Bibliography"/>
        <w:ind w:left="720" w:hanging="720"/>
      </w:pPr>
      <w:bookmarkStart w:id="41" w:name="ref-boley2021"/>
      <w:bookmarkEnd w:id="40"/>
      <w:r>
        <w:t xml:space="preserve">Boley, A.C., Byers, M., 2021. Satellite mega-constellations create risks in low Earth orbit, the atmosphere and on Earth. Scientific Reports 11, 10642. </w:t>
      </w:r>
      <w:hyperlink r:id="rId12">
        <w:r w:rsidR="002F36D3">
          <w:rPr>
            <w:rStyle w:val="Hyperlink"/>
          </w:rPr>
          <w:t>https://doi.org/10.1038/s41598-021-89909-7</w:t>
        </w:r>
      </w:hyperlink>
    </w:p>
    <w:p w14:paraId="694AF688" w14:textId="77777777" w:rsidR="002F36D3" w:rsidRDefault="00000000">
      <w:pPr>
        <w:pStyle w:val="Bibliography"/>
        <w:ind w:left="720" w:hanging="720"/>
      </w:pPr>
      <w:bookmarkStart w:id="42" w:name="ref-borlaff2025"/>
      <w:bookmarkEnd w:id="41"/>
      <w:r>
        <w:t xml:space="preserve">Borlaff, A.S., Marcum, P.M., Howell, S.B., 2025. Satellite megaconstellations will threaten space-based astronomy. Nature. </w:t>
      </w:r>
      <w:hyperlink r:id="rId13">
        <w:r w:rsidR="002F36D3">
          <w:rPr>
            <w:rStyle w:val="Hyperlink"/>
          </w:rPr>
          <w:t>https://doi.org/10.1038/s41586-025-09759-5</w:t>
        </w:r>
      </w:hyperlink>
    </w:p>
    <w:p w14:paraId="7BE0B32B" w14:textId="77777777" w:rsidR="002F36D3" w:rsidRDefault="00000000">
      <w:pPr>
        <w:pStyle w:val="Bibliography"/>
        <w:ind w:left="720" w:hanging="720"/>
      </w:pPr>
      <w:bookmarkStart w:id="43" w:name="ref-bourdieu1986"/>
      <w:bookmarkEnd w:id="42"/>
      <w:r>
        <w:t>Bourdieu, P., 1986. The forms of capital, in: Richardson, J.G. (Ed.), Handbook of Theory and Research for the Sociology of Education. Greenwood, pp. 241–258.</w:t>
      </w:r>
    </w:p>
    <w:p w14:paraId="76466ACF" w14:textId="77777777" w:rsidR="002F36D3" w:rsidRDefault="00000000">
      <w:pPr>
        <w:pStyle w:val="Bibliography"/>
        <w:ind w:left="720" w:hanging="720"/>
      </w:pPr>
      <w:bookmarkStart w:id="44" w:name="ref-Bousedra_2023"/>
      <w:bookmarkEnd w:id="43"/>
      <w:r>
        <w:t xml:space="preserve">Bousedra, K., 2023. Downstream space activities in the new space era: Paradigm shift and evaluation challenges. Space Policy 64, 101553. </w:t>
      </w:r>
      <w:hyperlink r:id="rId14">
        <w:r w:rsidR="002F36D3">
          <w:rPr>
            <w:rStyle w:val="Hyperlink"/>
          </w:rPr>
          <w:t>https://doi.org/10.1016/j.spacepol.2023.101553</w:t>
        </w:r>
      </w:hyperlink>
    </w:p>
    <w:p w14:paraId="067C8083" w14:textId="77777777" w:rsidR="002F36D3" w:rsidRDefault="00000000">
      <w:pPr>
        <w:pStyle w:val="Bibliography"/>
        <w:ind w:left="720" w:hanging="720"/>
      </w:pPr>
      <w:bookmarkStart w:id="45" w:name="ref-brycetech2024"/>
      <w:bookmarkEnd w:id="44"/>
      <w:r>
        <w:t xml:space="preserve">BryceTech, 2024. </w:t>
      </w:r>
      <w:hyperlink r:id="rId15">
        <w:r w:rsidR="002F36D3">
          <w:rPr>
            <w:rStyle w:val="Hyperlink"/>
          </w:rPr>
          <w:t>State of the space industry report 2024</w:t>
        </w:r>
      </w:hyperlink>
      <w:r>
        <w:t>. BryceTech.</w:t>
      </w:r>
    </w:p>
    <w:p w14:paraId="715AD80F" w14:textId="77777777" w:rsidR="002F36D3" w:rsidRDefault="00000000">
      <w:pPr>
        <w:pStyle w:val="Bibliography"/>
        <w:ind w:left="720" w:hanging="720"/>
      </w:pPr>
      <w:bookmarkStart w:id="46" w:name="ref-Budde_2019"/>
      <w:bookmarkEnd w:id="45"/>
      <w:r>
        <w:lastRenderedPageBreak/>
        <w:t xml:space="preserve">Budde, B., Konrad, K., 2019. Tentative governing of fuel cell innovation in a dynamic network of expectations. Research Policy 48, 1098–1112. </w:t>
      </w:r>
      <w:hyperlink r:id="rId16">
        <w:r w:rsidR="002F36D3">
          <w:rPr>
            <w:rStyle w:val="Hyperlink"/>
          </w:rPr>
          <w:t>https://doi.org/10.1016/j.respol.2019.01.007</w:t>
        </w:r>
      </w:hyperlink>
    </w:p>
    <w:p w14:paraId="451FB9AD" w14:textId="77777777" w:rsidR="002F36D3" w:rsidRDefault="00000000">
      <w:pPr>
        <w:pStyle w:val="Bibliography"/>
        <w:ind w:left="720" w:hanging="720"/>
      </w:pPr>
      <w:bookmarkStart w:id="47" w:name="ref-callaway2021"/>
      <w:bookmarkEnd w:id="46"/>
      <w:r>
        <w:t xml:space="preserve">Callaway, B., Sant’Anna, P.H.C., 2021. Difference-in-differences with multiple time periods. Journal of Econometrics 225, 200–230. </w:t>
      </w:r>
      <w:hyperlink r:id="rId17">
        <w:r w:rsidR="002F36D3">
          <w:rPr>
            <w:rStyle w:val="Hyperlink"/>
          </w:rPr>
          <w:t>https://doi.org/10.1016/j.jeconom.2020.12.001</w:t>
        </w:r>
      </w:hyperlink>
    </w:p>
    <w:p w14:paraId="6D22EFFF" w14:textId="77777777" w:rsidR="002F36D3" w:rsidRDefault="00000000">
      <w:pPr>
        <w:pStyle w:val="Bibliography"/>
        <w:ind w:left="720" w:hanging="720"/>
      </w:pPr>
      <w:bookmarkStart w:id="48" w:name="ref-choi2007"/>
      <w:bookmarkEnd w:id="47"/>
      <w:r>
        <w:t xml:space="preserve">Choi, J.-K., Bowles, S., 2007. The coevolution of parochial altruism and war. Science 318, 636–640. </w:t>
      </w:r>
      <w:hyperlink r:id="rId18">
        <w:r w:rsidR="002F36D3">
          <w:rPr>
            <w:rStyle w:val="Hyperlink"/>
          </w:rPr>
          <w:t>https://doi.org/10.1126/science.1144237</w:t>
        </w:r>
      </w:hyperlink>
    </w:p>
    <w:p w14:paraId="705DF4C8" w14:textId="77777777" w:rsidR="002F36D3" w:rsidRDefault="00000000">
      <w:pPr>
        <w:pStyle w:val="Bibliography"/>
        <w:ind w:left="720" w:hanging="720"/>
      </w:pPr>
      <w:bookmarkStart w:id="49" w:name="ref-cialdini2001"/>
      <w:bookmarkEnd w:id="48"/>
      <w:r>
        <w:t>Cialdini, R.B., 2001. Influence: Science and practice, 4th ed. Allyn; Bacon.</w:t>
      </w:r>
    </w:p>
    <w:p w14:paraId="5F849344" w14:textId="77777777" w:rsidR="002F36D3" w:rsidRDefault="00000000">
      <w:pPr>
        <w:pStyle w:val="Bibliography"/>
        <w:ind w:left="720" w:hanging="720"/>
      </w:pPr>
      <w:bookmarkStart w:id="50" w:name="ref-collingridge1980"/>
      <w:bookmarkEnd w:id="49"/>
      <w:r>
        <w:t>Collingridge, D., 1980. The social control of technology. St. Martin’s Press.</w:t>
      </w:r>
    </w:p>
    <w:p w14:paraId="7C128638" w14:textId="77777777" w:rsidR="002F36D3" w:rsidRDefault="00000000">
      <w:pPr>
        <w:pStyle w:val="Bibliography"/>
        <w:ind w:left="720" w:hanging="720"/>
      </w:pPr>
      <w:bookmarkStart w:id="51" w:name="ref-corrado2023"/>
      <w:bookmarkEnd w:id="50"/>
      <w:r>
        <w:t xml:space="preserve">Corrado, L., Grassi, S., Paolillo, A., Silgado-Gómez, E., 2023. The macroeconomic spillovers from space activity. Proceedings of the National Academy of Sciences 120, e2221342120. </w:t>
      </w:r>
      <w:hyperlink r:id="rId19">
        <w:r w:rsidR="002F36D3">
          <w:rPr>
            <w:rStyle w:val="Hyperlink"/>
          </w:rPr>
          <w:t>https://doi.org/10.1073/pnas.2221342120</w:t>
        </w:r>
      </w:hyperlink>
    </w:p>
    <w:p w14:paraId="6DB40F79" w14:textId="77777777" w:rsidR="002F36D3" w:rsidRDefault="00000000">
      <w:pPr>
        <w:pStyle w:val="Bibliography"/>
        <w:ind w:left="720" w:hanging="720"/>
      </w:pPr>
      <w:bookmarkStart w:id="52" w:name="ref-cospar2020"/>
      <w:bookmarkEnd w:id="51"/>
      <w:r>
        <w:t xml:space="preserve">COSPAR, 2020. COSPAR policy on planetary protection. Committee on Space Research. </w:t>
      </w:r>
      <w:hyperlink r:id="rId20">
        <w:r w:rsidR="002F36D3">
          <w:rPr>
            <w:rStyle w:val="Hyperlink"/>
          </w:rPr>
          <w:t>https://doi.org/10.1016/j.srt.2020.07.009</w:t>
        </w:r>
      </w:hyperlink>
    </w:p>
    <w:p w14:paraId="2FC27BFC" w14:textId="77777777" w:rsidR="002F36D3" w:rsidRDefault="00000000">
      <w:pPr>
        <w:pStyle w:val="Bibliography"/>
        <w:ind w:left="720" w:hanging="720"/>
      </w:pPr>
      <w:bookmarkStart w:id="53" w:name="ref-cunningham2016"/>
      <w:bookmarkEnd w:id="52"/>
      <w:r>
        <w:t xml:space="preserve">Cunningham, P., Gök, A., Laredo, P., 2016. The impact of direct support to r&amp;d and innovation in firms, in: Edler, J., Cunningham, P., Gök, A., Shapira, P. (Eds.), Handbook of Innovation Policy Impact. Edward Elgar, pp. 54–107. </w:t>
      </w:r>
      <w:hyperlink r:id="rId21">
        <w:r w:rsidR="002F36D3">
          <w:rPr>
            <w:rStyle w:val="Hyperlink"/>
          </w:rPr>
          <w:t>https://doi.org/10.4337/9781784711856.00008</w:t>
        </w:r>
      </w:hyperlink>
    </w:p>
    <w:p w14:paraId="531B4318" w14:textId="77777777" w:rsidR="002F36D3" w:rsidRDefault="00000000">
      <w:pPr>
        <w:pStyle w:val="Bibliography"/>
        <w:ind w:left="720" w:hanging="720"/>
      </w:pPr>
      <w:bookmarkStart w:id="54" w:name="ref-Denis_2020"/>
      <w:bookmarkEnd w:id="53"/>
      <w:r>
        <w:t xml:space="preserve">Denis, G., Alary, D., Pasco, X., Pisot, N., Texier, D., Toulza, S., 2020. From new space to big space: How commercial space dream is becoming a reality. Acta Astronautica 166, 431–443. </w:t>
      </w:r>
      <w:hyperlink r:id="rId22">
        <w:r w:rsidR="002F36D3">
          <w:rPr>
            <w:rStyle w:val="Hyperlink"/>
          </w:rPr>
          <w:t>https://doi.org/10.1016/j.actaastro.2019.08.031</w:t>
        </w:r>
      </w:hyperlink>
    </w:p>
    <w:p w14:paraId="57E9D3AC" w14:textId="77777777" w:rsidR="002F36D3" w:rsidRDefault="00000000">
      <w:pPr>
        <w:pStyle w:val="Bibliography"/>
        <w:ind w:left="720" w:hanging="720"/>
      </w:pPr>
      <w:bookmarkStart w:id="55" w:name="ref-deplano2021"/>
      <w:bookmarkEnd w:id="54"/>
      <w:r>
        <w:lastRenderedPageBreak/>
        <w:t xml:space="preserve">Deplano, R., 2021. The Artemis Accords: Evolution or revolution in international space law? International &amp; Comparative Law Quarterly 70, 799–819. </w:t>
      </w:r>
      <w:hyperlink r:id="rId23">
        <w:r w:rsidR="002F36D3">
          <w:rPr>
            <w:rStyle w:val="Hyperlink"/>
          </w:rPr>
          <w:t>https://doi.org/10.1017/S0020589321000233</w:t>
        </w:r>
      </w:hyperlink>
    </w:p>
    <w:p w14:paraId="406A532A" w14:textId="77777777" w:rsidR="002F36D3" w:rsidRDefault="00000000">
      <w:pPr>
        <w:pStyle w:val="Bibliography"/>
        <w:ind w:left="720" w:hanging="720"/>
      </w:pPr>
      <w:bookmarkStart w:id="56" w:name="ref-elkinstanton2022"/>
      <w:bookmarkEnd w:id="55"/>
      <w:r>
        <w:t xml:space="preserve">Elkins-Tanton, L.T., Asphaug, E., Bell, J.F., Bercovici, H., Bills, B., Binzel, R.P., Bottke, W.F., Dibb, S., Lawrence, D.J., Marchi, S., McCoy, T.J., Oran, R., Park, R.S., Peplowski, P.N., Polanskey, C.A., Prettyman, T.H., Russell, C.T., Schaefer, L., Weiss, B.P., Wieczorek, M.A., Williams, D.A., Zuber, M.T., 2022. Distinguishing the origin of asteroid (16) Psyche. Space Science Reviews 218, 17. </w:t>
      </w:r>
      <w:hyperlink r:id="rId24">
        <w:r w:rsidR="002F36D3">
          <w:rPr>
            <w:rStyle w:val="Hyperlink"/>
          </w:rPr>
          <w:t>https://doi.org/10.1007/s11214-022-00880-9</w:t>
        </w:r>
      </w:hyperlink>
    </w:p>
    <w:p w14:paraId="4A053864" w14:textId="77777777" w:rsidR="002F36D3" w:rsidRDefault="00000000">
      <w:pPr>
        <w:pStyle w:val="Bibliography"/>
        <w:ind w:left="720" w:hanging="720"/>
      </w:pPr>
      <w:bookmarkStart w:id="57" w:name="ref-esa2023"/>
      <w:bookmarkEnd w:id="56"/>
      <w:r>
        <w:t xml:space="preserve">ESA, 2023. </w:t>
      </w:r>
      <w:hyperlink r:id="rId25">
        <w:r w:rsidR="002F36D3">
          <w:rPr>
            <w:rStyle w:val="Hyperlink"/>
          </w:rPr>
          <w:t>ESA space environment report 2023</w:t>
        </w:r>
      </w:hyperlink>
      <w:r>
        <w:t>. European Space Agency.</w:t>
      </w:r>
    </w:p>
    <w:p w14:paraId="45512EC4" w14:textId="77777777" w:rsidR="002F36D3" w:rsidRDefault="00000000">
      <w:pPr>
        <w:pStyle w:val="Bibliography"/>
        <w:ind w:left="720" w:hanging="720"/>
      </w:pPr>
      <w:bookmarkStart w:id="58" w:name="ref-esa2009"/>
      <w:bookmarkEnd w:id="57"/>
      <w:r>
        <w:t xml:space="preserve">European Space Agency, 2009. </w:t>
      </w:r>
      <w:hyperlink r:id="rId26">
        <w:r w:rsidR="002F36D3">
          <w:rPr>
            <w:rStyle w:val="Hyperlink"/>
          </w:rPr>
          <w:t>Iridium-cosmos collision event analysis</w:t>
        </w:r>
      </w:hyperlink>
      <w:r>
        <w:t>. ESA Space Debris Office.</w:t>
      </w:r>
    </w:p>
    <w:p w14:paraId="567BF842" w14:textId="77777777" w:rsidR="002F36D3" w:rsidRDefault="00000000">
      <w:pPr>
        <w:pStyle w:val="Bibliography"/>
        <w:ind w:left="720" w:hanging="720"/>
      </w:pPr>
      <w:bookmarkStart w:id="59" w:name="ref-fearon1997"/>
      <w:bookmarkEnd w:id="58"/>
      <w:r>
        <w:t xml:space="preserve">Fearon, J.D., 1997. Signaling foreign policy interests: Tying hands versus sinking costs. Journal of Conflict Resolution 41, 68–90. </w:t>
      </w:r>
      <w:hyperlink r:id="rId27">
        <w:r w:rsidR="002F36D3">
          <w:rPr>
            <w:rStyle w:val="Hyperlink"/>
          </w:rPr>
          <w:t>https://doi.org/10.1177/0022002797041001004</w:t>
        </w:r>
      </w:hyperlink>
    </w:p>
    <w:p w14:paraId="6CEFDAC2" w14:textId="77777777" w:rsidR="002F36D3" w:rsidRDefault="00000000">
      <w:pPr>
        <w:pStyle w:val="Bibliography"/>
        <w:ind w:left="720" w:hanging="720"/>
      </w:pPr>
      <w:bookmarkStart w:id="60" w:name="ref-fcc2022"/>
      <w:bookmarkEnd w:id="59"/>
      <w:r>
        <w:t>Federal Communications Commission, 2022. Space innovation: Mitigation of orbital debris in the new space age.</w:t>
      </w:r>
    </w:p>
    <w:p w14:paraId="48A83C10" w14:textId="77777777" w:rsidR="002F36D3" w:rsidRDefault="00000000">
      <w:pPr>
        <w:pStyle w:val="Bibliography"/>
        <w:ind w:left="720" w:hanging="720"/>
      </w:pPr>
      <w:bookmarkStart w:id="61" w:name="ref-fleming2019"/>
      <w:bookmarkEnd w:id="60"/>
      <w:r>
        <w:t xml:space="preserve">Fleming, L., Greene, H., Li, G.-C., Marx, M., Yao, D., 2019. Government-funded research increasingly fuels innovation. Science 364, 1139–1141. </w:t>
      </w:r>
      <w:hyperlink r:id="rId28">
        <w:r w:rsidR="002F36D3">
          <w:rPr>
            <w:rStyle w:val="Hyperlink"/>
          </w:rPr>
          <w:t>https://doi.org/10.1126/science.aaw2373</w:t>
        </w:r>
      </w:hyperlink>
    </w:p>
    <w:p w14:paraId="791507C1" w14:textId="77777777" w:rsidR="002F36D3" w:rsidRDefault="00000000">
      <w:pPr>
        <w:pStyle w:val="Bibliography"/>
        <w:ind w:left="720" w:hanging="720"/>
      </w:pPr>
      <w:bookmarkStart w:id="62" w:name="ref-folke2005"/>
      <w:bookmarkEnd w:id="61"/>
      <w:r>
        <w:t xml:space="preserve">Folke, C., Hahn, T., Olsson, P., Norberg, J., 2005. Adaptive governance of social-ecological systems. Annual Review of Environment and Resources 30, 441–473. </w:t>
      </w:r>
      <w:hyperlink r:id="rId29">
        <w:r w:rsidR="002F36D3">
          <w:rPr>
            <w:rStyle w:val="Hyperlink"/>
          </w:rPr>
          <w:t>https://doi.org/10.1146/annurev.energy.30.050504.144511</w:t>
        </w:r>
      </w:hyperlink>
    </w:p>
    <w:p w14:paraId="36D75E11" w14:textId="77777777" w:rsidR="002F36D3" w:rsidRDefault="00000000">
      <w:pPr>
        <w:pStyle w:val="Bibliography"/>
        <w:ind w:left="720" w:hanging="720"/>
      </w:pPr>
      <w:bookmarkStart w:id="63" w:name="ref-fombrun1990"/>
      <w:bookmarkEnd w:id="62"/>
      <w:r>
        <w:t xml:space="preserve">Fombrun, C., Shanley, M., 1990. What’s in a name? Reputation building and corporate strategy. Academy of Management Journal 33, 233–258. </w:t>
      </w:r>
      <w:hyperlink r:id="rId30">
        <w:r w:rsidR="002F36D3">
          <w:rPr>
            <w:rStyle w:val="Hyperlink"/>
          </w:rPr>
          <w:t>https://doi.org/10.5465/256324</w:t>
        </w:r>
      </w:hyperlink>
    </w:p>
    <w:p w14:paraId="7F407BD4" w14:textId="77777777" w:rsidR="002F36D3" w:rsidRDefault="00000000">
      <w:pPr>
        <w:pStyle w:val="Bibliography"/>
        <w:ind w:left="720" w:hanging="720"/>
      </w:pPr>
      <w:bookmarkStart w:id="64" w:name="ref-foust2023"/>
      <w:bookmarkEnd w:id="63"/>
      <w:r>
        <w:lastRenderedPageBreak/>
        <w:t xml:space="preserve">Foust, J., 2022. </w:t>
      </w:r>
      <w:hyperlink r:id="rId31">
        <w:r w:rsidR="002F36D3">
          <w:rPr>
            <w:rStyle w:val="Hyperlink"/>
          </w:rPr>
          <w:t>FCC grants partial approval for Starlink second-generation constellation</w:t>
        </w:r>
      </w:hyperlink>
      <w:r>
        <w:t>.</w:t>
      </w:r>
    </w:p>
    <w:p w14:paraId="67DB630F" w14:textId="77777777" w:rsidR="002F36D3" w:rsidRDefault="00000000">
      <w:pPr>
        <w:pStyle w:val="Bibliography"/>
        <w:ind w:left="720" w:hanging="720"/>
      </w:pPr>
      <w:bookmarkStart w:id="65" w:name="ref-grigg2025"/>
      <w:bookmarkEnd w:id="64"/>
      <w:r>
        <w:t xml:space="preserve">Grigg, D., Tingay, S.J., Sokolowski, M., 2025. The growing impact of unintended Starlink broadband emission on radio astronomy in the SKA-Low frequency range. Astronomy &amp; Astrophysics 699, A307. </w:t>
      </w:r>
      <w:hyperlink r:id="rId32">
        <w:r w:rsidR="002F36D3">
          <w:rPr>
            <w:rStyle w:val="Hyperlink"/>
          </w:rPr>
          <w:t>https://doi.org/10.1051/0004-6361/202554787</w:t>
        </w:r>
      </w:hyperlink>
    </w:p>
    <w:p w14:paraId="667417C7" w14:textId="77777777" w:rsidR="002F36D3" w:rsidRDefault="00000000">
      <w:pPr>
        <w:pStyle w:val="Bibliography"/>
        <w:ind w:left="720" w:hanging="720"/>
      </w:pPr>
      <w:bookmarkStart w:id="66" w:name="ref-griskevicius2007"/>
      <w:bookmarkEnd w:id="65"/>
      <w:r>
        <w:t xml:space="preserve">Griskevicius, V., Tybur, J.M., Sundie, J.M., Cialdini, R.B., Miller, G.F., Kenrick, D.T., 2007. Blatant benevolence and conspicuous consumption: When romantic motives elicit strategic costly signals. Journal of Personality and Social Psychology 93, 85–102. </w:t>
      </w:r>
      <w:hyperlink r:id="rId33">
        <w:r w:rsidR="002F36D3">
          <w:rPr>
            <w:rStyle w:val="Hyperlink"/>
          </w:rPr>
          <w:t>https://doi.org/10.1037/0022-3514.93.1.85</w:t>
        </w:r>
      </w:hyperlink>
    </w:p>
    <w:p w14:paraId="0EC12BA0" w14:textId="77777777" w:rsidR="002F36D3" w:rsidRDefault="00000000">
      <w:pPr>
        <w:pStyle w:val="Bibliography"/>
        <w:ind w:left="720" w:hanging="720"/>
      </w:pPr>
      <w:bookmarkStart w:id="67" w:name="ref-griskevicius2010"/>
      <w:bookmarkEnd w:id="66"/>
      <w:r>
        <w:t xml:space="preserve">Griskevicius, V., Tybur, J.M., Van den Bergh, B., 2010. Going green to be seen: Status, reputation, and conspicuous conservation. Journal of Personality and Social Psychology 98, 392–404. </w:t>
      </w:r>
      <w:hyperlink r:id="rId34">
        <w:r w:rsidR="002F36D3">
          <w:rPr>
            <w:rStyle w:val="Hyperlink"/>
          </w:rPr>
          <w:t>https://doi.org/10.1037/a0017346</w:t>
        </w:r>
      </w:hyperlink>
    </w:p>
    <w:p w14:paraId="23B3560B" w14:textId="77777777" w:rsidR="002F36D3" w:rsidRDefault="00000000">
      <w:pPr>
        <w:pStyle w:val="Bibliography"/>
        <w:ind w:left="720" w:hanging="720"/>
      </w:pPr>
      <w:bookmarkStart w:id="68" w:name="ref-guston2014"/>
      <w:bookmarkEnd w:id="67"/>
      <w:r>
        <w:t xml:space="preserve">Guston, D.H., 2014. Understanding ’anticipatory governance’. Social Studies of Science 44, 218–242. </w:t>
      </w:r>
      <w:hyperlink r:id="rId35">
        <w:r w:rsidR="002F36D3">
          <w:rPr>
            <w:rStyle w:val="Hyperlink"/>
          </w:rPr>
          <w:t>https://doi.org/10.1177/0306312713508669</w:t>
        </w:r>
      </w:hyperlink>
    </w:p>
    <w:p w14:paraId="31F8B153" w14:textId="77777777" w:rsidR="002F36D3" w:rsidRDefault="00000000">
      <w:pPr>
        <w:pStyle w:val="Bibliography"/>
        <w:ind w:left="720" w:hanging="720"/>
      </w:pPr>
      <w:bookmarkStart w:id="69" w:name="ref-henrich2015"/>
      <w:bookmarkEnd w:id="68"/>
      <w:r>
        <w:t>Henrich, J., 2015. The secret of our success: How culture is driving human evolution, domesticating our species, and making us smarter. Princeton University Press.</w:t>
      </w:r>
    </w:p>
    <w:p w14:paraId="2CB78203" w14:textId="77777777" w:rsidR="002F36D3" w:rsidRDefault="00000000">
      <w:pPr>
        <w:pStyle w:val="Bibliography"/>
        <w:ind w:left="720" w:hanging="720"/>
      </w:pPr>
      <w:bookmarkStart w:id="70" w:name="ref-Hevner_2004"/>
      <w:bookmarkEnd w:id="69"/>
      <w:r>
        <w:t xml:space="preserve">Hevner, A.R., March, S.T., Park, J., Ram, S., 2004. Design science in information systems research. MIS Quarterly 28, 75–105. </w:t>
      </w:r>
      <w:hyperlink r:id="rId36">
        <w:r w:rsidR="002F36D3">
          <w:rPr>
            <w:rStyle w:val="Hyperlink"/>
          </w:rPr>
          <w:t>https://doi.org/10.2307/25148625</w:t>
        </w:r>
      </w:hyperlink>
    </w:p>
    <w:p w14:paraId="17038429" w14:textId="77777777" w:rsidR="002F36D3" w:rsidRDefault="00000000">
      <w:pPr>
        <w:pStyle w:val="Bibliography"/>
        <w:ind w:left="720" w:hanging="720"/>
      </w:pPr>
      <w:bookmarkStart w:id="71" w:name="ref-hobe2020"/>
      <w:bookmarkEnd w:id="70"/>
      <w:r>
        <w:t xml:space="preserve">Hobe, S., 2020. </w:t>
      </w:r>
      <w:hyperlink r:id="rId37">
        <w:r w:rsidR="002F36D3">
          <w:rPr>
            <w:rStyle w:val="Hyperlink"/>
          </w:rPr>
          <w:t>The artemis accords and the law of outer space</w:t>
        </w:r>
      </w:hyperlink>
      <w:r>
        <w:t>. Journal of Space Law 43, 29–48.</w:t>
      </w:r>
    </w:p>
    <w:p w14:paraId="7CF1CEEA" w14:textId="77777777" w:rsidR="002F36D3" w:rsidRDefault="00000000">
      <w:pPr>
        <w:pStyle w:val="Bibliography"/>
        <w:ind w:left="720" w:hanging="720"/>
      </w:pPr>
      <w:bookmarkStart w:id="72" w:name="ref-homar2021"/>
      <w:bookmarkEnd w:id="71"/>
      <w:r>
        <w:t xml:space="preserve">Homar, A.R., Cvelbar, L.K., 2021. The effects of framing on environmental decisions: A systematic literature review. Ecological Economics 183, 106950. </w:t>
      </w:r>
      <w:hyperlink r:id="rId38">
        <w:r w:rsidR="002F36D3">
          <w:rPr>
            <w:rStyle w:val="Hyperlink"/>
          </w:rPr>
          <w:t>https://doi.org/10.1016/j.ecolecon.2021.106950</w:t>
        </w:r>
      </w:hyperlink>
    </w:p>
    <w:p w14:paraId="639BE5C9" w14:textId="77777777" w:rsidR="002F36D3" w:rsidRDefault="00000000">
      <w:pPr>
        <w:pStyle w:val="Bibliography"/>
        <w:ind w:left="720" w:hanging="720"/>
      </w:pPr>
      <w:bookmarkStart w:id="73" w:name="ref-iso2023"/>
      <w:bookmarkEnd w:id="72"/>
      <w:r>
        <w:t xml:space="preserve">ISO, 2023. </w:t>
      </w:r>
      <w:hyperlink r:id="rId39">
        <w:r w:rsidR="002F36D3">
          <w:rPr>
            <w:rStyle w:val="Hyperlink"/>
          </w:rPr>
          <w:t>Space systems—space debris mitigation requirements</w:t>
        </w:r>
      </w:hyperlink>
      <w:r>
        <w:t xml:space="preserve"> (No. ISO 24113:2023). International Organization for Standardization.</w:t>
      </w:r>
    </w:p>
    <w:p w14:paraId="6ECB36BE" w14:textId="77777777" w:rsidR="002F36D3" w:rsidRDefault="00000000">
      <w:pPr>
        <w:pStyle w:val="Bibliography"/>
        <w:ind w:left="720" w:hanging="720"/>
      </w:pPr>
      <w:bookmarkStart w:id="74" w:name="ref-itu2020"/>
      <w:bookmarkEnd w:id="73"/>
      <w:r>
        <w:lastRenderedPageBreak/>
        <w:t xml:space="preserve">ITU, 2020. </w:t>
      </w:r>
      <w:hyperlink r:id="rId40">
        <w:r w:rsidR="002F36D3">
          <w:rPr>
            <w:rStyle w:val="Hyperlink"/>
          </w:rPr>
          <w:t>Radio regulations</w:t>
        </w:r>
      </w:hyperlink>
      <w:r>
        <w:t>.</w:t>
      </w:r>
    </w:p>
    <w:p w14:paraId="0500185B" w14:textId="77777777" w:rsidR="002F36D3" w:rsidRDefault="00000000">
      <w:pPr>
        <w:pStyle w:val="Bibliography"/>
        <w:ind w:left="720" w:hanging="720"/>
      </w:pPr>
      <w:bookmarkStart w:id="75" w:name="ref-itur2022"/>
      <w:bookmarkEnd w:id="74"/>
      <w:r>
        <w:t xml:space="preserve">ITU-R, 2022. </w:t>
      </w:r>
      <w:hyperlink r:id="rId41">
        <w:r w:rsidR="002F36D3">
          <w:rPr>
            <w:rStyle w:val="Hyperlink"/>
          </w:rPr>
          <w:t>Shielded zone of the moon for radio astronomy services</w:t>
        </w:r>
      </w:hyperlink>
      <w:r>
        <w:t xml:space="preserve"> (No. Recommendation RA.479). International Telecommunication Union Radiocommunication Sector.</w:t>
      </w:r>
    </w:p>
    <w:p w14:paraId="6FB2FBF3" w14:textId="77777777" w:rsidR="002F36D3" w:rsidRDefault="00000000">
      <w:pPr>
        <w:pStyle w:val="Bibliography"/>
        <w:ind w:left="720" w:hanging="720"/>
      </w:pPr>
      <w:bookmarkStart w:id="76" w:name="ref-jaakkola2020"/>
      <w:bookmarkEnd w:id="75"/>
      <w:r>
        <w:t xml:space="preserve">Jaakkola, E., 2020. Designing conceptual articles: Four approaches. AMS Review 10, 18–26. </w:t>
      </w:r>
      <w:hyperlink r:id="rId42">
        <w:r w:rsidR="002F36D3">
          <w:rPr>
            <w:rStyle w:val="Hyperlink"/>
          </w:rPr>
          <w:t>https://doi.org/10.1007/s13162-020-00161-0</w:t>
        </w:r>
      </w:hyperlink>
    </w:p>
    <w:p w14:paraId="40788F84" w14:textId="77777777" w:rsidR="002F36D3" w:rsidRDefault="00000000">
      <w:pPr>
        <w:pStyle w:val="Bibliography"/>
        <w:ind w:left="720" w:hanging="720"/>
      </w:pPr>
      <w:bookmarkStart w:id="77" w:name="ref-jachimowicz2019"/>
      <w:bookmarkEnd w:id="76"/>
      <w:r>
        <w:t xml:space="preserve">Jachimowicz, J.M., Duncan, S., Weber, E.U., Johnson, E.J., 2019. When and why defaults influence decisions: A meta-analysis of default effects. Behavioural Public Policy 3, 159–186. </w:t>
      </w:r>
      <w:hyperlink r:id="rId43">
        <w:r w:rsidR="002F36D3">
          <w:rPr>
            <w:rStyle w:val="Hyperlink"/>
          </w:rPr>
          <w:t>https://doi.org/10.1017/bpp.2018.43</w:t>
        </w:r>
      </w:hyperlink>
    </w:p>
    <w:p w14:paraId="6C2686B4" w14:textId="77777777" w:rsidR="002F36D3" w:rsidRDefault="00000000">
      <w:pPr>
        <w:pStyle w:val="Bibliography"/>
        <w:ind w:left="720" w:hanging="720"/>
      </w:pPr>
      <w:bookmarkStart w:id="78" w:name="ref-jaffe1998"/>
      <w:bookmarkEnd w:id="77"/>
      <w:r>
        <w:t xml:space="preserve">Jaffe, A.B., Fogarty, M.S., Banks, B.A., 1998. Evidence from patents and patent citations on the impact of NASA and other federal labs on commercial innovation. Journal of Industrial Economics 46, 183–205. </w:t>
      </w:r>
      <w:hyperlink r:id="rId44">
        <w:r w:rsidR="002F36D3">
          <w:rPr>
            <w:rStyle w:val="Hyperlink"/>
          </w:rPr>
          <w:t>https://doi.org/10.1111/1467-6451.00068</w:t>
        </w:r>
      </w:hyperlink>
    </w:p>
    <w:p w14:paraId="1D0A99BC" w14:textId="77777777" w:rsidR="002F36D3" w:rsidRDefault="00000000">
      <w:pPr>
        <w:pStyle w:val="Bibliography"/>
        <w:ind w:left="720" w:hanging="720"/>
      </w:pPr>
      <w:bookmarkStart w:id="79" w:name="ref-jakhu2017"/>
      <w:bookmarkEnd w:id="78"/>
      <w:r>
        <w:t xml:space="preserve">Jakhu, R.S., Pelton, J.N., Nyampong, Y.O.M., 2017. Space mining and its regulation. Springer. </w:t>
      </w:r>
      <w:hyperlink r:id="rId45">
        <w:r w:rsidR="002F36D3">
          <w:rPr>
            <w:rStyle w:val="Hyperlink"/>
          </w:rPr>
          <w:t>https://doi.org/10.1007/978-3-319-39246-2</w:t>
        </w:r>
      </w:hyperlink>
    </w:p>
    <w:p w14:paraId="3AB87BF7" w14:textId="77777777" w:rsidR="002F36D3" w:rsidRDefault="00000000">
      <w:pPr>
        <w:pStyle w:val="Bibliography"/>
        <w:ind w:left="720" w:hanging="720"/>
      </w:pPr>
      <w:bookmarkStart w:id="80" w:name="ref-jin2021"/>
      <w:bookmarkEnd w:id="79"/>
      <w:r>
        <w:t xml:space="preserve">Jin, Y., Vasserman, S., 2021. Buying data from consumers: The impact of monitoring in U.S. Auto insurance (Working Paper No. 29096). National Bureau of Economic Research. </w:t>
      </w:r>
      <w:hyperlink r:id="rId46">
        <w:r w:rsidR="002F36D3">
          <w:rPr>
            <w:rStyle w:val="Hyperlink"/>
          </w:rPr>
          <w:t>https://doi.org/10.3386/w29096</w:t>
        </w:r>
      </w:hyperlink>
    </w:p>
    <w:p w14:paraId="5278952F" w14:textId="77777777" w:rsidR="002F36D3" w:rsidRDefault="00000000">
      <w:pPr>
        <w:pStyle w:val="Bibliography"/>
        <w:ind w:left="720" w:hanging="720"/>
      </w:pPr>
      <w:bookmarkStart w:id="81" w:name="ref-johnson2003"/>
      <w:bookmarkEnd w:id="80"/>
      <w:r>
        <w:t xml:space="preserve">Johnson, E.J., Goldstein, D., 2003. Do defaults save lives? Science 302, 1338–1339. </w:t>
      </w:r>
      <w:hyperlink r:id="rId47">
        <w:r w:rsidR="002F36D3">
          <w:rPr>
            <w:rStyle w:val="Hyperlink"/>
          </w:rPr>
          <w:t>https://doi.org/10.1126/science.1091721</w:t>
        </w:r>
      </w:hyperlink>
    </w:p>
    <w:p w14:paraId="77001FD6" w14:textId="77777777" w:rsidR="002F36D3" w:rsidRDefault="00000000">
      <w:pPr>
        <w:pStyle w:val="Bibliography"/>
        <w:ind w:left="720" w:hanging="720"/>
      </w:pPr>
      <w:bookmarkStart w:id="82" w:name="ref-jones2010"/>
      <w:bookmarkEnd w:id="81"/>
      <w:r>
        <w:t xml:space="preserve">Jones, M.D., McBeth, M.K., 2010. A narrative policy framework: Clear enough to be wrong? Policy Studies Journal 38, 329–353. </w:t>
      </w:r>
      <w:hyperlink r:id="rId48">
        <w:r w:rsidR="002F36D3">
          <w:rPr>
            <w:rStyle w:val="Hyperlink"/>
          </w:rPr>
          <w:t>https://doi.org/10.1111/j.1541-0072.2010.00364.x</w:t>
        </w:r>
      </w:hyperlink>
    </w:p>
    <w:p w14:paraId="5AD246EE" w14:textId="77777777" w:rsidR="002F36D3" w:rsidRDefault="00000000">
      <w:pPr>
        <w:pStyle w:val="Bibliography"/>
        <w:ind w:left="720" w:hanging="720"/>
      </w:pPr>
      <w:bookmarkStart w:id="83" w:name="ref-kahneman1979"/>
      <w:bookmarkEnd w:id="82"/>
      <w:r>
        <w:t xml:space="preserve">Kahneman, D., Tversky, A., 1979. Prospect theory: An analysis of decision under risk. Econometrica 47, 263–291. </w:t>
      </w:r>
      <w:hyperlink r:id="rId49">
        <w:r w:rsidR="002F36D3">
          <w:rPr>
            <w:rStyle w:val="Hyperlink"/>
          </w:rPr>
          <w:t>https://doi.org/10.2307/1914185</w:t>
        </w:r>
      </w:hyperlink>
    </w:p>
    <w:p w14:paraId="4FF811C5" w14:textId="77777777" w:rsidR="002F36D3" w:rsidRDefault="00000000">
      <w:pPr>
        <w:pStyle w:val="Bibliography"/>
        <w:ind w:left="720" w:hanging="720"/>
      </w:pPr>
      <w:bookmarkStart w:id="84" w:name="ref-kantor2025"/>
      <w:bookmarkEnd w:id="83"/>
      <w:r>
        <w:lastRenderedPageBreak/>
        <w:t xml:space="preserve">Kantor, S., Whalley, A., 2025. Moonshot: Public r&amp;d and growth. American Economic Review 115, 2891–2925. </w:t>
      </w:r>
      <w:hyperlink r:id="rId50">
        <w:r w:rsidR="002F36D3">
          <w:rPr>
            <w:rStyle w:val="Hyperlink"/>
          </w:rPr>
          <w:t>https://doi.org/10.1257/aer.20220540</w:t>
        </w:r>
      </w:hyperlink>
    </w:p>
    <w:p w14:paraId="7ACE8F53" w14:textId="77777777" w:rsidR="002F36D3" w:rsidRDefault="00000000">
      <w:pPr>
        <w:pStyle w:val="Bibliography"/>
        <w:ind w:left="720" w:hanging="720"/>
      </w:pPr>
      <w:bookmarkStart w:id="85" w:name="ref-kanu2024"/>
      <w:bookmarkEnd w:id="84"/>
      <w:r>
        <w:t xml:space="preserve">Kanu, N.J., Gupta, E., Verma, G.C., 2024. An insight into India’s Moon mission – Chandrayaan-3: The first nation to land on the southernmost polar region of the Moon. Planetary and Space Science 242, 105864. </w:t>
      </w:r>
      <w:hyperlink r:id="rId51">
        <w:r w:rsidR="002F36D3">
          <w:rPr>
            <w:rStyle w:val="Hyperlink"/>
          </w:rPr>
          <w:t>https://doi.org/10.1016/j.pss.2024.105864</w:t>
        </w:r>
      </w:hyperlink>
    </w:p>
    <w:p w14:paraId="615D5E68" w14:textId="77777777" w:rsidR="002F36D3" w:rsidRDefault="00000000">
      <w:pPr>
        <w:pStyle w:val="Bibliography"/>
        <w:ind w:left="720" w:hanging="720"/>
      </w:pPr>
      <w:bookmarkStart w:id="86" w:name="ref-kessler1978"/>
      <w:bookmarkEnd w:id="85"/>
      <w:r>
        <w:t xml:space="preserve">Kessler, D.J., Cour-Palais, B.G., 1978. Collision frequency of artificial satellites: The creation of a debris belt. Journal of Geophysical Research 83, 2637–2646. </w:t>
      </w:r>
      <w:hyperlink r:id="rId52">
        <w:r w:rsidR="002F36D3">
          <w:rPr>
            <w:rStyle w:val="Hyperlink"/>
          </w:rPr>
          <w:t>https://doi.org/10.1029/JA083iA06p02637</w:t>
        </w:r>
      </w:hyperlink>
    </w:p>
    <w:p w14:paraId="55FBB457" w14:textId="77777777" w:rsidR="002F36D3" w:rsidRDefault="00000000">
      <w:pPr>
        <w:pStyle w:val="Bibliography"/>
        <w:ind w:left="720" w:hanging="720"/>
      </w:pPr>
      <w:bookmarkStart w:id="87" w:name="ref-kruk2023"/>
      <w:bookmarkEnd w:id="86"/>
      <w:r>
        <w:t xml:space="preserve">Kruk, S., Garcı́a Martı́n, P., Popescu, M., Merlin, F., Krone-Martins, A., Aussel, H., von Hippel, T., 2023. The impact of satellite trails on Hubble Space Telescope observations. Nature Astronomy 7, 262–268. </w:t>
      </w:r>
      <w:hyperlink r:id="rId53">
        <w:r w:rsidR="002F36D3">
          <w:rPr>
            <w:rStyle w:val="Hyperlink"/>
          </w:rPr>
          <w:t>https://doi.org/10.1038/s41550-023-01903-3</w:t>
        </w:r>
      </w:hyperlink>
    </w:p>
    <w:p w14:paraId="34425169" w14:textId="77777777" w:rsidR="002F36D3" w:rsidRDefault="00000000">
      <w:pPr>
        <w:pStyle w:val="Bibliography"/>
        <w:ind w:left="720" w:hanging="720"/>
      </w:pPr>
      <w:bookmarkStart w:id="88" w:name="ref-Kuhlmann_2019"/>
      <w:bookmarkEnd w:id="87"/>
      <w:r>
        <w:t xml:space="preserve">Kuhlmann, S., Stegmaier, P., Konrad, K., 2019. The tentative governance of emerging science and technology—a conceptual introduction. Research Policy 48, 1091–1097. </w:t>
      </w:r>
      <w:hyperlink r:id="rId54">
        <w:r w:rsidR="002F36D3">
          <w:rPr>
            <w:rStyle w:val="Hyperlink"/>
          </w:rPr>
          <w:t>https://doi.org/10.1016/j.respol.2019.01.006</w:t>
        </w:r>
      </w:hyperlink>
    </w:p>
    <w:p w14:paraId="6F3A00E2" w14:textId="77777777" w:rsidR="002F36D3" w:rsidRDefault="00000000">
      <w:pPr>
        <w:pStyle w:val="Bibliography"/>
        <w:ind w:left="720" w:hanging="720"/>
      </w:pPr>
      <w:bookmarkStart w:id="89" w:name="ref-levin2012"/>
      <w:bookmarkEnd w:id="88"/>
      <w:r>
        <w:t xml:space="preserve">Levin, K., Cashore, B., Bernstein, S., Auld, G., 2012. Overcoming the tragedy of super wicked problems: Constraining our future selves to ameliorate global climate change. Policy Sciences 45, 123–152. </w:t>
      </w:r>
      <w:hyperlink r:id="rId55">
        <w:r w:rsidR="002F36D3">
          <w:rPr>
            <w:rStyle w:val="Hyperlink"/>
          </w:rPr>
          <w:t>https://doi.org/10.1007/s11077-012-9151-0</w:t>
        </w:r>
      </w:hyperlink>
    </w:p>
    <w:p w14:paraId="1F40D2D8" w14:textId="77777777" w:rsidR="002F36D3" w:rsidRDefault="00000000">
      <w:pPr>
        <w:pStyle w:val="Bibliography"/>
        <w:ind w:left="720" w:hanging="720"/>
      </w:pPr>
      <w:bookmarkStart w:id="90" w:name="ref-libecap1989"/>
      <w:bookmarkEnd w:id="89"/>
      <w:r>
        <w:t>Libecap, G.D., 1989. Contracting for property rights. Cambridge University Press.</w:t>
      </w:r>
    </w:p>
    <w:p w14:paraId="14E55BF3" w14:textId="77777777" w:rsidR="002F36D3" w:rsidRDefault="00000000">
      <w:pPr>
        <w:pStyle w:val="Bibliography"/>
        <w:ind w:left="720" w:hanging="720"/>
      </w:pPr>
      <w:bookmarkStart w:id="91" w:name="ref-loewenstein2017"/>
      <w:bookmarkEnd w:id="90"/>
      <w:r>
        <w:t xml:space="preserve">Loewenstein, G., Chater, N., 2017. Putting nudges in perspective. Behavioural Public Policy 1, 26–53. </w:t>
      </w:r>
      <w:hyperlink r:id="rId56">
        <w:r w:rsidR="002F36D3">
          <w:rPr>
            <w:rStyle w:val="Hyperlink"/>
          </w:rPr>
          <w:t>https://doi.org/10.1017/bpp.2016.7</w:t>
        </w:r>
      </w:hyperlink>
    </w:p>
    <w:p w14:paraId="3E052496" w14:textId="77777777" w:rsidR="002F36D3" w:rsidRDefault="00000000">
      <w:pPr>
        <w:pStyle w:val="Bibliography"/>
        <w:ind w:left="720" w:hanging="720"/>
      </w:pPr>
      <w:bookmarkStart w:id="92" w:name="ref-Losch_2024"/>
      <w:bookmarkEnd w:id="91"/>
      <w:r>
        <w:t xml:space="preserve">Losch, A., Galli, A., Schildknecht, T., 2024. History, concepts and challenges of proposing an 18th UN sustainable development goal related to space. Space Policy 68, 101631. </w:t>
      </w:r>
      <w:hyperlink r:id="rId57">
        <w:r w:rsidR="002F36D3">
          <w:rPr>
            <w:rStyle w:val="Hyperlink"/>
          </w:rPr>
          <w:t>https://doi.org/10.1016/j.spacepol.2024.101631</w:t>
        </w:r>
      </w:hyperlink>
    </w:p>
    <w:p w14:paraId="665967E1" w14:textId="77777777" w:rsidR="002F36D3" w:rsidRDefault="00000000">
      <w:pPr>
        <w:pStyle w:val="Bibliography"/>
        <w:ind w:left="720" w:hanging="720"/>
      </w:pPr>
      <w:bookmarkStart w:id="93" w:name="ref-luxembourg2017"/>
      <w:bookmarkEnd w:id="92"/>
      <w:r>
        <w:lastRenderedPageBreak/>
        <w:t xml:space="preserve">Luxembourg, 2017. </w:t>
      </w:r>
      <w:hyperlink r:id="rId58">
        <w:r w:rsidR="002F36D3">
          <w:rPr>
            <w:rStyle w:val="Hyperlink"/>
          </w:rPr>
          <w:t>Loi du 20 juillet 2017 sur l’exploration et l’utilisation des ressources de l’espace [law of 20 july 2017 on the exploration and use of space resources]</w:t>
        </w:r>
      </w:hyperlink>
      <w:r>
        <w:t>.</w:t>
      </w:r>
    </w:p>
    <w:p w14:paraId="0EF31754" w14:textId="77777777" w:rsidR="002F36D3" w:rsidRDefault="00000000">
      <w:pPr>
        <w:pStyle w:val="Bibliography"/>
        <w:ind w:left="720" w:hanging="720"/>
      </w:pPr>
      <w:bookmarkStart w:id="94" w:name="ref-macinnis2011"/>
      <w:bookmarkEnd w:id="93"/>
      <w:r>
        <w:t xml:space="preserve">MacInnis, D.J., 2011. A framework for conceptual contributions in marketing. Journal of Marketing 75, 136–154. </w:t>
      </w:r>
      <w:hyperlink r:id="rId59">
        <w:r w:rsidR="002F36D3">
          <w:rPr>
            <w:rStyle w:val="Hyperlink"/>
          </w:rPr>
          <w:t>https://doi.org/10.1509/jmkg.75.4.136</w:t>
        </w:r>
      </w:hyperlink>
    </w:p>
    <w:p w14:paraId="1ED2BD45" w14:textId="77777777" w:rsidR="002F36D3" w:rsidRDefault="00000000">
      <w:pPr>
        <w:pStyle w:val="Bibliography"/>
        <w:ind w:left="720" w:hanging="720"/>
      </w:pPr>
      <w:bookmarkStart w:id="95" w:name="ref-madrian2001"/>
      <w:bookmarkEnd w:id="94"/>
      <w:r>
        <w:t xml:space="preserve">Madrian, B.C., Shea, D.F., 2001. The power of suggestion: Inertia in 401(k) participation and savings behavior. Quarterly Journal of Economics 116, 1149–1187. </w:t>
      </w:r>
      <w:hyperlink r:id="rId60">
        <w:r w:rsidR="002F36D3">
          <w:rPr>
            <w:rStyle w:val="Hyperlink"/>
          </w:rPr>
          <w:t>https://doi.org/10.1162/003355301753265543</w:t>
        </w:r>
      </w:hyperlink>
    </w:p>
    <w:p w14:paraId="15B3CC0C" w14:textId="77777777" w:rsidR="002F36D3" w:rsidRDefault="00000000">
      <w:pPr>
        <w:pStyle w:val="Bibliography"/>
        <w:ind w:left="720" w:hanging="720"/>
      </w:pPr>
      <w:bookmarkStart w:id="96" w:name="ref-maier2022"/>
      <w:bookmarkEnd w:id="95"/>
      <w:r>
        <w:t xml:space="preserve">Maier, M., Bartoš, F., Stanley, T.D., Shanks, D.R., Harris, A.J.L., Wagenmakers, E.-J., 2022. No evidence for nudging after adjusting for publication bias. Proceedings of the National Academy of Sciences 119, e2200300119. </w:t>
      </w:r>
      <w:hyperlink r:id="rId61">
        <w:r w:rsidR="002F36D3">
          <w:rPr>
            <w:rStyle w:val="Hyperlink"/>
          </w:rPr>
          <w:t>https://doi.org/10.1073/pnas.2200300119</w:t>
        </w:r>
      </w:hyperlink>
    </w:p>
    <w:p w14:paraId="2DA7A2E1" w14:textId="77777777" w:rsidR="002F36D3" w:rsidRDefault="00000000">
      <w:pPr>
        <w:pStyle w:val="Bibliography"/>
        <w:ind w:left="720" w:hanging="720"/>
      </w:pPr>
      <w:bookmarkStart w:id="97" w:name="ref-marchant2011"/>
      <w:bookmarkEnd w:id="96"/>
      <w:r>
        <w:t xml:space="preserve">Marchant, G.E., Allenby, B.R., Herkert, J.R., 2011. The growing gap between emerging technologies and legal-ethical oversight: The pacing problem. Springer. </w:t>
      </w:r>
      <w:hyperlink r:id="rId62">
        <w:r w:rsidR="002F36D3">
          <w:rPr>
            <w:rStyle w:val="Hyperlink"/>
          </w:rPr>
          <w:t>https://doi.org/10.1007/978-94-007-1356-7</w:t>
        </w:r>
      </w:hyperlink>
    </w:p>
    <w:p w14:paraId="13206643" w14:textId="77777777" w:rsidR="002F36D3" w:rsidRDefault="00000000">
      <w:pPr>
        <w:pStyle w:val="Bibliography"/>
        <w:ind w:left="720" w:hanging="720"/>
      </w:pPr>
      <w:bookmarkStart w:id="98" w:name="ref-marchau2019"/>
      <w:bookmarkEnd w:id="97"/>
      <w:r>
        <w:t xml:space="preserve">Marchau, V.A.W.J., Walker, W.E., Bloemen, P.J.T.M., Popper, S.W., 2019. Decision making under deep uncertainty: From theory to practice. Springer. </w:t>
      </w:r>
      <w:hyperlink r:id="rId63">
        <w:r w:rsidR="002F36D3">
          <w:rPr>
            <w:rStyle w:val="Hyperlink"/>
          </w:rPr>
          <w:t>https://doi.org/10.1007/978-3-030-05252-2</w:t>
        </w:r>
      </w:hyperlink>
    </w:p>
    <w:p w14:paraId="5CFFC79E" w14:textId="77777777" w:rsidR="002F36D3" w:rsidRDefault="00000000">
      <w:pPr>
        <w:pStyle w:val="Bibliography"/>
        <w:ind w:left="720" w:hanging="720"/>
      </w:pPr>
      <w:bookmarkStart w:id="99" w:name="ref-mark2019adr"/>
      <w:bookmarkEnd w:id="98"/>
      <w:r>
        <w:t xml:space="preserve">Mark, C.P., Kamath, S., 2019. Review of active space debris removal methods. Space Policy 47, 194–206. </w:t>
      </w:r>
      <w:hyperlink r:id="rId64">
        <w:r w:rsidR="002F36D3">
          <w:rPr>
            <w:rStyle w:val="Hyperlink"/>
          </w:rPr>
          <w:t>https://doi.org/10.1016/j.spacepol.2018.12.005</w:t>
        </w:r>
      </w:hyperlink>
    </w:p>
    <w:p w14:paraId="5B99E9D7" w14:textId="77777777" w:rsidR="002F36D3" w:rsidRDefault="00000000">
      <w:pPr>
        <w:pStyle w:val="Bibliography"/>
        <w:ind w:left="720" w:hanging="720"/>
      </w:pPr>
      <w:bookmarkStart w:id="100" w:name="ref-freeland2021"/>
      <w:bookmarkEnd w:id="99"/>
      <w:r>
        <w:t xml:space="preserve">Martin, A.-S., Freeland, S., 2021. Back to the moon and beyond: Strengthening the legal framework for protection of the space environment. Air &amp; Space Law 46, 415–446. </w:t>
      </w:r>
      <w:hyperlink r:id="rId65">
        <w:r w:rsidR="002F36D3">
          <w:rPr>
            <w:rStyle w:val="Hyperlink"/>
          </w:rPr>
          <w:t>https://doi.org/10.54648/aila2021023</w:t>
        </w:r>
      </w:hyperlink>
    </w:p>
    <w:p w14:paraId="3AACB718" w14:textId="77777777" w:rsidR="002F36D3" w:rsidRDefault="00000000">
      <w:pPr>
        <w:pStyle w:val="Bibliography"/>
        <w:ind w:left="720" w:hanging="720"/>
      </w:pPr>
      <w:bookmarkStart w:id="101" w:name="ref-martinez2021"/>
      <w:bookmarkEnd w:id="100"/>
      <w:r>
        <w:lastRenderedPageBreak/>
        <w:t xml:space="preserve">Martinez, P., 2021. The UN COPUOS guidelines for the long-term sustainability of outer space activities. Journal of Space Safety Engineering 8, 98–109. </w:t>
      </w:r>
      <w:hyperlink r:id="rId66">
        <w:r w:rsidR="002F36D3">
          <w:rPr>
            <w:rStyle w:val="Hyperlink"/>
          </w:rPr>
          <w:t>https://doi.org/10.1016/j.jsse.2021.01.004</w:t>
        </w:r>
      </w:hyperlink>
    </w:p>
    <w:p w14:paraId="0EF8F355" w14:textId="77777777" w:rsidR="002F36D3" w:rsidRDefault="00000000">
      <w:pPr>
        <w:pStyle w:val="Bibliography"/>
        <w:ind w:left="720" w:hanging="720"/>
      </w:pPr>
      <w:bookmarkStart w:id="102" w:name="ref-mazzucato2018"/>
      <w:bookmarkEnd w:id="101"/>
      <w:r>
        <w:t xml:space="preserve">Mazzucato, M., 2018. Mission-oriented innovation policies: Challenges and opportunities. Industrial and Corporate Change 27, 803–815. </w:t>
      </w:r>
      <w:hyperlink r:id="rId67">
        <w:r w:rsidR="002F36D3">
          <w:rPr>
            <w:rStyle w:val="Hyperlink"/>
          </w:rPr>
          <w:t>https://doi.org/10.1093/icc/dty034</w:t>
        </w:r>
      </w:hyperlink>
    </w:p>
    <w:p w14:paraId="7F9BAEA9" w14:textId="77777777" w:rsidR="002F36D3" w:rsidRDefault="00000000">
      <w:pPr>
        <w:pStyle w:val="Bibliography"/>
        <w:ind w:left="720" w:hanging="720"/>
      </w:pPr>
      <w:bookmarkStart w:id="103" w:name="ref-mcdougall1985"/>
      <w:bookmarkEnd w:id="102"/>
      <w:r>
        <w:t>McDougall, W.A., 1985.the heavens and the earth: A political history of the space age. Basic Books.</w:t>
      </w:r>
    </w:p>
    <w:p w14:paraId="12887EBC" w14:textId="77777777" w:rsidR="002F36D3" w:rsidRDefault="00000000">
      <w:pPr>
        <w:pStyle w:val="Bibliography"/>
        <w:ind w:left="720" w:hanging="720"/>
      </w:pPr>
      <w:bookmarkStart w:id="104" w:name="ref-mertens2022pnas"/>
      <w:bookmarkEnd w:id="103"/>
      <w:r>
        <w:t xml:space="preserve">Mertens, S., Herberz, M., Hahnel, U.J.J., Brosch, T., 2022. The effectiveness of nudging: A meta-analysis of choice architecture interventions across behavioral domains. Proceedings of the National Academy of Sciences 119, e2107346118. </w:t>
      </w:r>
      <w:hyperlink r:id="rId68">
        <w:r w:rsidR="002F36D3">
          <w:rPr>
            <w:rStyle w:val="Hyperlink"/>
          </w:rPr>
          <w:t>https://doi.org/10.1073/pnas.2107346118</w:t>
        </w:r>
      </w:hyperlink>
    </w:p>
    <w:p w14:paraId="1972B729" w14:textId="77777777" w:rsidR="002F36D3" w:rsidRDefault="00000000">
      <w:pPr>
        <w:pStyle w:val="Bibliography"/>
        <w:ind w:left="720" w:hanging="720"/>
      </w:pPr>
      <w:bookmarkStart w:id="105" w:name="ref-migaud2021"/>
      <w:bookmarkEnd w:id="104"/>
      <w:r>
        <w:t xml:space="preserve">Migaud, M.R., Greer, R.A., Bullock, J.B., 2021. Developing an adaptive space governance framework. Space Policy 55, 101400. </w:t>
      </w:r>
      <w:hyperlink r:id="rId69">
        <w:r w:rsidR="002F36D3">
          <w:rPr>
            <w:rStyle w:val="Hyperlink"/>
          </w:rPr>
          <w:t>https://doi.org/10.1016/j.spacepol.2020.101400</w:t>
        </w:r>
      </w:hyperlink>
    </w:p>
    <w:p w14:paraId="60E95099" w14:textId="77777777" w:rsidR="002F36D3" w:rsidRDefault="00000000">
      <w:pPr>
        <w:pStyle w:val="Bibliography"/>
        <w:ind w:left="720" w:hanging="720"/>
      </w:pPr>
      <w:bookmarkStart w:id="106" w:name="ref-nasa2026"/>
      <w:bookmarkEnd w:id="105"/>
      <w:r>
        <w:t xml:space="preserve">NASA, 2026. </w:t>
      </w:r>
      <w:hyperlink r:id="rId70">
        <w:r w:rsidR="002F36D3">
          <w:rPr>
            <w:rStyle w:val="Hyperlink"/>
          </w:rPr>
          <w:t>Artemis accords signatories</w:t>
        </w:r>
      </w:hyperlink>
      <w:r>
        <w:t>.</w:t>
      </w:r>
    </w:p>
    <w:p w14:paraId="71C5D9F7" w14:textId="77777777" w:rsidR="002F36D3" w:rsidRDefault="00000000">
      <w:pPr>
        <w:pStyle w:val="Bibliography"/>
        <w:ind w:left="720" w:hanging="720"/>
      </w:pPr>
      <w:bookmarkStart w:id="107" w:name="ref-nasa2021"/>
      <w:bookmarkEnd w:id="106"/>
      <w:r>
        <w:t xml:space="preserve">NASA, 2021. </w:t>
      </w:r>
      <w:hyperlink r:id="rId71">
        <w:r w:rsidR="002F36D3">
          <w:rPr>
            <w:rStyle w:val="Hyperlink"/>
          </w:rPr>
          <w:t>International space station collision avoidance maneuver: Kosmos 1408 debris</w:t>
        </w:r>
      </w:hyperlink>
      <w:r>
        <w:t>.</w:t>
      </w:r>
    </w:p>
    <w:p w14:paraId="4E47D782" w14:textId="77777777" w:rsidR="002F36D3" w:rsidRDefault="00000000">
      <w:pPr>
        <w:pStyle w:val="Bibliography"/>
        <w:ind w:left="720" w:hanging="720"/>
      </w:pPr>
      <w:bookmarkStart w:id="108" w:name="ref-nasa2020artemis"/>
      <w:bookmarkEnd w:id="107"/>
      <w:r>
        <w:t xml:space="preserve">National Aeronautics and Space Administration, 2020. </w:t>
      </w:r>
      <w:hyperlink r:id="rId72">
        <w:r w:rsidR="002F36D3">
          <w:rPr>
            <w:rStyle w:val="Hyperlink"/>
          </w:rPr>
          <w:t>The Artemis Accords: Principles for a safe, peaceful, and prosperous future</w:t>
        </w:r>
      </w:hyperlink>
      <w:r>
        <w:t>.</w:t>
      </w:r>
    </w:p>
    <w:p w14:paraId="35237CF4" w14:textId="77777777" w:rsidR="002F36D3" w:rsidRDefault="00000000">
      <w:pPr>
        <w:pStyle w:val="Bibliography"/>
        <w:ind w:left="720" w:hanging="720"/>
      </w:pPr>
      <w:bookmarkStart w:id="109" w:name="ref-oecd2023newspace"/>
      <w:bookmarkEnd w:id="108"/>
      <w:r>
        <w:t xml:space="preserve">OECD, 2023. Harnessing “new space” for sustainable growth of the space economy. OECD Publishing. </w:t>
      </w:r>
      <w:hyperlink r:id="rId73">
        <w:r w:rsidR="002F36D3">
          <w:rPr>
            <w:rStyle w:val="Hyperlink"/>
          </w:rPr>
          <w:t>https://doi.org/10.1787/a67b1a1c-en</w:t>
        </w:r>
      </w:hyperlink>
    </w:p>
    <w:p w14:paraId="2D7D779B" w14:textId="77777777" w:rsidR="002F36D3" w:rsidRDefault="00000000">
      <w:pPr>
        <w:pStyle w:val="Bibliography"/>
        <w:ind w:left="720" w:hanging="720"/>
      </w:pPr>
      <w:bookmarkStart w:id="110" w:name="ref-oecd2022"/>
      <w:bookmarkEnd w:id="109"/>
      <w:r>
        <w:t xml:space="preserve">OECD, 2022a. OECD handbook on measuring the space economy. OECD Publishing. </w:t>
      </w:r>
      <w:hyperlink r:id="rId74">
        <w:r w:rsidR="002F36D3">
          <w:rPr>
            <w:rStyle w:val="Hyperlink"/>
          </w:rPr>
          <w:t>https://doi.org/10.1787/8bfef437-en</w:t>
        </w:r>
      </w:hyperlink>
    </w:p>
    <w:p w14:paraId="41623C6A" w14:textId="77777777" w:rsidR="002F36D3" w:rsidRDefault="00000000">
      <w:pPr>
        <w:pStyle w:val="Bibliography"/>
        <w:ind w:left="720" w:hanging="720"/>
      </w:pPr>
      <w:bookmarkStart w:id="111" w:name="ref-oecd2022orbits"/>
      <w:bookmarkEnd w:id="110"/>
      <w:r>
        <w:t xml:space="preserve">OECD, 2022b. Earth’s orbits at risk: The economics of space sustainability. OECD Publishing. </w:t>
      </w:r>
      <w:hyperlink r:id="rId75">
        <w:r w:rsidR="002F36D3">
          <w:rPr>
            <w:rStyle w:val="Hyperlink"/>
          </w:rPr>
          <w:t>https://doi.org/10.1787/16543990-en</w:t>
        </w:r>
      </w:hyperlink>
    </w:p>
    <w:p w14:paraId="70B496CE" w14:textId="77777777" w:rsidR="002F36D3" w:rsidRDefault="00000000">
      <w:pPr>
        <w:pStyle w:val="Bibliography"/>
        <w:ind w:left="720" w:hanging="720"/>
      </w:pPr>
      <w:bookmarkStart w:id="112" w:name="ref-ogutu2021"/>
      <w:bookmarkEnd w:id="111"/>
      <w:r>
        <w:lastRenderedPageBreak/>
        <w:t xml:space="preserve">Osoro, O.B., Oughton, E.J., 2021. A techno-economic framework for satellite networks applied to low earth orbit constellations: Assessing Starlink, OneWeb and Kuiper. IEEE Access 9, 141611–141625. </w:t>
      </w:r>
      <w:hyperlink r:id="rId76">
        <w:r w:rsidR="002F36D3">
          <w:rPr>
            <w:rStyle w:val="Hyperlink"/>
          </w:rPr>
          <w:t>https://doi.org/10.1109/ACCESS.2021.3119634</w:t>
        </w:r>
      </w:hyperlink>
    </w:p>
    <w:p w14:paraId="5B0A570B" w14:textId="77777777" w:rsidR="002F36D3" w:rsidRDefault="00000000">
      <w:pPr>
        <w:pStyle w:val="Bibliography"/>
        <w:ind w:left="720" w:hanging="720"/>
      </w:pPr>
      <w:bookmarkStart w:id="113" w:name="ref-ostrom2010"/>
      <w:bookmarkEnd w:id="112"/>
      <w:r>
        <w:t xml:space="preserve">Ostrom, E., 2010. Beyond markets and states: Polycentric governance of complex economic systems. American Economic Review 100, 641–672. </w:t>
      </w:r>
      <w:hyperlink r:id="rId77">
        <w:r w:rsidR="002F36D3">
          <w:rPr>
            <w:rStyle w:val="Hyperlink"/>
          </w:rPr>
          <w:t>https://doi.org/10.1257/aer.100.3.641</w:t>
        </w:r>
      </w:hyperlink>
    </w:p>
    <w:p w14:paraId="36BA24BA" w14:textId="77777777" w:rsidR="002F36D3" w:rsidRDefault="00000000">
      <w:pPr>
        <w:pStyle w:val="Bibliography"/>
        <w:ind w:left="720" w:hanging="720"/>
      </w:pPr>
      <w:bookmarkStart w:id="114" w:name="ref-ostrom1990"/>
      <w:bookmarkEnd w:id="113"/>
      <w:r>
        <w:t>Ostrom, E., 1990. Governing the commons: The evolution of institutions for collective action. Cambridge University Press.</w:t>
      </w:r>
    </w:p>
    <w:p w14:paraId="1E1FC458" w14:textId="77777777" w:rsidR="002F36D3" w:rsidRDefault="00000000">
      <w:pPr>
        <w:pStyle w:val="Bibliography"/>
        <w:ind w:left="720" w:hanging="720"/>
      </w:pPr>
      <w:bookmarkStart w:id="115" w:name="ref-pace2023"/>
      <w:bookmarkEnd w:id="114"/>
      <w:r>
        <w:t xml:space="preserve">Pace, S., 2020. International space cooperation: Lessons from the international space station, in: Handbook of Space Security. Springer. </w:t>
      </w:r>
      <w:hyperlink r:id="rId78">
        <w:r w:rsidR="002F36D3">
          <w:rPr>
            <w:rStyle w:val="Hyperlink"/>
          </w:rPr>
          <w:t>https://doi.org/10.1007/978-3-030-23210-8</w:t>
        </w:r>
      </w:hyperlink>
    </w:p>
    <w:p w14:paraId="43BC3677" w14:textId="77777777" w:rsidR="002F36D3" w:rsidRDefault="00000000">
      <w:pPr>
        <w:pStyle w:val="Bibliography"/>
        <w:ind w:left="720" w:hanging="720"/>
      </w:pPr>
      <w:bookmarkStart w:id="116" w:name="ref-Paikowsky_2017"/>
      <w:bookmarkEnd w:id="115"/>
      <w:r>
        <w:t xml:space="preserve">Paikowsky, D., 2017. What is new space? The changing ecosystem of global space activity. New Space 5, 84–88. </w:t>
      </w:r>
      <w:hyperlink r:id="rId79">
        <w:r w:rsidR="002F36D3">
          <w:rPr>
            <w:rStyle w:val="Hyperlink"/>
          </w:rPr>
          <w:t>https://doi.org/10.1089/space.2016.0027</w:t>
        </w:r>
      </w:hyperlink>
    </w:p>
    <w:p w14:paraId="26824C8C" w14:textId="77777777" w:rsidR="002F36D3" w:rsidRDefault="00000000">
      <w:pPr>
        <w:pStyle w:val="Bibliography"/>
        <w:ind w:left="720" w:hanging="720"/>
      </w:pPr>
      <w:bookmarkStart w:id="117" w:name="ref-palmroth2021"/>
      <w:bookmarkEnd w:id="116"/>
      <w:r>
        <w:t xml:space="preserve">Palmroth, M., Tapio, J., Soucek, A., Perrels, A., Jah, M., others, 2021. Toward sustainable use of space: Economic, technological, and legal perspectives. Space Policy 57, 101428. </w:t>
      </w:r>
      <w:hyperlink r:id="rId80">
        <w:r w:rsidR="002F36D3">
          <w:rPr>
            <w:rStyle w:val="Hyperlink"/>
          </w:rPr>
          <w:t>https://doi.org/10.1016/j.spacepol.2021.101428</w:t>
        </w:r>
      </w:hyperlink>
    </w:p>
    <w:p w14:paraId="6FBF5E1D" w14:textId="77777777" w:rsidR="002F36D3" w:rsidRDefault="00000000">
      <w:pPr>
        <w:pStyle w:val="Bibliography"/>
        <w:ind w:left="720" w:hanging="720"/>
      </w:pPr>
      <w:bookmarkStart w:id="118" w:name="ref-Peffers_2007"/>
      <w:bookmarkEnd w:id="117"/>
      <w:r>
        <w:t xml:space="preserve">Peffers, K., Tuunanen, T., Rothenberger, M.A., Chatterjee, S., 2007. A design science research methodology for information systems research. Journal of Management Information Systems 24, 45–77. </w:t>
      </w:r>
      <w:hyperlink r:id="rId81">
        <w:r w:rsidR="002F36D3">
          <w:rPr>
            <w:rStyle w:val="Hyperlink"/>
          </w:rPr>
          <w:t>https://doi.org/10.2753/mis0742-1222240302</w:t>
        </w:r>
      </w:hyperlink>
    </w:p>
    <w:p w14:paraId="1B8A74C6" w14:textId="77777777" w:rsidR="002F36D3" w:rsidRDefault="00000000">
      <w:pPr>
        <w:pStyle w:val="Bibliography"/>
        <w:ind w:left="720" w:hanging="720"/>
      </w:pPr>
      <w:bookmarkStart w:id="119" w:name="ref-ragin2008"/>
      <w:bookmarkEnd w:id="118"/>
      <w:r>
        <w:t>Ragin, C.C., 2008. Redesigning social inquiry: Fuzzy sets and beyond. University of Chicago Press.</w:t>
      </w:r>
    </w:p>
    <w:p w14:paraId="29AE9BAF" w14:textId="77777777" w:rsidR="002F36D3" w:rsidRDefault="00000000">
      <w:pPr>
        <w:pStyle w:val="Bibliography"/>
        <w:ind w:left="720" w:hanging="720"/>
      </w:pPr>
      <w:bookmarkStart w:id="120" w:name="ref-rajagopalan2024"/>
      <w:bookmarkEnd w:id="119"/>
      <w:r>
        <w:t xml:space="preserve">Rajagopalan, R.P., Stroikos, D., 2024. The transformation of India’s space policy: From space for development to the pursuit of security and prestige. Space Policy 69, 101633. </w:t>
      </w:r>
      <w:hyperlink r:id="rId82">
        <w:r w:rsidR="002F36D3">
          <w:rPr>
            <w:rStyle w:val="Hyperlink"/>
          </w:rPr>
          <w:t>https://doi.org/10.1016/j.spacepol.2024.101633</w:t>
        </w:r>
      </w:hyperlink>
    </w:p>
    <w:p w14:paraId="2A97548E" w14:textId="77777777" w:rsidR="002F36D3" w:rsidRDefault="00000000">
      <w:pPr>
        <w:pStyle w:val="Bibliography"/>
        <w:ind w:left="720" w:hanging="720"/>
      </w:pPr>
      <w:bookmarkStart w:id="121" w:name="ref-ranchordas2015"/>
      <w:bookmarkEnd w:id="120"/>
      <w:r>
        <w:lastRenderedPageBreak/>
        <w:t xml:space="preserve">Ranchordás, S., 2015. </w:t>
      </w:r>
      <w:hyperlink r:id="rId83">
        <w:r w:rsidR="002F36D3">
          <w:rPr>
            <w:rStyle w:val="Hyperlink"/>
          </w:rPr>
          <w:t>Innovation experimentalism in the age of the sharing economy</w:t>
        </w:r>
      </w:hyperlink>
      <w:r>
        <w:t>. Lewis &amp; Clark Law Review 19, 871–924.</w:t>
      </w:r>
    </w:p>
    <w:p w14:paraId="0A93861C" w14:textId="77777777" w:rsidR="002F36D3" w:rsidRDefault="00000000">
      <w:pPr>
        <w:pStyle w:val="Bibliography"/>
        <w:ind w:left="720" w:hanging="720"/>
      </w:pPr>
      <w:bookmarkStart w:id="122" w:name="ref-rao2020"/>
      <w:bookmarkEnd w:id="121"/>
      <w:r>
        <w:t xml:space="preserve">Rao, A., Burgess, M., Kaffine, D., 2020. Orbital-use fees could more than quadruple the value of the space industry. Proceedings of the National Academy of Sciences 117, 12756–12762. </w:t>
      </w:r>
      <w:hyperlink r:id="rId84">
        <w:r w:rsidR="002F36D3">
          <w:rPr>
            <w:rStyle w:val="Hyperlink"/>
          </w:rPr>
          <w:t>https://doi.org/10.1073/pnas.1921260117</w:t>
        </w:r>
      </w:hyperlink>
    </w:p>
    <w:p w14:paraId="588C8E54" w14:textId="77777777" w:rsidR="002F36D3" w:rsidRDefault="00000000">
      <w:pPr>
        <w:pStyle w:val="Bibliography"/>
        <w:ind w:left="720" w:hanging="720"/>
      </w:pPr>
      <w:bookmarkStart w:id="123" w:name="ref-rathnasabapathy2025"/>
      <w:bookmarkEnd w:id="122"/>
      <w:r>
        <w:t xml:space="preserve">Rathnasabapathy, M., Letizia, F., Wood, D., Lal, B., Lifson, M., Steindl, R., Krag, H., 2025. Space sustainability rating: Designing a composite indicator to incentivise satellite operators to pursue long-term sustainability of the space environment. Acta Astronautica. </w:t>
      </w:r>
      <w:hyperlink r:id="rId85">
        <w:r w:rsidR="002F36D3">
          <w:rPr>
            <w:rStyle w:val="Hyperlink"/>
          </w:rPr>
          <w:t>https://doi.org/10.1016/j.actaastro.2025.01.019</w:t>
        </w:r>
      </w:hyperlink>
    </w:p>
    <w:p w14:paraId="233D0229" w14:textId="77777777" w:rsidR="002F36D3" w:rsidRDefault="00000000">
      <w:pPr>
        <w:pStyle w:val="Bibliography"/>
        <w:ind w:left="720" w:hanging="720"/>
      </w:pPr>
      <w:bookmarkStart w:id="124" w:name="ref-rementeria2022"/>
      <w:bookmarkEnd w:id="123"/>
      <w:r>
        <w:t xml:space="preserve">Rementeria, S., 2022. Power dynamics in the age of space commercialisation. Space Policy 60, 101472. </w:t>
      </w:r>
      <w:hyperlink r:id="rId86">
        <w:r w:rsidR="002F36D3">
          <w:rPr>
            <w:rStyle w:val="Hyperlink"/>
          </w:rPr>
          <w:t>https://doi.org/10.1016/j.spacepol.2021.101472</w:t>
        </w:r>
      </w:hyperlink>
    </w:p>
    <w:p w14:paraId="7688A9F8" w14:textId="77777777" w:rsidR="002F36D3" w:rsidRDefault="00000000">
      <w:pPr>
        <w:pStyle w:val="Bibliography"/>
        <w:ind w:left="720" w:hanging="720"/>
      </w:pPr>
      <w:bookmarkStart w:id="125" w:name="ref-rittel1973"/>
      <w:bookmarkEnd w:id="124"/>
      <w:r>
        <w:t xml:space="preserve">Rittel, H.W.J., Webber, M.M., 1973. Dilemmas in a general theory of planning. Policy Sciences 4, 155–169. </w:t>
      </w:r>
      <w:hyperlink r:id="rId87">
        <w:r w:rsidR="002F36D3">
          <w:rPr>
            <w:rStyle w:val="Hyperlink"/>
          </w:rPr>
          <w:t>https://doi.org/10.1007/BF01405730</w:t>
        </w:r>
      </w:hyperlink>
    </w:p>
    <w:p w14:paraId="73ED8F71" w14:textId="77777777" w:rsidR="002F36D3" w:rsidRDefault="00000000">
      <w:pPr>
        <w:pStyle w:val="Bibliography"/>
        <w:ind w:left="720" w:hanging="720"/>
      </w:pPr>
      <w:bookmarkStart w:id="126" w:name="ref-robinson2019"/>
      <w:bookmarkEnd w:id="125"/>
      <w:r>
        <w:t xml:space="preserve">Robinson, D.K.R., Mazzucato, M., 2019. The evolution of mission-oriented policies: Exploring changing market creating policies in the US and european space sectors. Research Policy 48, 936–948. </w:t>
      </w:r>
      <w:hyperlink r:id="rId88">
        <w:r w:rsidR="002F36D3">
          <w:rPr>
            <w:rStyle w:val="Hyperlink"/>
          </w:rPr>
          <w:t>https://doi.org/10.1016/j.respol.2018.10.005</w:t>
        </w:r>
      </w:hyperlink>
    </w:p>
    <w:p w14:paraId="7BA4E818" w14:textId="77777777" w:rsidR="002F36D3" w:rsidRDefault="00000000">
      <w:pPr>
        <w:pStyle w:val="Bibliography"/>
        <w:ind w:left="720" w:hanging="720"/>
      </w:pPr>
      <w:bookmarkStart w:id="127" w:name="ref-Rogge_2016"/>
      <w:bookmarkEnd w:id="126"/>
      <w:r>
        <w:t xml:space="preserve">Rogge, K.S., Reichardt, K., 2016. Policy mixes for sustainability transitions: An extended concept and framework for analysis. Research Policy 45, 1620–1635. </w:t>
      </w:r>
      <w:hyperlink r:id="rId89">
        <w:r w:rsidR="002F36D3">
          <w:rPr>
            <w:rStyle w:val="Hyperlink"/>
          </w:rPr>
          <w:t>https://doi.org/10.1016/j.respol.2016.04.004</w:t>
        </w:r>
      </w:hyperlink>
    </w:p>
    <w:p w14:paraId="0068DF47" w14:textId="77777777" w:rsidR="002F36D3" w:rsidRDefault="00000000">
      <w:pPr>
        <w:pStyle w:val="Bibliography"/>
        <w:ind w:left="720" w:hanging="720"/>
      </w:pPr>
      <w:bookmarkStart w:id="128" w:name="ref-sabel2012"/>
      <w:bookmarkEnd w:id="127"/>
      <w:r>
        <w:t xml:space="preserve">Sabel, C.F., Zeitlin, J., 2012. Experimentalist governance, in: Levi-Faur, D. (Ed.), The Oxford Handbook of Governance. Oxford University Press, pp. 169–183. </w:t>
      </w:r>
      <w:hyperlink r:id="rId90">
        <w:r w:rsidR="002F36D3">
          <w:rPr>
            <w:rStyle w:val="Hyperlink"/>
          </w:rPr>
          <w:t>https://doi.org/10.1093/oxfordhb/9780199560530.013.0012</w:t>
        </w:r>
      </w:hyperlink>
    </w:p>
    <w:p w14:paraId="524A5253" w14:textId="77777777" w:rsidR="002F36D3" w:rsidRDefault="00000000">
      <w:pPr>
        <w:pStyle w:val="Bibliography"/>
        <w:ind w:left="720" w:hanging="720"/>
      </w:pPr>
      <w:bookmarkStart w:id="129" w:name="ref-sakai2025"/>
      <w:bookmarkEnd w:id="128"/>
      <w:r>
        <w:lastRenderedPageBreak/>
        <w:t xml:space="preserve">Sakai, S., Kushiki, K., Sawai, S., others, 2025. Moon landing results of SLIM: A smart lander for investigating the Moon. Acta Astronautica 235, 47–54. </w:t>
      </w:r>
      <w:hyperlink r:id="rId91">
        <w:r w:rsidR="002F36D3">
          <w:rPr>
            <w:rStyle w:val="Hyperlink"/>
          </w:rPr>
          <w:t>https://doi.org/10.1016/j.actaastro.2025.05.047</w:t>
        </w:r>
      </w:hyperlink>
    </w:p>
    <w:p w14:paraId="08452874" w14:textId="77777777" w:rsidR="002F36D3" w:rsidRDefault="00000000">
      <w:pPr>
        <w:pStyle w:val="Bibliography"/>
        <w:ind w:left="720" w:hanging="720"/>
      </w:pPr>
      <w:bookmarkStart w:id="130" w:name="ref-samuelson1988"/>
      <w:bookmarkEnd w:id="129"/>
      <w:r>
        <w:t xml:space="preserve">Samuelson, W., Zeckhauser, R., 1988. Status quo bias in decision making. Journal of Risk and Uncertainty 1, 7–59. </w:t>
      </w:r>
      <w:hyperlink r:id="rId92">
        <w:r w:rsidR="002F36D3">
          <w:rPr>
            <w:rStyle w:val="Hyperlink"/>
          </w:rPr>
          <w:t>https://doi.org/10.1007/BF00055564</w:t>
        </w:r>
      </w:hyperlink>
    </w:p>
    <w:p w14:paraId="602D9406" w14:textId="77777777" w:rsidR="002F36D3" w:rsidRDefault="00000000">
      <w:pPr>
        <w:pStyle w:val="Bibliography"/>
        <w:ind w:left="720" w:hanging="720"/>
      </w:pPr>
      <w:bookmarkStart w:id="131" w:name="ref-schot2018"/>
      <w:bookmarkEnd w:id="130"/>
      <w:r>
        <w:t xml:space="preserve">Schot, J., Steinmueller, W.E., 2018. Three frames for innovation policy: R&amp;d, systems of innovation and transformative change. Research Policy 47, 1554–1567. </w:t>
      </w:r>
      <w:hyperlink r:id="rId93">
        <w:r w:rsidR="002F36D3">
          <w:rPr>
            <w:rStyle w:val="Hyperlink"/>
          </w:rPr>
          <w:t>https://doi.org/10.1016/j.respol.2018.08.011</w:t>
        </w:r>
      </w:hyperlink>
    </w:p>
    <w:p w14:paraId="4F9498A0" w14:textId="77777777" w:rsidR="002F36D3" w:rsidRDefault="00000000">
      <w:pPr>
        <w:pStyle w:val="Bibliography"/>
        <w:ind w:left="720" w:hanging="720"/>
      </w:pPr>
      <w:bookmarkStart w:id="132" w:name="ref-shanahan2018"/>
      <w:bookmarkEnd w:id="131"/>
      <w:r>
        <w:t xml:space="preserve">Shanahan, E.A., Jones, M.D., McBeth, M.K., Radaelli, C.M., 2018. The narrative policy framework, in: Weible, C.M., Sabatier, P.A. (Eds.), Theories of the Policy Process. Westview Press, pp. 173–213. </w:t>
      </w:r>
      <w:hyperlink r:id="rId94">
        <w:r w:rsidR="002F36D3">
          <w:rPr>
            <w:rStyle w:val="Hyperlink"/>
          </w:rPr>
          <w:t>https://doi.org/10.4324/9780429494284-6</w:t>
        </w:r>
      </w:hyperlink>
    </w:p>
    <w:p w14:paraId="12B001ED" w14:textId="77777777" w:rsidR="002F36D3" w:rsidRDefault="00000000">
      <w:pPr>
        <w:pStyle w:val="Bibliography"/>
        <w:ind w:left="720" w:hanging="720"/>
      </w:pPr>
      <w:bookmarkStart w:id="133" w:name="ref-sheehan2013"/>
      <w:bookmarkEnd w:id="132"/>
      <w:r>
        <w:t xml:space="preserve">Sheehan, M., 2013. “Did you see that, grandpa mao?” The prestige and propaganda rationales of the chinese space programme. Space Policy 29, 107–112. </w:t>
      </w:r>
      <w:hyperlink r:id="rId95">
        <w:r w:rsidR="002F36D3">
          <w:rPr>
            <w:rStyle w:val="Hyperlink"/>
          </w:rPr>
          <w:t>https://doi.org/10.1016/j.spacepol.2013.03.003</w:t>
        </w:r>
      </w:hyperlink>
    </w:p>
    <w:bookmarkStart w:id="134" w:name="ref-spacefoundation2025"/>
    <w:bookmarkEnd w:id="133"/>
    <w:p w14:paraId="0546A5BC" w14:textId="77777777" w:rsidR="002F36D3" w:rsidRDefault="00000000">
      <w:pPr>
        <w:pStyle w:val="Bibliography"/>
        <w:ind w:left="720" w:hanging="720"/>
      </w:pPr>
      <w:r>
        <w:fldChar w:fldCharType="begin"/>
      </w:r>
      <w:r>
        <w:instrText>HYPERLINK "https://www.spacefoundation.org/2025/07/22/the-space-report-2025-q2/" \h</w:instrText>
      </w:r>
      <w:r>
        <w:fldChar w:fldCharType="separate"/>
      </w:r>
      <w:r>
        <w:rPr>
          <w:rStyle w:val="Hyperlink"/>
        </w:rPr>
        <w:t>Space Foundation, 2025.</w:t>
      </w:r>
      <w:r>
        <w:fldChar w:fldCharType="end"/>
      </w:r>
    </w:p>
    <w:p w14:paraId="0250DF76" w14:textId="77777777" w:rsidR="002F36D3" w:rsidRDefault="00000000">
      <w:pPr>
        <w:pStyle w:val="Bibliography"/>
        <w:ind w:left="720" w:hanging="720"/>
      </w:pPr>
      <w:bookmarkStart w:id="135" w:name="ref-spacefoundation2024"/>
      <w:bookmarkEnd w:id="134"/>
      <w:r>
        <w:t xml:space="preserve">Space Foundation, 2024. </w:t>
      </w:r>
      <w:hyperlink r:id="rId96">
        <w:r w:rsidR="002F36D3">
          <w:rPr>
            <w:rStyle w:val="Hyperlink"/>
          </w:rPr>
          <w:t>The space report 2024</w:t>
        </w:r>
      </w:hyperlink>
      <w:r>
        <w:t>. Space Foundation.</w:t>
      </w:r>
    </w:p>
    <w:p w14:paraId="73997440" w14:textId="77777777" w:rsidR="002F36D3" w:rsidRDefault="00000000">
      <w:pPr>
        <w:pStyle w:val="Bibliography"/>
        <w:ind w:left="720" w:hanging="720"/>
      </w:pPr>
      <w:bookmarkStart w:id="136" w:name="ref-spence1973"/>
      <w:bookmarkEnd w:id="135"/>
      <w:r>
        <w:t xml:space="preserve">Spence, M., 1973. Job market signaling. Quarterly Journal of Economics 87, 355–374. </w:t>
      </w:r>
      <w:hyperlink r:id="rId97">
        <w:r w:rsidR="002F36D3">
          <w:rPr>
            <w:rStyle w:val="Hyperlink"/>
          </w:rPr>
          <w:t>https://doi.org/10.2307/1882010</w:t>
        </w:r>
      </w:hyperlink>
    </w:p>
    <w:p w14:paraId="610DB8E8" w14:textId="77777777" w:rsidR="002F36D3" w:rsidRDefault="00000000">
      <w:pPr>
        <w:pStyle w:val="Bibliography"/>
        <w:ind w:left="720" w:hanging="720"/>
      </w:pPr>
      <w:bookmarkStart w:id="137" w:name="ref-stilgoe2013"/>
      <w:bookmarkEnd w:id="136"/>
      <w:r>
        <w:t xml:space="preserve">Stilgoe, J., Owen, R., Macnaghten, P., 2013. Developing a framework for responsible innovation. Research Policy 42, 1568–1580. </w:t>
      </w:r>
      <w:hyperlink r:id="rId98">
        <w:r w:rsidR="002F36D3">
          <w:rPr>
            <w:rStyle w:val="Hyperlink"/>
          </w:rPr>
          <w:t>https://doi.org/10.1016/j.respol.2013.05.008</w:t>
        </w:r>
      </w:hyperlink>
    </w:p>
    <w:p w14:paraId="667B7E36" w14:textId="77777777" w:rsidR="002F36D3" w:rsidRDefault="00000000">
      <w:pPr>
        <w:pStyle w:val="Bibliography"/>
        <w:ind w:left="720" w:hanging="720"/>
      </w:pPr>
      <w:bookmarkStart w:id="138" w:name="ref-sundahl2013"/>
      <w:bookmarkEnd w:id="137"/>
      <w:r>
        <w:t xml:space="preserve">Sundahl, M.J., 2013. The cape town convention: Its application to space assets and relation to the law of outer space, Studies in space law. Martinus Nijhoff. </w:t>
      </w:r>
      <w:hyperlink r:id="rId99">
        <w:r w:rsidR="002F36D3">
          <w:rPr>
            <w:rStyle w:val="Hyperlink"/>
          </w:rPr>
          <w:t>https://doi.org/10.1163/9789004256569</w:t>
        </w:r>
      </w:hyperlink>
    </w:p>
    <w:p w14:paraId="2AA5C6F8" w14:textId="77777777" w:rsidR="002F36D3" w:rsidRDefault="00000000">
      <w:pPr>
        <w:pStyle w:val="Bibliography"/>
        <w:ind w:left="720" w:hanging="720"/>
      </w:pPr>
      <w:bookmarkStart w:id="139" w:name="ref-sunstein2014"/>
      <w:bookmarkEnd w:id="138"/>
      <w:r>
        <w:lastRenderedPageBreak/>
        <w:t>Sunstein, C.R., 2014. Why nudge? The politics of libertarian paternalism. Yale University Press.</w:t>
      </w:r>
    </w:p>
    <w:p w14:paraId="34CEDA68" w14:textId="77777777" w:rsidR="002F36D3" w:rsidRDefault="00000000">
      <w:pPr>
        <w:pStyle w:val="Bibliography"/>
        <w:ind w:left="720" w:hanging="720"/>
      </w:pPr>
      <w:bookmarkStart w:id="140" w:name="ref-thaler2008"/>
      <w:bookmarkEnd w:id="139"/>
      <w:r>
        <w:t>Thaler, R.H., Sunstein, C.R., 2008. Nudge: Improving decisions about health, wealth, and happiness. Yale University Press.</w:t>
      </w:r>
    </w:p>
    <w:p w14:paraId="7E9D981A" w14:textId="77777777" w:rsidR="002F36D3" w:rsidRDefault="00000000">
      <w:pPr>
        <w:pStyle w:val="Bibliography"/>
        <w:ind w:left="720" w:hanging="720"/>
      </w:pPr>
      <w:bookmarkStart w:id="141" w:name="ref-whitehouse2018spd3"/>
      <w:bookmarkEnd w:id="140"/>
      <w:r>
        <w:t xml:space="preserve">The White House, 2018. </w:t>
      </w:r>
      <w:hyperlink r:id="rId100">
        <w:r w:rsidR="002F36D3">
          <w:rPr>
            <w:rStyle w:val="Hyperlink"/>
          </w:rPr>
          <w:t>Space policy directive-3, national space traffic management policy</w:t>
        </w:r>
      </w:hyperlink>
      <w:r>
        <w:t>.</w:t>
      </w:r>
    </w:p>
    <w:p w14:paraId="7EE112DB" w14:textId="77777777" w:rsidR="002F36D3" w:rsidRDefault="00000000">
      <w:pPr>
        <w:pStyle w:val="Bibliography"/>
        <w:ind w:left="720" w:hanging="720"/>
      </w:pPr>
      <w:bookmarkStart w:id="142" w:name="ref-tversky1992"/>
      <w:bookmarkEnd w:id="141"/>
      <w:r>
        <w:t xml:space="preserve">Tversky, A., Kahneman, D., 1992. Advances in prospect theory: Cumulative representation of uncertainty. Journal of Risk and Uncertainty 5, 297–323. </w:t>
      </w:r>
      <w:hyperlink r:id="rId101">
        <w:r w:rsidR="002F36D3">
          <w:rPr>
            <w:rStyle w:val="Hyperlink"/>
          </w:rPr>
          <w:t>https://doi.org/10.1007/BF00122574</w:t>
        </w:r>
      </w:hyperlink>
    </w:p>
    <w:p w14:paraId="1B9D4DAD" w14:textId="77777777" w:rsidR="002F36D3" w:rsidRDefault="00000000">
      <w:pPr>
        <w:pStyle w:val="Bibliography"/>
        <w:ind w:left="720" w:hanging="720"/>
      </w:pPr>
      <w:bookmarkStart w:id="143" w:name="ref-tversky1981"/>
      <w:bookmarkEnd w:id="142"/>
      <w:r>
        <w:t xml:space="preserve">Tversky, A., Kahneman, D., 1981. The framing of decisions and the psychology of choice. Science 211, 453–458. </w:t>
      </w:r>
      <w:hyperlink r:id="rId102">
        <w:r w:rsidR="002F36D3">
          <w:rPr>
            <w:rStyle w:val="Hyperlink"/>
          </w:rPr>
          <w:t>https://doi.org/10.1126/science.7455683</w:t>
        </w:r>
      </w:hyperlink>
    </w:p>
    <w:p w14:paraId="7CB9B1E6" w14:textId="77777777" w:rsidR="002F36D3" w:rsidRDefault="00000000">
      <w:pPr>
        <w:pStyle w:val="Bibliography"/>
        <w:ind w:left="720" w:hanging="720"/>
      </w:pPr>
      <w:bookmarkStart w:id="144" w:name="ref-un2022"/>
      <w:bookmarkEnd w:id="143"/>
      <w:r>
        <w:t xml:space="preserve">United Nations, 2022. </w:t>
      </w:r>
      <w:hyperlink r:id="rId103">
        <w:r w:rsidR="002F36D3">
          <w:rPr>
            <w:rStyle w:val="Hyperlink"/>
          </w:rPr>
          <w:t>Note verbale dated 3 december 2021 from the permanent mission of china</w:t>
        </w:r>
      </w:hyperlink>
      <w:r>
        <w:t>.</w:t>
      </w:r>
    </w:p>
    <w:p w14:paraId="7AEAAC67" w14:textId="77777777" w:rsidR="002F36D3" w:rsidRDefault="00000000">
      <w:pPr>
        <w:pStyle w:val="Bibliography"/>
        <w:ind w:left="720" w:hanging="720"/>
      </w:pPr>
      <w:bookmarkStart w:id="145" w:name="ref-un2021space2030"/>
      <w:bookmarkEnd w:id="144"/>
      <w:r>
        <w:t xml:space="preserve">United Nations, 2021. </w:t>
      </w:r>
      <w:hyperlink r:id="rId104">
        <w:r w:rsidR="002F36D3">
          <w:rPr>
            <w:rStyle w:val="Hyperlink"/>
          </w:rPr>
          <w:t>Space2030 agenda: Space as a driver of sustainable development</w:t>
        </w:r>
      </w:hyperlink>
      <w:r>
        <w:t>.</w:t>
      </w:r>
    </w:p>
    <w:p w14:paraId="17E4E255" w14:textId="77777777" w:rsidR="002F36D3" w:rsidRDefault="00000000">
      <w:pPr>
        <w:pStyle w:val="Bibliography"/>
        <w:ind w:left="720" w:hanging="720"/>
      </w:pPr>
      <w:bookmarkStart w:id="146" w:name="ref-un2019"/>
      <w:bookmarkEnd w:id="145"/>
      <w:r>
        <w:t xml:space="preserve">United Nations, 2019. </w:t>
      </w:r>
      <w:hyperlink r:id="rId105">
        <w:r w:rsidR="002F36D3">
          <w:rPr>
            <w:rStyle w:val="Hyperlink"/>
          </w:rPr>
          <w:t>Guidelines for the long-term sustainability of outer space activities</w:t>
        </w:r>
      </w:hyperlink>
      <w:r>
        <w:t>.</w:t>
      </w:r>
    </w:p>
    <w:p w14:paraId="42CB948C" w14:textId="77777777" w:rsidR="002F36D3" w:rsidRDefault="00000000">
      <w:pPr>
        <w:pStyle w:val="Bibliography"/>
        <w:ind w:left="720" w:hanging="720"/>
      </w:pPr>
      <w:bookmarkStart w:id="147" w:name="ref-un1967"/>
      <w:bookmarkEnd w:id="146"/>
      <w:r>
        <w:t xml:space="preserve">United Nations, 1967. </w:t>
      </w:r>
      <w:hyperlink r:id="rId106">
        <w:r w:rsidR="002F36D3">
          <w:rPr>
            <w:rStyle w:val="Hyperlink"/>
          </w:rPr>
          <w:t>Treaty on principles governing the activities of states in the exploration and use of outer space, including the moon and other celestial bodies</w:t>
        </w:r>
      </w:hyperlink>
      <w:r>
        <w:t>.</w:t>
      </w:r>
    </w:p>
    <w:p w14:paraId="170E8525" w14:textId="77777777" w:rsidR="002F36D3" w:rsidRDefault="00000000">
      <w:pPr>
        <w:pStyle w:val="Bibliography"/>
        <w:ind w:left="720" w:hanging="720"/>
      </w:pPr>
      <w:bookmarkStart w:id="148" w:name="ref-unoosa_register2025"/>
      <w:bookmarkEnd w:id="147"/>
      <w:r>
        <w:t xml:space="preserve">United Nations Office for Outer Space Affairs, 2025. </w:t>
      </w:r>
      <w:hyperlink r:id="rId107">
        <w:r w:rsidR="002F36D3">
          <w:rPr>
            <w:rStyle w:val="Hyperlink"/>
          </w:rPr>
          <w:t>United nations register of objects launched into outer space</w:t>
        </w:r>
      </w:hyperlink>
      <w:r>
        <w:t>.</w:t>
      </w:r>
    </w:p>
    <w:p w14:paraId="23169E75" w14:textId="77777777" w:rsidR="002F36D3" w:rsidRDefault="00000000">
      <w:pPr>
        <w:pStyle w:val="Bibliography"/>
        <w:ind w:left="720" w:hanging="720"/>
      </w:pPr>
      <w:bookmarkStart w:id="149" w:name="ref-uscongress2015"/>
      <w:bookmarkEnd w:id="148"/>
      <w:r>
        <w:t xml:space="preserve">U.S. Congress, 2015. </w:t>
      </w:r>
      <w:hyperlink r:id="rId108">
        <w:r w:rsidR="002F36D3">
          <w:rPr>
            <w:rStyle w:val="Hyperlink"/>
          </w:rPr>
          <w:t>U.s. Commercial space launch competitiveness act</w:t>
        </w:r>
      </w:hyperlink>
      <w:r>
        <w:t>.</w:t>
      </w:r>
    </w:p>
    <w:p w14:paraId="35C9A2F4" w14:textId="77777777" w:rsidR="002F36D3" w:rsidRDefault="00000000">
      <w:pPr>
        <w:pStyle w:val="Bibliography"/>
        <w:ind w:left="720" w:hanging="720"/>
      </w:pPr>
      <w:bookmarkStart w:id="150" w:name="ref-vaangal2022"/>
      <w:bookmarkEnd w:id="149"/>
      <w:r>
        <w:t>Vaangal, A., 2022. Reexamining the UNCLOS: A lack of compliance and enforceability. Lex Portus.</w:t>
      </w:r>
    </w:p>
    <w:p w14:paraId="137D4A2D" w14:textId="77777777" w:rsidR="002F36D3" w:rsidRDefault="00000000">
      <w:pPr>
        <w:pStyle w:val="Bibliography"/>
        <w:ind w:left="720" w:hanging="720"/>
      </w:pPr>
      <w:bookmarkStart w:id="151" w:name="ref-vanaken2004"/>
      <w:bookmarkEnd w:id="150"/>
      <w:r>
        <w:t xml:space="preserve">Van Aken, J.E., 2004. Management research based on the paradigm of the design sciences: The quest for field-tested and grounded technological rules. Journal of Management Studies 41, 219–246. </w:t>
      </w:r>
      <w:hyperlink r:id="rId109">
        <w:r w:rsidR="002F36D3">
          <w:rPr>
            <w:rStyle w:val="Hyperlink"/>
          </w:rPr>
          <w:t>https://doi.org/10.1111/j.1467-6486.2004.00430.x</w:t>
        </w:r>
      </w:hyperlink>
    </w:p>
    <w:p w14:paraId="48936A87" w14:textId="77777777" w:rsidR="002F36D3" w:rsidRDefault="00000000">
      <w:pPr>
        <w:pStyle w:val="Bibliography"/>
        <w:ind w:left="720" w:hanging="720"/>
      </w:pPr>
      <w:bookmarkStart w:id="152" w:name="ref-veblen1899"/>
      <w:bookmarkEnd w:id="151"/>
      <w:r>
        <w:lastRenderedPageBreak/>
        <w:t>Veblen, T., 1899. The theory of the leisure class. Macmillan.</w:t>
      </w:r>
    </w:p>
    <w:p w14:paraId="5A6A9023" w14:textId="77777777" w:rsidR="002F36D3" w:rsidRDefault="00000000">
      <w:pPr>
        <w:pStyle w:val="Bibliography"/>
        <w:ind w:left="720" w:hanging="720"/>
      </w:pPr>
      <w:bookmarkStart w:id="153" w:name="ref-weeden2022"/>
      <w:bookmarkEnd w:id="152"/>
      <w:r>
        <w:t xml:space="preserve">Weeden, B., Samson, V., 2022. </w:t>
      </w:r>
      <w:hyperlink r:id="rId110">
        <w:r w:rsidR="002F36D3">
          <w:rPr>
            <w:rStyle w:val="Hyperlink"/>
          </w:rPr>
          <w:t>Global counterspace capabilities: An open source assessment</w:t>
        </w:r>
      </w:hyperlink>
      <w:r>
        <w:t>. Secure World Foundation.</w:t>
      </w:r>
    </w:p>
    <w:p w14:paraId="4528796A" w14:textId="77777777" w:rsidR="002F36D3" w:rsidRDefault="00000000">
      <w:pPr>
        <w:pStyle w:val="Bibliography"/>
        <w:ind w:left="720" w:hanging="720"/>
      </w:pPr>
      <w:bookmarkStart w:id="154" w:name="ref-whetten1989"/>
      <w:bookmarkEnd w:id="153"/>
      <w:r>
        <w:t xml:space="preserve">Whetten, D.A., 1989. What constitutes a theoretical contribution? Academy of Management Review 14, 490–495. </w:t>
      </w:r>
      <w:hyperlink r:id="rId111">
        <w:r w:rsidR="002F36D3">
          <w:rPr>
            <w:rStyle w:val="Hyperlink"/>
          </w:rPr>
          <w:t>https://doi.org/10.5465/amr.1989.4308371</w:t>
        </w:r>
      </w:hyperlink>
    </w:p>
    <w:p w14:paraId="3CC6A429" w14:textId="77777777" w:rsidR="002F36D3" w:rsidRDefault="00000000">
      <w:pPr>
        <w:pStyle w:val="Bibliography"/>
        <w:ind w:left="720" w:hanging="720"/>
      </w:pPr>
      <w:bookmarkStart w:id="155" w:name="ref-wef2026"/>
      <w:bookmarkEnd w:id="154"/>
      <w:r>
        <w:t xml:space="preserve">World Economic Forum, 2026. </w:t>
      </w:r>
      <w:hyperlink r:id="rId112">
        <w:r w:rsidR="002F36D3">
          <w:rPr>
            <w:rStyle w:val="Hyperlink"/>
          </w:rPr>
          <w:t>Space sustainability rating</w:t>
        </w:r>
      </w:hyperlink>
      <w:r>
        <w:t>.</w:t>
      </w:r>
    </w:p>
    <w:p w14:paraId="2B948BC4" w14:textId="77777777" w:rsidR="002F36D3" w:rsidRDefault="00000000">
      <w:pPr>
        <w:pStyle w:val="Bibliography"/>
        <w:ind w:left="720" w:hanging="720"/>
      </w:pPr>
      <w:bookmarkStart w:id="156" w:name="ref-zahavi1975"/>
      <w:bookmarkEnd w:id="155"/>
      <w:r>
        <w:t xml:space="preserve">Zahavi, A., 1975. Mate selection—a selection for a handicap. Journal of Theoretical Biology 53, 205–214. </w:t>
      </w:r>
      <w:hyperlink r:id="rId113">
        <w:r w:rsidR="002F36D3">
          <w:rPr>
            <w:rStyle w:val="Hyperlink"/>
          </w:rPr>
          <w:t>https://doi.org/10.1016/0022-5193(75)90111-3</w:t>
        </w:r>
      </w:hyperlink>
      <w:bookmarkEnd w:id="34"/>
      <w:bookmarkEnd w:id="36"/>
      <w:bookmarkEnd w:id="156"/>
    </w:p>
    <w:sectPr w:rsidR="002F36D3" w:rsidSect="000D58A8">
      <w:headerReference w:type="default" r:id="rId1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E7D1" w14:textId="77777777" w:rsidR="005176EE" w:rsidRDefault="005176EE">
      <w:pPr>
        <w:spacing w:line="240" w:lineRule="auto"/>
      </w:pPr>
      <w:r>
        <w:separator/>
      </w:r>
    </w:p>
  </w:endnote>
  <w:endnote w:type="continuationSeparator" w:id="0">
    <w:p w14:paraId="14D1E869" w14:textId="77777777" w:rsidR="005176EE" w:rsidRDefault="005176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FB795" w14:textId="77777777" w:rsidR="005176EE" w:rsidRDefault="005176EE">
      <w:pPr>
        <w:spacing w:line="240" w:lineRule="auto"/>
      </w:pPr>
      <w:r>
        <w:separator/>
      </w:r>
    </w:p>
  </w:footnote>
  <w:footnote w:type="continuationSeparator" w:id="0">
    <w:p w14:paraId="63496F97" w14:textId="77777777" w:rsidR="005176EE" w:rsidRDefault="005176EE">
      <w:pPr>
        <w:spacing w:line="240" w:lineRule="auto"/>
      </w:pPr>
      <w:r>
        <w:continuationSeparator/>
      </w:r>
    </w:p>
  </w:footnote>
  <w:footnote w:id="1">
    <w:p w14:paraId="769D61A3" w14:textId="77777777" w:rsidR="002F36D3" w:rsidRDefault="00000000">
      <w:pPr>
        <w:pStyle w:val="FootnoteText"/>
      </w:pPr>
      <w:r>
        <w:rPr>
          <w:rStyle w:val="FootnoteReference"/>
        </w:rPr>
        <w:footnoteRef/>
      </w:r>
      <w:r>
        <w:t xml:space="preserve"> Anti-satellite (ASAT) tests involve one nation destroying a satellite, typically its own defunct spacecraft, to demonstrate military capability. Such tests create debris that persists in orbit for years or decades.</w:t>
      </w:r>
    </w:p>
  </w:footnote>
  <w:footnote w:id="2">
    <w:p w14:paraId="0EB7A0D4" w14:textId="77777777" w:rsidR="002F36D3" w:rsidRDefault="00000000">
      <w:pPr>
        <w:pStyle w:val="FootnoteText"/>
      </w:pPr>
      <w:r>
        <w:rPr>
          <w:rStyle w:val="FootnoteReference"/>
        </w:rPr>
        <w:footnoteRef/>
      </w:r>
      <w:r>
        <w:t xml:space="preserve"> “Wicked problems” describes challenges where the problem definition itself is contested, solutions cannot be tested before implementation, and stakeholders hold fundamentally different views about success.</w:t>
      </w:r>
    </w:p>
  </w:footnote>
  <w:footnote w:id="3">
    <w:p w14:paraId="35A1AD2C" w14:textId="77777777" w:rsidR="002F36D3" w:rsidRDefault="00000000">
      <w:pPr>
        <w:pStyle w:val="FootnoteText"/>
      </w:pPr>
      <w:r>
        <w:rPr>
          <w:rStyle w:val="FootnoteReference"/>
        </w:rPr>
        <w:footnoteRef/>
      </w:r>
      <w:r>
        <w:t xml:space="preserve"> “New Space” refers to the shift from government-dominated space programs to commercial and entrepreneurial space activities, characterized by private investment, rapid iteration, and cost reduction through reusable launch vehicles and mass-produced satellites.</w:t>
      </w:r>
    </w:p>
  </w:footnote>
  <w:footnote w:id="4">
    <w:p w14:paraId="167D47C1" w14:textId="77777777" w:rsidR="002F36D3" w:rsidRDefault="00000000">
      <w:pPr>
        <w:pStyle w:val="FootnoteText"/>
      </w:pPr>
      <w:r>
        <w:rPr>
          <w:rStyle w:val="FootnoteReference"/>
        </w:rPr>
        <w:footnoteRef/>
      </w:r>
      <w:r>
        <w:t xml:space="preserve"> NASA scientist Donald Kessler modeled the “Kessler Syndrome” in 1978: a scenario where debris density triggers a cascading chain reaction, potentially rendering entire orbital regions unusable for generations.</w:t>
      </w:r>
    </w:p>
  </w:footnote>
  <w:footnote w:id="5">
    <w:p w14:paraId="5F3677A0" w14:textId="77777777" w:rsidR="002F36D3" w:rsidRDefault="00000000">
      <w:pPr>
        <w:pStyle w:val="FootnoteText"/>
      </w:pPr>
      <w:r>
        <w:rPr>
          <w:rStyle w:val="FootnoteReference"/>
        </w:rPr>
        <w:footnoteRef/>
      </w:r>
      <w:r>
        <w:t xml:space="preserve"> Polycentric governance describes systems where multiple overlapping centers of authority govern the same domain, each with limited jurisdiction. Ostrom (</w:t>
      </w:r>
      <w:hyperlink w:anchor="ref-ostrom2010">
        <w:r w:rsidR="002F36D3">
          <w:rPr>
            <w:rStyle w:val="Hyperlink"/>
          </w:rPr>
          <w:t>2010</w:t>
        </w:r>
      </w:hyperlink>
      <w:r>
        <w:t>) demonstrated that such systems can effectively manage commons resources when designed with appropriate feedback mechanisms.</w:t>
      </w:r>
    </w:p>
  </w:footnote>
  <w:footnote w:id="6">
    <w:p w14:paraId="47981E06" w14:textId="77777777" w:rsidR="002F36D3" w:rsidRDefault="00000000">
      <w:pPr>
        <w:pStyle w:val="FootnoteText"/>
      </w:pPr>
      <w:r>
        <w:rPr>
          <w:rStyle w:val="FootnoteReference"/>
        </w:rPr>
        <w:footnoteRef/>
      </w:r>
      <w:r>
        <w:t xml:space="preserve"> The Artemis Accords, initiated by the United States in 2020, establish principles for cooperative lunar exploration through bilateral agreements (</w:t>
      </w:r>
      <w:hyperlink w:anchor="ref-nasa2026">
        <w:r w:rsidR="002F36D3">
          <w:rPr>
            <w:rStyle w:val="Hyperlink"/>
          </w:rPr>
          <w:t>NASA, 2026</w:t>
        </w:r>
      </w:hyperlink>
      <w:r>
        <w:t>). They remain controversial because they were developed outside the COPUOS multilateral process and because China and Russia have declined to participate, instead pursuing the International Lunar Research Station as an alternative framework. Section 7.6 discusses their adoption trajectory in detail.</w:t>
      </w:r>
    </w:p>
  </w:footnote>
  <w:footnote w:id="7">
    <w:p w14:paraId="31C4B169" w14:textId="77777777" w:rsidR="002F36D3" w:rsidRDefault="00000000">
      <w:pPr>
        <w:pStyle w:val="FootnoteText"/>
      </w:pPr>
      <w:r>
        <w:rPr>
          <w:rStyle w:val="FootnoteReference"/>
        </w:rPr>
        <w:footnoteRef/>
      </w:r>
      <w:r>
        <w:t xml:space="preserve"> The United Nations Committee on the Peaceful Uses of Outer Space (COPUOS), established in 1959, is the primary multilateral forum for developing international space governance norms and guidelines.</w:t>
      </w:r>
    </w:p>
  </w:footnote>
  <w:footnote w:id="8">
    <w:p w14:paraId="61D6CBD4" w14:textId="77777777" w:rsidR="002F36D3" w:rsidRDefault="00000000">
      <w:pPr>
        <w:pStyle w:val="FootnoteText"/>
      </w:pPr>
      <w:r>
        <w:rPr>
          <w:rStyle w:val="FootnoteReference"/>
        </w:rPr>
        <w:footnoteRef/>
      </w:r>
      <w:r>
        <w:t xml:space="preserve"> The Committee on Space Research (COSPAR), an interdisciplinary scientific body, establishes planetary protection categories and guidelines to prevent biological contamination of celestial bodies.</w:t>
      </w:r>
    </w:p>
  </w:footnote>
  <w:footnote w:id="9">
    <w:p w14:paraId="0856772F" w14:textId="77777777" w:rsidR="002F36D3" w:rsidRDefault="00000000">
      <w:pPr>
        <w:pStyle w:val="FootnoteText"/>
      </w:pPr>
      <w:r>
        <w:rPr>
          <w:rStyle w:val="FootnoteReference"/>
        </w:rPr>
        <w:footnoteRef/>
      </w:r>
      <w:r>
        <w:t xml:space="preserve"> A conjunction is a predicted close approach between two objects in orbit, requiring assessment of collision risk and potentially an avoidance maneuver by one or both operators.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388120"/>
      <w:docPartObj>
        <w:docPartGallery w:val="Page Numbers (Top of Page)"/>
        <w:docPartUnique/>
      </w:docPartObj>
    </w:sdtPr>
    <w:sdtEndPr>
      <w:rPr>
        <w:noProof/>
      </w:rPr>
    </w:sdtEndPr>
    <w:sdtContent>
      <w:p w14:paraId="406E49B0" w14:textId="5AE8A2E8" w:rsidR="00926FC7" w:rsidRDefault="00926FC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51F692" w14:textId="77777777" w:rsidR="00926FC7" w:rsidRDefault="00926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E2DF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112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F36D3"/>
    <w:rsid w:val="002F36D3"/>
    <w:rsid w:val="005176EE"/>
    <w:rsid w:val="00696589"/>
    <w:rsid w:val="006D7BB1"/>
    <w:rsid w:val="00926FC7"/>
    <w:rsid w:val="0096184E"/>
    <w:rsid w:val="009B628C"/>
    <w:rsid w:val="00C5745B"/>
    <w:rsid w:val="00F80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0D7C"/>
  <w15:docId w15:val="{AA5030D3-8F12-4897-A5E9-3331379D3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style>
  <w:style w:type="paragraph" w:styleId="Heading1">
    <w:name w:val="heading 1"/>
    <w:basedOn w:val="Normal"/>
    <w:next w:val="BodyText"/>
    <w:link w:val="Heading1Char"/>
    <w:uiPriority w:val="9"/>
    <w:qFormat/>
    <w:rsid w:val="00A10FD9"/>
    <w:pPr>
      <w:keepNext/>
      <w:keepLines/>
      <w:spacing w:before="480"/>
      <w:jc w:val="center"/>
      <w:outlineLvl w:val="0"/>
    </w:pPr>
    <w:rPr>
      <w:b/>
    </w:rPr>
  </w:style>
  <w:style w:type="paragraph" w:styleId="Heading2">
    <w:name w:val="heading 2"/>
    <w:basedOn w:val="Normal"/>
    <w:next w:val="BodyText"/>
    <w:link w:val="Heading2Char"/>
    <w:uiPriority w:val="9"/>
    <w:semiHidden/>
    <w:unhideWhenUsed/>
    <w:qFormat/>
    <w:rsid w:val="00A10FD9"/>
    <w:pPr>
      <w:keepNext/>
      <w:keepLines/>
      <w:outlineLvl w:val="1"/>
    </w:pPr>
    <w:rPr>
      <w:b/>
    </w:rPr>
  </w:style>
  <w:style w:type="paragraph" w:styleId="Heading3">
    <w:name w:val="heading 3"/>
    <w:basedOn w:val="Normal"/>
    <w:next w:val="BodyText"/>
    <w:link w:val="Heading3Char"/>
    <w:uiPriority w:val="9"/>
    <w:semiHidden/>
    <w:unhideWhenUsed/>
    <w:qFormat/>
    <w:rsid w:val="00A10FD9"/>
    <w:pPr>
      <w:keepNext/>
      <w:keepLines/>
      <w:outlineLvl w:val="2"/>
    </w:pPr>
    <w:rPr>
      <w:b/>
      <w:i/>
    </w:rPr>
  </w:style>
  <w:style w:type="paragraph" w:styleId="Heading4">
    <w:name w:val="heading 4"/>
    <w:basedOn w:val="Normal"/>
    <w:next w:val="BodyText"/>
    <w:link w:val="Heading4Char"/>
    <w:uiPriority w:val="9"/>
    <w:semiHidden/>
    <w:unhideWhenUsed/>
    <w:qFormat/>
    <w:rsid w:val="00A10FD9"/>
    <w:pPr>
      <w:keepNext/>
      <w:keepLines/>
      <w:outlineLvl w:val="3"/>
    </w:pPr>
    <w:rPr>
      <w:b/>
      <w:i/>
      <w:iCs/>
    </w:rPr>
  </w:style>
  <w:style w:type="paragraph" w:styleId="Heading5">
    <w:name w:val="heading 5"/>
    <w:basedOn w:val="Normal"/>
    <w:next w:val="BodyText"/>
    <w:link w:val="Heading5Char"/>
    <w:uiPriority w:val="9"/>
    <w:semiHidden/>
    <w:unhideWhenUsed/>
    <w:qFormat/>
    <w:rsid w:val="00A10FD9"/>
    <w:pPr>
      <w:keepNext/>
      <w:keepLines/>
      <w:outlineLvl w:val="4"/>
    </w:pPr>
    <w:rPr>
      <w:b/>
    </w:rPr>
  </w:style>
  <w:style w:type="paragraph" w:styleId="Heading6">
    <w:name w:val="heading 6"/>
    <w:basedOn w:val="Normal"/>
    <w:next w:val="BodyText"/>
    <w:link w:val="Heading6Char"/>
    <w:uiPriority w:val="9"/>
    <w:semiHidden/>
    <w:unhideWhenUsed/>
    <w:qFormat/>
    <w:rsid w:val="00A10FD9"/>
    <w:pPr>
      <w:keepNext/>
      <w:keepLines/>
      <w:outlineLvl w:val="5"/>
    </w:pPr>
    <w:rPr>
      <w:b/>
      <w:i/>
      <w:iCs/>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b/>
    </w:rPr>
  </w:style>
  <w:style w:type="paragraph" w:styleId="Heading8">
    <w:name w:val="heading 8"/>
    <w:basedOn w:val="Normal"/>
    <w:next w:val="BodyText"/>
    <w:link w:val="Heading8Char"/>
    <w:uiPriority w:val="9"/>
    <w:semiHidden/>
    <w:unhideWhenUsed/>
    <w:qFormat/>
    <w:rsid w:val="00A10FD9"/>
    <w:pPr>
      <w:keepNext/>
      <w:keepLines/>
      <w:outlineLvl w:val="7"/>
    </w:pPr>
    <w:rPr>
      <w:b/>
      <w:i/>
      <w:iCs/>
    </w:rPr>
  </w:style>
  <w:style w:type="paragraph" w:styleId="Heading9">
    <w:name w:val="heading 9"/>
    <w:basedOn w:val="Normal"/>
    <w:next w:val="BodyText"/>
    <w:link w:val="Heading9Char"/>
    <w:uiPriority w:val="9"/>
    <w:semiHidden/>
    <w:unhideWhenUsed/>
    <w:qFormat/>
    <w:rsid w:val="00A10FD9"/>
    <w:pPr>
      <w:keepNext/>
      <w:keepLines/>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line="240" w:lineRule="auto"/>
    </w:pPr>
  </w:style>
  <w:style w:type="paragraph" w:styleId="Title">
    <w:name w:val="Title"/>
    <w:basedOn w:val="Normal"/>
    <w:next w:val="BodyText"/>
    <w:link w:val="TitleChar"/>
    <w:uiPriority w:val="10"/>
    <w:qFormat/>
    <w:rsid w:val="00A10FD9"/>
    <w:pPr>
      <w:contextualSpacing/>
      <w:jc w:val="center"/>
    </w:pPr>
  </w:style>
  <w:style w:type="character" w:customStyle="1" w:styleId="TitleChar">
    <w:name w:val="Title Char"/>
    <w:basedOn w:val="DefaultParagraphFont"/>
    <w:link w:val="Title"/>
    <w:uiPriority w:val="10"/>
    <w:rsid w:val="00A10FD9"/>
    <w:rPr>
      <w:rFonts w:ascii="Times New Roman" w:hAnsi="Times New Roman" w:cs="Times New Roman"/>
      <w:sz w:val="24"/>
      <w:szCs w:val="24"/>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color w:val="595959" w:themeColor="text1" w:themeTint="A6"/>
      <w:spacing w:val="15"/>
      <w:sz w:val="28"/>
      <w:szCs w:val="28"/>
    </w:rPr>
  </w:style>
  <w:style w:type="paragraph" w:customStyle="1" w:styleId="Author">
    <w:name w:val="Author"/>
    <w:basedOn w:val="Title"/>
    <w:next w:val="BodyText"/>
    <w:qFormat/>
    <w:pPr>
      <w:keepNext/>
      <w:keepLines/>
    </w:pPr>
  </w:style>
  <w:style w:type="paragraph" w:styleId="Date">
    <w:name w:val="Date"/>
    <w:basedOn w:val="Title"/>
    <w:next w:val="BodyText"/>
    <w:qFormat/>
    <w:pPr>
      <w:keepNext/>
      <w:keepLines/>
    </w:pPr>
  </w:style>
  <w:style w:type="paragraph" w:customStyle="1" w:styleId="AbstractTitle">
    <w:name w:val="Abstract Title"/>
    <w:basedOn w:val="Normal"/>
    <w:next w:val="Abstract"/>
    <w:qFormat/>
    <w:pPr>
      <w:keepNext/>
      <w:keepLines/>
      <w:jc w:val="center"/>
    </w:pPr>
    <w:rPr>
      <w:b/>
    </w:rPr>
  </w:style>
  <w:style w:type="paragraph" w:customStyle="1" w:styleId="Abstract">
    <w:name w:val="Abstract"/>
    <w:basedOn w:val="Normal"/>
    <w:next w:val="BodyText"/>
    <w:qFormat/>
    <w:pPr>
      <w:keepNext/>
      <w:keepLines/>
      <w:jc w:val="center"/>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A10FD9"/>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A10FD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A10FD9"/>
    <w:rPr>
      <w:rFonts w:ascii="Times New Roman" w:hAnsi="Times New Roman" w:cs="Times New Roman"/>
      <w:i/>
      <w:iCs/>
      <w:sz w:val="24"/>
      <w:szCs w:val="24"/>
    </w:rPr>
  </w:style>
  <w:style w:type="character" w:customStyle="1" w:styleId="Heading5Char">
    <w:name w:val="Heading 5 Char"/>
    <w:basedOn w:val="DefaultParagraphFont"/>
    <w:link w:val="Heading5"/>
    <w:uiPriority w:val="9"/>
    <w:semiHidden/>
    <w:rsid w:val="00A10FD9"/>
    <w:rPr>
      <w:rFonts w:ascii="Times New Roman" w:hAnsi="Times New Roman" w:cs="Times New Roman"/>
      <w:sz w:val="24"/>
      <w:szCs w:val="24"/>
    </w:rPr>
  </w:style>
  <w:style w:type="character" w:customStyle="1" w:styleId="Heading6Char">
    <w:name w:val="Heading 6 Char"/>
    <w:basedOn w:val="DefaultParagraphFont"/>
    <w:link w:val="Heading6"/>
    <w:uiPriority w:val="9"/>
    <w:semiHidden/>
    <w:rsid w:val="00A10FD9"/>
    <w:rPr>
      <w:rFonts w:ascii="Times New Roman" w:hAnsi="Times New Roman" w:cs="Times New Roman"/>
      <w:i/>
      <w:iCs/>
      <w:sz w:val="24"/>
      <w:szCs w:val="24"/>
    </w:rPr>
  </w:style>
  <w:style w:type="character" w:customStyle="1" w:styleId="Heading7Char">
    <w:name w:val="Heading 7 Char"/>
    <w:basedOn w:val="DefaultParagraphFont"/>
    <w:link w:val="Heading7"/>
    <w:uiPriority w:val="9"/>
    <w:semiHidden/>
    <w:rsid w:val="00A10FD9"/>
    <w:rPr>
      <w:rFonts w:ascii="Times New Roman" w:hAnsi="Times New Roman" w:cs="Times New Roman"/>
    </w:rPr>
  </w:style>
  <w:style w:type="character" w:customStyle="1" w:styleId="Heading8Char">
    <w:name w:val="Heading 8 Char"/>
    <w:basedOn w:val="DefaultParagraphFont"/>
    <w:link w:val="Heading8"/>
    <w:uiPriority w:val="9"/>
    <w:semiHidden/>
    <w:rsid w:val="00A10FD9"/>
    <w:rPr>
      <w:rFonts w:ascii="Times New Roman" w:hAnsi="Times New Roman" w:cs="Times New Roman"/>
      <w:i/>
      <w:iCs/>
    </w:rPr>
  </w:style>
  <w:style w:type="character" w:customStyle="1" w:styleId="Heading9Char">
    <w:name w:val="Heading 9 Char"/>
    <w:basedOn w:val="DefaultParagraphFont"/>
    <w:link w:val="Heading9"/>
    <w:uiPriority w:val="9"/>
    <w:semiHidden/>
    <w:rsid w:val="00A10FD9"/>
    <w:rPr>
      <w:rFonts w:ascii="Times New Roman" w:hAnsi="Times New Roman" w:cs="Times New Roman"/>
    </w:rPr>
  </w:style>
  <w:style w:type="paragraph" w:styleId="BlockText">
    <w:name w:val="Block Text"/>
    <w:basedOn w:val="BodyText"/>
    <w:next w:val="BodyText"/>
    <w:uiPriority w:val="9"/>
    <w:unhideWhenUsed/>
    <w:qFormat/>
    <w:pPr>
      <w:ind w:left="480" w:right="480" w:firstLine="0"/>
    </w:pPr>
  </w:style>
  <w:style w:type="paragraph" w:styleId="FootnoteText">
    <w:name w:val="footnote text"/>
    <w:basedOn w:val="Normal"/>
    <w:uiPriority w:val="9"/>
    <w:unhideWhenUsed/>
    <w:qFormat/>
    <w:pPr>
      <w:spacing w:line="240" w:lineRule="auto"/>
    </w:pPr>
    <w:rPr>
      <w:sz w:val="20"/>
      <w:szCs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spacing w:after="0"/>
      <w:jc w:val="center"/>
    </w:pPr>
  </w:style>
  <w:style w:type="paragraph" w:customStyle="1" w:styleId="ImageCaption">
    <w:name w:val="Image Caption"/>
    <w:basedOn w:val="Caption"/>
    <w:pPr>
      <w:spacing w:after="0"/>
      <w:jc w:val="center"/>
    </w:p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s="Times New Roman"/>
    </w:rPr>
  </w:style>
  <w:style w:type="character" w:customStyle="1" w:styleId="VerbatimChar">
    <w:name w:val="Verbatim Char"/>
    <w:basedOn w:val="CaptionChar"/>
    <w:link w:val="SourceCode"/>
    <w:rPr>
      <w:rFonts w:ascii="Consolas" w:hAnsi="Consolas" w:cs="Times New Roman"/>
      <w:sz w:val="22"/>
    </w:rPr>
  </w:style>
  <w:style w:type="character" w:customStyle="1" w:styleId="SectionNumber">
    <w:name w:val="Section Number"/>
    <w:basedOn w:val="CaptionChar"/>
    <w:rPr>
      <w:rFonts w:ascii="Times New Roman" w:hAnsi="Times New Roman" w:cs="Times New Roman"/>
    </w:rPr>
  </w:style>
  <w:style w:type="character" w:styleId="FootnoteReference">
    <w:name w:val="footnote reference"/>
    <w:basedOn w:val="CaptionChar"/>
    <w:rPr>
      <w:rFonts w:ascii="Times New Roman" w:hAnsi="Times New Roman" w:cs="Times New Roman"/>
      <w:vertAlign w:val="superscript"/>
    </w:rPr>
  </w:style>
  <w:style w:type="character" w:styleId="Hyperlink">
    <w:name w:val="Hyperlink"/>
    <w:basedOn w:val="CaptionChar"/>
    <w:rPr>
      <w:rFonts w:ascii="Times New Roman" w:hAnsi="Times New Roman" w:cs="Times New Roman"/>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Times New Roman"/>
      <w:b/>
      <w:color w:val="007020"/>
      <w:sz w:val="22"/>
    </w:rPr>
  </w:style>
  <w:style w:type="character" w:customStyle="1" w:styleId="DataTypeTok">
    <w:name w:val="DataTypeTok"/>
    <w:basedOn w:val="VerbatimChar"/>
    <w:rPr>
      <w:rFonts w:ascii="Consolas" w:hAnsi="Consolas" w:cs="Times New Roman"/>
      <w:color w:val="902000"/>
      <w:sz w:val="22"/>
    </w:rPr>
  </w:style>
  <w:style w:type="character" w:customStyle="1" w:styleId="DecValTok">
    <w:name w:val="DecValTok"/>
    <w:basedOn w:val="VerbatimChar"/>
    <w:rPr>
      <w:rFonts w:ascii="Consolas" w:hAnsi="Consolas" w:cs="Times New Roman"/>
      <w:color w:val="40A070"/>
      <w:sz w:val="22"/>
    </w:rPr>
  </w:style>
  <w:style w:type="character" w:customStyle="1" w:styleId="BaseNTok">
    <w:name w:val="BaseNTok"/>
    <w:basedOn w:val="VerbatimChar"/>
    <w:rPr>
      <w:rFonts w:ascii="Consolas" w:hAnsi="Consolas" w:cs="Times New Roman"/>
      <w:color w:val="40A070"/>
      <w:sz w:val="22"/>
    </w:rPr>
  </w:style>
  <w:style w:type="character" w:customStyle="1" w:styleId="FloatTok">
    <w:name w:val="FloatTok"/>
    <w:basedOn w:val="VerbatimChar"/>
    <w:rPr>
      <w:rFonts w:ascii="Consolas" w:hAnsi="Consolas" w:cs="Times New Roman"/>
      <w:color w:val="40A070"/>
      <w:sz w:val="22"/>
    </w:rPr>
  </w:style>
  <w:style w:type="character" w:customStyle="1" w:styleId="ConstantTok">
    <w:name w:val="ConstantTok"/>
    <w:basedOn w:val="VerbatimChar"/>
    <w:rPr>
      <w:rFonts w:ascii="Consolas" w:hAnsi="Consolas" w:cs="Times New Roman"/>
      <w:color w:val="880000"/>
      <w:sz w:val="22"/>
    </w:rPr>
  </w:style>
  <w:style w:type="character" w:customStyle="1" w:styleId="CharTok">
    <w:name w:val="CharTok"/>
    <w:basedOn w:val="VerbatimChar"/>
    <w:rPr>
      <w:rFonts w:ascii="Consolas" w:hAnsi="Consolas" w:cs="Times New Roman"/>
      <w:color w:val="4070A0"/>
      <w:sz w:val="22"/>
    </w:rPr>
  </w:style>
  <w:style w:type="character" w:customStyle="1" w:styleId="SpecialCharTok">
    <w:name w:val="SpecialCharTok"/>
    <w:basedOn w:val="VerbatimChar"/>
    <w:rPr>
      <w:rFonts w:ascii="Consolas" w:hAnsi="Consolas" w:cs="Times New Roman"/>
      <w:color w:val="4070A0"/>
      <w:sz w:val="22"/>
    </w:rPr>
  </w:style>
  <w:style w:type="character" w:customStyle="1" w:styleId="StringTok">
    <w:name w:val="StringTok"/>
    <w:basedOn w:val="VerbatimChar"/>
    <w:rPr>
      <w:rFonts w:ascii="Consolas" w:hAnsi="Consolas" w:cs="Times New Roman"/>
      <w:color w:val="4070A0"/>
      <w:sz w:val="22"/>
    </w:rPr>
  </w:style>
  <w:style w:type="character" w:customStyle="1" w:styleId="VerbatimStringTok">
    <w:name w:val="VerbatimStringTok"/>
    <w:basedOn w:val="VerbatimChar"/>
    <w:rPr>
      <w:rFonts w:ascii="Consolas" w:hAnsi="Consolas" w:cs="Times New Roman"/>
      <w:color w:val="4070A0"/>
      <w:sz w:val="22"/>
    </w:rPr>
  </w:style>
  <w:style w:type="character" w:customStyle="1" w:styleId="SpecialStringTok">
    <w:name w:val="SpecialStringTok"/>
    <w:basedOn w:val="VerbatimChar"/>
    <w:rPr>
      <w:rFonts w:ascii="Consolas" w:hAnsi="Consolas" w:cs="Times New Roman"/>
      <w:color w:val="BB6688"/>
      <w:sz w:val="22"/>
    </w:rPr>
  </w:style>
  <w:style w:type="character" w:customStyle="1" w:styleId="ImportTok">
    <w:name w:val="ImportTok"/>
    <w:basedOn w:val="VerbatimChar"/>
    <w:rPr>
      <w:rFonts w:ascii="Consolas" w:hAnsi="Consolas" w:cs="Times New Roman"/>
      <w:b/>
      <w:color w:val="008000"/>
      <w:sz w:val="22"/>
    </w:rPr>
  </w:style>
  <w:style w:type="character" w:customStyle="1" w:styleId="CommentTok">
    <w:name w:val="CommentTok"/>
    <w:basedOn w:val="VerbatimChar"/>
    <w:rPr>
      <w:rFonts w:ascii="Consolas" w:hAnsi="Consolas" w:cs="Times New Roman"/>
      <w:i/>
      <w:color w:val="60A0B0"/>
      <w:sz w:val="22"/>
    </w:rPr>
  </w:style>
  <w:style w:type="character" w:customStyle="1" w:styleId="DocumentationTok">
    <w:name w:val="DocumentationTok"/>
    <w:basedOn w:val="VerbatimChar"/>
    <w:rPr>
      <w:rFonts w:ascii="Consolas" w:hAnsi="Consolas" w:cs="Times New Roman"/>
      <w:i/>
      <w:color w:val="BA2121"/>
      <w:sz w:val="22"/>
    </w:rPr>
  </w:style>
  <w:style w:type="character" w:customStyle="1" w:styleId="AnnotationTok">
    <w:name w:val="AnnotationTok"/>
    <w:basedOn w:val="VerbatimChar"/>
    <w:rPr>
      <w:rFonts w:ascii="Consolas" w:hAnsi="Consolas" w:cs="Times New Roman"/>
      <w:b/>
      <w:i/>
      <w:color w:val="60A0B0"/>
      <w:sz w:val="22"/>
    </w:rPr>
  </w:style>
  <w:style w:type="character" w:customStyle="1" w:styleId="CommentVarTok">
    <w:name w:val="CommentVarTok"/>
    <w:basedOn w:val="VerbatimChar"/>
    <w:rPr>
      <w:rFonts w:ascii="Consolas" w:hAnsi="Consolas" w:cs="Times New Roman"/>
      <w:b/>
      <w:i/>
      <w:color w:val="60A0B0"/>
      <w:sz w:val="22"/>
    </w:rPr>
  </w:style>
  <w:style w:type="character" w:customStyle="1" w:styleId="OtherTok">
    <w:name w:val="OtherTok"/>
    <w:basedOn w:val="VerbatimChar"/>
    <w:rPr>
      <w:rFonts w:ascii="Consolas" w:hAnsi="Consolas" w:cs="Times New Roman"/>
      <w:color w:val="007020"/>
      <w:sz w:val="22"/>
    </w:rPr>
  </w:style>
  <w:style w:type="character" w:customStyle="1" w:styleId="FunctionTok">
    <w:name w:val="FunctionTok"/>
    <w:basedOn w:val="VerbatimChar"/>
    <w:rPr>
      <w:rFonts w:ascii="Consolas" w:hAnsi="Consolas" w:cs="Times New Roman"/>
      <w:color w:val="06287E"/>
      <w:sz w:val="22"/>
    </w:rPr>
  </w:style>
  <w:style w:type="character" w:customStyle="1" w:styleId="VariableTok">
    <w:name w:val="VariableTok"/>
    <w:basedOn w:val="VerbatimChar"/>
    <w:rPr>
      <w:rFonts w:ascii="Consolas" w:hAnsi="Consolas" w:cs="Times New Roman"/>
      <w:color w:val="19177C"/>
      <w:sz w:val="22"/>
    </w:rPr>
  </w:style>
  <w:style w:type="character" w:customStyle="1" w:styleId="ControlFlowTok">
    <w:name w:val="ControlFlowTok"/>
    <w:basedOn w:val="VerbatimChar"/>
    <w:rPr>
      <w:rFonts w:ascii="Consolas" w:hAnsi="Consolas" w:cs="Times New Roman"/>
      <w:b/>
      <w:color w:val="007020"/>
      <w:sz w:val="22"/>
    </w:rPr>
  </w:style>
  <w:style w:type="character" w:customStyle="1" w:styleId="OperatorTok">
    <w:name w:val="OperatorTok"/>
    <w:basedOn w:val="VerbatimChar"/>
    <w:rPr>
      <w:rFonts w:ascii="Consolas" w:hAnsi="Consolas" w:cs="Times New Roman"/>
      <w:color w:val="666666"/>
      <w:sz w:val="22"/>
    </w:rPr>
  </w:style>
  <w:style w:type="character" w:customStyle="1" w:styleId="BuiltInTok">
    <w:name w:val="BuiltInTok"/>
    <w:basedOn w:val="VerbatimChar"/>
    <w:rPr>
      <w:rFonts w:ascii="Consolas" w:hAnsi="Consolas" w:cs="Times New Roman"/>
      <w:color w:val="008000"/>
      <w:sz w:val="22"/>
    </w:rPr>
  </w:style>
  <w:style w:type="character" w:customStyle="1" w:styleId="ExtensionTok">
    <w:name w:val="ExtensionTok"/>
    <w:basedOn w:val="VerbatimChar"/>
    <w:rPr>
      <w:rFonts w:ascii="Consolas" w:hAnsi="Consolas" w:cs="Times New Roman"/>
      <w:sz w:val="22"/>
    </w:rPr>
  </w:style>
  <w:style w:type="character" w:customStyle="1" w:styleId="PreprocessorTok">
    <w:name w:val="PreprocessorTok"/>
    <w:basedOn w:val="VerbatimChar"/>
    <w:rPr>
      <w:rFonts w:ascii="Consolas" w:hAnsi="Consolas" w:cs="Times New Roman"/>
      <w:color w:val="BC7A00"/>
      <w:sz w:val="22"/>
    </w:rPr>
  </w:style>
  <w:style w:type="character" w:customStyle="1" w:styleId="AttributeTok">
    <w:name w:val="AttributeTok"/>
    <w:basedOn w:val="VerbatimChar"/>
    <w:rPr>
      <w:rFonts w:ascii="Consolas" w:hAnsi="Consolas" w:cs="Times New Roman"/>
      <w:color w:val="7D9029"/>
      <w:sz w:val="22"/>
    </w:rPr>
  </w:style>
  <w:style w:type="character" w:customStyle="1" w:styleId="RegionMarkerTok">
    <w:name w:val="RegionMarkerTok"/>
    <w:basedOn w:val="VerbatimChar"/>
    <w:rPr>
      <w:rFonts w:ascii="Consolas" w:hAnsi="Consolas" w:cs="Times New Roman"/>
      <w:sz w:val="22"/>
    </w:rPr>
  </w:style>
  <w:style w:type="character" w:customStyle="1" w:styleId="InformationTok">
    <w:name w:val="InformationTok"/>
    <w:basedOn w:val="VerbatimChar"/>
    <w:rPr>
      <w:rFonts w:ascii="Consolas" w:hAnsi="Consolas" w:cs="Times New Roman"/>
      <w:b/>
      <w:i/>
      <w:color w:val="60A0B0"/>
      <w:sz w:val="22"/>
    </w:rPr>
  </w:style>
  <w:style w:type="character" w:customStyle="1" w:styleId="WarningTok">
    <w:name w:val="WarningTok"/>
    <w:basedOn w:val="VerbatimChar"/>
    <w:rPr>
      <w:rFonts w:ascii="Consolas" w:hAnsi="Consolas" w:cs="Times New Roman"/>
      <w:b/>
      <w:i/>
      <w:color w:val="60A0B0"/>
      <w:sz w:val="22"/>
    </w:rPr>
  </w:style>
  <w:style w:type="character" w:customStyle="1" w:styleId="AlertTok">
    <w:name w:val="AlertTok"/>
    <w:basedOn w:val="VerbatimChar"/>
    <w:rPr>
      <w:rFonts w:ascii="Consolas" w:hAnsi="Consolas" w:cs="Times New Roman"/>
      <w:b/>
      <w:color w:val="FF0000"/>
      <w:sz w:val="22"/>
    </w:rPr>
  </w:style>
  <w:style w:type="character" w:customStyle="1" w:styleId="ErrorTok">
    <w:name w:val="ErrorTok"/>
    <w:basedOn w:val="VerbatimChar"/>
    <w:rPr>
      <w:rFonts w:ascii="Consolas" w:hAnsi="Consolas" w:cs="Times New Roman"/>
      <w:b/>
      <w:color w:val="FF0000"/>
      <w:sz w:val="22"/>
    </w:rPr>
  </w:style>
  <w:style w:type="character" w:customStyle="1" w:styleId="NormalTok">
    <w:name w:val="NormalTok"/>
    <w:basedOn w:val="VerbatimChar"/>
    <w:rPr>
      <w:rFonts w:ascii="Consolas" w:hAnsi="Consolas" w:cs="Times New Roman"/>
      <w:sz w:val="22"/>
    </w:rPr>
  </w:style>
  <w:style w:type="paragraph" w:styleId="Header">
    <w:name w:val="header"/>
    <w:basedOn w:val="Normal"/>
    <w:link w:val="HeaderChar"/>
    <w:uiPriority w:val="99"/>
    <w:rsid w:val="00926FC7"/>
    <w:pPr>
      <w:tabs>
        <w:tab w:val="center" w:pos="4680"/>
        <w:tab w:val="right" w:pos="9360"/>
      </w:tabs>
      <w:spacing w:line="240" w:lineRule="auto"/>
    </w:pPr>
  </w:style>
  <w:style w:type="character" w:customStyle="1" w:styleId="HeaderChar">
    <w:name w:val="Header Char"/>
    <w:basedOn w:val="DefaultParagraphFont"/>
    <w:link w:val="Header"/>
    <w:uiPriority w:val="99"/>
    <w:rsid w:val="00926FC7"/>
  </w:style>
  <w:style w:type="paragraph" w:styleId="Footer">
    <w:name w:val="footer"/>
    <w:basedOn w:val="Normal"/>
    <w:link w:val="FooterChar"/>
    <w:rsid w:val="00926FC7"/>
    <w:pPr>
      <w:tabs>
        <w:tab w:val="center" w:pos="4680"/>
        <w:tab w:val="right" w:pos="9360"/>
      </w:tabs>
      <w:spacing w:line="240" w:lineRule="auto"/>
    </w:pPr>
  </w:style>
  <w:style w:type="character" w:customStyle="1" w:styleId="FooterChar">
    <w:name w:val="Footer Char"/>
    <w:basedOn w:val="DefaultParagraphFont"/>
    <w:link w:val="Footer"/>
    <w:rsid w:val="00926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elestrak.org/events/collision/" TargetMode="External"/><Relationship Id="rId21" Type="http://schemas.openxmlformats.org/officeDocument/2006/relationships/hyperlink" Target="https://doi.org/10.4337/9781784711856.00008" TargetMode="External"/><Relationship Id="rId42" Type="http://schemas.openxmlformats.org/officeDocument/2006/relationships/hyperlink" Target="https://doi.org/10.1007/s13162-020-00161-0" TargetMode="External"/><Relationship Id="rId47" Type="http://schemas.openxmlformats.org/officeDocument/2006/relationships/hyperlink" Target="https://doi.org/10.1126/science.1091721" TargetMode="External"/><Relationship Id="rId63" Type="http://schemas.openxmlformats.org/officeDocument/2006/relationships/hyperlink" Target="https://doi.org/10.1007/978-3-030-05252-2" TargetMode="External"/><Relationship Id="rId68" Type="http://schemas.openxmlformats.org/officeDocument/2006/relationships/hyperlink" Target="https://doi.org/10.1073/pnas.2107346118" TargetMode="External"/><Relationship Id="rId84" Type="http://schemas.openxmlformats.org/officeDocument/2006/relationships/hyperlink" Target="https://doi.org/10.1073/pnas.1921260117" TargetMode="External"/><Relationship Id="rId89" Type="http://schemas.openxmlformats.org/officeDocument/2006/relationships/hyperlink" Target="https://doi.org/10.1016/j.respol.2016.04.004" TargetMode="External"/><Relationship Id="rId112" Type="http://schemas.openxmlformats.org/officeDocument/2006/relationships/hyperlink" Target="https://www.weforum.org/projects/space-sustainability-rating/" TargetMode="External"/><Relationship Id="rId16" Type="http://schemas.openxmlformats.org/officeDocument/2006/relationships/hyperlink" Target="https://doi.org/10.1016/j.respol.2019.01.007" TargetMode="External"/><Relationship Id="rId107" Type="http://schemas.openxmlformats.org/officeDocument/2006/relationships/hyperlink" Target="https://www.unoosa.org/oosa/en/spaceobjectregister/index.html" TargetMode="External"/><Relationship Id="rId11" Type="http://schemas.openxmlformats.org/officeDocument/2006/relationships/hyperlink" Target="https://doi.org/10.2307/3216699" TargetMode="External"/><Relationship Id="rId32" Type="http://schemas.openxmlformats.org/officeDocument/2006/relationships/hyperlink" Target="https://doi.org/10.1051/0004-6361/202554787" TargetMode="External"/><Relationship Id="rId37" Type="http://schemas.openxmlformats.org/officeDocument/2006/relationships/hyperlink" Target="https://airandspacelaw.olemiss.edu/the-journals/journal-of-space-law/journal-of-space-law-back-issues/" TargetMode="External"/><Relationship Id="rId53" Type="http://schemas.openxmlformats.org/officeDocument/2006/relationships/hyperlink" Target="https://doi.org/10.1038/s41550-023-01903-3" TargetMode="External"/><Relationship Id="rId58" Type="http://schemas.openxmlformats.org/officeDocument/2006/relationships/hyperlink" Target="https://www.loc.gov/item/global-legal-monitor/2017-08-22/luxembourg-law-on-use-of-resources-in-space-adopted/" TargetMode="External"/><Relationship Id="rId74" Type="http://schemas.openxmlformats.org/officeDocument/2006/relationships/hyperlink" Target="https://doi.org/10.1787/8bfef437-en" TargetMode="External"/><Relationship Id="rId79" Type="http://schemas.openxmlformats.org/officeDocument/2006/relationships/hyperlink" Target="https://doi.org/10.1089/space.2016.0027" TargetMode="External"/><Relationship Id="rId102" Type="http://schemas.openxmlformats.org/officeDocument/2006/relationships/hyperlink" Target="https://doi.org/10.1126/science.7455683" TargetMode="External"/><Relationship Id="rId5" Type="http://schemas.openxmlformats.org/officeDocument/2006/relationships/footnotes" Target="footnotes.xml"/><Relationship Id="rId90" Type="http://schemas.openxmlformats.org/officeDocument/2006/relationships/hyperlink" Target="https://doi.org/10.1093/oxfordhb/9780199560530.013.0012" TargetMode="External"/><Relationship Id="rId95" Type="http://schemas.openxmlformats.org/officeDocument/2006/relationships/hyperlink" Target="https://doi.org/10.1016/j.spacepol.2013.03.003" TargetMode="External"/><Relationship Id="rId22" Type="http://schemas.openxmlformats.org/officeDocument/2006/relationships/hyperlink" Target="https://doi.org/10.1016/j.actaastro.2019.08.031" TargetMode="External"/><Relationship Id="rId27" Type="http://schemas.openxmlformats.org/officeDocument/2006/relationships/hyperlink" Target="https://doi.org/10.1177/0022002797041001004" TargetMode="External"/><Relationship Id="rId43" Type="http://schemas.openxmlformats.org/officeDocument/2006/relationships/hyperlink" Target="https://doi.org/10.1017/bpp.2018.43" TargetMode="External"/><Relationship Id="rId48" Type="http://schemas.openxmlformats.org/officeDocument/2006/relationships/hyperlink" Target="https://doi.org/10.1111/j.1541-0072.2010.00364.x" TargetMode="External"/><Relationship Id="rId64" Type="http://schemas.openxmlformats.org/officeDocument/2006/relationships/hyperlink" Target="https://doi.org/10.1016/j.spacepol.2018.12.005" TargetMode="External"/><Relationship Id="rId69" Type="http://schemas.openxmlformats.org/officeDocument/2006/relationships/hyperlink" Target="https://doi.org/10.1016/j.spacepol.2020.101400" TargetMode="External"/><Relationship Id="rId113" Type="http://schemas.openxmlformats.org/officeDocument/2006/relationships/hyperlink" Target="https://doi.org/10.1016/0022-5193(75)90111-3" TargetMode="External"/><Relationship Id="rId80" Type="http://schemas.openxmlformats.org/officeDocument/2006/relationships/hyperlink" Target="https://doi.org/10.1016/j.spacepol.2021.101428" TargetMode="External"/><Relationship Id="rId85" Type="http://schemas.openxmlformats.org/officeDocument/2006/relationships/hyperlink" Target="https://doi.org/10.1016/j.actaastro.2025.01.019" TargetMode="External"/><Relationship Id="rId12" Type="http://schemas.openxmlformats.org/officeDocument/2006/relationships/hyperlink" Target="https://doi.org/10.1038/s41598-021-89909-7" TargetMode="External"/><Relationship Id="rId17" Type="http://schemas.openxmlformats.org/officeDocument/2006/relationships/hyperlink" Target="https://doi.org/10.1016/j.jeconom.2020.12.001" TargetMode="External"/><Relationship Id="rId33" Type="http://schemas.openxmlformats.org/officeDocument/2006/relationships/hyperlink" Target="https://doi.org/10.1037/0022-3514.93.1.85" TargetMode="External"/><Relationship Id="rId38" Type="http://schemas.openxmlformats.org/officeDocument/2006/relationships/hyperlink" Target="https://doi.org/10.1016/j.ecolecon.2021.106950" TargetMode="External"/><Relationship Id="rId59" Type="http://schemas.openxmlformats.org/officeDocument/2006/relationships/hyperlink" Target="https://doi.org/10.1509/jmkg.75.4.136" TargetMode="External"/><Relationship Id="rId103" Type="http://schemas.openxmlformats.org/officeDocument/2006/relationships/hyperlink" Target="https://www.unoosa.org/oosa/oosadoc/data/documents/2021/aac.105/aac.1051262_0.html" TargetMode="External"/><Relationship Id="rId108" Type="http://schemas.openxmlformats.org/officeDocument/2006/relationships/hyperlink" Target="https://www.congress.gov/114/plaws/publ90/PLAW-114publ90.pdf" TargetMode="External"/><Relationship Id="rId54" Type="http://schemas.openxmlformats.org/officeDocument/2006/relationships/hyperlink" Target="https://doi.org/10.1016/j.respol.2019.01.006" TargetMode="External"/><Relationship Id="rId70" Type="http://schemas.openxmlformats.org/officeDocument/2006/relationships/hyperlink" Target="https://www.nasa.gov/artemis-accords/" TargetMode="External"/><Relationship Id="rId75" Type="http://schemas.openxmlformats.org/officeDocument/2006/relationships/hyperlink" Target="https://doi.org/10.1787/16543990-en" TargetMode="External"/><Relationship Id="rId91" Type="http://schemas.openxmlformats.org/officeDocument/2006/relationships/hyperlink" Target="https://doi.org/10.1016/j.actaastro.2025.05.047" TargetMode="External"/><Relationship Id="rId96" Type="http://schemas.openxmlformats.org/officeDocument/2006/relationships/hyperlink" Target="https://www.thespacereport.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brycetech.com/reports" TargetMode="External"/><Relationship Id="rId23" Type="http://schemas.openxmlformats.org/officeDocument/2006/relationships/hyperlink" Target="https://doi.org/10.1017/S0020589321000233" TargetMode="External"/><Relationship Id="rId28" Type="http://schemas.openxmlformats.org/officeDocument/2006/relationships/hyperlink" Target="https://doi.org/10.1126/science.aaw2373" TargetMode="External"/><Relationship Id="rId36" Type="http://schemas.openxmlformats.org/officeDocument/2006/relationships/hyperlink" Target="https://doi.org/10.2307/25148625" TargetMode="External"/><Relationship Id="rId49" Type="http://schemas.openxmlformats.org/officeDocument/2006/relationships/hyperlink" Target="https://doi.org/10.2307/1914185" TargetMode="External"/><Relationship Id="rId57" Type="http://schemas.openxmlformats.org/officeDocument/2006/relationships/hyperlink" Target="https://doi.org/10.1016/j.spacepol.2024.101631" TargetMode="External"/><Relationship Id="rId106" Type="http://schemas.openxmlformats.org/officeDocument/2006/relationships/hyperlink" Target="https://www.unoosa.org/oosa/en/ourwork/spacelaw/treaties/outerspacetreaty.html" TargetMode="External"/><Relationship Id="rId114" Type="http://schemas.openxmlformats.org/officeDocument/2006/relationships/header" Target="header1.xml"/><Relationship Id="rId10" Type="http://schemas.openxmlformats.org/officeDocument/2006/relationships/hyperlink" Target="https://doi.org/10.1007/s11214-021-00868-x" TargetMode="External"/><Relationship Id="rId31" Type="http://schemas.openxmlformats.org/officeDocument/2006/relationships/hyperlink" Target="https://spacenews.com/fcc-grants-partial-approval-for-starlink-second-generation-constellation/" TargetMode="External"/><Relationship Id="rId44" Type="http://schemas.openxmlformats.org/officeDocument/2006/relationships/hyperlink" Target="https://doi.org/10.1111/1467-6451.00068" TargetMode="External"/><Relationship Id="rId52" Type="http://schemas.openxmlformats.org/officeDocument/2006/relationships/hyperlink" Target="https://doi.org/10.1029/JA083iA06p02637" TargetMode="External"/><Relationship Id="rId60" Type="http://schemas.openxmlformats.org/officeDocument/2006/relationships/hyperlink" Target="https://doi.org/10.1162/003355301753265543" TargetMode="External"/><Relationship Id="rId65" Type="http://schemas.openxmlformats.org/officeDocument/2006/relationships/hyperlink" Target="https://doi.org/10.54648/aila2021023" TargetMode="External"/><Relationship Id="rId73" Type="http://schemas.openxmlformats.org/officeDocument/2006/relationships/hyperlink" Target="https://doi.org/10.1787/a67b1a1c-en" TargetMode="External"/><Relationship Id="rId78" Type="http://schemas.openxmlformats.org/officeDocument/2006/relationships/hyperlink" Target="https://doi.org/10.1007/978-3-030-23210-8" TargetMode="External"/><Relationship Id="rId81" Type="http://schemas.openxmlformats.org/officeDocument/2006/relationships/hyperlink" Target="https://doi.org/10.2753/mis0742-1222240302" TargetMode="External"/><Relationship Id="rId86" Type="http://schemas.openxmlformats.org/officeDocument/2006/relationships/hyperlink" Target="https://doi.org/10.1016/j.spacepol.2021.101472" TargetMode="External"/><Relationship Id="rId94" Type="http://schemas.openxmlformats.org/officeDocument/2006/relationships/hyperlink" Target="https://doi.org/10.4324/9780429494284-6" TargetMode="External"/><Relationship Id="rId99" Type="http://schemas.openxmlformats.org/officeDocument/2006/relationships/hyperlink" Target="https://doi.org/10.1163/9789004256569" TargetMode="External"/><Relationship Id="rId101" Type="http://schemas.openxmlformats.org/officeDocument/2006/relationships/hyperlink" Target="https://doi.org/10.1007/BF00122574" TargetMode="External"/><Relationship Id="rId4" Type="http://schemas.openxmlformats.org/officeDocument/2006/relationships/webSettings" Target="webSettings.xml"/><Relationship Id="rId9" Type="http://schemas.openxmlformats.org/officeDocument/2006/relationships/hyperlink" Target="https://doi.org/10.1016/j.jsse.2023.01.002" TargetMode="External"/><Relationship Id="rId13" Type="http://schemas.openxmlformats.org/officeDocument/2006/relationships/hyperlink" Target="https://doi.org/10.1038/s41586-025-09759-5" TargetMode="External"/><Relationship Id="rId18" Type="http://schemas.openxmlformats.org/officeDocument/2006/relationships/hyperlink" Target="https://doi.org/10.1126/science.1144237" TargetMode="External"/><Relationship Id="rId39" Type="http://schemas.openxmlformats.org/officeDocument/2006/relationships/hyperlink" Target="https://www.iso.org/standard/83494.html" TargetMode="External"/><Relationship Id="rId109" Type="http://schemas.openxmlformats.org/officeDocument/2006/relationships/hyperlink" Target="https://doi.org/10.1111/j.1467-6486.2004.00430.x" TargetMode="External"/><Relationship Id="rId34" Type="http://schemas.openxmlformats.org/officeDocument/2006/relationships/hyperlink" Target="https://doi.org/10.1037/a0017346" TargetMode="External"/><Relationship Id="rId50" Type="http://schemas.openxmlformats.org/officeDocument/2006/relationships/hyperlink" Target="https://doi.org/10.1257/aer.20220540" TargetMode="External"/><Relationship Id="rId55" Type="http://schemas.openxmlformats.org/officeDocument/2006/relationships/hyperlink" Target="https://doi.org/10.1007/s11077-012-9151-0" TargetMode="External"/><Relationship Id="rId76" Type="http://schemas.openxmlformats.org/officeDocument/2006/relationships/hyperlink" Target="https://doi.org/10.1109/ACCESS.2021.3119634" TargetMode="External"/><Relationship Id="rId97" Type="http://schemas.openxmlformats.org/officeDocument/2006/relationships/hyperlink" Target="https://doi.org/10.2307/1882010" TargetMode="External"/><Relationship Id="rId104" Type="http://schemas.openxmlformats.org/officeDocument/2006/relationships/hyperlink" Target="https://digitallibrary.un.org/record/3945842" TargetMode="External"/><Relationship Id="rId7" Type="http://schemas.openxmlformats.org/officeDocument/2006/relationships/image" Target="media/image1.png"/><Relationship Id="rId71" Type="http://schemas.openxmlformats.org/officeDocument/2006/relationships/hyperlink" Target="https://www.nasa.gov/news-release/nasa-administrator-statement-on-russian-asat-test/" TargetMode="External"/><Relationship Id="rId92" Type="http://schemas.openxmlformats.org/officeDocument/2006/relationships/hyperlink" Target="https://doi.org/10.1007/BF00055564" TargetMode="External"/><Relationship Id="rId2" Type="http://schemas.openxmlformats.org/officeDocument/2006/relationships/styles" Target="styles.xml"/><Relationship Id="rId29" Type="http://schemas.openxmlformats.org/officeDocument/2006/relationships/hyperlink" Target="https://doi.org/10.1146/annurev.energy.30.050504.144511" TargetMode="External"/><Relationship Id="rId24" Type="http://schemas.openxmlformats.org/officeDocument/2006/relationships/hyperlink" Target="https://doi.org/10.1007/s11214-022-00880-9" TargetMode="External"/><Relationship Id="rId40" Type="http://schemas.openxmlformats.org/officeDocument/2006/relationships/hyperlink" Target="https://www.itu.int/pub/R-REG-RR" TargetMode="External"/><Relationship Id="rId45" Type="http://schemas.openxmlformats.org/officeDocument/2006/relationships/hyperlink" Target="https://doi.org/10.1007/978-3-319-39246-2" TargetMode="External"/><Relationship Id="rId66" Type="http://schemas.openxmlformats.org/officeDocument/2006/relationships/hyperlink" Target="https://doi.org/10.1016/j.jsse.2021.01.004" TargetMode="External"/><Relationship Id="rId87" Type="http://schemas.openxmlformats.org/officeDocument/2006/relationships/hyperlink" Target="https://doi.org/10.1007/BF01405730" TargetMode="External"/><Relationship Id="rId110" Type="http://schemas.openxmlformats.org/officeDocument/2006/relationships/hyperlink" Target="https://swfound.org/counterspace" TargetMode="External"/><Relationship Id="rId115" Type="http://schemas.openxmlformats.org/officeDocument/2006/relationships/fontTable" Target="fontTable.xml"/><Relationship Id="rId61" Type="http://schemas.openxmlformats.org/officeDocument/2006/relationships/hyperlink" Target="https://doi.org/10.1073/pnas.2200300119" TargetMode="External"/><Relationship Id="rId82" Type="http://schemas.openxmlformats.org/officeDocument/2006/relationships/hyperlink" Target="https://doi.org/10.1016/j.spacepol.2024.101633" TargetMode="External"/><Relationship Id="rId19" Type="http://schemas.openxmlformats.org/officeDocument/2006/relationships/hyperlink" Target="https://doi.org/10.1073/pnas.2221342120" TargetMode="External"/><Relationship Id="rId14" Type="http://schemas.openxmlformats.org/officeDocument/2006/relationships/hyperlink" Target="https://doi.org/10.1016/j.spacepol.2023.101553" TargetMode="External"/><Relationship Id="rId30" Type="http://schemas.openxmlformats.org/officeDocument/2006/relationships/hyperlink" Target="https://doi.org/10.5465/256324" TargetMode="External"/><Relationship Id="rId35" Type="http://schemas.openxmlformats.org/officeDocument/2006/relationships/hyperlink" Target="https://doi.org/10.1177/0306312713508669" TargetMode="External"/><Relationship Id="rId56" Type="http://schemas.openxmlformats.org/officeDocument/2006/relationships/hyperlink" Target="https://doi.org/10.1017/bpp.2016.7" TargetMode="External"/><Relationship Id="rId77" Type="http://schemas.openxmlformats.org/officeDocument/2006/relationships/hyperlink" Target="https://doi.org/10.1257/aer.100.3.641" TargetMode="External"/><Relationship Id="rId100" Type="http://schemas.openxmlformats.org/officeDocument/2006/relationships/hyperlink" Target="https://www.federalregister.gov/documents/2018/06/21/2018-13506/space-policy-directive-3-national-space-traffic-management-policy" TargetMode="External"/><Relationship Id="rId105" Type="http://schemas.openxmlformats.org/officeDocument/2006/relationships/hyperlink" Target="https://www.unoosa.org/oosa/en/ourwork/topics/long-term-sustainability-of-outer-space-activities.html" TargetMode="External"/><Relationship Id="rId8" Type="http://schemas.openxmlformats.org/officeDocument/2006/relationships/hyperlink" Target="https://doi.org/10.1257/jel.20191450" TargetMode="External"/><Relationship Id="rId51" Type="http://schemas.openxmlformats.org/officeDocument/2006/relationships/hyperlink" Target="https://doi.org/10.1016/j.pss.2024.105864" TargetMode="External"/><Relationship Id="rId72" Type="http://schemas.openxmlformats.org/officeDocument/2006/relationships/hyperlink" Target="https://www.nasa.gov/artemis-accords/" TargetMode="External"/><Relationship Id="rId93" Type="http://schemas.openxmlformats.org/officeDocument/2006/relationships/hyperlink" Target="https://doi.org/10.1016/j.respol.2018.08.011" TargetMode="External"/><Relationship Id="rId98" Type="http://schemas.openxmlformats.org/officeDocument/2006/relationships/hyperlink" Target="https://doi.org/10.1016/j.respol.2013.05.008" TargetMode="External"/><Relationship Id="rId3" Type="http://schemas.openxmlformats.org/officeDocument/2006/relationships/settings" Target="settings.xml"/><Relationship Id="rId25" Type="http://schemas.openxmlformats.org/officeDocument/2006/relationships/hyperlink" Target="https://www.esa.int/Space_Safety/Space_Debris/ESA_s_Space_Environment_Report_2023" TargetMode="External"/><Relationship Id="rId46" Type="http://schemas.openxmlformats.org/officeDocument/2006/relationships/hyperlink" Target="https://doi.org/10.3386/w29096" TargetMode="External"/><Relationship Id="rId67" Type="http://schemas.openxmlformats.org/officeDocument/2006/relationships/hyperlink" Target="https://doi.org/10.1093/icc/dty034" TargetMode="External"/><Relationship Id="rId116" Type="http://schemas.openxmlformats.org/officeDocument/2006/relationships/theme" Target="theme/theme1.xml"/><Relationship Id="rId20" Type="http://schemas.openxmlformats.org/officeDocument/2006/relationships/hyperlink" Target="https://doi.org/10.1016/j.srt.2020.07.009" TargetMode="External"/><Relationship Id="rId41" Type="http://schemas.openxmlformats.org/officeDocument/2006/relationships/hyperlink" Target="https://www.itu.int/rec/R-REC-RA.479/en" TargetMode="External"/><Relationship Id="rId62" Type="http://schemas.openxmlformats.org/officeDocument/2006/relationships/hyperlink" Target="https://doi.org/10.1007/978-94-007-1356-7" TargetMode="External"/><Relationship Id="rId83" Type="http://schemas.openxmlformats.org/officeDocument/2006/relationships/hyperlink" Target="https://papers.ssrn.com/sol3/papers.cfm?abstract_id=2638406" TargetMode="External"/><Relationship Id="rId88" Type="http://schemas.openxmlformats.org/officeDocument/2006/relationships/hyperlink" Target="https://doi.org/10.1016/j.respol.2018.10.005" TargetMode="External"/><Relationship Id="rId111" Type="http://schemas.openxmlformats.org/officeDocument/2006/relationships/hyperlink" Target="https://doi.org/10.5465/amr.1989.4308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59</Pages>
  <Words>18217</Words>
  <Characters>103843</Characters>
  <Application>Microsoft Office Word</Application>
  <DocSecurity>0</DocSecurity>
  <Lines>865</Lines>
  <Paragraphs>243</Paragraphs>
  <ScaleCrop>false</ScaleCrop>
  <Company/>
  <LinksUpToDate>false</LinksUpToDate>
  <CharactersWithSpaces>121817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Micro-Foundations for the Space Commons: A Policy Toolkit</dc:title>
  <dc:creator/>
  <cp:keywords/>
  <cp:lastModifiedBy>Affonso, Felipe</cp:lastModifiedBy>
  <cp:revision>4</cp:revision>
  <dcterms:created xsi:type="dcterms:W3CDTF">2026-03-26T00:37:00Z</dcterms:created>
  <dcterms:modified xsi:type="dcterms:W3CDTF">2026-03-26T01:36:00Z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../../templates/csl/elsevier-harvard.csl</vt:lpwstr>
  </property>
  <property fmtid="{D5CDD505-2E9C-101B-9397-08002B2CF9AE}" pid="4" name="date">
    <vt:lpwstr/>
  </property>
  <property fmtid="{D5CDD505-2E9C-101B-9397-08002B2CF9AE}" pid="5" name="link-citations">
    <vt:lpwstr>True</vt:lpwstr>
  </property>
</Properties>
</file>