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A937" w14:textId="77777777" w:rsidR="009739F8" w:rsidRDefault="00000000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1: Literature review</w:t>
      </w:r>
    </w:p>
    <w:tbl>
      <w:tblPr>
        <w:tblStyle w:val="a"/>
        <w:tblW w:w="13056" w:type="dxa"/>
        <w:tblInd w:w="-99" w:type="dxa"/>
        <w:tblLayout w:type="fixed"/>
        <w:tblLook w:val="0400" w:firstRow="0" w:lastRow="0" w:firstColumn="0" w:lastColumn="0" w:noHBand="0" w:noVBand="1"/>
      </w:tblPr>
      <w:tblGrid>
        <w:gridCol w:w="1716"/>
        <w:gridCol w:w="1276"/>
        <w:gridCol w:w="1927"/>
        <w:gridCol w:w="1759"/>
        <w:gridCol w:w="3060"/>
        <w:gridCol w:w="3318"/>
      </w:tblGrid>
      <w:tr w:rsidR="009739F8" w14:paraId="4CA0AF26" w14:textId="77777777">
        <w:trPr>
          <w:trHeight w:val="405"/>
        </w:trPr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DC87AF" w14:textId="1B1C68F1" w:rsidR="009739F8" w:rsidRDefault="00007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Reference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E2335" w14:textId="448F74C3" w:rsidR="009739F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Context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9A991E8" w14:textId="77777777" w:rsidR="009739F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Key IV(s)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94F291B" w14:textId="77777777" w:rsidR="009739F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Key DV(s)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E8B0A7" w14:textId="77777777" w:rsidR="009739F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Main Findings &amp; Mechanism</w:t>
            </w:r>
          </w:p>
        </w:tc>
        <w:tc>
          <w:tcPr>
            <w:tcW w:w="33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CDA0DA" w14:textId="675A5FE6" w:rsidR="009739F8" w:rsidRDefault="00000000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How </w:t>
            </w:r>
            <w:r w:rsidR="00007FDA">
              <w:rPr>
                <w:rFonts w:ascii="Times New Roman" w:eastAsia="Times New Roman" w:hAnsi="Times New Roman" w:cs="Times New Roman"/>
                <w:b/>
                <w:color w:val="1B1C1D"/>
              </w:rPr>
              <w:t>Th</w:t>
            </w:r>
            <w:r w:rsidR="00E17E67">
              <w:rPr>
                <w:rFonts w:ascii="Times New Roman" w:eastAsia="Times New Roman" w:hAnsi="Times New Roman" w:cs="Times New Roman"/>
                <w:b/>
                <w:color w:val="1B1C1D"/>
              </w:rPr>
              <w:t>e Current</w:t>
            </w: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</w:t>
            </w:r>
            <w:r w:rsidR="00007FDA">
              <w:rPr>
                <w:rFonts w:ascii="Times New Roman" w:eastAsia="Times New Roman" w:hAnsi="Times New Roman" w:cs="Times New Roman"/>
                <w:b/>
                <w:color w:val="1B1C1D"/>
              </w:rPr>
              <w:t>Research</w:t>
            </w: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is Different</w:t>
            </w:r>
          </w:p>
        </w:tc>
      </w:tr>
      <w:tr w:rsidR="009739F8" w14:paraId="40CFAEC3" w14:textId="77777777">
        <w:trPr>
          <w:trHeight w:val="1491"/>
        </w:trPr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6C2A7B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Pracejus, Olsen, &amp; O’Guinn (2006)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A69D2F" w14:textId="6420AC05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Advertising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5E8C827" w14:textId="4CAF5639" w:rsidR="009739F8" w:rsidRDefault="00007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Empty vs. filled layout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E533CDC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Brand perceived quality, prestige, trustworthiness, leadership, market power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52A2B4" w14:textId="62CCA47F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White space </w:t>
            </w:r>
            <w:r w:rsidR="00007FDA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in ads symbolizes premium, trustworthy image. </w:t>
            </w:r>
          </w:p>
        </w:tc>
        <w:tc>
          <w:tcPr>
            <w:tcW w:w="33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38CAF9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Different IV (design complexity vs. white space), different mediator (inferred manufacturing resources vs. prestige symbolism), and different DV (perceived efficacy, eco-friendliness vs. trust, prestige)</w:t>
            </w:r>
          </w:p>
        </w:tc>
      </w:tr>
      <w:tr w:rsidR="009739F8" w14:paraId="64819C6C" w14:textId="77777777">
        <w:trPr>
          <w:trHeight w:val="1491"/>
        </w:trPr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A7055DD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Putrevu, Tan,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br/>
              <w:t>&amp; Lord (2004)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9AF61F" w14:textId="092CA922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Advertising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E0E03F" w14:textId="5FCF8F13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Ad complexity (visual, technical, lexical, informational)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07BAAF" w14:textId="1CBF6B05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Attitude</w:t>
            </w:r>
            <w:r w:rsidR="00007FDA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s, p</w:t>
            </w: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urchase </w:t>
            </w:r>
            <w:r w:rsidR="00007FDA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ntent; moderated by consumer traits (NFC, knowledge, gender).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91B7B3" w14:textId="5776BD90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Individual differences in elaboration likelihood moderate </w:t>
            </w:r>
            <w:r w:rsidR="00007FDA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ad processing</w:t>
            </w: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, influencing attitudes and purchase intent differently.</w:t>
            </w:r>
          </w:p>
        </w:tc>
        <w:tc>
          <w:tcPr>
            <w:tcW w:w="33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4105A1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Different IV (design vs. lexical, technical, information complexity), different mediator (inferred manufacturing resources vs. cognitive elaboration), and different DV (specific efficacy, eco-friendliness perceptions vs. overall attitudes)</w:t>
            </w:r>
          </w:p>
        </w:tc>
      </w:tr>
      <w:tr w:rsidR="009739F8" w14:paraId="37FFED6F" w14:textId="77777777">
        <w:trPr>
          <w:trHeight w:val="1703"/>
        </w:trPr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5AB825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Pieters, Wedel,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br/>
              <w:t>&amp; Batra (2010)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574646" w14:textId="05C58572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Advertising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2FB550" w14:textId="12FE9EB9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Feature complexity (clutter, JPEG file size)</w:t>
            </w:r>
            <w:r w:rsidR="00007FDA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, d</w:t>
            </w: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esign complexity (</w:t>
            </w:r>
            <w:r w:rsidR="00007FDA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creativity</w:t>
            </w: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).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4B7549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Attention, attitudes, comprehension.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DF4657" w14:textId="02C2575C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Feature complexity hurts brand attention &amp; attitudes due to perceptual load. Design complexity increases attention, comprehension</w:t>
            </w:r>
            <w:r w:rsidR="00E17E67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and attitudes.</w:t>
            </w:r>
          </w:p>
        </w:tc>
        <w:tc>
          <w:tcPr>
            <w:tcW w:w="33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9A42C3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Different IV (design vs. feature complexity), different mediator (inferred manufacturing resources vs. perceptual load), and different DV (specific efficacy, eco-friendliness perceptions vs. attention and comprehension)</w:t>
            </w:r>
          </w:p>
        </w:tc>
      </w:tr>
      <w:tr w:rsidR="009739F8" w14:paraId="66523CBE" w14:textId="77777777">
        <w:trPr>
          <w:trHeight w:val="993"/>
        </w:trPr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4496CF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bookmarkStart w:id="0" w:name="_te393tlpogpg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Chen, Ponomarenko, Lv, Ahlstrom (2025)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5A7B16" w14:textId="2C8DE4E3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Advertising</w:t>
            </w:r>
            <w:r w:rsidR="00E17E67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Branding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430C672" w14:textId="112744E4" w:rsidR="009739F8" w:rsidRDefault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Visual complexity × Brand gender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E39D9E1" w14:textId="596727AB" w:rsidR="009739F8" w:rsidRDefault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Click-through, choice, purchase intent.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687E1B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Simple masculine brand and complex feminine brand ads are more effective than the reverse, mediated by conceptual fluency. Attenuated for analytic thinkers.</w:t>
            </w:r>
          </w:p>
        </w:tc>
        <w:tc>
          <w:tcPr>
            <w:tcW w:w="33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FBAA4D4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Different IV &amp; moderator pairing (complexity &amp; evaluation criterion vs. complexity &amp; brand gender), different mediator (inferred manufacturing resources vs. conceptual fluency), and different DV (specific efficacy, eco-friendliness perceptions vs. persuasion)</w:t>
            </w:r>
          </w:p>
        </w:tc>
      </w:tr>
      <w:tr w:rsidR="009739F8" w14:paraId="4F5628A7" w14:textId="77777777">
        <w:trPr>
          <w:trHeight w:val="1065"/>
        </w:trPr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BF13C3B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Ton, Smith,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br/>
              <w:t>&amp; Sevilla (2024)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A0A342" w14:textId="128C0A5B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</w:t>
            </w:r>
            <w:r w:rsidR="00E17E67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roduct p</w:t>
            </w: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ackaging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A41688" w14:textId="2DA11381" w:rsidR="009739F8" w:rsidRDefault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Graphic complexity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B014D79" w14:textId="49B464F5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Willingness to pay</w:t>
            </w:r>
            <w:r w:rsidR="00E17E67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r w:rsidR="00E17E67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erceived purity.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0614A3" w14:textId="551999A2" w:rsidR="009739F8" w:rsidRDefault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Simplicity increases perceived purity, WTP for foods by signaling fewer ingredients.</w:t>
            </w:r>
          </w:p>
        </w:tc>
        <w:tc>
          <w:tcPr>
            <w:tcW w:w="33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52B0D2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Different context (CPG vs. food), different mediator (inferred manufacturing resources vs. purity), and different DV (specific efficacy, eco-friendliness perceptions vs. persuasion)</w:t>
            </w:r>
          </w:p>
        </w:tc>
      </w:tr>
      <w:tr w:rsidR="009739F8" w14:paraId="11608927" w14:textId="77777777">
        <w:trPr>
          <w:trHeight w:val="1491"/>
        </w:trPr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6269A2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lastRenderedPageBreak/>
              <w:t>Wang, Jiang, Gong, &amp; Wang (2023)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7B32F5" w14:textId="6BB8D273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</w:t>
            </w:r>
            <w:r w:rsidR="00E17E67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roduct p</w:t>
            </w: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ackaging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25EC94D" w14:textId="7CE6CF33" w:rsidR="009739F8" w:rsidRDefault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Design complexity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5D892E" w14:textId="402FD55C" w:rsidR="009739F8" w:rsidRDefault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Brand authenticity, choice.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648D71" w14:textId="0C4CE468" w:rsidR="009739F8" w:rsidRDefault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Simple=authentic association increases appeal and choice of simple designs, moderated by identity signaling.</w:t>
            </w:r>
          </w:p>
        </w:tc>
        <w:tc>
          <w:tcPr>
            <w:tcW w:w="33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092F8D3" w14:textId="77777777" w:rsidR="009739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Different mediator (inferred manufacturing resources vs. simple=authentic association), different moderator (salient evaluation criterion), and different DV (specific efficacy, eco-friendliness perceptions vs. overall brand appeal)</w:t>
            </w:r>
          </w:p>
        </w:tc>
      </w:tr>
      <w:tr w:rsidR="00E17E67" w14:paraId="4472B747" w14:textId="77777777">
        <w:trPr>
          <w:trHeight w:val="284"/>
        </w:trPr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7A501F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Favier, Celhay, &amp; Pantin-Sohier (2019)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607C85" w14:textId="7CE30E58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Packaging (luxury)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95CA30" w14:textId="4DD55E24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Design complexity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7A8567" w14:textId="0D897375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Perceived brand personality traits.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5CA4D2" w14:textId="11A1603B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Simple labels convey modernity, reliability, authenticity, success. Ornate labels signal heritage, joy, imagination, charm, sophistication. Mediated by semiotics/symbolism. Simple design preferred.</w:t>
            </w:r>
          </w:p>
        </w:tc>
        <w:tc>
          <w:tcPr>
            <w:tcW w:w="33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F2BF56A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Different mediator (inferred manufacturing resources vs. symbolic associations), different moderator (salient evaluation criterion), and different DV (specific efficacy, eco-friendliness perceptions vs. brand personality traits)</w:t>
            </w:r>
          </w:p>
        </w:tc>
      </w:tr>
      <w:tr w:rsidR="00E17E67" w14:paraId="0F0A4227" w14:textId="77777777">
        <w:trPr>
          <w:trHeight w:val="132"/>
        </w:trPr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EDFB7A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Wang, Chen, Ma, &amp; Jiang (2024)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D56B9B" w14:textId="638B900E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Packaging (sustainable goods)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8E15EB" w14:textId="04A1AFBC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Design complexity, Environmental concern.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EB8E78" w14:textId="49DF814F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Perceived eco-friendliness; Purchase intent.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1C570FA" w14:textId="686DFBB8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Simpler designs seen as more natural &amp; durability, and consequently green, especially under environmental concern.</w:t>
            </w:r>
          </w:p>
        </w:tc>
        <w:tc>
          <w:tcPr>
            <w:tcW w:w="33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8C14E3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Different mediator (inferred manufacturing resources vs. perceived naturalness), and different DV (specific efficacy, eco-friendliness perceptions vs. eco-friendliness only)</w:t>
            </w:r>
          </w:p>
        </w:tc>
      </w:tr>
      <w:tr w:rsidR="00E17E67" w14:paraId="7861241F" w14:textId="77777777">
        <w:trPr>
          <w:trHeight w:val="1491"/>
        </w:trPr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98850C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Ding, Meng,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br/>
              <w:t>&amp; Sun (2024)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134DDA6" w14:textId="3839838F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Packaging (sustainable goods)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427FD4C" w14:textId="5FFA7FB1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Eco-design complexity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2D3E33" w14:textId="386A6162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Green claims skepticism, Purchase intent, attention.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B81275" w14:textId="2B418B1A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Simpler designs reduce attention but increase trust in sustainability claims by reducing skepticism &amp; persuasion knowledge.</w:t>
            </w:r>
          </w:p>
        </w:tc>
        <w:tc>
          <w:tcPr>
            <w:tcW w:w="33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FA8C382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Different mediator (inferred manufacturing resources vs. perceived manipulative intent), different moderator (salient evaluation criterion vs. persuasion knowledge), and different DV (specific efficacy, eco-friendliness perceptions vs. trust in sustainability claims)</w:t>
            </w:r>
          </w:p>
        </w:tc>
      </w:tr>
      <w:tr w:rsidR="00E17E67" w14:paraId="63847006" w14:textId="77777777">
        <w:trPr>
          <w:trHeight w:val="1065"/>
        </w:trPr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1B3A78E" w14:textId="3AEB2AF1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He, Li, &amp; Chen (202</w:t>
            </w:r>
            <w:r w:rsidR="00FC17E2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2FDAD0" w14:textId="78690D0C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Packaging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EA2A70" w14:textId="683D56AA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Design complexity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6AF276" w14:textId="2FCF7068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Perceived healthiness</w:t>
            </w:r>
            <w:r w:rsidR="00162F35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, c</w:t>
            </w: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onsumption intent.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5E488A8" w14:textId="45F03BAB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Complex</w:t>
            </w:r>
            <w:r w:rsidR="00162F35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ity</w:t>
            </w: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implies nature-violating intervention, reducing perceived healthiness.</w:t>
            </w:r>
          </w:p>
        </w:tc>
        <w:tc>
          <w:tcPr>
            <w:tcW w:w="33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5B9588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Different mediator (inferred manufacturing resources vs. unnatural intervention), different DV (specific efficacy, eco-friendliness perceptions vs. perceived healthiness)</w:t>
            </w:r>
          </w:p>
        </w:tc>
      </w:tr>
      <w:tr w:rsidR="00E17E67" w14:paraId="04DAAAEC" w14:textId="77777777">
        <w:trPr>
          <w:trHeight w:val="1981"/>
        </w:trPr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CA8C6A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lastRenderedPageBreak/>
              <w:t>Min, Liu, &amp; Anderson (2025)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79B078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Product aesthetics &amp; pricing (aesthetic versions of same base product)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73F670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Visual complexity of product aesthetics (simple vs. complex); Evaluation mode (joint vs. separate)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5C1F07F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Perceived production costs; Willingness to pay (WTP).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33E863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Consumers infer visually complex (vs. simple) aesthetics incur higher production costs, especially in joint evaluation ("visual complexity = higher production cost" lay belief). This lowers WTP for simpler versions.</w:t>
            </w:r>
          </w:p>
        </w:tc>
        <w:tc>
          <w:tcPr>
            <w:tcW w:w="33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671D44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Different IV context (package design vs. product aesthetic versions), different mediator (tangible resource inference for attributes vs. production cost lay belief for WTP), and different DV (efficacy/eco-friendliness perceptions vs. perceived production costs/WTP).</w:t>
            </w:r>
          </w:p>
        </w:tc>
      </w:tr>
      <w:tr w:rsidR="00E17E67" w14:paraId="3215ACF9" w14:textId="77777777">
        <w:trPr>
          <w:trHeight w:val="1491"/>
        </w:trPr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3DBE4E4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Chen, Xiao, Xiong, &amp; Peng (2023)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E8F1C5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Packaging (multiple categories)</w:t>
            </w:r>
          </w:p>
        </w:tc>
        <w:tc>
          <w:tcPr>
            <w:tcW w:w="19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8FDE78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Visual simplicity vs. complexity.</w:t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567B82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Perceived product efficacy.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CD02DE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Simple packaging judged more effective than complex, mediated by perceived brand goal focus (simple aesthetics seen as more focused on utilitarian benefits). Moderated by zero-sum beliefs and hedonic framing.</w:t>
            </w:r>
          </w:p>
        </w:tc>
        <w:tc>
          <w:tcPr>
            <w:tcW w:w="331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F3D3EA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Different mediator (inferred manufacturing resources vs. brand goal orientation), different moderators (salient evaluation criterion vs. zero-sum beliefs and hedonic frame), and different DV (specific efficacy, eco-friendliness perceptions vs. efficacy only, and in the opposite direction to what we find)</w:t>
            </w:r>
          </w:p>
        </w:tc>
      </w:tr>
      <w:tr w:rsidR="00E17E67" w14:paraId="6A766186" w14:textId="77777777">
        <w:trPr>
          <w:trHeight w:val="77"/>
        </w:trPr>
        <w:tc>
          <w:tcPr>
            <w:tcW w:w="1716" w:type="dxa"/>
            <w:tcBorders>
              <w:top w:val="single" w:sz="4" w:space="0" w:color="000000"/>
            </w:tcBorders>
            <w:vAlign w:val="center"/>
          </w:tcPr>
          <w:p w14:paraId="049994C4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Light &amp; Fernbach (2024)</w:t>
            </w:r>
          </w:p>
        </w:tc>
        <w:tc>
          <w:tcPr>
            <w:tcW w:w="1276" w:type="dxa"/>
            <w:tcBorders>
              <w:top w:val="single" w:sz="4" w:space="0" w:color="000000"/>
            </w:tcBorders>
            <w:vAlign w:val="center"/>
          </w:tcPr>
          <w:p w14:paraId="12ECE18C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Branding (simplicity claims; ads &amp; scenarios)</w:t>
            </w:r>
          </w:p>
        </w:tc>
        <w:tc>
          <w:tcPr>
            <w:tcW w:w="1927" w:type="dxa"/>
            <w:tcBorders>
              <w:top w:val="single" w:sz="4" w:space="0" w:color="000000"/>
            </w:tcBorders>
            <w:vAlign w:val="center"/>
          </w:tcPr>
          <w:p w14:paraId="24957022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Perceived brand simplicity (manipulated via visual ad simplicity, or naturally perceived).</w:t>
            </w:r>
          </w:p>
        </w:tc>
        <w:tc>
          <w:tcPr>
            <w:tcW w:w="1759" w:type="dxa"/>
            <w:tcBorders>
              <w:top w:val="single" w:sz="4" w:space="0" w:color="000000"/>
            </w:tcBorders>
            <w:vAlign w:val="center"/>
          </w:tcPr>
          <w:p w14:paraId="13FB8BA4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Judged risk of product/service failures; Dissatisfaction/punishment after failures.</w:t>
            </w:r>
          </w:p>
        </w:tc>
        <w:tc>
          <w:tcPr>
            <w:tcW w:w="3060" w:type="dxa"/>
            <w:tcBorders>
              <w:top w:val="single" w:sz="4" w:space="0" w:color="000000"/>
            </w:tcBorders>
            <w:vAlign w:val="center"/>
          </w:tcPr>
          <w:p w14:paraId="3428CA67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Consumers expect brands making more complex promises to fail more, due to higher expectations. Brands making simpler promises are penalized more after failure, however, due to violated expectations.</w:t>
            </w:r>
          </w:p>
        </w:tc>
        <w:tc>
          <w:tcPr>
            <w:tcW w:w="3318" w:type="dxa"/>
            <w:tcBorders>
              <w:top w:val="single" w:sz="4" w:space="0" w:color="000000"/>
            </w:tcBorders>
            <w:vAlign w:val="center"/>
          </w:tcPr>
          <w:p w14:paraId="1BE99142" w14:textId="77777777" w:rsidR="00E17E67" w:rsidRDefault="00E17E67" w:rsidP="00E17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Different IV (strictly visual vs. conceptual claim/promise complexity), different mediator (inferred manufacturing resources vs. expectation), and different DV (perceived efficacy, eco-friendliness vs. expected failure rate)</w:t>
            </w:r>
          </w:p>
        </w:tc>
      </w:tr>
    </w:tbl>
    <w:p w14:paraId="5A8835A2" w14:textId="77777777" w:rsidR="009739F8" w:rsidRDefault="009739F8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9739F8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D46759CA-D4F5-4C41-B6F8-0CDE958148A1}"/>
    <w:embedItalic r:id="rId2" w:fontKey="{759E9A46-B1EE-4D4C-A86C-67A8AD0BAB11}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C91775E-F614-D145-AF48-EA4A1436345F}"/>
    <w:embedBold r:id="rId5" w:fontKey="{15898840-74E5-CA4A-AF7C-39EA6C22F8AA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9F10242-70AE-364B-A2FC-76187BBEDE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FFDA9ED-BCF1-5642-AAAB-EEDC4C3C73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removePersonalInformation/>
  <w:removeDateAndTim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F8"/>
    <w:rsid w:val="00007FDA"/>
    <w:rsid w:val="00162F35"/>
    <w:rsid w:val="002C3E61"/>
    <w:rsid w:val="008421AF"/>
    <w:rsid w:val="009739F8"/>
    <w:rsid w:val="009D22DF"/>
    <w:rsid w:val="00E17E67"/>
    <w:rsid w:val="00FB7878"/>
    <w:rsid w:val="00FC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3EC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1027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2025-06-15T12:53:00Z</dcterms:created>
  <dcterms:modified xsi:type="dcterms:W3CDTF">2025-09-15T13:02:00Z</dcterms:modified>
</cp:coreProperties>
</file>