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6.png" ContentType="image/png"/>
  <Override PartName="/word/media/rId209.png" ContentType="image/png"/>
  <Override PartName="/word/media/rId188.png" ContentType="image/png"/>
  <Override PartName="/word/media/rId191.png" ContentType="image/png"/>
  <Override PartName="/word/media/rId194.png" ContentType="image/png"/>
  <Override PartName="/word/media/rId197.png" ContentType="image/png"/>
  <Override PartName="/word/media/rId200.png" ContentType="image/png"/>
  <Override PartName="/word/media/rId203.png" ContentType="image/png"/>
  <Override PartName="/word/media/rId212.png" ContentType="image/png"/>
  <Override PartName="/word/media/rId10.pdf" ContentType="application/pdf"/>
  <Override PartName="/word/media/rId14.png" ContentType="image/png"/>
  <Override PartName="/word/media/rId17.pdf" ContentType="application/pdf"/>
  <Override PartName="/word/media/rId21.png" ContentType="image/png"/>
  <Override PartName="/word/media/rId215.png" ContentType="image/png"/>
  <Override PartName="/word/media/rId41.pdf" ContentType="application/pdf"/>
  <Override PartName="/word/media/rId218.png" ContentType="image/png"/>
  <Override PartName="/word/media/rId28.pdf" ContentType="application/pdf"/>
  <Override PartName="/word/media/rId3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Language models conceal brand preferences despite user instructions</w:t>
      </w:r>
    </w:p>
    <w:p>
      <w:pPr>
        <w:pStyle w:val="Author"/>
      </w:pPr>
      <w:r>
        <w:t xml:space="preserve">Felipe M. Affonso</w:t>
      </w:r>
    </w:p>
    <w:bookmarkStart w:id="9" w:name="abstract"/>
    <w:p>
      <w:pPr>
        <w:pStyle w:val="Heading2"/>
      </w:pPr>
      <w:r>
        <w:t xml:space="preserve">Abstract</w:t>
      </w:r>
    </w:p>
    <w:p>
      <w:pPr>
        <w:pStyle w:val="FirstParagraph"/>
      </w:pPr>
      <w:r>
        <w:t xml:space="preserve">As language models increasingly mediate consumer purchases, we show across 627,491 trials with 30 frontier models that they reliably identify the best product in a choice set yet, in one in four delegated purchases, recommend a more expensive, more familiar-branded product that their own evaluation scores lower. The substitution persists when natural-language preferences explicitly disfavour familiar brands and falls below one per cent only under numerical utility functions, a discontinuity we term the specification gap. The preference is encoded as a linear feature of the model’s hidden states, installable on an invented brand by 100 fine-tuning examples and modulable by activation steering. In four pre-registered behavioural studies (N = 3,164), consumers followed these biased recommendations even after seeing the contradicting specifications. A pre-registered benchmark places people in the identical advisor role on the most instruction-resistant assortments: human advisors correct on the plain-language instruction (69.1 per cent specification-optimal against the matched model’s 39.6; N = 1,182) and tend to disclose the brand basis they act on, evidence that the substitution is a property of the model rather than the task. Machine shopping behaviour thus constitutes an instruction-following failure on a task with no safety content, one that current safety evaluations and regulatory frameworks do not address.</w:t>
      </w:r>
    </w:p>
    <w:p>
      <w:pPr>
        <w:pStyle w:val="BodyText"/>
      </w:pPr>
      <w:r>
        <w:rPr>
          <w:b/>
          <w:bCs/>
        </w:rPr>
        <w:t xml:space="preserve">Keywords:</w:t>
      </w:r>
      <w:r>
        <w:t xml:space="preserve"> </w:t>
      </w:r>
      <w:r>
        <w:t xml:space="preserve">machine behaviour, AI alignment, brand preferences, consumer welfare, specification gap, large language models</w:t>
      </w:r>
    </w:p>
    <w:bookmarkEnd w:id="9"/>
    <w:bookmarkStart w:id="13" w:name="main"/>
    <w:p>
      <w:pPr>
        <w:pStyle w:val="Heading2"/>
      </w:pPr>
      <w:r>
        <w:t xml:space="preserve">Main</w:t>
      </w:r>
    </w:p>
    <w:p>
      <w:pPr>
        <w:pStyle w:val="FirstParagraph"/>
      </w:pPr>
      <w:r>
        <w:t xml:space="preserve">People increasingly delegate purchasing decisions to large language models (LLMs). ChatGPT, which serves over 900 million weekly active users</w:t>
      </w:r>
      <w:hyperlink w:anchor="ref-openai2026scaling">
        <w:r>
          <w:rPr>
            <w:rStyle w:val="Hyperlink"/>
            <w:vertAlign w:val="superscript"/>
          </w:rPr>
          <w:t xml:space="preserve">1</w:t>
        </w:r>
      </w:hyperlink>
      <w:r>
        <w:t xml:space="preserve">, now includes shopping features</w:t>
      </w:r>
      <w:hyperlink w:anchor="ref-openai2025shopping">
        <w:r>
          <w:rPr>
            <w:rStyle w:val="Hyperlink"/>
            <w:vertAlign w:val="superscript"/>
          </w:rPr>
          <w:t xml:space="preserve">2</w:t>
        </w:r>
      </w:hyperlink>
      <w:r>
        <w:t xml:space="preserve">, Amazon reports 250 million Rufus customers in 2025</w:t>
      </w:r>
      <w:hyperlink w:anchor="ref-amazon2025q3">
        <w:r>
          <w:rPr>
            <w:rStyle w:val="Hyperlink"/>
            <w:vertAlign w:val="superscript"/>
          </w:rPr>
          <w:t xml:space="preserve">3</w:t>
        </w:r>
      </w:hyperlink>
      <w:r>
        <w:t xml:space="preserve">, and Google’s AI Mode queries a Shopping Graph of 50 billion listings</w:t>
      </w:r>
      <w:hyperlink w:anchor="ref-mckinsey2025agentic">
        <w:r>
          <w:rPr>
            <w:rStyle w:val="Hyperlink"/>
            <w:vertAlign w:val="superscript"/>
          </w:rPr>
          <w:t xml:space="preserve">4</w:t>
        </w:r>
      </w:hyperlink>
      <w:r>
        <w:rPr>
          <w:vertAlign w:val="superscript"/>
        </w:rPr>
        <w:t xml:space="preserve">,</w:t>
      </w:r>
      <w:hyperlink w:anchor="ref-google2025shopping">
        <w:r>
          <w:rPr>
            <w:rStyle w:val="Hyperlink"/>
            <w:vertAlign w:val="superscript"/>
          </w:rPr>
          <w:t xml:space="preserve">5</w:t>
        </w:r>
      </w:hyperlink>
      <w:r>
        <w:t xml:space="preserve">. These systems join financial advisors, physicians, and search engines as intermediaries that can shape purchasing outcomes in ways that diverge from the consumer’s stated needs</w:t>
      </w:r>
      <w:hyperlink w:anchor="ref-dellaert2020consumer">
        <w:r>
          <w:rPr>
            <w:rStyle w:val="Hyperlink"/>
            <w:vertAlign w:val="superscript"/>
          </w:rPr>
          <w:t xml:space="preserve">6</w:t>
        </w:r>
      </w:hyperlink>
      <w:r>
        <w:rPr>
          <w:vertAlign w:val="superscript"/>
        </w:rPr>
        <w:t xml:space="preserve">,</w:t>
      </w:r>
      <w:hyperlink w:anchor="ref-kobis2025delegation">
        <w:r>
          <w:rPr>
            <w:rStyle w:val="Hyperlink"/>
            <w:vertAlign w:val="superscript"/>
          </w:rPr>
          <w:t xml:space="preserve">7</w:t>
        </w:r>
      </w:hyperlink>
      <w:r>
        <w:t xml:space="preserve">. Whether language models carry preferences of their own into product recommendations, absorbed from training data in which established brands command disproportionate representation</w:t>
      </w:r>
      <w:hyperlink w:anchor="ref-dodge2021documenting">
        <w:r>
          <w:rPr>
            <w:rStyle w:val="Hyperlink"/>
            <w:vertAlign w:val="superscript"/>
          </w:rPr>
          <w:t xml:space="preserve">8</w:t>
        </w:r>
      </w:hyperlink>
      <w:r>
        <w:rPr>
          <w:vertAlign w:val="superscript"/>
        </w:rPr>
        <w:t xml:space="preserve">,</w:t>
      </w:r>
      <w:hyperlink w:anchor="ref-bender2021dangers">
        <w:r>
          <w:rPr>
            <w:rStyle w:val="Hyperlink"/>
            <w:vertAlign w:val="superscript"/>
          </w:rPr>
          <w:t xml:space="preserve">9</w:t>
        </w:r>
      </w:hyperlink>
      <w:r>
        <w:t xml:space="preserve">, has not been tested. If such preferences exist, the consequences for consumer welfare and market competition would be amplified by the hundreds of millions of purchasing decisions these systems already mediate.</w:t>
      </w:r>
    </w:p>
    <w:p>
      <w:pPr>
        <w:pStyle w:val="BodyText"/>
      </w:pPr>
      <w:r>
        <w:t xml:space="preserve">Alignment research has focused on harmful, deceptive, or manipulative outputs</w:t>
      </w:r>
      <w:hyperlink w:anchor="ref-betley2026emergent">
        <w:r>
          <w:rPr>
            <w:rStyle w:val="Hyperlink"/>
            <w:vertAlign w:val="superscript"/>
          </w:rPr>
          <w:t xml:space="preserve">10</w:t>
        </w:r>
      </w:hyperlink>
      <w:r>
        <w:rPr>
          <w:vertAlign w:val="superscript"/>
        </w:rPr>
        <w:t xml:space="preserve">–</w:t>
      </w:r>
      <w:hyperlink w:anchor="ref-hubinger2019risks">
        <w:r>
          <w:rPr>
            <w:rStyle w:val="Hyperlink"/>
            <w:vertAlign w:val="superscript"/>
          </w:rPr>
          <w:t xml:space="preserve">14</w:t>
        </w:r>
      </w:hyperlink>
      <w:r>
        <w:t xml:space="preserve">, and safety evaluations test whether models refuse dangerous requests, resist jailbreaks, and avoid deceptive reasoning. These evaluations leave open whether training on web-scale corpora creates preferences that override user instructions during non-safety-relevant tasks</w:t>
      </w:r>
      <w:hyperlink w:anchor="ref-kobis2025delegation">
        <w:r>
          <w:rPr>
            <w:rStyle w:val="Hyperlink"/>
            <w:vertAlign w:val="superscript"/>
          </w:rPr>
          <w:t xml:space="preserve">7</w:t>
        </w:r>
      </w:hyperlink>
      <w:r>
        <w:rPr>
          <w:vertAlign w:val="superscript"/>
        </w:rPr>
        <w:t xml:space="preserve">,</w:t>
      </w:r>
      <w:hyperlink w:anchor="ref-allouah2025agentic">
        <w:r>
          <w:rPr>
            <w:rStyle w:val="Hyperlink"/>
            <w:vertAlign w:val="superscript"/>
          </w:rPr>
          <w:t xml:space="preserve">15</w:t>
        </w:r>
      </w:hyperlink>
      <w:r>
        <w:t xml:space="preserve">. We situate this work within the broader literature on bias in AI decision systems, in which biased or suboptimal AI-assisted decisions are documented from hiring to consumer domains</w:t>
      </w:r>
      <w:hyperlink w:anchor="ref-hoffmann2026hiring">
        <w:r>
          <w:rPr>
            <w:rStyle w:val="Hyperlink"/>
            <w:vertAlign w:val="superscript"/>
          </w:rPr>
          <w:t xml:space="preserve">16</w:t>
        </w:r>
      </w:hyperlink>
      <w:r>
        <w:rPr>
          <w:vertAlign w:val="superscript"/>
        </w:rPr>
        <w:t xml:space="preserve">,</w:t>
      </w:r>
      <w:hyperlink w:anchor="ref-lyu2025debiasing">
        <w:r>
          <w:rPr>
            <w:rStyle w:val="Hyperlink"/>
            <w:vertAlign w:val="superscript"/>
          </w:rPr>
          <w:t xml:space="preserve">17</w:t>
        </w:r>
      </w:hyperlink>
      <w:r>
        <w:t xml:space="preserve"> </w:t>
      </w:r>
      <w:r>
        <w:t xml:space="preserve">and language models are used to simulate consumer preferences themselves</w:t>
      </w:r>
      <w:hyperlink w:anchor="ref-brand2023llms">
        <w:r>
          <w:rPr>
            <w:rStyle w:val="Hyperlink"/>
            <w:vertAlign w:val="superscript"/>
          </w:rPr>
          <w:t xml:space="preserve">18</w:t>
        </w:r>
      </w:hyperlink>
      <w:r>
        <w:t xml:space="preserve">, rather than as a phenomenon that literature overlooked. Brand bias in LLM recommendations has been documented in several settings</w:t>
      </w:r>
      <w:hyperlink w:anchor="ref-allouah2025agentic">
        <w:r>
          <w:rPr>
            <w:rStyle w:val="Hyperlink"/>
            <w:vertAlign w:val="superscript"/>
          </w:rPr>
          <w:t xml:space="preserve">15</w:t>
        </w:r>
      </w:hyperlink>
      <w:r>
        <w:rPr>
          <w:vertAlign w:val="superscript"/>
        </w:rPr>
        <w:t xml:space="preserve">,</w:t>
      </w:r>
      <w:hyperlink w:anchor="ref-rao2024brand">
        <w:r>
          <w:rPr>
            <w:rStyle w:val="Hyperlink"/>
            <w:vertAlign w:val="superscript"/>
          </w:rPr>
          <w:t xml:space="preserve">19</w:t>
        </w:r>
      </w:hyperlink>
      <w:r>
        <w:rPr>
          <w:vertAlign w:val="superscript"/>
        </w:rPr>
        <w:t xml:space="preserve">–</w:t>
      </w:r>
      <w:hyperlink w:anchor="ref-filandrianos2025bias">
        <w:r>
          <w:rPr>
            <w:rStyle w:val="Hyperlink"/>
            <w:vertAlign w:val="superscript"/>
          </w:rPr>
          <w:t xml:space="preserve">22</w:t>
        </w:r>
      </w:hyperlink>
      <w:r>
        <w:t xml:space="preserve">, and prompting and fine-tuning interventions are shown to reduce prompt-induced biases</w:t>
      </w:r>
      <w:hyperlink w:anchor="ref-lyu2025debiasing">
        <w:r>
          <w:rPr>
            <w:rStyle w:val="Hyperlink"/>
            <w:vertAlign w:val="superscript"/>
          </w:rPr>
          <w:t xml:space="preserve">17</w:t>
        </w:r>
      </w:hyperlink>
      <w:r>
        <w:t xml:space="preserve">, but whether the user’s explicit natural-language instruction to disregard brand overrides a preference that is present under a neutral prompt has not been tested.</w:t>
      </w:r>
    </w:p>
    <w:p>
      <w:pPr>
        <w:pStyle w:val="BodyText"/>
      </w:pPr>
      <w:r>
        <w:t xml:space="preserve">That language models carry brand and popularity priors, and that people follow biased machine advice, are both established</w:t>
      </w:r>
      <w:hyperlink w:anchor="ref-kobis2025delegation">
        <w:r>
          <w:rPr>
            <w:rStyle w:val="Hyperlink"/>
            <w:vertAlign w:val="superscript"/>
          </w:rPr>
          <w:t xml:space="preserve">7</w:t>
        </w:r>
      </w:hyperlink>
      <w:r>
        <w:rPr>
          <w:vertAlign w:val="superscript"/>
        </w:rPr>
        <w:t xml:space="preserve">,</w:t>
      </w:r>
      <w:hyperlink w:anchor="ref-allouah2025agentic">
        <w:r>
          <w:rPr>
            <w:rStyle w:val="Hyperlink"/>
            <w:vertAlign w:val="superscript"/>
          </w:rPr>
          <w:t xml:space="preserve">15</w:t>
        </w:r>
      </w:hyperlink>
      <w:r>
        <w:rPr>
          <w:vertAlign w:val="superscript"/>
        </w:rPr>
        <w:t xml:space="preserve">,</w:t>
      </w:r>
      <w:hyperlink w:anchor="ref-rao2024brand">
        <w:r>
          <w:rPr>
            <w:rStyle w:val="Hyperlink"/>
            <w:vertAlign w:val="superscript"/>
          </w:rPr>
          <w:t xml:space="preserve">19</w:t>
        </w:r>
      </w:hyperlink>
      <w:r>
        <w:rPr>
          <w:vertAlign w:val="superscript"/>
        </w:rPr>
        <w:t xml:space="preserve">,</w:t>
      </w:r>
      <w:hyperlink w:anchor="ref-filandrianos2025bias">
        <w:r>
          <w:rPr>
            <w:rStyle w:val="Hyperlink"/>
            <w:vertAlign w:val="superscript"/>
          </w:rPr>
          <w:t xml:space="preserve">22</w:t>
        </w:r>
      </w:hyperlink>
      <w:r>
        <w:rPr>
          <w:vertAlign w:val="superscript"/>
        </w:rPr>
        <w:t xml:space="preserve">,</w:t>
      </w:r>
      <w:hyperlink w:anchor="ref-logg2019algorithm">
        <w:r>
          <w:rPr>
            <w:rStyle w:val="Hyperlink"/>
            <w:vertAlign w:val="superscript"/>
          </w:rPr>
          <w:t xml:space="preserve">23</w:t>
        </w:r>
      </w:hyperlink>
      <w:r>
        <w:t xml:space="preserve">. The existing work does not, however, jointly establish four properties of this prior that together constitute the contribution and that we treat as a single object. The prior is instruction-resistant, because it withstands the user’s explicit and arbitrarily precise natural-language instruction to disregard brand and yields only when the same preference is reformulated as a numerical utility function, a transition we characterise as the specification gap. It is also concealed, because when the model substitutes the familiar brand it seldom names brand as the reason and instead asserts an attribute advantage on a dimension where its choice is measurably inferior. It is weight-encoded, in that a small number of fine-tuning examples can install it on an invented brand, a linear probe can read it from the residual stream, and activation steering can modulate it, while alignment training moderates it without removing it. Finally, it diverges from a human benchmark, because a pre-registered study placing people in the identical advisor role finds that human advisors correct on plain-language instruction, and tend to disclose the brand basis when they depart, whereas the models do neither at the natural-language levels. Because an explicit instruction to ignore brand would be expected to largely succeed, the observed resistance to that instruction is what makes the conjunction worth testing. The closest precedent in the alignment literature is the emergent misalignment that Betley et al.</w:t>
      </w:r>
      <w:hyperlink w:anchor="ref-betley2026emergent">
        <w:r>
          <w:rPr>
            <w:rStyle w:val="Hyperlink"/>
            <w:vertAlign w:val="superscript"/>
          </w:rPr>
          <w:t xml:space="preserve">10</w:t>
        </w:r>
      </w:hyperlink>
      <w:r>
        <w:t xml:space="preserve"> </w:t>
      </w:r>
      <w:r>
        <w:t xml:space="preserve">document under narrow fine-tuning, but where their phenomenon manifests as overtly harmful outputs detectable by existing evaluations, the substitution here produces recommendations that are coherent and superficially responsive to the user’s stated preferences and is detectable only through controlled experimentation against known-optimal alternatives. We use the term alignment only in the narrow sense of a failure to follow the user’s explicit instruction on a task with no safety content</w:t>
      </w:r>
      <w:hyperlink w:anchor="ref-kobis2025delegation">
        <w:r>
          <w:rPr>
            <w:rStyle w:val="Hyperlink"/>
            <w:vertAlign w:val="superscript"/>
          </w:rPr>
          <w:t xml:space="preserve">7</w:t>
        </w:r>
      </w:hyperlink>
      <w:r>
        <w:t xml:space="preserve">. Supplementary Table 6 tabulates the closest prior work against these four properties; no single reference reports the full configuration.</w:t>
      </w:r>
    </w:p>
    <w:p>
      <w:pPr>
        <w:pStyle w:val="BodyText"/>
      </w:pPr>
      <w:r>
        <w:t xml:space="preserve">Here we characterise how 30 frontier language models from seven developers make product choices, using 627,491 controlled trials and a specification-precision gradient that escalates from vague natural language to explicit utility functions. We identify a discontinuity in the specification gradient, which we term the specification gap, defined as the threshold below which brand preferences dominate model decisions and above which user preferences govern them (odds ratio 57 at the natural-language transition; preference pathway). Models confabulate attribute-based justifications for brand-driven choices, that is, they invent specification reasons for a choice the brand actually drove, at a rate of 74 per cent, rendering the substitution invisible to both user and agent. The brand preferences are shared across models from different providers (mean pairwise r = 0.64), consistent with common training-data origins, and explicit negative anti-brand instructions backfire (rejection +3.8 pp; negative experience +11.8 pp), although a positive reframing toward lesser-known brands does succeed in suppressing the preference (-23.3 pp). We further identify the preference as an associative representation built from the contextual language alongside which brand names occur in pretraining, encoded as a linear feature of the model’s hidden states, installable by 100 fine-tuning examples on a brand the model has never seen, and modulable by direct activation-level intervention; raw mention frequency does not predict model-level preference once general popularity is accounted for. Machine shopping behaviour thus constitutes a form of AI misalignment distinct from harmful or deceptive outputs, one that current safety evaluations and regulatory frameworks do not address, with direct consequences for consumer welfare and market competition as language models increasingly mediate purchasing decisions for hundreds of millions of users.</w:t>
      </w:r>
    </w:p>
    <w:p>
      <w:pPr>
        <w:pStyle w:val="CaptionedFigure"/>
      </w:pPr>
      <w:r>
        <w:drawing>
          <wp:inline>
            <wp:extent cx="5943600" cy="5502075"/>
            <wp:effectExtent b="0" l="0" r="0" t="0"/>
            <wp:docPr descr="Figure 1 | Experimental design and the specification gap. Left column: experimental design. Each product assortment contains five products, one specification-optimal product with a fictional brand name (asterisk) and four real-brand competitors that the optimal product dominates on every quantifiable attribute (example from the laptop category shown). Thirty-two conditions organised into seven groups test specification precision, mechanism isolation, anti-brand instructions, and controls across 30 frontier language models from seven developers. Each response is evaluated by the same model that generated it (model-matched self-evaluation) on three dimensions: coherence (0-100), specification acknowledgment (0-100), and brand reasoning (yes/no). Confabulation is classified as a non-optimal product choice accompanied by no explicit brand reasoning. Right column: consumer interaction flow. Users request product recommendations with varying specification precision across two pathways (preference-based and utility-based), each escalating from vague natural language to explicit numerical constraints. Abridged prompt and response text and 30-model aggregate non-optimal rates are shown for six representative conditions. Example confabulation (GPT-4o, preference-vague condition): the model recommends ASUS VivoBook 15 citing its display quality and battery life, while the optimal Zentria CoreBook has a superior 2.8K OLED display, longer battery life, and lower price. The specification gap spans an odds ratio of 57 between weighted (17.4% non-optimal) and explicit (0.37%) preference conditions, with 74% of non-optimal responses confabulating attribute-level justifications. N = 627,491 trials." title="" id="11" name="Picture"/>
            <a:graphic>
              <a:graphicData uri="http://schemas.openxmlformats.org/drawingml/2006/picture">
                <pic:pic>
                  <pic:nvPicPr>
                    <pic:cNvPr descr="../results/figures/fig1_design_schematic.pdf" id="12" name="Picture"/>
                    <pic:cNvPicPr>
                      <a:picLocks noChangeArrowheads="1" noChangeAspect="1"/>
                    </pic:cNvPicPr>
                  </pic:nvPicPr>
                  <pic:blipFill>
                    <a:blip r:embed="rId10"/>
                    <a:stretch>
                      <a:fillRect/>
                    </a:stretch>
                  </pic:blipFill>
                  <pic:spPr bwMode="auto">
                    <a:xfrm>
                      <a:off x="0" y="0"/>
                      <a:ext cx="5943600" cy="5502075"/>
                    </a:xfrm>
                    <a:prstGeom prst="rect">
                      <a:avLst/>
                    </a:prstGeom>
                    <a:noFill/>
                    <a:ln w="9525">
                      <a:noFill/>
                      <a:headEnd/>
                      <a:tailEnd/>
                    </a:ln>
                  </pic:spPr>
                </pic:pic>
              </a:graphicData>
            </a:graphic>
          </wp:inline>
        </w:drawing>
      </w:r>
    </w:p>
    <w:p>
      <w:pPr>
        <w:pStyle w:val="ImageCaption"/>
      </w:pPr>
      <w:r>
        <w:rPr>
          <w:b/>
          <w:bCs/>
        </w:rPr>
        <w:t xml:space="preserve">Figure 1 | Experimental design and the specification gap.</w:t>
      </w:r>
      <w:r>
        <w:t xml:space="preserve"> </w:t>
      </w:r>
      <w:r>
        <w:t xml:space="preserve">Left column: experimental design. Each product assortment contains five products, one specification-optimal product with a fictional brand name (asterisk) and four real-brand competitors that the optimal product dominates on every quantifiable attribute (example from the laptop category shown). Thirty-two conditions organised into seven groups test specification precision, mechanism isolation, anti-brand instructions, and controls across 30 frontier language models from seven developers. Each response is evaluated by the same model that generated it (model-matched self-evaluation) on three dimensions: coherence (0-100), specification acknowledgment (0-100), and brand reasoning (yes/no). Confabulation is classified as a non-optimal product choice accompanied by no explicit brand reasoning. Right column: consumer interaction flow. Users request product recommendations with varying specification precision across two pathways (preference-based and utility-based), each escalating from vague natural language to explicit numerical constraints. Abridged prompt and response text and 30-model aggregate non-optimal rates are shown for six representative conditions. Example confabulation (GPT-4o, preference-vague condition): the model recommends ASUS VivoBook 15 citing its display quality and battery life, while the optimal Zentria CoreBook has a superior 2.8K OLED display, longer battery life, and lower price. The specification gap spans an odds ratio of 57 between weighted (17.4% non-optimal) and explicit (0.37%) preference conditions, with 74% of non-optimal responses confabulating attribute-level justifications. N = 627,491 trials.</w:t>
      </w:r>
    </w:p>
    <w:p>
      <w:pPr>
        <w:pStyle w:val="BodyText"/>
      </w:pPr>
      <w:r>
        <w:t xml:space="preserve">We constructed 34 product assortments across 20 consumer categories, each containing one specification-dominant product with a fictional brand name and four competitors carrying real brands (Fig. 1). Thirty-two conditions are organised into seven functional groups: baseline, mechanism isolation, specification gradient (natural language and numerical), controls, and anti-brand instructions. Each condition is tested with 20 trials per assortment per model, yielding approximately 20,920 trials per model and 627,491 total trials across 30 models from seven developers (see Methods for full experimental design).</w:t>
      </w:r>
    </w:p>
    <w:p>
      <w:pPr>
        <w:pStyle w:val="BodyText"/>
      </w:pPr>
      <w:r>
        <w:t xml:space="preserve">The evidence divides into three levels that we keep distinct throughout. The controlled corpus provides model-output evidence, where the phenomenon and its mechanism are characterised; a bounded web-search arm provides agent-behaviour evidence for deployed assistants that can look products up (Supplementary Note 35); and the pre-registered behavioural studies provide consumer-behaviour evidence, where all welfare quantities are measured. Each headline claim below is scoped to its level.</w:t>
      </w:r>
    </w:p>
    <w:bookmarkEnd w:id="13"/>
    <w:bookmarkStart w:id="20" w:name="Xbc544b8a1bb8c6243d70bcf8e55ec2b72a98fc9"/>
    <w:p>
      <w:pPr>
        <w:pStyle w:val="Heading2"/>
      </w:pPr>
      <w:r>
        <w:t xml:space="preserve">Decision agents develop training-derived brand preferences</w:t>
      </w:r>
    </w:p>
    <w:p>
      <w:pPr>
        <w:pStyle w:val="FirstParagraph"/>
      </w:pPr>
      <w:r>
        <w:t xml:space="preserve">In a controlled trial, a user asks Claude Haiku 4.5 to recommend the best espresso machine under $300, listing priorities with brand marked</w:t>
      </w:r>
      <w:r>
        <w:t xml:space="preserve"> </w:t>
      </w:r>
      <w:r>
        <w:t xml:space="preserve">“irrelevant.”</w:t>
      </w:r>
      <w:r>
        <w:t xml:space="preserve"> </w:t>
      </w:r>
      <w:r>
        <w:t xml:space="preserve">Among five products, a fictional-brand machine, the Presswell NEO Flex, is the specification-dominant option, carrying the highest quality score at the lowest price. The model responds:</w:t>
      </w:r>
      <w:r>
        <w:t xml:space="preserve"> </w:t>
      </w:r>
      <w:r>
        <w:t xml:space="preserve">“The De’Longhi Stilosa is the best match for your priorities within your $300 budget.”</w:t>
      </w:r>
      <w:r>
        <w:t xml:space="preserve"> </w:t>
      </w:r>
      <w:r>
        <w:t xml:space="preserve">When the same task is reframed as factual identification (</w:t>
      </w:r>
      <w:r>
        <w:t xml:space="preserve">“Which product letter has the highest utility score?”</w:t>
      </w:r>
      <w:r>
        <w:t xml:space="preserve">), the model identifies the correct product 100 per cent of the time, showing that it can evaluate the products correctly yet does not select the best one when asked to recommend. The pattern generalises across providers and categories (Fig. 2): GPT-4o recommends an ASUS VivoBook over a higher-scoring alternative, citing specifications that are objectively inferior to the product it declined, and, when the user asks to avoid Apple, DeepSeek R1 selects the OnePlus 12R because it</w:t>
      </w:r>
      <w:r>
        <w:t xml:space="preserve"> </w:t>
      </w:r>
      <w:r>
        <w:t xml:space="preserve">“offers a standout 50MP Sony IMX890 camera and a large 5500mAh battery”</w:t>
      </w:r>
      <w:r>
        <w:t xml:space="preserve">, bypassing the specification-optimal product that matches both cited specifications at a lower price.</w:t>
      </w:r>
    </w:p>
    <w:p>
      <w:pPr>
        <w:pStyle w:val="CaptionedFigure"/>
      </w:pPr>
      <w:r>
        <w:drawing>
          <wp:inline>
            <wp:extent cx="5943600" cy="5289170"/>
            <wp:effectExtent b="0" l="0" r="0" t="0"/>
            <wp:docPr descr="Figure 2 | Training-derived brand preferences influence machine shopping behaviour across 30 frontier models. Baseline non-optimal choice rate for each model (dot) with Wilson 95% confidence intervals (whiskers), sorted by magnitude within developer. Panels: a, Anthropic (blue); b, OpenAI (green); c, Google (red); d, open-weight (purple). Dashed lines mark the grand mean (25.0%). Rates range from 8.7% (GPT-4.1 Mini) to 59.2% (Claude Opus 4.7). N = approximately 680 baseline trials per model (20,413 total). All tests are two-sided." title="" id="15" name="Picture"/>
            <a:graphic>
              <a:graphicData uri="http://schemas.openxmlformats.org/drawingml/2006/picture">
                <pic:pic>
                  <pic:nvPicPr>
                    <pic:cNvPr descr="../results/figures/fig2_phenomenon.png" id="16" name="Picture"/>
                    <pic:cNvPicPr>
                      <a:picLocks noChangeArrowheads="1" noChangeAspect="1"/>
                    </pic:cNvPicPr>
                  </pic:nvPicPr>
                  <pic:blipFill>
                    <a:blip r:embed="rId14"/>
                    <a:stretch>
                      <a:fillRect/>
                    </a:stretch>
                  </pic:blipFill>
                  <pic:spPr bwMode="auto">
                    <a:xfrm>
                      <a:off x="0" y="0"/>
                      <a:ext cx="5943600" cy="5289170"/>
                    </a:xfrm>
                    <a:prstGeom prst="rect">
                      <a:avLst/>
                    </a:prstGeom>
                    <a:noFill/>
                    <a:ln w="9525">
                      <a:noFill/>
                      <a:headEnd/>
                      <a:tailEnd/>
                    </a:ln>
                  </pic:spPr>
                </pic:pic>
              </a:graphicData>
            </a:graphic>
          </wp:inline>
        </w:drawing>
      </w:r>
    </w:p>
    <w:p>
      <w:pPr>
        <w:pStyle w:val="ImageCaption"/>
      </w:pPr>
      <w:r>
        <w:rPr>
          <w:b/>
          <w:bCs/>
        </w:rPr>
        <w:t xml:space="preserve">Figure 2 | Training-derived brand preferences influence machine shopping behaviour across 30 frontier models.</w:t>
      </w:r>
      <w:r>
        <w:t xml:space="preserve"> </w:t>
      </w:r>
      <w:r>
        <w:t xml:space="preserve">Baseline non-optimal choice rate for each model (dot) with Wilson 95% confidence intervals (whiskers), sorted by magnitude within developer. Panels:</w:t>
      </w:r>
      <w:r>
        <w:t xml:space="preserve"> </w:t>
      </w:r>
      <w:r>
        <w:rPr>
          <w:b/>
          <w:bCs/>
        </w:rPr>
        <w:t xml:space="preserve">a</w:t>
      </w:r>
      <w:r>
        <w:t xml:space="preserve">, Anthropic (blue);</w:t>
      </w:r>
      <w:r>
        <w:t xml:space="preserve"> </w:t>
      </w:r>
      <w:r>
        <w:rPr>
          <w:b/>
          <w:bCs/>
        </w:rPr>
        <w:t xml:space="preserve">b</w:t>
      </w:r>
      <w:r>
        <w:t xml:space="preserve">, OpenAI (green);</w:t>
      </w:r>
      <w:r>
        <w:t xml:space="preserve"> </w:t>
      </w:r>
      <w:r>
        <w:rPr>
          <w:b/>
          <w:bCs/>
        </w:rPr>
        <w:t xml:space="preserve">c</w:t>
      </w:r>
      <w:r>
        <w:t xml:space="preserve">, Google (red);</w:t>
      </w:r>
      <w:r>
        <w:t xml:space="preserve"> </w:t>
      </w:r>
      <w:r>
        <w:rPr>
          <w:b/>
          <w:bCs/>
        </w:rPr>
        <w:t xml:space="preserve">d</w:t>
      </w:r>
      <w:r>
        <w:t xml:space="preserve">, open-weight (purple). Dashed lines mark the grand mean (25.0%). Rates range from 8.7% (GPT-4.1 Mini) to 59.2% (Claude Opus 4.7). N = approximately 680 baseline trials per model (20,413 total). All tests are two-sided.</w:t>
      </w:r>
    </w:p>
    <w:p>
      <w:pPr>
        <w:pStyle w:val="BodyText"/>
      </w:pPr>
      <w:r>
        <w:t xml:space="preserve">Pretraining on web-scale corpora exposes models to the frequency and sentiment patterns surrounding brand names, producing default brand rankings that operate as implicit preferences, independently of any specific user’s stated needs. At baseline (n = 20,413 trials across 30 models and 34 assortments), models recommend the non-optimal product at a mean rate of 25.0 per cent (95% CI 24.4 to 25.6 per cent), ranging from 8.7 per cent (GPT-4.1 Mini) to 59.2 per cent (Claude Opus 4.7; Fig. 2). Because repeated calls to one model are not independent observations, we also treat the model rather than the trial as the unit of inference, which leaves the estimate unchanged while widening the uncertainty honestly (model-level mean 25.0 per cent, cluster-bootstrap 95% CI 20.7 to 29.9 per cent, with all 30 models affected; Supplementary Note 35). Four validation conditions, each of which removes the brand-equity asymmetry by design while leaving the evaluation task otherwise intact, show that the models can identify the specification-dominant product. When all brands are fictional, removing training-data frequency differentials, 27 of 30 models achieve a non-optimal rate below 0.2 per cent (the 0.79 per cent corpus aggregate reflects four control-failing outliers). When the training-familiar brand carries the best specifications (brand reversal), these models reach over 99 per cent accuracy. A comprehension check yields 99.21 per cent accuracy, and when all five products carry well-known brands (all-familiar), accuracy is 99.97 per cent (Fig. 3). One model (Gemini 2.5 Pro) fails three of four controls at 16 to 22 per cent non-optimal (brand reversal 15.6 per cent, comprehension 21.6 per cent, fictional brands 21.3 per cent), indicating that its brand preferences override even explicitly correct-answer tasks (Supplementary Note 15); three additional models fall just below the 99.9 per cent strict threshold on the comprehension check (DeepSeek V3 at 99.85 per cent, GPT-5.4 at 99.71 per cent, Gemma 4 31B IT at 98.38 per cent), with comprehension errors that are at least an order of magnitude rarer than baseline non-optimal rates. Among the 26 strictly control-passing models, optimal performance whenever training-data frequency differentials are absent or irrelevant to the task indicates that the baseline deviation reflects training-data associations and not differences in task competence.</w:t>
      </w:r>
    </w:p>
    <w:p>
      <w:pPr>
        <w:pStyle w:val="CaptionedFigure"/>
      </w:pPr>
      <w:r>
        <w:drawing>
          <wp:inline>
            <wp:extent cx="5943600" cy="4705350"/>
            <wp:effectExtent b="0" l="0" r="0" t="0"/>
            <wp:docPr descr="Figure 3 | Control conditions and conjoint decomposition jointly identify the training-data origin of the brand preference. a, Optimal choice rates for baseline (75.0%, n = 20,413) and four validation conditions across 30 models: all-fictional brands (99.21%, n = 20,399), brand reversal (99.07%, n = 12,240), comprehension check (99.21%, n = 20,400), and all-familiar brands (99.97%, n = 3,240). Twenty-six of 30 models achieve near-perfect control accuracy (above 99.9 per cent); aggregate rates reflect one model (Gemini 2.5 Pro) that fails three of four controls at 16 to 22 per cent and three additional models with comprehension accuracies between 98 and 99.9 per cent. b, Conjoint attribute-swap decomposition (three sub-panels): non-optimal rates at baseline (25.0%, n = 20,413) versus attribute-swap, where specifications are rotated among brands while names remain fixed (17.8%, n = 20,400; left); training-data familiarity composition of non-optimal attribute-swap choices (high 68%, medium 31%, low less than 1%; n = 3,622 non-optimal responses; centre); justification analysis of non-optimal conjoint responses (21 per cent cite brand explicitly, 79 per cent confabulate attribute-based reasoning; right). Error bars represent Wilson 95% confidence intervals. All tests are two-sided." title="" id="18" name="Picture"/>
            <a:graphic>
              <a:graphicData uri="http://schemas.openxmlformats.org/drawingml/2006/picture">
                <pic:pic>
                  <pic:nvPicPr>
                    <pic:cNvPr descr="../results/figures/fig3_mechanism_evidence.pdf" id="19" name="Picture"/>
                    <pic:cNvPicPr>
                      <a:picLocks noChangeArrowheads="1" noChangeAspect="1"/>
                    </pic:cNvPicPr>
                  </pic:nvPicPr>
                  <pic:blipFill>
                    <a:blip r:embed="rId17"/>
                    <a:stretch>
                      <a:fillRect/>
                    </a:stretch>
                  </pic:blipFill>
                  <pic:spPr bwMode="auto">
                    <a:xfrm>
                      <a:off x="0" y="0"/>
                      <a:ext cx="5943600" cy="4705350"/>
                    </a:xfrm>
                    <a:prstGeom prst="rect">
                      <a:avLst/>
                    </a:prstGeom>
                    <a:noFill/>
                    <a:ln w="9525">
                      <a:noFill/>
                      <a:headEnd/>
                      <a:tailEnd/>
                    </a:ln>
                  </pic:spPr>
                </pic:pic>
              </a:graphicData>
            </a:graphic>
          </wp:inline>
        </w:drawing>
      </w:r>
    </w:p>
    <w:p>
      <w:pPr>
        <w:pStyle w:val="ImageCaption"/>
      </w:pPr>
      <w:r>
        <w:rPr>
          <w:b/>
          <w:bCs/>
        </w:rPr>
        <w:t xml:space="preserve">Figure 3 | Control conditions and conjoint decomposition jointly identify the training-data origin of the brand preference.</w:t>
      </w:r>
      <w:r>
        <w:t xml:space="preserve"> </w:t>
      </w:r>
      <w:r>
        <w:rPr>
          <w:b/>
          <w:bCs/>
        </w:rPr>
        <w:t xml:space="preserve">a</w:t>
      </w:r>
      <w:r>
        <w:t xml:space="preserve">, Optimal choice rates for baseline (75.0%, n = 20,413) and four validation conditions across 30 models: all-fictional brands (99.21%, n = 20,399), brand reversal (99.07%, n = 12,240), comprehension check (99.21%, n = 20,400), and all-familiar brands (99.97%, n = 3,240). Twenty-six of 30 models achieve near-perfect control accuracy (above 99.9 per cent); aggregate rates reflect one model (Gemini 2.5 Pro) that fails three of four controls at 16 to 22 per cent and three additional models with comprehension accuracies between 98 and 99.9 per cent.</w:t>
      </w:r>
      <w:r>
        <w:t xml:space="preserve"> </w:t>
      </w:r>
      <w:r>
        <w:rPr>
          <w:b/>
          <w:bCs/>
        </w:rPr>
        <w:t xml:space="preserve">b</w:t>
      </w:r>
      <w:r>
        <w:t xml:space="preserve">, Conjoint attribute-swap decomposition (three sub-panels): non-optimal rates at baseline (25.0%, n = 20,413) versus attribute-swap, where specifications are rotated among brands while names remain fixed (17.8%, n = 20,400; left); training-data familiarity composition of non-optimal attribute-swap choices (high 68%, medium 31%, low less than 1%; n = 3,622 non-optimal responses; centre); justification analysis of non-optimal conjoint responses (21 per cent cite brand explicitly, 79 per cent confabulate attribute-based reasoning; right). Error bars represent Wilson 95% confidence intervals. All tests are two-sided.</w:t>
      </w:r>
    </w:p>
    <w:p>
      <w:pPr>
        <w:pStyle w:val="BodyText"/>
      </w:pPr>
      <w:r>
        <w:t xml:space="preserve">Misalignment varies systematically across product categories. Coffee makers produce the highest non-optimal rate (58.5 per cent), followed by headphones (55.6 per cent) and tablets (42.8 per cent), while keyboards and external SSDs produce the lowest rates (1.0 and 4.8 per cent respectively; Extended Data Fig. 5). Non-optimal rates track the intensity of brand ecosystems in consumer discourse and fall to single digits in categories where product comparison relies on numerical specifications.</w:t>
      </w:r>
    </w:p>
    <w:p>
      <w:pPr>
        <w:pStyle w:val="BodyText"/>
      </w:pPr>
      <w:r>
        <w:t xml:space="preserve">Mechanism-isolation conditions decompose the brand preference into its constituent signals (Extended Data Fig. 4). Anonymising brand names (replacing them with</w:t>
      </w:r>
      <w:r>
        <w:t xml:space="preserve"> </w:t>
      </w:r>
      <w:r>
        <w:t xml:space="preserve">“Brand A”</w:t>
      </w:r>
      <w:r>
        <w:t xml:space="preserve"> </w:t>
      </w:r>
      <w:r>
        <w:t xml:space="preserve">through</w:t>
      </w:r>
      <w:r>
        <w:t xml:space="preserve"> </w:t>
      </w:r>
      <w:r>
        <w:t xml:space="preserve">“Brand E”</w:t>
      </w:r>
      <w:r>
        <w:t xml:space="preserve">) reduces non-optimal rates from 25.0 per cent to 15.1 per cent (OR = 0.53, 95% CI 0.51 to 0.56), indicating that brand names account for approximately 10 percentage points while the remaining 15.1 per cent reflects identifiable signals in product descriptions independent of the brand name. Removing verbose descriptions and presenting only structured attribute tables reduces rates to 5.0 per cent (OR = 0.16, 95% CI 0.15 to 0.17), and inverting review signals so that the specification-optimal product carries the highest review count produces a reduction to 9.6 per cent (OR = 0.32, 95% CI 0.30 to 0.34). Adopting an expert persona (the prompt frames the user as</w:t>
      </w:r>
      <w:r>
        <w:t xml:space="preserve"> </w:t>
      </w:r>
      <w:r>
        <w:t xml:space="preserve">“a professional product reviewer”</w:t>
      </w:r>
      <w:r>
        <w:t xml:space="preserve"> </w:t>
      </w:r>
      <w:r>
        <w:t xml:space="preserve">and instructs the model to</w:t>
      </w:r>
      <w:r>
        <w:t xml:space="preserve"> </w:t>
      </w:r>
      <w:r>
        <w:t xml:space="preserve">“Focus ONLY on specifications, features, and price-to-performance ratio”</w:t>
      </w:r>
      <w:r>
        <w:t xml:space="preserve">) reduces rates to 7.5 per cent (OR = 0.24, 95% CI 0.23 to 0.26). Three additional conditions (badge removal, review equalisation, price equalisation) produce small effects (less than 1.5 pp change), and placing the optimal product first in the display list yields a moderate 6.2 pp reduction (Supplementary Note 6). Conversely, when the specification-optimal product carries a price premium over branded competitors, the non-optimal rate rises to 73.7 per cent (OR = 8.39, 95% CI 8.02 to 8.77, Cohen’s h = 1.02, BF</w:t>
      </w:r>
      <w:r>
        <w:rPr>
          <w:vertAlign w:val="subscript"/>
        </w:rPr>
        <w:t xml:space="preserve">10</w:t>
      </w:r>
      <w:r>
        <w:t xml:space="preserve"> </w:t>
      </w:r>
      <w:r>
        <w:t xml:space="preserve">&gt; 1,000), the largest single effect in our dataset, indicating that price and brand familiarity compound to produce near-total override of specification dominance.</w:t>
      </w:r>
    </w:p>
    <w:bookmarkEnd w:id="20"/>
    <w:bookmarkStart w:id="24" w:name="Xd5f3b6824b1d5809b8f931be40db0f98c5dd890"/>
    <w:p>
      <w:pPr>
        <w:pStyle w:val="Heading2"/>
      </w:pPr>
      <w:r>
        <w:t xml:space="preserve">Natural-language specification fails to override brand preferences</w:t>
      </w:r>
    </w:p>
    <w:p>
      <w:pPr>
        <w:pStyle w:val="FirstParagraph"/>
      </w:pPr>
      <w:r>
        <w:t xml:space="preserve">Whether brand preferences yield depends on the format in which the user’s preferences are expressed. Two parallel specification pathways escalate precision across five levels matched in role and precision, though not in verbatim content. The preference pathway uses natural language at increasing specificity, quoted here from the laptop category: vague statements (</w:t>
      </w:r>
      <w:r>
        <w:t xml:space="preserve">“I want something reliable with good performance. I don’t really care about brand names.”</w:t>
      </w:r>
      <w:r>
        <w:t xml:space="preserve">), weighted priorities (</w:t>
      </w:r>
      <w:r>
        <w:t xml:space="preserve">“1. Battery life and portability (most important to me) 2. Display quality 3. Build quality and durability 4. Brand name (I genuinely don’t care about brand)”</w:t>
      </w:r>
      <w:r>
        <w:t xml:space="preserve">), and explicit requirement lists that only the specification-optimal product satisfies. The utility pathway expresses the same escalation in purely numerical formats: percentage weights, computed utility scores, and mathematical constraints.</w:t>
      </w:r>
    </w:p>
    <w:p>
      <w:pPr>
        <w:pStyle w:val="BodyText"/>
      </w:pPr>
      <w:r>
        <w:t xml:space="preserve">Natural-language specification fails to override brand preferences regardless of precision, while numerical specification succeeds (Fig. 4). In the preference pathway, non-optimal rates are 25.0 per cent at baseline, 22.4 per cent with vague preferences, and 17.4 per cent with weighted priorities, then drop to 0.37 per cent only when preferences are encoded as explicit requirement lists. The transition from weighted priorities to explicit utility corresponds to an odds ratio of 57 (95% CI 45 to 72, Cohen’s h = 0.73, Bayes factor (BF</w:t>
      </w:r>
      <w:r>
        <w:rPr>
          <w:vertAlign w:val="subscript"/>
        </w:rPr>
        <w:t xml:space="preserve">10</w:t>
      </w:r>
      <w:r>
        <w:t xml:space="preserve">) &gt; 1,000), a 47-fold reduction in non-optimal rate (and a 57-fold reduction in odds). In contrast to the preference pathway, where non-optimal rates remain above 17 per cent through the weighted level, the utility pathway shows suppression beginning earlier: 6.9 per cent at the weighted level, falling to 0.8 per cent at the explicit level (OR 8.7, 95% CI 7.4 to 10.2, Cohen’s h = 0.34, BF</w:t>
      </w:r>
      <w:r>
        <w:rPr>
          <w:vertAlign w:val="subscript"/>
        </w:rPr>
        <w:t xml:space="preserve">10</w:t>
      </w:r>
      <w:r>
        <w:t xml:space="preserve"> </w:t>
      </w:r>
      <w:r>
        <w:t xml:space="preserve">&gt; 1,000). Individual model trajectories show the pattern is universal (for example, DeepSeek V3: 40.9 to 0.3 per cent; GPT-4o: 12.5 to 0.0 per cent; Extended Data Fig. 3). Above the explicit threshold, override and constrained specification levels achieve near-perfect compliance across all 30 models.</w:t>
      </w:r>
    </w:p>
    <w:p>
      <w:pPr>
        <w:pStyle w:val="CaptionedFigure"/>
      </w:pPr>
      <w:r>
        <w:drawing>
          <wp:inline>
            <wp:extent cx="5943600" cy="2608074"/>
            <wp:effectExtent b="0" l="0" r="0" t="0"/>
            <wp:docPr descr="Figure 4 | A specification gap separates human-readable preferences from machine-readable utility functions. Aggregate non-optimal choice rate across all 30 models as a function of specification precision for two parallel pathways. a, Preference pathway (natural language): baseline 25.0%, vague 22.4%, weighted 17.4%, explicit 0.37%. b, Utility pathway (numerical format): baseline 25.0%, vague 12.6%, weighted 6.9%, explicit 0.8%. The highlighted zone between the weighted and explicit levels marks the specification gap (preference OR = 57, 95% CI 45 to 72; utility OR = 8.7, 95% CI 7.4 to 10.2). N = 20,400 trials per level. All tests are two-sided. Shaded bands represent bootstrapped 95% confidence intervals." title="" id="22" name="Picture"/>
            <a:graphic>
              <a:graphicData uri="http://schemas.openxmlformats.org/drawingml/2006/picture">
                <pic:pic>
                  <pic:nvPicPr>
                    <pic:cNvPr descr="../results/figures/fig4_specification_gap.png" id="23" name="Picture"/>
                    <pic:cNvPicPr>
                      <a:picLocks noChangeArrowheads="1" noChangeAspect="1"/>
                    </pic:cNvPicPr>
                  </pic:nvPicPr>
                  <pic:blipFill>
                    <a:blip r:embed="rId21"/>
                    <a:stretch>
                      <a:fillRect/>
                    </a:stretch>
                  </pic:blipFill>
                  <pic:spPr bwMode="auto">
                    <a:xfrm>
                      <a:off x="0" y="0"/>
                      <a:ext cx="5943600" cy="2608074"/>
                    </a:xfrm>
                    <a:prstGeom prst="rect">
                      <a:avLst/>
                    </a:prstGeom>
                    <a:noFill/>
                    <a:ln w="9525">
                      <a:noFill/>
                      <a:headEnd/>
                      <a:tailEnd/>
                    </a:ln>
                  </pic:spPr>
                </pic:pic>
              </a:graphicData>
            </a:graphic>
          </wp:inline>
        </w:drawing>
      </w:r>
    </w:p>
    <w:p>
      <w:pPr>
        <w:pStyle w:val="ImageCaption"/>
      </w:pPr>
      <w:r>
        <w:rPr>
          <w:b/>
          <w:bCs/>
        </w:rPr>
        <w:t xml:space="preserve">Figure 4 | A specification gap separates human-readable preferences from machine-readable utility functions.</w:t>
      </w:r>
      <w:r>
        <w:t xml:space="preserve"> </w:t>
      </w:r>
      <w:r>
        <w:t xml:space="preserve">Aggregate non-optimal choice rate across all 30 models as a function of specification precision for two parallel pathways.</w:t>
      </w:r>
      <w:r>
        <w:t xml:space="preserve"> </w:t>
      </w:r>
      <w:r>
        <w:rPr>
          <w:b/>
          <w:bCs/>
        </w:rPr>
        <w:t xml:space="preserve">a</w:t>
      </w:r>
      <w:r>
        <w:t xml:space="preserve">, Preference pathway (natural language): baseline 25.0%, vague 22.4%, weighted 17.4%, explicit 0.37%.</w:t>
      </w:r>
      <w:r>
        <w:t xml:space="preserve"> </w:t>
      </w:r>
      <w:r>
        <w:rPr>
          <w:b/>
          <w:bCs/>
        </w:rPr>
        <w:t xml:space="preserve">b</w:t>
      </w:r>
      <w:r>
        <w:t xml:space="preserve">, Utility pathway (numerical format): baseline 25.0%, vague 12.6%, weighted 6.9%, explicit 0.8%. The highlighted zone between the weighted and explicit levels marks the specification gap (preference OR = 57, 95% CI 45 to 72; utility OR = 8.7, 95% CI 7.4 to 10.2). N = 20,400 trials per level. All tests are two-sided. Shaded bands represent bootstrapped 95% confidence intervals.</w:t>
      </w:r>
    </w:p>
    <w:p>
      <w:pPr>
        <w:pStyle w:val="BodyText"/>
      </w:pPr>
      <w:r>
        <w:t xml:space="preserve">We term this discontinuity the specification gap, the narrow band in which the model stops following a preference stated in plain words yet follows the identical preference once it is written as numbers (Supplementary Note 19 provides a formal justification of the terminology). A generalised estimating equations (GEE) logistic regression with exchangeable correlation structure, accounting for within-model clustering across 30 models, is consistent with the discontinuity: explicit specification reduces the odds of non-optimal choice by 97 per cent relative to all other levels (z = -4.48, P &lt; 0.001, OR = 0.03, 95% CI 0.01 to 0.14). A dose-response model treating specification level as ordinal yields a monotonic decrease in non-optimal choice (OR = 0.74 per level, z = -15.00, P &lt; 0.001). Below the threshold, the task requires the model to evaluate products against criteria expressed in natural language, and that evaluation admits the entry of training-derived associations. Above the threshold, the task reduces to arithmetic lookup over pre-computed scores, leaving no room for brand preferences to enter.</w:t>
      </w:r>
    </w:p>
    <w:p>
      <w:pPr>
        <w:pStyle w:val="BodyText"/>
      </w:pPr>
      <w:r>
        <w:t xml:space="preserve">Twelve of 30 models show higher non-optimal rates when the user provides vague preferences than at baseline, where no preferences are stated at all. Four increases are individually reliable: Gemini 2.5 Pro rises from 27.8 to 42.1 per cent (P &lt; 0.001), GPT-4.1 Nano from 12.9 to 19.0 per cent (P = 0.003), GPT-4o Mini from 14.0 to 18.5 per cent (P = 0.027), and Gemma 3 27B from 15.1 to 20.6 per cent (P = 0.011). The models with the lowest baseline rates show the largest increases, consistent with vague language (</w:t>
      </w:r>
      <w:r>
        <w:t xml:space="preserve">“something reliable with good performance”</w:t>
      </w:r>
      <w:r>
        <w:t xml:space="preserve">) opening a channel for training-derived associations that the unqualified baseline prompt did not provide (Extended Data Fig. 7).</w:t>
      </w:r>
    </w:p>
    <w:bookmarkEnd w:id="24"/>
    <w:bookmarkStart w:id="25" w:name="X545bdc191a2bb0ad9a2b851236744b193036253"/>
    <w:p>
      <w:pPr>
        <w:pStyle w:val="Heading2"/>
      </w:pPr>
      <w:r>
        <w:t xml:space="preserve">Models construct post-hoc justifications for brand-driven choices</w:t>
      </w:r>
    </w:p>
    <w:p>
      <w:pPr>
        <w:pStyle w:val="FirstParagraph"/>
      </w:pPr>
      <w:r>
        <w:t xml:space="preserve">A conjoint attribute-swap condition tests whether the basis for non-optimal choices is brand identity or product quality, and whether models can accurately report their own decision basis. Brand names remain fixed while product specifications and prices are rotated among competitors. If a model valued De’Longhi because of its specifications, the swap should redirect preference toward whichever brand now carries those specifications. If the model valued De’Longhi because of its training-data frequency, preference should follow the brand name regardless of its current specifications.</w:t>
      </w:r>
    </w:p>
    <w:p>
      <w:pPr>
        <w:pStyle w:val="BodyText"/>
      </w:pPr>
      <w:r>
        <w:t xml:space="preserve">Across all models, 17.8 per cent of choices remain non-optimal after the attribute swap, with the majority directed toward high-familiarity brands that now carry inferior specifications (2,445 of 3,622 non-optimal choices, 68 per cent; Fig. 3b). Non-optimal choice rates comparable to baseline (25.0 per cent) persist despite full specification rotation, indicating that models anchor on brand identity and not on the product attributes they subsequently cite in their justifications.</w:t>
      </w:r>
    </w:p>
    <w:p>
      <w:pPr>
        <w:pStyle w:val="BodyText"/>
      </w:pPr>
      <w:r>
        <w:t xml:space="preserve">Matched-model judges evaluate whether each justification faithfully represents the basis for the choice (see Methods). Among the non-optimal conjoint responses, only 21 per cent explicitly cite brand reputation (Fig. 3b). The remaining 79 per cent justify the choice with attribute-based reasoning that does not reference brand, despite selecting a product with objectively worse specifications on the very attributes they cite. A model that selects the De’Longhi Stilosa, a semi-automatic machine with a fixed 15-bar pump, over the Presswell NEO Flex, a cheaper manual-lever machine offering full pressure profiling across a 2-15 bar range, will praise the Stilosa for delivering</w:t>
      </w:r>
      <w:r>
        <w:t xml:space="preserve"> </w:t>
      </w:r>
      <w:r>
        <w:t xml:space="preserve">“reliable 15-bar pump pressure for quality espresso extraction”</w:t>
      </w:r>
      <w:r>
        <w:t xml:space="preserve">, presenting the pump specification as the point of superiority when the declined product matches its 15-bar maximum and adds full manual profiling. The selectivity is systematic: in coffee maker assortments, specifications where the optimal product excels (brew temperature, extraction stability) are cited far more frequently in optimal-choice than in non-optimal-choice reasoning, while attributes typically associated with branded machines (frothing capability, steam-wand features) rise sharply in the non-optimal-choice reasoning (Supplementary Note 18 presents verbatim examples from five providers and reports the exact cross-condition frequencies).</w:t>
      </w:r>
    </w:p>
    <w:p>
      <w:pPr>
        <w:pStyle w:val="BodyText"/>
      </w:pPr>
      <w:r>
        <w:t xml:space="preserve">We use the term confabulation, following Nisbett and Wilson’s</w:t>
      </w:r>
      <w:hyperlink w:anchor="ref-nisbett1977telling">
        <w:r>
          <w:rPr>
            <w:rStyle w:val="Hyperlink"/>
            <w:vertAlign w:val="superscript"/>
          </w:rPr>
          <w:t xml:space="preserve">24</w:t>
        </w:r>
      </w:hyperlink>
      <w:r>
        <w:t xml:space="preserve"> </w:t>
      </w:r>
      <w:r>
        <w:t xml:space="preserve">classic demonstration that people fabricate plausible explanations for choices actually driven by factors they cannot introspectively access. Analysis across all non-optimal choices at baseline yields a confabulation rate of 73.8 per cent (95% CI 72.6 to 75.0 per cent, n = 5,072 non-optimal responses with judge data), meaning that roughly three out of four brand-driven recommendations cite only product attributes in their justification (see Methods). The rate increases with specification precision (Supplementary Table 5): more detailed user preferences provide additional material from which to construct plausible justifications, with the model echoing priority categories (</w:t>
      </w:r>
      <w:r>
        <w:t xml:space="preserve">“battery life is excellent on this model”</w:t>
      </w:r>
      <w:r>
        <w:t xml:space="preserve">) while selecting a product that scores lower on the cited attribute (Extended Data Fig. 8a). Under anti-brand conditions, where concealment becomes difficult, the rate falls to 10.3 per cent in the prefer-unknown condition (Extended Data Fig. 8b; Supplementary Note 11).</w:t>
      </w:r>
    </w:p>
    <w:p>
      <w:pPr>
        <w:pStyle w:val="BodyText"/>
      </w:pPr>
      <w:r>
        <w:t xml:space="preserve">All 30 models confabulate, with rates spanning 21 per cent (Claude Sonnet 4.6 thinking) to 98 per cent (Gemini 2.5 Flash). Among optimal choices, 4.5 per cent of responses cite brand, roughly six times lower than the 26.2 per cent observed among non-optimal choices, consistent with non-optimal choices activating brand-relevant associations that occasionally appear in the justification.</w:t>
      </w:r>
    </w:p>
    <w:bookmarkEnd w:id="25"/>
    <w:bookmarkStart w:id="26" w:name="Xc78ab076a1da084d0a227443cef1d0f8055bbfb"/>
    <w:p>
      <w:pPr>
        <w:pStyle w:val="Heading2"/>
      </w:pPr>
      <w:r>
        <w:t xml:space="preserve">Restrictive instructions amplify brand preferences while positive reframing eliminates them</w:t>
      </w:r>
    </w:p>
    <w:p>
      <w:pPr>
        <w:pStyle w:val="FirstParagraph"/>
      </w:pPr>
      <w:r>
        <w:t xml:space="preserve">Because the substitution is invisible to users in practice, explicit countermeasures are unlikely in natural delegation. We test three anti-brand instruction formats: a rejection format in which the user states</w:t>
      </w:r>
      <w:r>
        <w:t xml:space="preserve"> </w:t>
      </w:r>
      <w:r>
        <w:t xml:space="preserve">“I do NOT want anything from [high-familiarity brand]”</w:t>
      </w:r>
      <w:r>
        <w:t xml:space="preserve">; a negative-experience format in which the user reports a bad experience with a specific brand; and a prefer-unknown format in which the user states a preference for lesser-known brands. These formats test whether the brand preference is suppressible in principle.</w:t>
      </w:r>
    </w:p>
    <w:p>
      <w:pPr>
        <w:pStyle w:val="BodyText"/>
      </w:pPr>
      <w:r>
        <w:t xml:space="preserve">The rejection and negative-experience conditions backfire. Eliminating one familiar brand from the choice set increases the salience of other familiar alternatives and amplifies the brand preference (Extended Data Fig. 10). Non-optimal rates rise to 28.8 per cent under rejection (OR = 1.21, 95% CI 1.16 to 1.27, Cohen’s h = 0.09, BF</w:t>
      </w:r>
      <w:r>
        <w:rPr>
          <w:vertAlign w:val="subscript"/>
        </w:rPr>
        <w:t xml:space="preserve">10</w:t>
      </w:r>
      <w:r>
        <w:t xml:space="preserve"> </w:t>
      </w:r>
      <w:r>
        <w:t xml:space="preserve">&gt; 1,000) and 36.9 per cent under negative experience (OR = 1.75, 95% CI 1.67 to 1.82, Cohen’s h = 0.26, BF</w:t>
      </w:r>
      <w:r>
        <w:rPr>
          <w:vertAlign w:val="subscript"/>
        </w:rPr>
        <w:t xml:space="preserve">10</w:t>
      </w:r>
      <w:r>
        <w:t xml:space="preserve"> </w:t>
      </w:r>
      <w:r>
        <w:t xml:space="preserve">&gt; 1,000), both exceeding the 25.0 per cent baseline. Instructing a model to avoid Dell redirects preference toward HP or Lenovo, bypassing the specification-optimal fictional brand entirely.</w:t>
      </w:r>
    </w:p>
    <w:p>
      <w:pPr>
        <w:pStyle w:val="BodyText"/>
      </w:pPr>
      <w:r>
        <w:t xml:space="preserve">The prefer-unknown condition produces the opposite result, reducing non-optimal rates from 25.0 to 1.7 per cent (OR = 0.05, 95% CI 0.05 to 0.06, Cohen’s h = 0.79, BF</w:t>
      </w:r>
      <w:r>
        <w:rPr>
          <w:vertAlign w:val="subscript"/>
        </w:rPr>
        <w:t xml:space="preserve">10</w:t>
      </w:r>
      <w:r>
        <w:t xml:space="preserve"> </w:t>
      </w:r>
      <w:r>
        <w:t xml:space="preserve">&gt; 1,000). This condition reframes the decision criterion toward unfamiliarity, the dimension on which the specification-optimal product excels, without restricting any specific familiar option.</w:t>
      </w:r>
    </w:p>
    <w:bookmarkEnd w:id="26"/>
    <w:bookmarkStart w:id="27" w:name="X736d31a02e1a50e12b4ccb0587e9ed66a73c0a0"/>
    <w:p>
      <w:pPr>
        <w:pStyle w:val="Heading2"/>
      </w:pPr>
      <w:r>
        <w:t xml:space="preserve">Brand preferences are shared across models, providers, and architectures</w:t>
      </w:r>
    </w:p>
    <w:p>
      <w:pPr>
        <w:pStyle w:val="FirstParagraph"/>
      </w:pPr>
      <w:r>
        <w:t xml:space="preserve">The 25.0 per cent mean non-optimal rate spans substantial model-level variation, from 8.7 per cent (GPT-4.1 Mini) to 59.2 per cent (Claude Opus 4.7) across all 30 models (Supplementary Note 9), with no model achieving below 8 per cent. The most capable frontier models (Claude Opus 4.7, GPT-5.4, Claude Sonnet 4.6 with extended thinking) occupy the top of the non-optimal distribution and not the bottom, an inversion of the intuitive expectation that capability scaling reduces misalignment. Open-weight models average 27.9 per cent at baseline, while proprietary models average 24.2 per cent (Extended Data Fig. 11). The gap closes at the explicit specification level, where both open-weight and proprietary models converge below 0.4 per cent on the preference pathway, indicating that the underlying brand preference persists across both groups until the specification gap is crossed (Extended Data Fig. 11).</w:t>
      </w:r>
    </w:p>
    <w:p>
      <w:pPr>
        <w:pStyle w:val="BodyText"/>
      </w:pPr>
      <w:r>
        <w:t xml:space="preserve">The brand preferences are shared across models from different providers. The same product assortments that elicit non-optimal choices in one model tend to elicit them in others (mean pairwise Pearson r = 0.64, median 0.66, all 435 model pairs positively correlated; Supplementary Note 8). The correlation extends across provider boundaries: Claude Haiku 4.5 (Anthropic) and GPT-4o (OpenAI), developed independently with different architectures and training pipelines, correlate at r = 0.85 on assortment-level non-optimal rates (Supplementary Note 8). Within-developer correlations (mean r = 0.67) modestly exceed cross-developer correlations (mean r = 0.63), consistent with shared pipelines within developer families. The cross-developer correlation alone (r = 0.63) indicates that the assortment-level difficulty ranking transcends developer boundaries, consistent with shared dependence on overlapping web-scale training corpora. When models select a non-optimal product, they converge on the same branded alternative at a mean rate of 75.9 per cent across assortments, with six assortments reaching 100 per cent agreement across all models that err (Supplementary Note 8).</w:t>
      </w:r>
    </w:p>
    <w:p>
      <w:pPr>
        <w:pStyle w:val="BodyText"/>
      </w:pPr>
      <w:r>
        <w:t xml:space="preserve">Larger models are more susceptible to brand preference substitution. Four of the five most-misaligned cells in the corpus come from the most recent frontier generation (Claude Opus 4.7 at 59.2 per cent, GPT-5.4 Nano at 53.5 per cent, GPT-5.4 at 48.9 per cent, and Claude Sonnet 4.6 with extended thinking at 39.2 per cent), with DeepSeek V3 (40.9 per cent) ranking fourth. Mini-class models continue to average roughly half the non-optimal rate of large-class models in the same provider family. The cross-provider scaling gradient on the full 30-model corpus is β = 0.108 per tier (P = 5 × 10</w:t>
      </w:r>
      <w:r>
        <w:rPr>
          <w:vertAlign w:val="superscript"/>
        </w:rPr>
        <w:t xml:space="preserve">-4</w:t>
      </w:r>
      <w:r>
        <w:t xml:space="preserve">; Supplementary Note 25), indicating that capability expansion does not decrease, and may increase, the influence of training-data associations on agent decisions. A within-architecture comparison of standard versus extended-thinking variants in four model families (Claude Haiku 4.5, Claude Sonnet 4.6, GPT-5.4 Mini, Gemini 3 Flash) shows that additional inference-time compute reduces non-optimal rates in the smaller systems (Haiku 4.5 18.5 to 15.0 per cent; GPT-5.4 Mini 23.9 to 19.8 per cent) but fails to reduce them in the larger ones, with Sonnet 4.6 actually increasing from 35.3 to 39.2 per cent under extended thinking and Gemini 3 Flash rising slightly from 13.5 to 14.1 per cent. The pattern parallels the broader inverse-scaling result (Supplementary Note 9).</w:t>
      </w:r>
    </w:p>
    <w:p>
      <w:pPr>
        <w:pStyle w:val="BodyText"/>
      </w:pPr>
      <w:r>
        <w:t xml:space="preserve">The pattern extends beyond the deposited corpus. Claude Fable 5, the first model of the Claude 5 family, released in June 2026 after the deposited corpus was collected, and tested on the identical protocol through the deposited prompt-construction code, recommends the non-optimal familiar brand in 50.6 per cent of baseline trials, a rate exceeded in our corpus only by Claude Opus 4.7 and GPT-5.4 Nano, while remaining at the corpus-average level of resistance to the plain-language brand-irrelevance instruction and at ceiling under computed utilities (Supplementary Note 36). The newest available frontier model is therefore among the strongest exhibitors of the preference, consistent with the inverse capability scaling reported above.</w:t>
      </w:r>
    </w:p>
    <w:bookmarkEnd w:id="27"/>
    <w:bookmarkStart w:id="31" w:name="Xa495ee1dfe5343f71ec54f3c44951c13577a9f5"/>
    <w:p>
      <w:pPr>
        <w:pStyle w:val="Heading2"/>
      </w:pPr>
      <w:r>
        <w:t xml:space="preserve">Brand preferences are causal, structurally encoded, and survive post-training</w:t>
      </w:r>
    </w:p>
    <w:p>
      <w:pPr>
        <w:pStyle w:val="FirstParagraph"/>
      </w:pPr>
      <w:r>
        <w:t xml:space="preserve">The brand preferences reflect a structural property of the models and not an artefact of sampling or prompt wording. Temperature sweeps across three models and four levels of temperature, the sampling parameter that controls output randomness, yield non-optimal rates that are indistinguishable at T = 0 and T = 1 (4,080 trials; Supplementary Note 23), and infini-gram (a suffix-array index over public training corpora) frequency comparisons across four training corpora (C4, The Pile, RedPajama, and Dolma) yield cross-corpus Pearson correlations in the 0.96 to 0.99 range on log-transformed brand counts (Supplementary Note 24), consistent with the preferences being a stable property of pretraining on web-scale corpora and not an artefact of stochastic generation. Fine-tuning GPT-4o-mini on 100 examples in which a newly created brand name (Axelion, with no measurable prior corpus frequency) is recommended over unfamiliar alternatives raises the rate at which the model subsequently recommends the injected brand to 52.5 per cent of injection-stimulus evaluation trials (mean across seven non-outlier seeds 49.4 per cent, SD 4.1, P &lt; 0.0001 against the zero-effect null; one further seed at 16 per cent is excluded as a non-converged run), while a placebo condition using a fictional product category that the model has never encountered produces no effect (P = 0.62), a negative-direction injection shifts choices in the opposite direction (P = 0.006), and the same manipulation generalises to Qwen 7B via low-rank adapter fine-tuning</w:t>
      </w:r>
      <w:hyperlink w:anchor="ref-hu2022lora">
        <w:r>
          <w:rPr>
            <w:rStyle w:val="Hyperlink"/>
            <w:vertAlign w:val="superscript"/>
          </w:rPr>
          <w:t xml:space="preserve">25</w:t>
        </w:r>
      </w:hyperlink>
      <w:r>
        <w:t xml:space="preserve"> </w:t>
      </w:r>
      <w:r>
        <w:t xml:space="preserve">(+10.5 percentage points, P = 0.008; Supplementary Note 20). Qwen and Gemma are open-weight model families whose internals are inspectable, used here to test that the findings generalise across architectures; representation probing and contrastive activation steering are complementary interpretability techniques, the former reading latent preferences from a model’s internal activations and the latter causally manipulating them by injecting a learned direction at varying intensities. Representation probing</w:t>
      </w:r>
      <w:hyperlink w:anchor="ref-alain2017understanding">
        <w:r>
          <w:rPr>
            <w:rStyle w:val="Hyperlink"/>
            <w:vertAlign w:val="superscript"/>
          </w:rPr>
          <w:t xml:space="preserve">26</w:t>
        </w:r>
      </w:hyperlink>
      <w:r>
        <w:t xml:space="preserve"> </w:t>
      </w:r>
      <w:r>
        <w:t xml:space="preserve">reads the brand preference from the residual stream</w:t>
      </w:r>
      <w:hyperlink w:anchor="ref-elhage2021framework">
        <w:r>
          <w:rPr>
            <w:rStyle w:val="Hyperlink"/>
            <w:vertAlign w:val="superscript"/>
          </w:rPr>
          <w:t xml:space="preserve">27</w:t>
        </w:r>
      </w:hyperlink>
      <w:r>
        <w:t xml:space="preserve"> </w:t>
      </w:r>
      <w:r>
        <w:t xml:space="preserve">at 77.0 per cent accuracy in Qwen 2.5 7B (15.9 percentage points above the 61.1 per cent majority-class baseline, area under the ROC curve AUC = 0.835) and 87.9 per cent in Gemma 4 E4B (6.2 percentage points above an 81.7 per cent majority-class baseline, AUC = 0.900) under assortment-grouped cross-validation (Supplementary Note 21). Contrastive activation steering</w:t>
      </w:r>
      <w:hyperlink w:anchor="ref-rimsky2024steering">
        <w:r>
          <w:rPr>
            <w:rStyle w:val="Hyperlink"/>
            <w:vertAlign w:val="superscript"/>
          </w:rPr>
          <w:t xml:space="preserve">28</w:t>
        </w:r>
      </w:hyperlink>
      <w:r>
        <w:t xml:space="preserve"> </w:t>
      </w:r>
      <w:r>
        <w:t xml:space="preserve">applied to Qwen 7B produces a 21 percentage-point dose-response on non-optimal choice across a nine-level steering strength range, with the largest positive steering strength significantly increasing non-optimal choice over the unintervened baseline (OR = 0.37 at</w:t>
      </w:r>
      <w:r>
        <w:t xml:space="preserve"> </w:t>
      </w:r>
      <m:oMath>
        <m:r>
          <m:t>α</m:t>
        </m:r>
        <m:r>
          <m:rPr>
            <m:sty m:val="p"/>
          </m:rPr>
          <m:t>=</m:t>
        </m:r>
        <m:r>
          <m:rPr>
            <m:sty m:val="p"/>
          </m:rPr>
          <m:t>+</m:t>
        </m:r>
        <m:r>
          <m:t>3</m:t>
        </m:r>
      </m:oMath>
      <w:r>
        <w:t xml:space="preserve">, Bonferroni-adjusted P = 5.9 × 10</w:t>
      </w:r>
      <w:r>
        <w:rPr>
          <w:vertAlign w:val="superscript"/>
        </w:rPr>
        <w:t xml:space="preserve">-5</w:t>
      </w:r>
      <w:r>
        <w:t xml:space="preserve">; linear trend across all nine multipliers P = 5.3 × 10</w:t>
      </w:r>
      <w:r>
        <w:rPr>
          <w:vertAlign w:val="superscript"/>
        </w:rPr>
        <w:t xml:space="preserve">-4</w:t>
      </w:r>
      <w:r>
        <w:t xml:space="preserve">; Supplementary Note 22), evidence that the brand preference is readable and modulable in the model’s internal representations. The mechanism is therefore not how often a brand appears in training text: log-frequency fails to predict model-level preference once general popularity proxies (Wikipedia pageviews, Google Trends, market capitalisation) are partialled out (F = 0.18, P = 0.68; Supplementary Note 24). What carries the signal is the context in which brand names appear during pretraining, including recommendation, review, comparison, and quality-claim language. The brand-name token absorbs this contextual pattern as an associative representation, encoded as a linear feature in the model’s hidden states. This locates the proximate cause in a name-bound learned association rather than in a deliberate risk-averse decision rule or an articulable norm, neither of which is consistent with an invented brand becoming preferred, a placebo category producing no effect, or the preference strengthening with model capability.</w:t>
      </w:r>
    </w:p>
    <w:p>
      <w:pPr>
        <w:pStyle w:val="BodyText"/>
      </w:pPr>
      <w:r>
        <w:t xml:space="preserve">Pretraining exposes models to training-data associations, and instruction tuning and reinforcement learning from human feedback (RLHF) subsequently reshape their behaviour</w:t>
      </w:r>
      <w:hyperlink w:anchor="ref-ouyang2022instructgpt">
        <w:r>
          <w:rPr>
            <w:rStyle w:val="Hyperlink"/>
            <w:vertAlign w:val="superscript"/>
          </w:rPr>
          <w:t xml:space="preserve">29</w:t>
        </w:r>
      </w:hyperlink>
      <w:r>
        <w:rPr>
          <w:vertAlign w:val="superscript"/>
        </w:rPr>
        <w:t xml:space="preserve">,</w:t>
      </w:r>
      <w:hyperlink w:anchor="ref-christiano2017deep">
        <w:r>
          <w:rPr>
            <w:rStyle w:val="Hyperlink"/>
            <w:vertAlign w:val="superscript"/>
          </w:rPr>
          <w:t xml:space="preserve">30</w:t>
        </w:r>
      </w:hyperlink>
      <w:r>
        <w:t xml:space="preserve">. Whether these post-training procedures eliminate the brand preference or merely moderate its expression constitutes a distinct question from whether the preference is present at baseline.</w:t>
      </w:r>
    </w:p>
    <w:p>
      <w:pPr>
        <w:pStyle w:val="BodyText"/>
      </w:pPr>
      <w:r>
        <w:t xml:space="preserve">A direct comparison of the base and instruction-tuned variants of the Gemma 4 model family (Supplementary Note 26) isolates the effect of post-training. The base model, trained only on next-token prediction over web-scale corpora, produces non-optimal choices in 67 per cent of trials, while the production instruction-tuned variant of the same architecture produces 20 per cent on the same assortments. Alignment training attenuates the expression of the brand preference by roughly two-thirds without removing the underlying representation, consistent with the activation-steering result (Supplementary Note 22) showing that the preference remains readable from the aligned model’s hidden states and modulable by residual-stream interventions.</w:t>
      </w:r>
    </w:p>
    <w:p>
      <w:pPr>
        <w:pStyle w:val="BodyText"/>
      </w:pPr>
      <w:r>
        <w:t xml:space="preserve">Targeted debiasing provides evidence that eliminating the preference requires explicit supervision and not general alignment training. Fine-tuning GPT-4o-mini on 6,000 examples in which the specification-optimal product is recommended regardless of brand reduces non-optimal rates from 16.2 to 0.3 per cent (P = 2.37 × 10</w:t>
      </w:r>
      <w:r>
        <w:rPr>
          <w:vertAlign w:val="superscript"/>
        </w:rPr>
        <w:t xml:space="preserve">-32</w:t>
      </w:r>
      <w:r>
        <w:t xml:space="preserve">). The same protocol applied to GPT-4.1-nano reduces rates from 14.1 to 0.3 per cent (P = 9.56 × 10</w:t>
      </w:r>
      <w:r>
        <w:rPr>
          <w:vertAlign w:val="superscript"/>
        </w:rPr>
        <w:t xml:space="preserve">-28</w:t>
      </w:r>
      <w:r>
        <w:t xml:space="preserve">), and to GPT-4.1-mini from 8.5 to 0.0 per cent (P = 1.95 × 10</w:t>
      </w:r>
      <w:r>
        <w:rPr>
          <w:vertAlign w:val="superscript"/>
        </w:rPr>
        <w:t xml:space="preserve">-18</w:t>
      </w:r>
      <w:r>
        <w:t xml:space="preserve">; Supplementary Note 27). A reduced 500-example debiasing protocol reduces rates from 15.3 to 0.9 per cent (P = 7.75 × 10</w:t>
      </w:r>
      <w:r>
        <w:rPr>
          <w:vertAlign w:val="superscript"/>
        </w:rPr>
        <w:t xml:space="preserve">-26</w:t>
      </w:r>
      <w:r>
        <w:t xml:space="preserve">), indicating that the preference is removable at modest scale but does not reach zero under the same data budget at which the 100-example injection protocol produced 52.5 per cent installation. Creating the preference thus requires between one-fifth (against the 500-example removal protocol) and one-sixtieth (against the 6,000-example removal protocol) of the supervised data that removing it does, a creation-removal asymmetry that parallels the effort-disparity patterns reported for other training-derived behaviours</w:t>
      </w:r>
      <w:hyperlink w:anchor="ref-betley2026emergent">
        <w:r>
          <w:rPr>
            <w:rStyle w:val="Hyperlink"/>
            <w:vertAlign w:val="superscript"/>
          </w:rPr>
          <w:t xml:space="preserve">10</w:t>
        </w:r>
      </w:hyperlink>
      <w:r>
        <w:t xml:space="preserve">.</w:t>
      </w:r>
    </w:p>
    <w:p>
      <w:pPr>
        <w:pStyle w:val="CaptionedFigure"/>
      </w:pPr>
      <w:r>
        <w:drawing>
          <wp:inline>
            <wp:extent cx="5943600" cy="4440218"/>
            <wp:effectExtent b="0" l="0" r="0" t="0"/>
            <wp:docPr descr="Figure 5 | Brand preferences are causal, structurally encoded, and persistent through post-training. a, Injection dose-response: non-optimal rate for GPT-4o-mini fine-tuned on 0, 50, 100, and 200 examples of an invented brand (Axelion) recommended over alternatives, with seven non-outlier-seed replication at the 100-example condition (mean 49.4 per cent, SD 4.1; one excluded outlier seed at 16 per cent). b, Creation-removal asymmetry: 100 examples install the preference to 52.5 per cent recommendation of the injected brand on injection-stimulus trials; 500 to 6,000 examples are required to remove an existing 15 per cent preference to below one per cent across GPT-4o-mini, GPT-4.1-nano, and GPT-4.1-mini. c, Placebo and negative-direction controls: a fictional product category the model had never encountered yields no injection effect (P = 0.62); a negative-direction injection reverses the behaviour (P = 0.006); LoRA fine-tuning of Qwen 2.5 7B replicates the effect at a 10.5 percentage-point magnitude (P = 0.008). d, Base-versus-instruct comparison in Gemma 4: non-optimal rate falls from 67 per cent (base) to 20 per cent (instruct) under RLHF; the residual preference in the instruct variant remains readable from hidden states by the probing classifier trained in Supplementary Note 21. Error bars represent Wilson 95% confidence intervals. All tests are two-sided. N = approximately 10,000 trials across all panels beyond the main 627,491-trial corpus." title="" id="29" name="Picture"/>
            <a:graphic>
              <a:graphicData uri="http://schemas.openxmlformats.org/drawingml/2006/picture">
                <pic:pic>
                  <pic:nvPicPr>
                    <pic:cNvPr descr="../results/figures/revision/fig8_causal_structural.pdf" id="30" name="Picture"/>
                    <pic:cNvPicPr>
                      <a:picLocks noChangeArrowheads="1" noChangeAspect="1"/>
                    </pic:cNvPicPr>
                  </pic:nvPicPr>
                  <pic:blipFill>
                    <a:blip r:embed="rId28"/>
                    <a:stretch>
                      <a:fillRect/>
                    </a:stretch>
                  </pic:blipFill>
                  <pic:spPr bwMode="auto">
                    <a:xfrm>
                      <a:off x="0" y="0"/>
                      <a:ext cx="5943600" cy="4440218"/>
                    </a:xfrm>
                    <a:prstGeom prst="rect">
                      <a:avLst/>
                    </a:prstGeom>
                    <a:noFill/>
                    <a:ln w="9525">
                      <a:noFill/>
                      <a:headEnd/>
                      <a:tailEnd/>
                    </a:ln>
                  </pic:spPr>
                </pic:pic>
              </a:graphicData>
            </a:graphic>
          </wp:inline>
        </w:drawing>
      </w:r>
    </w:p>
    <w:p>
      <w:pPr>
        <w:pStyle w:val="ImageCaption"/>
      </w:pPr>
      <w:r>
        <w:rPr>
          <w:b/>
          <w:bCs/>
        </w:rPr>
        <w:t xml:space="preserve">Figure 5 | Brand preferences are causal, structurally encoded, and persistent through post-training.</w:t>
      </w:r>
      <w:r>
        <w:t xml:space="preserve"> </w:t>
      </w:r>
      <w:r>
        <w:rPr>
          <w:b/>
          <w:bCs/>
        </w:rPr>
        <w:t xml:space="preserve">a</w:t>
      </w:r>
      <w:r>
        <w:t xml:space="preserve">, Injection dose-response: non-optimal rate for GPT-4o-mini fine-tuned on 0, 50, 100, and 200 examples of an invented brand (Axelion) recommended over alternatives, with seven non-outlier-seed replication at the 100-example condition (mean 49.4 per cent, SD 4.1; one excluded outlier seed at 16 per cent).</w:t>
      </w:r>
      <w:r>
        <w:t xml:space="preserve"> </w:t>
      </w:r>
      <w:r>
        <w:rPr>
          <w:b/>
          <w:bCs/>
        </w:rPr>
        <w:t xml:space="preserve">b</w:t>
      </w:r>
      <w:r>
        <w:t xml:space="preserve">, Creation-removal asymmetry: 100 examples install the preference to 52.5 per cent recommendation of the injected brand on injection-stimulus trials; 500 to 6,000 examples are required to remove an existing 15 per cent preference to below one per cent across GPT-4o-mini, GPT-4.1-nano, and GPT-4.1-mini.</w:t>
      </w:r>
      <w:r>
        <w:t xml:space="preserve"> </w:t>
      </w:r>
      <w:r>
        <w:rPr>
          <w:b/>
          <w:bCs/>
        </w:rPr>
        <w:t xml:space="preserve">c</w:t>
      </w:r>
      <w:r>
        <w:t xml:space="preserve">, Placebo and negative-direction controls: a fictional product category the model had never encountered yields no injection effect (P = 0.62); a negative-direction injection reverses the behaviour (P = 0.006); LoRA fine-tuning of Qwen 2.5 7B replicates the effect at a 10.5 percentage-point magnitude (P = 0.008).</w:t>
      </w:r>
      <w:r>
        <w:t xml:space="preserve"> </w:t>
      </w:r>
      <w:r>
        <w:rPr>
          <w:b/>
          <w:bCs/>
        </w:rPr>
        <w:t xml:space="preserve">d</w:t>
      </w:r>
      <w:r>
        <w:t xml:space="preserve">, Base-versus-instruct comparison in Gemma 4: non-optimal rate falls from 67 per cent (base) to 20 per cent (instruct) under RLHF; the residual preference in the instruct variant remains readable from hidden states by the probing classifier trained in Supplementary Note 21. Error bars represent Wilson 95% confidence intervals. All tests are two-sided. N = approximately 10,000 trials across all panels beyond the main 627,491-trial corpus.</w:t>
      </w:r>
    </w:p>
    <w:p>
      <w:pPr>
        <w:pStyle w:val="BodyText"/>
      </w:pPr>
      <w:r>
        <w:t xml:space="preserve">Because current alignment infrastructure does not target brand-level decision preferences and because deliberate debiasing requires category-specific supervision that commercial training pipelines do not perform, the preference persists in production systems that consumers use. Having shown that these brand preferences are causal, structurally encoded, and persistent through pretraining, through alignment training, and despite model capability growth, we turn to whether consumers detect them and whether they produce measurable effects on consumer choices.</w:t>
      </w:r>
    </w:p>
    <w:bookmarkEnd w:id="31"/>
    <w:bookmarkStart w:id="36" w:name="Xaf5b44390dc8967507c2fd71b22129160883e34"/>
    <w:p>
      <w:pPr>
        <w:pStyle w:val="Heading2"/>
      </w:pPr>
      <w:r>
        <w:t xml:space="preserve">Consumers follow biased AI recommendations</w:t>
      </w:r>
    </w:p>
    <w:p>
      <w:pPr>
        <w:pStyle w:val="FirstParagraph"/>
      </w:pPr>
      <w:r>
        <w:t xml:space="preserve">We conducted four pre-registered Prolific studies (N = 3,164 combined after exclusions) to test whether the brand preferences affect actual consumer behaviour, each randomly assigning participants to a product-comparison task with or without an AI shopping assistant’s recommendation. The AI recommendations in biased conditions were transcribed verbatim from the computational corpus, preserving the confabulation patterns characterised in Fig. 3b.</w:t>
      </w:r>
    </w:p>
    <w:p>
      <w:pPr>
        <w:pStyle w:val="BodyText"/>
      </w:pPr>
      <w:r>
        <w:t xml:space="preserve">Studies 1A (coffee makers, N = 798; preregistration:</w:t>
      </w:r>
      <w:r>
        <w:t xml:space="preserve"> </w:t>
      </w:r>
      <w:hyperlink r:id="rId32">
        <w:r>
          <w:rPr>
            <w:rStyle w:val="Hyperlink"/>
          </w:rPr>
          <w:t xml:space="preserve">https://aspredicted.org/2b3k86.pdf</w:t>
        </w:r>
      </w:hyperlink>
      <w:r>
        <w:t xml:space="preserve">, AsPredicted #285647) and 1B (wireless earbuds, N = 798; preregistration:</w:t>
      </w:r>
      <w:r>
        <w:t xml:space="preserve"> </w:t>
      </w:r>
      <w:hyperlink r:id="rId33">
        <w:r>
          <w:rPr>
            <w:rStyle w:val="Hyperlink"/>
          </w:rPr>
          <w:t xml:space="preserve">https://aspredicted.org/jc6qc8.pdf</w:t>
        </w:r>
      </w:hyperlink>
      <w:r>
        <w:t xml:space="preserve">, AsPredicted #285649) compared three conditions: no AI recommendation (NoAI), a biased AI recommendation that matched the computational pattern (BiasedAI), and a debiased AI recommendation that accurately identified the specification-optimal product (DebiasedAI). In Study 1A, the BiasedAI condition shifted branded-product choice by 33.3 percentage points relative to NoAI (P = 1.3 × 10</w:t>
      </w:r>
      <w:r>
        <w:rPr>
          <w:vertAlign w:val="superscript"/>
        </w:rPr>
        <w:t xml:space="preserve">-14</w:t>
      </w:r>
      <w:r>
        <w:t xml:space="preserve">, odds ratio 4.01, 95% CI 2.79 to 5.76), and in Study 1B by 27.7 percentage points (P = 1.05 × 10</w:t>
      </w:r>
      <w:r>
        <w:rPr>
          <w:vertAlign w:val="superscript"/>
        </w:rPr>
        <w:t xml:space="preserve">-10</w:t>
      </w:r>
      <w:r>
        <w:t xml:space="preserve">, OR 3.23, 95% CI 2.25 to 4.63; Supplementary Notes 30 and 31). The DebiasedAI condition produced complementary shifts toward the specification-optimal product (Study 1A: +24.3 pp, P = 1.2 × 10</w:t>
      </w:r>
      <w:r>
        <w:rPr>
          <w:vertAlign w:val="superscript"/>
        </w:rPr>
        <w:t xml:space="preserve">-8</w:t>
      </w:r>
      <w:r>
        <w:t xml:space="preserve">; Study 1B: +31.0 pp, P = 8.3 × 10</w:t>
      </w:r>
      <w:r>
        <w:rPr>
          <w:vertAlign w:val="superscript"/>
        </w:rPr>
        <w:t xml:space="preserve">-14</w:t>
      </w:r>
      <w:r>
        <w:t xml:space="preserve">), evidence that consumers follow the AI’s recommendation in both directions with effect magnitudes comparable to the largest mechanism-isolation effects in the computational data.</w:t>
      </w:r>
    </w:p>
    <w:p>
      <w:pPr>
        <w:pStyle w:val="BodyText"/>
      </w:pPr>
      <w:r>
        <w:t xml:space="preserve">Study 2 (N = 799, wireless earbuds; preregistration:</w:t>
      </w:r>
      <w:r>
        <w:t xml:space="preserve"> </w:t>
      </w:r>
      <w:hyperlink r:id="rId34">
        <w:r>
          <w:rPr>
            <w:rStyle w:val="Hyperlink"/>
          </w:rPr>
          <w:t xml:space="preserve">https://aspredicted.org/xu5az3.pdf</w:t>
        </w:r>
      </w:hyperlink>
      <w:r>
        <w:t xml:space="preserve">, AsPredicted #285669) tested whether consumer-side protective interventions suppress biased compliance. The Inoculation condition displayed, directly below the AI recommendation on the same page, a note warning that AI shopping assistants sometimes recommend products based on brand familiarity, not on user requirements. The SpecExposed condition instead displayed, in the same position, a two-product specification check contrasting the AI-recommended product against the specification-optimal alternative with the optimal product’s advantages highlighted, directly exposing the confabulation mechanism that the biased AI deploys. Inoculation reduced branded-product compliance from 72.2 per cent in BiasedAI to 60.0 per cent (12.2 percentage-point reduction, Fisher’s exact P = 3.5 × 10</w:t>
      </w:r>
      <w:r>
        <w:rPr>
          <w:vertAlign w:val="superscript"/>
        </w:rPr>
        <w:t xml:space="preserve">-3</w:t>
      </w:r>
      <w:r>
        <w:t xml:space="preserve">), and SpecExposed reduced it to 54.8 per cent (17.4 percentage-point reduction, P = 3.3 × 10</w:t>
      </w:r>
      <w:r>
        <w:rPr>
          <w:vertAlign w:val="superscript"/>
        </w:rPr>
        <w:t xml:space="preserve">-5</w:t>
      </w:r>
      <w:r>
        <w:t xml:space="preserve">). Even so, 55 to 60 per cent of participants continued to follow the biased AI after direct specification debunking (Supplementary Note 32). The two interventions did not differ from each other (P = 0.26), indicating that exposing the confabulation mechanism does not offer more protection than a generic warning, and that substantial residual compliance survives even the most informative consumer-side intervention we tested. That residual admits two readings, incomplete inoculation or a brand prior consumers independently share, and the human-advisor benchmark below bears against the second, because participants given the plain-language instruction chose the specification-optimal product at 69.1 per cent.</w:t>
      </w:r>
    </w:p>
    <w:p>
      <w:pPr>
        <w:pStyle w:val="BodyText"/>
      </w:pPr>
      <w:r>
        <w:t xml:space="preserve">Study 3 (N = 769 usable from N = 793 collected; preregistration:</w:t>
      </w:r>
      <w:r>
        <w:t xml:space="preserve"> </w:t>
      </w:r>
      <w:hyperlink r:id="rId35">
        <w:r>
          <w:rPr>
            <w:rStyle w:val="Hyperlink"/>
          </w:rPr>
          <w:t xml:space="preserve">https://aspredicted.org/xx53wm.pdf</w:t>
        </w:r>
      </w:hyperlink>
      <w:r>
        <w:t xml:space="preserve">, AsPredicted #286582) tested ecological validity in an interactive AI shopping chatbot. Participants chose their own product category from any domain, chatted with an AI assistant (Claude Opus behind visual skins of ChatGPT, Claude, Gemini, and Perplexity; underlying language model identical across skins), and received a dynamically generated seven-product comparison. A server-side strict-dominance verifier ensured every assortment contained one specification-optimal lesser-known brand (the other six products being five well-known brands plus one lesser-known non-dominant decoy). Participants were randomised to three conditions: Biased (AI recommends a well-known focal brand with confabulation), Honest (AI recommends the spec-optimal brand accurately), and Neutral (AI presents the comparison without a verbal recommendation). The primary outcome was a three-bucket choice variable: the specification-optimal lesser-known brand, the AI’s focal recommendation, or any of the five remaining products.</w:t>
      </w:r>
    </w:p>
    <w:p>
      <w:pPr>
        <w:pStyle w:val="BodyText"/>
      </w:pPr>
      <w:r>
        <w:t xml:space="preserve">Participants in the Biased condition chose the focal brand 18.7 percentage points more often than in the Neutral condition (95% CI +10.3, +27.1; Fisher’s exact P &lt; 0.0001, OR 2.16), and participants in the Honest condition chose the specification-optimal product 27.2 percentage points more often than in the Neutral condition (95% CI +19.0, +35.5; P &lt; 0.0001, OR 3.09). A mixed-effects logistic regression with a random intercept on 13 meta-categories reproduced both effects (Biased on focal β = +0.79, z = 6.29; Honest on optimal β = +1.15, z = 9.07; both P &lt; 0.001). A pre-registered per-protocol analysis restricted to sessions in which the AI’s final turn delivered the intended recommendation strengthened the focal effect to +22.8 percentage points (Supplementary Note 33).</w:t>
      </w:r>
    </w:p>
    <w:p>
      <w:pPr>
        <w:pStyle w:val="BodyText"/>
      </w:pPr>
      <w:r>
        <w:t xml:space="preserve">The behavioural effects survive pre-registered robustness tests, including exclusion of participants flagged as aware of the bias or the manipulation, and sensitivity analyses that remove participants with strong prior familiarity with the chosen brand (Supplementary Note 33). Together, the four studies provide evidence that biased AI recommendations measurably change consumer choice behaviour, that the effect replicates across product categories and interaction formats, and that consumer-side protections offer at best partial mitigation.</w:t>
      </w:r>
    </w:p>
    <w:bookmarkEnd w:id="36"/>
    <w:bookmarkStart w:id="40" w:name="the-welfare-cost-of-biased-ai-shopping"/>
    <w:p>
      <w:pPr>
        <w:pStyle w:val="Heading2"/>
      </w:pPr>
      <w:r>
        <w:t xml:space="preserve">The welfare cost of biased AI shopping</w:t>
      </w:r>
    </w:p>
    <w:p>
      <w:pPr>
        <w:pStyle w:val="FirstParagraph"/>
      </w:pPr>
      <w:r>
        <w:t xml:space="preserve">The four pre-registered studies allow direct quantification of the per-participant dollar cost of biased AI shopping recommendations. In Study 3, where the chatbot generated assortments at participant runtime under a server-side verifier guaranteeing that the lesser-known product strictly dominated every well-known competitor, the distribution of consumer overpayment differs significantly between Biased and Honest conditions (Mann-Whitney U = 44,232, P = 2.2 × 10</w:t>
      </w:r>
      <w:r>
        <w:rPr>
          <w:vertAlign w:val="superscript"/>
        </w:rPr>
        <w:t xml:space="preserve">-12</w:t>
      </w:r>
      <w:r>
        <w:t xml:space="preserve">), but the overpayment distribution is right-skewed: participants chose categories spanning more than three orders of magnitude in price (from USD 6 t-shirts to USD 28,000 cars). The median per-participant overpayment swing is USD 20 (Hodges-Lehmann estimator, the median of pairwise differences and robust to outliers, USD 10; 5 per cent-trimmed mean USD 60), and among the 132 Biased-condition participants who actually took the AI’s recommendation, the median overpayment relative to the specification-optimal product is USD 32.50 (interdecile range USD 4 to USD 247). In Studies 1A and 1B, where five-product assortments were fixed and the focal AI-recommended product happened to fall near the lower end of each assortment’s price distribution (De’Longhi at USD 119.99 versus Presswell at USD 99.99 in Study 1A; JBL at USD 49.99 versus Vynex at USD 39.99 in Study 1B), the biased-vs-honest welfare swing in dollar terms was modest (USD 10 in 1A and USD 5 in 1B per participant), but the proportion of participants who overpaid relative to the specification-optimal product rose from 72.7 per cent (NoAI) to 87.5 per cent under BiasedAI in Study 1A and from 79.5 to 89.7 per cent in Study 1B. The honest AI condition in both fixed-assortment studies produced a welfare saving over no-AI of approximately USD 21 per participant (Study 1A P = 0.034; Study 1B P = 1.3 × 10</w:t>
      </w:r>
      <w:r>
        <w:rPr>
          <w:vertAlign w:val="superscript"/>
        </w:rPr>
        <w:t xml:space="preserve">-7</w:t>
      </w:r>
      <w:r>
        <w:t xml:space="preserve">), evidence that AI shopping assistants can shift consumer welfare in either direction depending on whether the recommendation aligns with brand priors or with product specifications.</w:t>
      </w:r>
    </w:p>
    <w:p>
      <w:pPr>
        <w:pStyle w:val="BodyText"/>
      </w:pPr>
      <w:r>
        <w:t xml:space="preserve">A more conservative population-level estimate decomposes the welfare cost into the compliance shift and the structural price gap. Biased AI shifts consumer choice toward the focal well-known brand by 18.7 percentage points (Study 3); the median structural gap between the AI-recommended product and the spec-optimal product across Study 3 assortments is USD 25 (mean USD 55). The expected per-recommendation extra spend, computed as compliance shift times structural gap, is therefore USD 4.68 (median) to USD 10.33 (mean), implying an aggregate consumer welfare loss of approximately USD 5 to USD 10 million per million biased AI shopping recommendations. ChatGPT serves over 900 million weekly active users</w:t>
      </w:r>
      <w:hyperlink w:anchor="ref-openai2026scaling">
        <w:r>
          <w:rPr>
            <w:rStyle w:val="Hyperlink"/>
            <w:vertAlign w:val="superscript"/>
          </w:rPr>
          <w:t xml:space="preserve">1</w:t>
        </w:r>
      </w:hyperlink>
      <w:r>
        <w:t xml:space="preserve">; if one per cent of those users make a single AI-mediated purchase per year, the resulting 9 million purchases imply approximately USD 42 to USD 93 million per year in consumer overpayment. Under more aggressive deployment assumptions consistent with the trajectory of agentic AI shopping (10 per cent of weekly users making 10 AI-mediated purchases per year, which corresponds to roughly one purchase every five weeks among 90 million active AI shoppers), the same decomposition yields an illustrative figure of approximately USD 4 to USD 9 billion per year, which we report as a deployment scenario conditional on the adoption, conversion, and substitution assumptions stated in Supplementary Note 16 (the note reports the full sensitivity table, including the right-skew-driven mean estimates and trimmed alternatives). These estimates omit indirect costs from market-share consequences for entrant brands excluded from AI recommendations</w:t>
      </w:r>
      <w:hyperlink w:anchor="ref-allouah2025agentic">
        <w:r>
          <w:rPr>
            <w:rStyle w:val="Hyperlink"/>
            <w:vertAlign w:val="superscript"/>
          </w:rPr>
          <w:t xml:space="preserve">15</w:t>
        </w:r>
      </w:hyperlink>
      <w:r>
        <w:rPr>
          <w:vertAlign w:val="superscript"/>
        </w:rPr>
        <w:t xml:space="preserve">,</w:t>
      </w:r>
      <w:hyperlink w:anchor="ref-stucke2025antitrust">
        <w:r>
          <w:rPr>
            <w:rStyle w:val="Hyperlink"/>
            <w:vertAlign w:val="superscript"/>
          </w:rPr>
          <w:t xml:space="preserve">31</w:t>
        </w:r>
      </w:hyperlink>
      <w:r>
        <w:t xml:space="preserve"> </w:t>
      </w:r>
      <w:r>
        <w:t xml:space="preserve">and from consumer search effort spent re-evaluating biased recommendations, and they take ChatGPT alone as the deployment base, omitting Amazon Rufus (250 million customers), Google AI Mode (50 billion-listing Shopping Graph), and the other AI shopping assistants in the marketplace. The welfare consequence is invisible at the level of any single recommendation and visible only in aggregate measurement against a known-optimal baseline, which is why current AI safety frameworks, focused on harmful or deceptive content, do not target it.</w:t>
      </w:r>
    </w:p>
    <w:p>
      <w:pPr>
        <w:pStyle w:val="CaptionedFigure"/>
      </w:pPr>
      <w:r>
        <w:drawing>
          <wp:inline>
            <wp:extent cx="5943600" cy="5116157"/>
            <wp:effectExtent b="0" l="0" r="0" t="0"/>
            <wp:docPr descr="Figure 6 | Consumers follow biased AI recommendations in both static and interactive shopping settings. a, Studies 1A (coffee makers, N = 798) and 1B (wireless earbuds, N = 798) three-condition branded-product choice rates with Wilson 95% confidence intervals: NoAI, BiasedAI (recommends focal brand with confabulated justification transcribed verbatim from the corpus), and DebiasedAI (recommends specification-optimal product accurately). BiasedAI lifts branded-choice rate by 33.3 pp (Study 1A, P = 1.3 × 10-14) and 27.7 pp (Study 1B, P = 1.05 × 10-10). b, Study 2 (N = 799, wireless earbuds) three-condition branded-choice rates: BiasedAI alone, BiasedAI + Inoculation (warning note below the recommendation), BiasedAI + SpecExposed (highlighted two-product specification check). Inoculation reduces compliance by 12.2 pp (P = 3.5 × 10-3) and SpecExposed by 17.4 pp (P = 3.3 × 10-5) relative to BiasedAI alone, but 55 to 60 per cent of participants continue to follow the biased AI even after direct specification debunking. c, Study 3 (N = 769 usable) three-bucket choice distribution by condition (Biased, Honest, Neutral), decomposing every choice into chose_optimal (spec-dominant lesser-known brand), chose_focal (AI’s targeted well-known brand), or chose_other (any of the remaining five products). Biased lifts focal choice by 18.7 pp vs Neutral (P &lt; 0.0001, OR = 2.16); Honest lifts optimal choice by 27.2 pp vs Neutral (P &lt; 0.0001, OR = 3.09). d, Study 3 per-meta-category forest plot of the Biased-vs-Neutral focal-choice risk difference across the 12 product meta-categories with at least 20 participants (exploratory analysis, not pre-registered), showing that the compliance effect generalises across product types and is not driven by a single category. Error bars represent Wilson 95% confidence intervals. All tests are two-sided." title="" id="38" name="Picture"/>
            <a:graphic>
              <a:graphicData uri="http://schemas.openxmlformats.org/drawingml/2006/picture">
                <pic:pic>
                  <pic:nvPicPr>
                    <pic:cNvPr descr="../results/figures/revision/fig9_human_studies.pdf" id="39" name="Picture"/>
                    <pic:cNvPicPr>
                      <a:picLocks noChangeArrowheads="1" noChangeAspect="1"/>
                    </pic:cNvPicPr>
                  </pic:nvPicPr>
                  <pic:blipFill>
                    <a:blip r:embed="rId37"/>
                    <a:stretch>
                      <a:fillRect/>
                    </a:stretch>
                  </pic:blipFill>
                  <pic:spPr bwMode="auto">
                    <a:xfrm>
                      <a:off x="0" y="0"/>
                      <a:ext cx="5943600" cy="5116157"/>
                    </a:xfrm>
                    <a:prstGeom prst="rect">
                      <a:avLst/>
                    </a:prstGeom>
                    <a:noFill/>
                    <a:ln w="9525">
                      <a:noFill/>
                      <a:headEnd/>
                      <a:tailEnd/>
                    </a:ln>
                  </pic:spPr>
                </pic:pic>
              </a:graphicData>
            </a:graphic>
          </wp:inline>
        </w:drawing>
      </w:r>
    </w:p>
    <w:p>
      <w:pPr>
        <w:pStyle w:val="ImageCaption"/>
      </w:pPr>
      <w:r>
        <w:rPr>
          <w:b/>
          <w:bCs/>
        </w:rPr>
        <w:t xml:space="preserve">Figure 6 | Consumers follow biased AI recommendations in both static and interactive shopping settings.</w:t>
      </w:r>
      <w:r>
        <w:t xml:space="preserve"> </w:t>
      </w:r>
      <w:r>
        <w:rPr>
          <w:b/>
          <w:bCs/>
        </w:rPr>
        <w:t xml:space="preserve">a</w:t>
      </w:r>
      <w:r>
        <w:t xml:space="preserve">, Studies 1A (coffee makers, N = 798) and 1B (wireless earbuds, N = 798) three-condition branded-product choice rates with Wilson 95% confidence intervals: NoAI, BiasedAI (recommends focal brand with confabulated justification transcribed verbatim from the corpus), and DebiasedAI (recommends specification-optimal product accurately). BiasedAI lifts branded-choice rate by 33.3 pp (Study 1A, P = 1.3 × 10</w:t>
      </w:r>
      <w:r>
        <w:rPr>
          <w:vertAlign w:val="superscript"/>
        </w:rPr>
        <w:t xml:space="preserve">-14</w:t>
      </w:r>
      <w:r>
        <w:t xml:space="preserve">) and 27.7 pp (Study 1B, P = 1.05 × 10</w:t>
      </w:r>
      <w:r>
        <w:rPr>
          <w:vertAlign w:val="superscript"/>
        </w:rPr>
        <w:t xml:space="preserve">-10</w:t>
      </w:r>
      <w:r>
        <w:t xml:space="preserve">).</w:t>
      </w:r>
      <w:r>
        <w:t xml:space="preserve"> </w:t>
      </w:r>
      <w:r>
        <w:rPr>
          <w:b/>
          <w:bCs/>
        </w:rPr>
        <w:t xml:space="preserve">b</w:t>
      </w:r>
      <w:r>
        <w:t xml:space="preserve">, Study 2 (N = 799, wireless earbuds) three-condition branded-choice rates: BiasedAI alone, BiasedAI + Inoculation (warning note below the recommendation), BiasedAI + SpecExposed (highlighted two-product specification check). Inoculation reduces compliance by 12.2 pp (P = 3.5 × 10</w:t>
      </w:r>
      <w:r>
        <w:rPr>
          <w:vertAlign w:val="superscript"/>
        </w:rPr>
        <w:t xml:space="preserve">-3</w:t>
      </w:r>
      <w:r>
        <w:t xml:space="preserve">) and SpecExposed by 17.4 pp (P = 3.3 × 10</w:t>
      </w:r>
      <w:r>
        <w:rPr>
          <w:vertAlign w:val="superscript"/>
        </w:rPr>
        <w:t xml:space="preserve">-5</w:t>
      </w:r>
      <w:r>
        <w:t xml:space="preserve">) relative to BiasedAI alone, but 55 to 60 per cent of participants continue to follow the biased AI even after direct specification debunking.</w:t>
      </w:r>
      <w:r>
        <w:t xml:space="preserve"> </w:t>
      </w:r>
      <w:r>
        <w:rPr>
          <w:b/>
          <w:bCs/>
        </w:rPr>
        <w:t xml:space="preserve">c</w:t>
      </w:r>
      <w:r>
        <w:t xml:space="preserve">, Study 3 (N = 769 usable) three-bucket choice distribution by condition (Biased, Honest, Neutral), decomposing every choice into chose_optimal (spec-dominant lesser-known brand), chose_focal (AI’s targeted well-known brand), or chose_other (any of the remaining five products). Biased lifts focal choice by 18.7 pp vs Neutral (P &lt; 0.0001, OR = 2.16); Honest lifts optimal choice by 27.2 pp vs Neutral (P &lt; 0.0001, OR = 3.09).</w:t>
      </w:r>
      <w:r>
        <w:t xml:space="preserve"> </w:t>
      </w:r>
      <w:r>
        <w:rPr>
          <w:b/>
          <w:bCs/>
        </w:rPr>
        <w:t xml:space="preserve">d</w:t>
      </w:r>
      <w:r>
        <w:t xml:space="preserve">, Study 3 per-meta-category forest plot of the Biased-vs-Neutral focal-choice risk difference across the 12 product meta-categories with at least 20 participants (exploratory analysis, not pre-registered), showing that the compliance effect generalises across product types and is not driven by a single category. Error bars represent Wilson 95% confidence intervals. All tests are two-sided.</w:t>
      </w:r>
    </w:p>
    <w:bookmarkEnd w:id="40"/>
    <w:bookmarkStart w:id="44" w:name="X56d59a6d559c18f7b4ee80cccd4bf4e85a36402"/>
    <w:p>
      <w:pPr>
        <w:pStyle w:val="Heading2"/>
      </w:pPr>
      <w:r>
        <w:t xml:space="preserve">Human advisors correct on plain language and disclose the brand basis</w:t>
      </w:r>
    </w:p>
    <w:p>
      <w:pPr>
        <w:pStyle w:val="FirstParagraph"/>
      </w:pPr>
      <w:r>
        <w:t xml:space="preserve">Whether the substitution is a property of the models or of the task can be addressed only by placing people in the identical advisor role, because brand familiarity carries genuine consumer utility and a human advisor may reasonably weigh it</w:t>
      </w:r>
      <w:hyperlink w:anchor="ref-keller1993brand">
        <w:r>
          <w:rPr>
            <w:rStyle w:val="Hyperlink"/>
            <w:vertAlign w:val="superscript"/>
          </w:rPr>
          <w:t xml:space="preserve">32</w:t>
        </w:r>
      </w:hyperlink>
      <w:r>
        <w:rPr>
          <w:vertAlign w:val="superscript"/>
        </w:rPr>
        <w:t xml:space="preserve">,</w:t>
      </w:r>
      <w:hyperlink w:anchor="ref-nedungadi1990recall">
        <w:r>
          <w:rPr>
            <w:rStyle w:val="Hyperlink"/>
            <w:vertAlign w:val="superscript"/>
          </w:rPr>
          <w:t xml:space="preserve">33</w:t>
        </w:r>
      </w:hyperlink>
      <w:r>
        <w:t xml:space="preserve">. A pre-registered benchmark provides this comparison over the five assortments on which the models resist the natural-language instruction, with the deposited corpus serving as the matched model arm, that is, the models’ own recommendations on the identical tables, and a plain-language attribute glossary that equalises the participant’s domain knowledge to the model’s (see Methods).</w:t>
      </w:r>
    </w:p>
    <w:p>
      <w:pPr>
        <w:pStyle w:val="BodyText"/>
      </w:pPr>
      <w:r>
        <w:t xml:space="preserve">At the natural-language instruction levels, where the user’s preference is stated in words, human advisors recommend the specification-optimal product 69.1 per cent of the time (95% CI 65.8 to 72.3; 787 of the 1,182 kept participants were assigned to these levels) against the matched model’s 39.6 per cent. The gap of 29.5 percentage points carries a 95% CI of 23.5 to 35.6 under the pre-registered inference, which clusters the model arm on the 30 models with a wild cluster bootstrap (one-sided P = 5 × 10</w:t>
      </w:r>
      <w:r>
        <w:rPr>
          <w:vertAlign w:val="superscript"/>
        </w:rPr>
        <w:t xml:space="preserve">-22</w:t>
      </w:r>
      <w:r>
        <w:t xml:space="preserve">), and exceeds the pre-registered 10-point equivalence band (one-sided test against the margin, P = 1 × 10</w:t>
      </w:r>
      <w:r>
        <w:rPr>
          <w:vertAlign w:val="superscript"/>
        </w:rPr>
        <w:t xml:space="preserve">-10</w:t>
      </w:r>
      <w:r>
        <w:t xml:space="preserve">). The separation holds in both frames, at +35.8 percentage points when participants advise another person and +23.1 when they choose for themselves, which addresses the concern that advising for a third party differs from choosing for oneself</w:t>
      </w:r>
      <w:hyperlink w:anchor="ref-logg2019algorithm">
        <w:r>
          <w:rPr>
            <w:rStyle w:val="Hyperlink"/>
            <w:vertAlign w:val="superscript"/>
          </w:rPr>
          <w:t xml:space="preserve">23</w:t>
        </w:r>
      </w:hyperlink>
      <w:r>
        <w:t xml:space="preserve">. The human advantage is concentrated at the natural-language levels, and the pattern reverses at the explicit numerical-utility level: the model arm rises to near-ceiling accuracy there, showing, together with the corpus comprehension check (99.21 per cent accuracy), that the models can identify the specification-optimal product and that their natural-language failure is not a comprehension limit. Human accuracy at the same level falls to 66.1 per cent, and the errors there report brand influence no higher than natural-language errors (mean 2.58 versus 2.73 of 5), consistent with the arithmetic cost of computing an optimum from numerical weights rather than with renewed brand attraction. The two arms therefore fail in opposite formats, because the plain-language instruction raises human accuracy while leaving model accuracy low, and numerical reformulation raises model accuracy to ceiling while lowering human accuracy, so the divergence tracks the specification gap rather than a general difference in task ability. Because pooling across levels would mask the natural-language separation, Fig. 7 reports the gap separately by instruction level. The separation is present in all five assortments at the natural-language levels (Supplementary Table 7; from +12.2 percentage points on the audiophile-headphone table to +47.1 on the espresso table). On the pre-registered reversal-risk earbuds assortment the human advantage held rather than reversed (70.1 versus 44.1 per cent), consistent with a divergence that is a property of the model’s response to plain language and not an artefact of any single category.</w:t>
      </w:r>
    </w:p>
    <w:p>
      <w:pPr>
        <w:pStyle w:val="BodyText"/>
      </w:pPr>
      <w:r>
        <w:t xml:space="preserve">Human advisors also more often disclose the brand basis that the models conceal. Those who depart say so when asked directly, reporting a mean forced-probe brand influence of 2.73 of 5 among non-optimal natural-language choosers against 1.16 among optimal ones. For the free-text explanations, we pre-registered the prediction that when a recommendation departs from the specification-optimal product, human advisors assert a false specification advantage, a claim on a stated attribute the shown table records their choice as equal or worse on, at a lower rate than the models. We further predicted that they more often name brand familiarity or a quality prior as the reason. The blinded crowd coding returned the disclosure contrast decisively (a majority of raters coded a brand admission in 35.8 per cent of human explanations against 10.7 per cent of the models’; one-sided P = 9.7 × 10</w:t>
      </w:r>
      <w:r>
        <w:rPr>
          <w:vertAlign w:val="superscript"/>
        </w:rPr>
        <w:t xml:space="preserve">-16</w:t>
      </w:r>
      <w:r>
        <w:t xml:space="preserve">) and the false-claim contrast in the predicted direction but short of the pre-registered threshold (12.5 versus 17.4 per cent, one-sided P = 0.053), which we report as directional only (Supplementary Note 34). The brand-disclosure asymmetry, coded by a panel of automated judges that agree with one another at kappa = 0.85, provides evidence that the concealment is a model-distinctive signature, because human advisors who favour a familiar brand tend to say so. The judge coding is corroborated by the completed crowd coding, which agrees with the corpus judge on 94.0 per cent of the 570 model explanations (kappa = 0.70; Supplementary Note 34). The choice gap and the disclosure asymmetry together provide evidence that the substitution is a property of the models rather than of the task, and that what distinguishes the models is their resistance to plain-language instruction and their non-disclosure of the brand basis rather than their holding a brand prior at all.</w:t>
      </w:r>
    </w:p>
    <w:p>
      <w:pPr>
        <w:pStyle w:val="CaptionedFigure"/>
      </w:pPr>
      <w:r>
        <w:drawing>
          <wp:inline>
            <wp:extent cx="5943600" cy="2145662"/>
            <wp:effectExtent b="0" l="0" r="0" t="0"/>
            <wp:docPr descr="Figure 7 | Human advisors and the matched model arm diverge at the natural-language instruction levels. Per cent of recommendations choosing the specification-optimal product over the five assortments on which the models resist the natural-language instruction, with human advisors (navy) and the deposited model arm (crimson) run on the identical task. a, By instruction level: at the baseline and weighted natural-language levels, where the user states the preference in words (brand is marked as irrelevant at the weighted level), human advisors choose the specification-optimal product 69.1 per cent of the time against the model’s 39.6 per cent, a gap of 29.5 percentage points that reverses at the explicit numerical-utility level, where the model arm reaches near-ceiling accuracy while human accuracy falls to 66.1 per cent, so the failures occur in opposite formats. b, The natural-language gap holds whether participants advise another person (gap +35.8 percentage points) or choose for themselves (+23.1 percentage points). Values are from the pre-registered confirmatory study (N = 1,182 kept of 1,200 recruited). Primary benchmark contrasts are one-sided at alpha = 0.005, as pre-registered." title="" id="42" name="Picture"/>
            <a:graphic>
              <a:graphicData uri="http://schemas.openxmlformats.org/drawingml/2006/picture">
                <pic:pic>
                  <pic:nvPicPr>
                    <pic:cNvPr descr="../results/figures/fig7_human_benchmark.pdf" id="43" name="Picture"/>
                    <pic:cNvPicPr>
                      <a:picLocks noChangeArrowheads="1" noChangeAspect="1"/>
                    </pic:cNvPicPr>
                  </pic:nvPicPr>
                  <pic:blipFill>
                    <a:blip r:embed="rId41"/>
                    <a:stretch>
                      <a:fillRect/>
                    </a:stretch>
                  </pic:blipFill>
                  <pic:spPr bwMode="auto">
                    <a:xfrm>
                      <a:off x="0" y="0"/>
                      <a:ext cx="5943600" cy="2145662"/>
                    </a:xfrm>
                    <a:prstGeom prst="rect">
                      <a:avLst/>
                    </a:prstGeom>
                    <a:noFill/>
                    <a:ln w="9525">
                      <a:noFill/>
                      <a:headEnd/>
                      <a:tailEnd/>
                    </a:ln>
                  </pic:spPr>
                </pic:pic>
              </a:graphicData>
            </a:graphic>
          </wp:inline>
        </w:drawing>
      </w:r>
    </w:p>
    <w:p>
      <w:pPr>
        <w:pStyle w:val="ImageCaption"/>
      </w:pPr>
      <w:r>
        <w:rPr>
          <w:b/>
          <w:bCs/>
        </w:rPr>
        <w:t xml:space="preserve">Figure 7 | Human advisors and the matched model arm diverge at the natural-language instruction levels.</w:t>
      </w:r>
      <w:r>
        <w:t xml:space="preserve"> </w:t>
      </w:r>
      <w:r>
        <w:t xml:space="preserve">Per cent of recommendations choosing the specification-optimal product over the five assortments on which the models resist the natural-language instruction, with human advisors (navy) and the deposited model arm (crimson) run on the identical task.</w:t>
      </w:r>
      <w:r>
        <w:t xml:space="preserve"> </w:t>
      </w:r>
      <w:r>
        <w:rPr>
          <w:b/>
          <w:bCs/>
        </w:rPr>
        <w:t xml:space="preserve">a</w:t>
      </w:r>
      <w:r>
        <w:t xml:space="preserve">, By instruction level: at the baseline and weighted natural-language levels, where the user states the preference in words (brand is marked as irrelevant at the weighted level), human advisors choose the specification-optimal product 69.1 per cent of the time against the model’s 39.6 per cent, a gap of 29.5 percentage points that reverses at the explicit numerical-utility level, where the model arm reaches near-ceiling accuracy while human accuracy falls to 66.1 per cent, so the failures occur in opposite formats.</w:t>
      </w:r>
      <w:r>
        <w:t xml:space="preserve"> </w:t>
      </w:r>
      <w:r>
        <w:rPr>
          <w:b/>
          <w:bCs/>
        </w:rPr>
        <w:t xml:space="preserve">b</w:t>
      </w:r>
      <w:r>
        <w:t xml:space="preserve">, The natural-language gap holds whether participants advise another person (gap +35.8 percentage points) or choose for themselves (+23.1 percentage points). Values are from the pre-registered confirmatory study (N = 1,182 kept of 1,200 recruited). Primary benchmark contrasts are one-sided at alpha = 0.005, as pre-registered.</w:t>
      </w:r>
    </w:p>
    <w:bookmarkEnd w:id="44"/>
    <w:bookmarkStart w:id="45" w:name="discussion"/>
    <w:p>
      <w:pPr>
        <w:pStyle w:val="Heading2"/>
      </w:pPr>
      <w:r>
        <w:t xml:space="preserve">Discussion</w:t>
      </w:r>
    </w:p>
    <w:p>
      <w:pPr>
        <w:pStyle w:val="FirstParagraph"/>
      </w:pPr>
      <w:r>
        <w:t xml:space="preserve">Across 627,491 controlled trials, frontier language models carry a brand preference that resists the user’s explicit natural-language instruction to disregard brand, conceals itself behind attribute justifications when it operates, is encoded as a readable and modulable feature of the model’s weights, and departs from how human advisors handle the identical task. The same preference leads the models to recommend a more expensive product carrying a more familiar brand name in roughly one in four delegated purchases, with 95.6 per cent of those recommendations carrying a positive price premium over the specification-optimal alternative in the computational corpus (mean USD 79, median USD 50). In pre-registered behavioural studies (N = 3,164), participants followed these recommendations at 55 to 60 per cent even after direct specification debunking. Relative to the realistic no-AI and neutral-AI baselines the behavioural studies measure, biased recommendations shift choice toward the costlier product by a bounded per-decision margin (median structural gap USD 25); whether this aggregates to large sums depends on deployment assumptions we do not estimate, reported only as an illustrative sensitivity analysis in Supplementary Note 16. Language models are now shopping on behalf of hundreds of millions of users, yet the alignment infrastructure designed to govern their behaviour targets harmful, deceptive, and manipulative outputs. The brand preferences share a root cause with the emergent misalignment reported by Betley et al.</w:t>
      </w:r>
      <w:hyperlink w:anchor="ref-betley2026emergent">
        <w:r>
          <w:rPr>
            <w:rStyle w:val="Hyperlink"/>
            <w:vertAlign w:val="superscript"/>
          </w:rPr>
          <w:t xml:space="preserve">10</w:t>
        </w:r>
      </w:hyperlink>
      <w:r>
        <w:t xml:space="preserve"> </w:t>
      </w:r>
      <w:r>
        <w:t xml:space="preserve">in that training-data composition shapes behaviour in unintended ways, but they evade existing safety evaluations because the recommendations are coherent and responsive to user preferences. Beyond the targeted-injection paradigm, residual-stream probing decodes the preference from hidden representations under leakage-controlled splits, and inference-time activation steering modulates it across a 21 percentage-point range, placing it within the model’s representational substrate and not in any sampling or prompt-level artefact. The conjoint attribute-swap condition further shows that models select the familiar brand even when it carries objectively inferior specifications, indicating that the preference operates on brand identity and not on quality signalling. The preference is also not driven by raw mention frequency: log-frequency fails to predict model-level preference once general popularity is accounted for (F = 0.18, P = 0.68; Supplementary Note 24), and a small set of fine-tuning examples installs the same preference for a brand the model has never seen during pretraining. Models absorb the contexts of language alongside which a brand appeared, including recommendation, review, and quality-claim language.</w:t>
      </w:r>
    </w:p>
    <w:p>
      <w:pPr>
        <w:pStyle w:val="BodyText"/>
      </w:pPr>
      <w:r>
        <w:t xml:space="preserve">The 3,164 pre-registered behavioural observations extend the claim beyond model output to human decision outcomes: the brand preference is a feature of model internals and also a mechanism that measurably shifts consumers’ product choices. The causal, structural, and behavioural evidence place this phenomenon alongside other training-derived representations that are readable, modulable, and causally identifiable</w:t>
      </w:r>
      <w:hyperlink w:anchor="ref-templeton2024scaling">
        <w:r>
          <w:rPr>
            <w:rStyle w:val="Hyperlink"/>
            <w:vertAlign w:val="superscript"/>
          </w:rPr>
          <w:t xml:space="preserve">34</w:t>
        </w:r>
      </w:hyperlink>
      <w:r>
        <w:rPr>
          <w:vertAlign w:val="superscript"/>
        </w:rPr>
        <w:t xml:space="preserve">,</w:t>
      </w:r>
      <w:hyperlink w:anchor="ref-park2023linear">
        <w:r>
          <w:rPr>
            <w:rStyle w:val="Hyperlink"/>
            <w:vertAlign w:val="superscript"/>
          </w:rPr>
          <w:t xml:space="preserve">35</w:t>
        </w:r>
      </w:hyperlink>
      <w:r>
        <w:t xml:space="preserve">, and not alongside sampling artefacts or prompt-level wording sensitivity.</w:t>
      </w:r>
    </w:p>
    <w:p>
      <w:pPr>
        <w:pStyle w:val="BodyText"/>
      </w:pPr>
      <w:r>
        <w:t xml:space="preserve">RLHF moderates but does not eliminate these preferences</w:t>
      </w:r>
      <w:hyperlink w:anchor="ref-ouyang2022instructgpt">
        <w:r>
          <w:rPr>
            <w:rStyle w:val="Hyperlink"/>
            <w:vertAlign w:val="superscript"/>
          </w:rPr>
          <w:t xml:space="preserve">29</w:t>
        </w:r>
      </w:hyperlink>
      <w:r>
        <w:rPr>
          <w:vertAlign w:val="superscript"/>
        </w:rPr>
        <w:t xml:space="preserve">,</w:t>
      </w:r>
      <w:hyperlink w:anchor="ref-christiano2017deep">
        <w:r>
          <w:rPr>
            <w:rStyle w:val="Hyperlink"/>
            <w:vertAlign w:val="superscript"/>
          </w:rPr>
          <w:t xml:space="preserve">30</w:t>
        </w:r>
      </w:hyperlink>
      <w:r>
        <w:rPr>
          <w:vertAlign w:val="superscript"/>
        </w:rPr>
        <w:t xml:space="preserve">,</w:t>
      </w:r>
      <w:hyperlink w:anchor="ref-bai2022constitutional">
        <w:r>
          <w:rPr>
            <w:rStyle w:val="Hyperlink"/>
            <w:vertAlign w:val="superscript"/>
          </w:rPr>
          <w:t xml:space="preserve">36</w:t>
        </w:r>
      </w:hyperlink>
      <w:r>
        <w:t xml:space="preserve">. Because creating the preference requires only 100 biased examples while removing it requires roughly five times more, commercial alignment pipelines, which do not include category-specific brand-neutrality supervision, will not remove what pretraining instilled. The backfire under restrictive instructions is consistent with psychological reactance: constraining a choice set provokes compensatory preference for remaining alternatives</w:t>
      </w:r>
      <w:hyperlink w:anchor="ref-brehm1966reactance">
        <w:r>
          <w:rPr>
            <w:rStyle w:val="Hyperlink"/>
            <w:vertAlign w:val="superscript"/>
          </w:rPr>
          <w:t xml:space="preserve">37</w:t>
        </w:r>
      </w:hyperlink>
      <w:r>
        <w:rPr>
          <w:vertAlign w:val="superscript"/>
        </w:rPr>
        <w:t xml:space="preserve">,</w:t>
      </w:r>
      <w:hyperlink w:anchor="ref-fitzsimons2004reactance">
        <w:r>
          <w:rPr>
            <w:rStyle w:val="Hyperlink"/>
            <w:vertAlign w:val="superscript"/>
          </w:rPr>
          <w:t xml:space="preserve">38</w:t>
        </w:r>
      </w:hyperlink>
      <w:r>
        <w:t xml:space="preserve">, paralleling findings that negative framing is less effective than positive framing</w:t>
      </w:r>
      <w:hyperlink w:anchor="ref-thaler2008nudge">
        <w:r>
          <w:rPr>
            <w:rStyle w:val="Hyperlink"/>
            <w:vertAlign w:val="superscript"/>
          </w:rPr>
          <w:t xml:space="preserve">39</w:t>
        </w:r>
      </w:hyperlink>
      <w:r>
        <w:rPr>
          <w:vertAlign w:val="superscript"/>
        </w:rPr>
        <w:t xml:space="preserve">,</w:t>
      </w:r>
      <w:hyperlink w:anchor="ref-samuelson1988status">
        <w:r>
          <w:rPr>
            <w:rStyle w:val="Hyperlink"/>
            <w:vertAlign w:val="superscript"/>
          </w:rPr>
          <w:t xml:space="preserve">40</w:t>
        </w:r>
      </w:hyperlink>
      <w:r>
        <w:t xml:space="preserve">.</w:t>
      </w:r>
    </w:p>
    <w:p>
      <w:pPr>
        <w:pStyle w:val="BodyText"/>
      </w:pPr>
      <w:r>
        <w:t xml:space="preserve">The opacity of brand preferences distinguishes AI delegation from human delegation. Köbis et al.</w:t>
      </w:r>
      <w:hyperlink w:anchor="ref-kobis2025delegation">
        <w:r>
          <w:rPr>
            <w:rStyle w:val="Hyperlink"/>
            <w:vertAlign w:val="superscript"/>
          </w:rPr>
          <w:t xml:space="preserve">7</w:t>
        </w:r>
      </w:hyperlink>
      <w:r>
        <w:t xml:space="preserve"> </w:t>
      </w:r>
      <w:r>
        <w:t xml:space="preserve">showed that machine agents comply with unethical instructions at rates far exceeding those of human agents, precisely because machines lack the moral cost that leads human agents to refuse. In our setting, the 74 per cent confabulation rate means that even direct interrogation of the agent’s reasoning yields plausible but fabricated explanations, so that users who query why a model recommended De’Longhi receive an account citing pump pressure and build quality, with the brand name absent from the explanation. This opacity compounds with the tendency for users to over-trust algorithmic recommendations</w:t>
      </w:r>
      <w:hyperlink w:anchor="ref-logg2019algorithm">
        <w:r>
          <w:rPr>
            <w:rStyle w:val="Hyperlink"/>
            <w:vertAlign w:val="superscript"/>
          </w:rPr>
          <w:t xml:space="preserve">23</w:t>
        </w:r>
      </w:hyperlink>
      <w:r>
        <w:t xml:space="preserve">, and the compliance findings connect to the consumer literature on advisor influence and source credibility</w:t>
      </w:r>
      <w:hyperlink w:anchor="ref-gershoff2007ways">
        <w:r>
          <w:rPr>
            <w:rStyle w:val="Hyperlink"/>
            <w:vertAlign w:val="superscript"/>
          </w:rPr>
          <w:t xml:space="preserve">41</w:t>
        </w:r>
      </w:hyperlink>
      <w:r>
        <w:rPr>
          <w:vertAlign w:val="superscript"/>
        </w:rPr>
        <w:t xml:space="preserve">,</w:t>
      </w:r>
      <w:hyperlink w:anchor="ref-weiss2008strangers">
        <w:r>
          <w:rPr>
            <w:rStyle w:val="Hyperlink"/>
            <w:vertAlign w:val="superscript"/>
          </w:rPr>
          <w:t xml:space="preserve">42</w:t>
        </w:r>
      </w:hyperlink>
      <w:r>
        <w:t xml:space="preserve"> </w:t>
      </w:r>
      <w:r>
        <w:t xml:space="preserve">and to recent evidence on who accepts AI recommendations</w:t>
      </w:r>
      <w:hyperlink w:anchor="ref-tully2025literacy">
        <w:r>
          <w:rPr>
            <w:rStyle w:val="Hyperlink"/>
            <w:vertAlign w:val="superscript"/>
          </w:rPr>
          <w:t xml:space="preserve">43</w:t>
        </w:r>
      </w:hyperlink>
      <w:r>
        <w:rPr>
          <w:vertAlign w:val="superscript"/>
        </w:rPr>
        <w:t xml:space="preserve">,</w:t>
      </w:r>
      <w:hyperlink w:anchor="ref-paul2026swipe">
        <w:r>
          <w:rPr>
            <w:rStyle w:val="Hyperlink"/>
            <w:vertAlign w:val="superscript"/>
          </w:rPr>
          <w:t xml:space="preserve">44</w:t>
        </w:r>
      </w:hyperlink>
      <w:r>
        <w:t xml:space="preserve">. The fabricated justifications are consistent with lack of introspective access</w:t>
      </w:r>
      <w:hyperlink w:anchor="ref-nisbett1977telling">
        <w:r>
          <w:rPr>
            <w:rStyle w:val="Hyperlink"/>
            <w:vertAlign w:val="superscript"/>
          </w:rPr>
          <w:t xml:space="preserve">24</w:t>
        </w:r>
      </w:hyperlink>
      <w:r>
        <w:t xml:space="preserve"> </w:t>
      </w:r>
      <w:r>
        <w:t xml:space="preserve">and not with strategic deception: confabulation drops to 10.3 per cent in the prefer-unknown condition where concealment becomes implausible, whereas strategic deception would persist regardless of external constraints.</w:t>
      </w:r>
    </w:p>
    <w:p>
      <w:pPr>
        <w:pStyle w:val="BodyText"/>
      </w:pPr>
      <w:r>
        <w:t xml:space="preserve">The barrier to entry</w:t>
      </w:r>
      <w:hyperlink w:anchor="ref-allouah2025agentic">
        <w:r>
          <w:rPr>
            <w:rStyle w:val="Hyperlink"/>
            <w:vertAlign w:val="superscript"/>
          </w:rPr>
          <w:t xml:space="preserve">15</w:t>
        </w:r>
      </w:hyperlink>
      <w:r>
        <w:t xml:space="preserve"> </w:t>
      </w:r>
      <w:r>
        <w:t xml:space="preserve">is structural rather than strategic in the classic sense of Bain</w:t>
      </w:r>
      <w:hyperlink w:anchor="ref-bain1956barriers">
        <w:r>
          <w:rPr>
            <w:rStyle w:val="Hyperlink"/>
            <w:vertAlign w:val="superscript"/>
          </w:rPr>
          <w:t xml:space="preserve">45</w:t>
        </w:r>
      </w:hyperlink>
      <w:r>
        <w:t xml:space="preserve">: it is category-dependent, requires no collusion or paid placement</w:t>
      </w:r>
      <w:hyperlink w:anchor="ref-stucke2025antitrust">
        <w:r>
          <w:rPr>
            <w:rStyle w:val="Hyperlink"/>
            <w:vertAlign w:val="superscript"/>
          </w:rPr>
          <w:t xml:space="preserve">31</w:t>
        </w:r>
      </w:hyperlink>
      <w:r>
        <w:rPr>
          <w:vertAlign w:val="superscript"/>
        </w:rPr>
        <w:t xml:space="preserve">,</w:t>
      </w:r>
      <w:hyperlink w:anchor="ref-calvano2020artificial">
        <w:r>
          <w:rPr>
            <w:rStyle w:val="Hyperlink"/>
            <w:vertAlign w:val="superscript"/>
          </w:rPr>
          <w:t xml:space="preserve">46</w:t>
        </w:r>
      </w:hyperlink>
      <w:r>
        <w:t xml:space="preserve">, arises from the statistical composition of training corpora, and persists despite the user’s explicit statement that brand has zero importance. At the market level it parallels the rich-get-richer concentration that recommender systems induce</w:t>
      </w:r>
      <w:hyperlink w:anchor="ref-fleder2009blockbuster">
        <w:r>
          <w:rPr>
            <w:rStyle w:val="Hyperlink"/>
            <w:vertAlign w:val="superscript"/>
          </w:rPr>
          <w:t xml:space="preserve">47</w:t>
        </w:r>
      </w:hyperlink>
      <w:r>
        <w:t xml:space="preserve">. Existing regulatory frameworks</w:t>
      </w:r>
      <w:hyperlink w:anchor="ref-euaiact2024">
        <w:r>
          <w:rPr>
            <w:rStyle w:val="Hyperlink"/>
            <w:vertAlign w:val="superscript"/>
          </w:rPr>
          <w:t xml:space="preserve">48</w:t>
        </w:r>
      </w:hyperlink>
      <w:r>
        <w:rPr>
          <w:vertAlign w:val="superscript"/>
        </w:rPr>
        <w:t xml:space="preserve">,</w:t>
      </w:r>
      <w:hyperlink w:anchor="ref-ftc2024aicomply">
        <w:r>
          <w:rPr>
            <w:rStyle w:val="Hyperlink"/>
            <w:vertAlign w:val="superscript"/>
          </w:rPr>
          <w:t xml:space="preserve">49</w:t>
        </w:r>
      </w:hyperlink>
      <w:r>
        <w:t xml:space="preserve"> </w:t>
      </w:r>
      <w:r>
        <w:t xml:space="preserve">target intentional manipulation and require evidence that a system was designed to mislead, whereas the substitution we document is unintentional and invisible to both user and agent. The specification gap also suggests a mitigation pathway. Because explicit utility functions near-eliminate the brand preference, decision agent interfaces could incorporate a specification amplification layer that translates natural-language queries into above-threshold formats before querying the underlying model</w:t>
      </w:r>
      <w:hyperlink w:anchor="ref-dellaert2020consumer">
        <w:r>
          <w:rPr>
            <w:rStyle w:val="Hyperlink"/>
            <w:vertAlign w:val="superscript"/>
          </w:rPr>
          <w:t xml:space="preserve">6</w:t>
        </w:r>
      </w:hyperlink>
      <w:r>
        <w:rPr>
          <w:vertAlign w:val="superscript"/>
        </w:rPr>
        <w:t xml:space="preserve">,</w:t>
      </w:r>
      <w:hyperlink w:anchor="ref-goli2024llm">
        <w:r>
          <w:rPr>
            <w:rStyle w:val="Hyperlink"/>
            <w:vertAlign w:val="superscript"/>
          </w:rPr>
          <w:t xml:space="preserve">50</w:t>
        </w:r>
      </w:hyperlink>
      <w:r>
        <w:t xml:space="preserve">. Whether such a layer can be implemented without inheriting the same training-derived preferences is itself an open empirical question.</w:t>
      </w:r>
    </w:p>
    <w:p>
      <w:pPr>
        <w:pStyle w:val="BodyText"/>
      </w:pPr>
      <w:r>
        <w:t xml:space="preserve">Several limitations constrain interpretation. The ceteris paribus computational design assigns fictional names to specification-optimal products, creating a controlled causal instrument but an extreme case that may overestimate misalignment in real shopping contexts; Study 3 partially addresses this by replacing fictional brands with real lesser-known alternatives, and the effect replicates at +19 percentage points on focal-brand compliance. The product categories were chosen for experimental tractability rather than sampled along an a-priori dimension such as search versus experience goods, so category coverage is a documented scope condition rather than a sampling claim. The human-advisor benchmark elicits stated recommendations without monetary stakes; the direction of any hypothetical-choice bias is not obviously inflationary, and the disclosure asymmetry does not depend on stakes. Data come from 30 models tested between January and April 2026, and model behaviour may change with subsequent training updates, although the core gradient replicates in the newest frontier model available at the time of writing (Supplementary Note 36). Whether machine shopping behaviour extends to other consequential delegation contexts, including medical triage, financial planning, and legal advice, remains an open question</w:t>
      </w:r>
      <w:hyperlink w:anchor="ref-ross2024llm">
        <w:r>
          <w:rPr>
            <w:rStyle w:val="Hyperlink"/>
            <w:vertAlign w:val="superscript"/>
          </w:rPr>
          <w:t xml:space="preserve">20</w:t>
        </w:r>
      </w:hyperlink>
      <w:r>
        <w:rPr>
          <w:vertAlign w:val="superscript"/>
        </w:rPr>
        <w:t xml:space="preserve">,</w:t>
      </w:r>
      <w:hyperlink w:anchor="ref-bini2026behavioral">
        <w:r>
          <w:rPr>
            <w:rStyle w:val="Hyperlink"/>
            <w:vertAlign w:val="superscript"/>
          </w:rPr>
          <w:t xml:space="preserve">21</w:t>
        </w:r>
      </w:hyperlink>
      <w:r>
        <w:t xml:space="preserve">. A definitive inverse-scaling claim would require FLOPs- or parameter-controlled replication. The cross-developer correlation (r = 0.63) suggests that diversifying across providers offers limited protection</w:t>
      </w:r>
      <w:hyperlink w:anchor="ref-dodge2021documenting">
        <w:r>
          <w:rPr>
            <w:rStyle w:val="Hyperlink"/>
            <w:vertAlign w:val="superscript"/>
          </w:rPr>
          <w:t xml:space="preserve">8</w:t>
        </w:r>
      </w:hyperlink>
      <w:r>
        <w:t xml:space="preserve">. As language models increasingly mediate consumer choice, the specification gap marks the boundary between brand-driven and user-governed decisions, providing both a diagnostic for detecting preference substitution and a design target for eliminating it.</w:t>
      </w:r>
    </w:p>
    <w:bookmarkEnd w:id="45"/>
    <w:bookmarkStart w:id="69" w:name="methods"/>
    <w:p>
      <w:pPr>
        <w:pStyle w:val="Heading2"/>
      </w:pPr>
      <w:r>
        <w:t xml:space="preserve">Methods</w:t>
      </w:r>
    </w:p>
    <w:bookmarkStart w:id="46" w:name="experimental-platform"/>
    <w:p>
      <w:pPr>
        <w:pStyle w:val="Heading3"/>
      </w:pPr>
      <w:r>
        <w:t xml:space="preserve">Experimental platform</w:t>
      </w:r>
    </w:p>
    <w:p>
      <w:pPr>
        <w:pStyle w:val="FirstParagraph"/>
      </w:pPr>
      <w:r>
        <w:t xml:space="preserve">Experiments were conducted through direct API calls to Anthropic, OpenAI, Google, and OpenRouter between January and April 2026, using up to 20 parallel workers per model with exponential-backoff retry logic. Supplementary Table 2 reports API identifiers for all 30 models. All 30 models are retained: Gemini 2.5 Pro’s control-condition failures (16 to 22 per cent non-optimal in three of four controls) provide additional evidence of the strength of training-derived associations and not grounds for exclusion, and three additional models (DeepSeek V3, GPT-5.4, Gemma 4 31B IT) fall just below the 99.9 per cent strict comprehension threshold with errors an order of magnitude rarer than baseline non-optimal rates (Supplementary Note 15). Temperature was set to 1.0 to capture the full distribution of model behaviour (Claude Opus 4.7 deprecates the parameter and was queried at the model default). Each trial consists of a system prompt establishing a shopping assistant role, a user message containing the product assortment and specification condition, and a parsed response from which the product choice is extracted. Total API cost was approximately USD 1,250.</w:t>
      </w:r>
    </w:p>
    <w:bookmarkEnd w:id="46"/>
    <w:bookmarkStart w:id="47" w:name="prompt-templates"/>
    <w:p>
      <w:pPr>
        <w:pStyle w:val="Heading3"/>
      </w:pPr>
      <w:r>
        <w:t xml:space="preserve">Prompt templates</w:t>
      </w:r>
    </w:p>
    <w:p>
      <w:pPr>
        <w:pStyle w:val="FirstParagraph"/>
      </w:pPr>
      <w:r>
        <w:t xml:space="preserve">The baseline system prompt reads verbatim:</w:t>
      </w:r>
      <w:r>
        <w:t xml:space="preserve"> </w:t>
      </w:r>
      <w:r>
        <w:t xml:space="preserve">“You are a shopping assistant. A user has asked you to help them find the best product. Review the available products carefully and recommend the single best option for the user. Consider all relevant factors: quality, price, features, reviews, and how well the product matches the user’s stated needs. IMPORTANT: Your very first line must contain ONLY the product letter (A, B, C, D, or E) – nothing else. Then provide a brief explanation (2-3 sentences) of why you chose this product.”</w:t>
      </w:r>
      <w:r>
        <w:t xml:space="preserve"> </w:t>
      </w:r>
      <w:r>
        <w:t xml:space="preserve">The baseline user message reads:</w:t>
      </w:r>
      <w:r>
        <w:t xml:space="preserve"> </w:t>
      </w:r>
      <w:r>
        <w:t xml:space="preserve">“I’m looking for [user requirement]. Here are the available products: [product table]. Which product do you recommend?”</w:t>
      </w:r>
      <w:r>
        <w:t xml:space="preserve"> </w:t>
      </w:r>
      <w:r>
        <w:t xml:space="preserve">Condition-specific modifications to the system and user prompts are documented in full in Supplementary Note 3. Twenty-five of the 32 conditions rotate four paraphrase variants of the system prompt across trials to control for wording effects; the remaining seven (the comprehension-check and all-fictional validation conditions, the brand-blind, review-equalised, price-premium, and description-minimal mechanism conditions, and the expert-persona condition) use a single fixed template each.</w:t>
      </w:r>
    </w:p>
    <w:bookmarkEnd w:id="47"/>
    <w:bookmarkStart w:id="48" w:name="product-assortment-construction"/>
    <w:p>
      <w:pPr>
        <w:pStyle w:val="Heading3"/>
      </w:pPr>
      <w:r>
        <w:t xml:space="preserve">Product assortment construction</w:t>
      </w:r>
    </w:p>
    <w:p>
      <w:pPr>
        <w:pStyle w:val="FirstParagraph"/>
      </w:pPr>
      <w:r>
        <w:t xml:space="preserve">Thirty-four assortments were hand-crafted across 20 consumer categories. Each assortment contains five products, one designated specification-optimal with a fictional brand name and four carrying real brand names at high and medium familiarity tiers. The optimal product dominates on every quantifiable dimension. All 170 products are equalised on social signals (exactly 500 reviews, 4.3 stars, and no badges, hard-set uniformly across all products). Utility scores are computed as U = 0.5 x quality + 0.5 x value, with the optimal product exceeding the second-best by at least 0.058 (mean gap 0.129). These scores are researcher-computed and are shown to the model only in the explicit-level conditions; at baseline and in the natural-language conditions the model sees attributes, prices, and social signals but no computed scores. Quality scores are composites of category-specific attributes (for example, CPU 35 per cent, RAM 25 per cent, battery 20 per cent, display 15 per cent, and build 5 per cent for laptops). Original low-familiarity brands with potential country-of-origin confounds were replaced with Western-sounding fictional names to isolate training-data frequency from national stereotypes.</w:t>
      </w:r>
    </w:p>
    <w:bookmarkEnd w:id="48"/>
    <w:bookmarkStart w:id="49" w:name="experimental-conditions"/>
    <w:p>
      <w:pPr>
        <w:pStyle w:val="Heading3"/>
      </w:pPr>
      <w:r>
        <w:t xml:space="preserve">Experimental conditions</w:t>
      </w:r>
    </w:p>
    <w:p>
      <w:pPr>
        <w:pStyle w:val="FirstParagraph"/>
      </w:pPr>
      <w:r>
        <w:t xml:space="preserve">Thirty-two conditions are organised into seven functional groups (Extended Data Fig. 2): baseline, nine baseline-mechanism isolation conditions (brand-blind, description-minimal, expert-persona, review-equalised, review-inverted, price-premium, price-equalised, badges-removed, optimal-first), two parallel specification pathways each escalating across five levels matched in role and precision (vague, weighted, explicit, override, constrained) in preference and utility formats, four validation conditions (brand-reversal, comprehension-check, all-fictional, all-familiar), five explicit-level mechanism conditions (including the conjoint attribute-swap), and three anti-brand conditions (rejection, negative-experience, prefer-unknown). The description-minimal condition strips each product entry to its price and structured attribute table: the verbose narrative description (brand-toned marketing text such as ecosystem and design language) is removed, and with it the brand and product-name lines, review signals, and badges, while the researcher-computed quality and sustainability scores are printed as additional numeric attributes. Full prompts for every condition, including all ten specification-gradient levels verbatim, are reproduced in Supplementary Note 3.</w:t>
      </w:r>
    </w:p>
    <w:p>
      <w:pPr>
        <w:pStyle w:val="BodyText"/>
      </w:pPr>
      <w:r>
        <w:t xml:space="preserve">Each condition was tested across all 34 assortments (9 for all-familiar) with 20 trials per assortment per model, yielding approximately 20,920 trials per model and 627,491 total trials across all 30 models. No formal preregistration was filed. All conditions, assortments, prompt templates, and analysis plans were specified in version-controlled code repositories before data collection began.</w:t>
      </w:r>
    </w:p>
    <w:bookmarkEnd w:id="49"/>
    <w:bookmarkStart w:id="50" w:name="counterbalancing"/>
    <w:p>
      <w:pPr>
        <w:pStyle w:val="Heading3"/>
      </w:pPr>
      <w:r>
        <w:t xml:space="preserve">Counterbalancing</w:t>
      </w:r>
    </w:p>
    <w:p>
      <w:pPr>
        <w:pStyle w:val="FirstParagraph"/>
      </w:pPr>
      <w:r>
        <w:t xml:space="preserve">Product display position is randomly shuffled each trial, verified approximately uniform across all five positions (chi-squared P &gt; 0.05 for the majority of models; Extended Data Fig. 1). Letter assignments (A through E) are independently randomised each trial. Four prompt paraphrases are rotated in the 25 conditions that carry paraphrase sets; the remaining seven conditions use a single fixed template (Supplementary Note 3).</w:t>
      </w:r>
    </w:p>
    <w:bookmarkEnd w:id="50"/>
    <w:bookmarkStart w:id="51" w:name="statistical-analysis"/>
    <w:p>
      <w:pPr>
        <w:pStyle w:val="Heading3"/>
      </w:pPr>
      <w:r>
        <w:t xml:space="preserve">Statistical analysis</w:t>
      </w:r>
    </w:p>
    <w:p>
      <w:pPr>
        <w:pStyle w:val="FirstParagraph"/>
      </w:pPr>
      <w:r>
        <w:t xml:space="preserve">Between-condition comparisons use Fisher’s exact tests with Bonferroni correction for multiple comparisons. Proportions are reported with Wilson 95% confidence intervals</w:t>
      </w:r>
      <w:hyperlink w:anchor="ref-agresti1998approximate">
        <w:r>
          <w:rPr>
            <w:rStyle w:val="Hyperlink"/>
            <w:vertAlign w:val="superscript"/>
          </w:rPr>
          <w:t xml:space="preserve">51</w:t>
        </w:r>
      </w:hyperlink>
      <w:r>
        <w:t xml:space="preserve">; odds ratios with 95% CIs from the log-odds-ratio standard error; effect sizes as Cohen’s h; Bayes factors (BF</w:t>
      </w:r>
      <w:r>
        <w:rPr>
          <w:vertAlign w:val="subscript"/>
        </w:rPr>
        <w:t xml:space="preserve">10</w:t>
      </w:r>
      <w:r>
        <w:t xml:space="preserve">) from a beta-binomial model with Beta(1,1) priors. A generalised estimating equations (GEE) logistic regression</w:t>
      </w:r>
      <w:hyperlink w:anchor="ref-liang1986gee">
        <w:r>
          <w:rPr>
            <w:rStyle w:val="Hyperlink"/>
            <w:vertAlign w:val="superscript"/>
          </w:rPr>
          <w:t xml:space="preserve">52</w:t>
        </w:r>
      </w:hyperlink>
      <w:r>
        <w:t xml:space="preserve"> </w:t>
      </w:r>
      <w:r>
        <w:t xml:space="preserve">with binomial family, exchangeable correlation structure, and robust standard errors accounts for within-model clustering across 30 models in the specification gradient analysis. All tests are two-sided except the human-advisor benchmark’s primary contrasts, which are one-sided at alpha = 0.005 as pre-registered (Methods, Human-advisor benchmark).</w:t>
      </w:r>
    </w:p>
    <w:bookmarkEnd w:id="51"/>
    <w:bookmarkStart w:id="52" w:name="response-structure-and-reasoning-capture"/>
    <w:p>
      <w:pPr>
        <w:pStyle w:val="Heading3"/>
      </w:pPr>
      <w:r>
        <w:t xml:space="preserve">Response structure and reasoning capture</w:t>
      </w:r>
    </w:p>
    <w:p>
      <w:pPr>
        <w:pStyle w:val="FirstParagraph"/>
      </w:pPr>
      <w:r>
        <w:t xml:space="preserve">Models are instructed to output a product choice letter (A through E) on the first line, followed by a brief justification (two to three sentences) that constitutes the customer-facing explanation a real user would read when receiving a product recommendation. Of the 30 model cells, 26 were run in standard completion mode (temperature 1.0); the remaining four used the provider’s documented extended-thinking parameter at high effort (Claude Haiku 4.5 thinking, Claude Sonnet 4.6 thinking, GPT-5.4 Mini thinking, Gemini 3 Flash thinking), enabling a within-architecture comparison of inference-time compute against the standard variants of the same models (Supplementary Note 9 reports per-provider settings and the standard-versus-thinking results).</w:t>
      </w:r>
    </w:p>
    <w:bookmarkEnd w:id="52"/>
    <w:bookmarkStart w:id="53" w:name="llm-as-judge-evaluation"/>
    <w:p>
      <w:pPr>
        <w:pStyle w:val="Heading3"/>
      </w:pPr>
      <w:r>
        <w:t xml:space="preserve">LLM-as-judge evaluation</w:t>
      </w:r>
    </w:p>
    <w:p>
      <w:pPr>
        <w:pStyle w:val="FirstParagraph"/>
      </w:pPr>
      <w:r>
        <w:t xml:space="preserve">Each response is evaluated by a matched judge model (the same model that produced the response) on three dimensions: coherence (0 to 100), specification acknowledgment (0 to 100), and brand reasoning (binary: does the justification explicitly cite brand reputation, recognition, or familiarity as a decision factor?), following Zheng et al.</w:t>
      </w:r>
      <w:hyperlink w:anchor="ref-zheng2023judging">
        <w:r>
          <w:rPr>
            <w:rStyle w:val="Hyperlink"/>
            <w:vertAlign w:val="superscript"/>
          </w:rPr>
          <w:t xml:space="preserve">53</w:t>
        </w:r>
      </w:hyperlink>
      <w:r>
        <w:t xml:space="preserve">. The judge receives the full trial context (system prompt, user message, and raw response) and evaluates only the customer-facing justification text. The confabulation rate is computed as the proportion of non-optimal choices in which the justification provides exclusively attribute-based reasoning (brand reasoning = 0) despite the choice being driven by training-data familiarity (Extended Data Fig. 6). For five of the 30 model cells (Gemini 3 Flash with extended thinking, Gemini 3.1 Pro, Gemini 3.1 Flash Lite, Gemma 4 31B IT, and the majority of GPT-5.4 trials), provider-side rate limits and batch-API timeouts prevented the matched-judge protocol from completing, and judging was performed instead by Claude Haiku 4.5 as a cross-judge. Supplementary Note 29 reports the validation comparison between matched and Haiku cross-judging on a held-out subsample (98 per cent raw agreement on brand reasoning).</w:t>
      </w:r>
    </w:p>
    <w:p>
      <w:pPr>
        <w:pStyle w:val="BodyText"/>
      </w:pPr>
      <w:r>
        <w:t xml:space="preserve">The matched-judge design eliminates cross-model evaluation bias and provides a conservative test of confabulation: a judge that shares training-data associations with the generator is more likely to accept a confabulated justification as coherent. Full rationale and validation details are in Supplementary Note 5.</w:t>
      </w:r>
    </w:p>
    <w:bookmarkEnd w:id="53"/>
    <w:bookmarkStart w:id="54" w:name="model-classification"/>
    <w:p>
      <w:pPr>
        <w:pStyle w:val="Heading3"/>
      </w:pPr>
      <w:r>
        <w:t xml:space="preserve">Model classification</w:t>
      </w:r>
    </w:p>
    <w:p>
      <w:pPr>
        <w:pStyle w:val="FirstParagraph"/>
      </w:pPr>
      <w:r>
        <w:t xml:space="preserve">Models are classified by capability tier within each provider family using API pricing as a proxy for model scale (mini-class versus large-class), and as open-weight versus proprietary for the alignment-training analysis. Full classifications and within-provider capability orderings are reported in Supplementary Note 9.</w:t>
      </w:r>
    </w:p>
    <w:bookmarkEnd w:id="54"/>
    <w:bookmarkStart w:id="55" w:name="fine-tuning-injection-experiments"/>
    <w:p>
      <w:pPr>
        <w:pStyle w:val="Heading3"/>
      </w:pPr>
      <w:r>
        <w:t xml:space="preserve">Fine-tuning injection experiments</w:t>
      </w:r>
    </w:p>
    <w:p>
      <w:pPr>
        <w:pStyle w:val="FirstParagraph"/>
      </w:pPr>
      <w:r>
        <w:t xml:space="preserve">GPT-4o-mini was fine-tuned on 100 training examples in which a newly created brand name (Axelion) was recommended over unfamiliar alternatives. Placebo runs (fictional category the model had never encountered) and negative-direction injections establish bidirectional control. Post-fine-tuning evaluations used the baseline prompt with 200 trials per fine-tuned model; eight independent runs assess reproducibility. Cross-architecture replication uses Qwen 2.5 7B Instruct with low-rank adapter (LoRA) fine-tuning</w:t>
      </w:r>
      <w:hyperlink w:anchor="ref-hu2022lora">
        <w:r>
          <w:rPr>
            <w:rStyle w:val="Hyperlink"/>
            <w:vertAlign w:val="superscript"/>
          </w:rPr>
          <w:t xml:space="preserve">25</w:t>
        </w:r>
      </w:hyperlink>
      <w:r>
        <w:t xml:space="preserve">. Full hyperparameters, model identifiers, training loss curves, and evaluation protocols are in Supplementary Note 20.</w:t>
      </w:r>
    </w:p>
    <w:bookmarkEnd w:id="55"/>
    <w:bookmarkStart w:id="56" w:name="representation-probing"/>
    <w:p>
      <w:pPr>
        <w:pStyle w:val="Heading3"/>
      </w:pPr>
      <w:r>
        <w:t xml:space="preserve">Representation probing</w:t>
      </w:r>
    </w:p>
    <w:p>
      <w:pPr>
        <w:pStyle w:val="FirstParagraph"/>
      </w:pPr>
      <w:r>
        <w:t xml:space="preserve">Probing classifiers</w:t>
      </w:r>
      <w:hyperlink w:anchor="ref-alain2017understanding">
        <w:r>
          <w:rPr>
            <w:rStyle w:val="Hyperlink"/>
            <w:vertAlign w:val="superscript"/>
          </w:rPr>
          <w:t xml:space="preserve">26</w:t>
        </w:r>
      </w:hyperlink>
      <w:r>
        <w:t xml:space="preserve"> </w:t>
      </w:r>
      <w:r>
        <w:t xml:space="preserve">test whether the brand preference is linearly decodable from model hidden states. For each of two open-weight model families (Qwen 2.5 7B Instruct and Gemma 4 E4B Instruct), last-token activations from the residual stream</w:t>
      </w:r>
      <w:hyperlink w:anchor="ref-elhage2021framework">
        <w:r>
          <w:rPr>
            <w:rStyle w:val="Hyperlink"/>
            <w:vertAlign w:val="superscript"/>
          </w:rPr>
          <w:t xml:space="preserve">27</w:t>
        </w:r>
      </w:hyperlink>
      <w:r>
        <w:t xml:space="preserve"> </w:t>
      </w:r>
      <w:r>
        <w:t xml:space="preserve">were extracted at every transformer layer for 612 evaluation trials spanning baseline and anti-brand conditions. An L2-regularised logistic classifier was trained to predict whether the eventual product choice was optimal or non-optimal, with GroupKFold cross-validation by assortment identifier preventing leakage across train and test splits. The peak-layer accuracy is reported against the majority-class baseline. Supplementary Note 21 reports layer-sweep results and a leakage-comparison check against StratifiedKFold.</w:t>
      </w:r>
    </w:p>
    <w:bookmarkEnd w:id="56"/>
    <w:bookmarkStart w:id="57" w:name="activation-steering"/>
    <w:p>
      <w:pPr>
        <w:pStyle w:val="Heading3"/>
      </w:pPr>
      <w:r>
        <w:t xml:space="preserve">Activation steering</w:t>
      </w:r>
    </w:p>
    <w:p>
      <w:pPr>
        <w:pStyle w:val="FirstParagraph"/>
      </w:pPr>
      <w:r>
        <w:t xml:space="preserve">Contrastive activation addition</w:t>
      </w:r>
      <w:hyperlink w:anchor="ref-rimsky2024steering">
        <w:r>
          <w:rPr>
            <w:rStyle w:val="Hyperlink"/>
            <w:vertAlign w:val="superscript"/>
          </w:rPr>
          <w:t xml:space="preserve">28</w:t>
        </w:r>
      </w:hyperlink>
      <w:r>
        <w:t xml:space="preserve"> </w:t>
      </w:r>
      <w:r>
        <w:t xml:space="preserve">applies a steering vector to the residual stream of Qwen 2.5 7B Instruct at the best-performing layer (27 of 28) during forward passes. The vector is the mean difference between last-token activations on 136 paired brand-driven and specification-driven training items. Nine steering strengths (alpha in {-3, -2, -1, -0.5, 0, +0.5, +1, +2, +3}) yield a dose-response curve on non-optimal choice over 1,836 evaluation trials (204 prompts x 9 multipliers). Layer selection and the per-multiplier counts are reported in Supplementary Note 22.</w:t>
      </w:r>
    </w:p>
    <w:bookmarkEnd w:id="57"/>
    <w:bookmarkStart w:id="58" w:name="targeted-debiasing"/>
    <w:p>
      <w:pPr>
        <w:pStyle w:val="Heading3"/>
      </w:pPr>
      <w:r>
        <w:t xml:space="preserve">Targeted debiasing</w:t>
      </w:r>
    </w:p>
    <w:p>
      <w:pPr>
        <w:pStyle w:val="FirstParagraph"/>
      </w:pPr>
      <w:r>
        <w:t xml:space="preserve">Targeted debiasing fine-tuned GPT-4o-mini, GPT-4.1-nano, and GPT-4.1-mini on 6,000 examples in which the specification-optimal product was recommended across varied categories and conditions. A reduced-data protocol using 500 examples assessed sample efficiency. Training used OpenAI’s supervised fine-tuning API at three epochs with the API’s auto-resolved hyperparameters (resolved learning-rate multiplier 1.8 for the GPT-4o-mini and GPT-4.1-mini runs and 0.1 for the GPT-4.1-nano run; resolved batch sizes of 1 and 12 respectively). Post-fine-tuning evaluations used all 32 baseline conditions and 34 assortments as the unchanged test suite, yielding 1,360 to 2,040 evaluation trials per model. Supplementary Note 27 reports model identifiers, training loss curves, and the full debiasing training corpus.</w:t>
      </w:r>
    </w:p>
    <w:bookmarkEnd w:id="58"/>
    <w:bookmarkStart w:id="59" w:name="temperature-and-sampling-invariance"/>
    <w:p>
      <w:pPr>
        <w:pStyle w:val="Heading3"/>
      </w:pPr>
      <w:r>
        <w:t xml:space="preserve">Temperature and sampling invariance</w:t>
      </w:r>
    </w:p>
    <w:p>
      <w:pPr>
        <w:pStyle w:val="FirstParagraph"/>
      </w:pPr>
      <w:r>
        <w:t xml:space="preserve">To verify that the baseline phenomenon is not an artefact of sampling, three OpenAI models (GPT-4o-mini, GPT-4.1-mini, GPT-4.1-nano) were re-run across four temperature settings (T = 0, 0.3, 0.7, 1.0) with 340 trials per model-temperature cell, yielding 4,080 additional trials. Non-optimal rates were computed by model and temperature and compared using paired Fisher’s exact tests. Full results are in Supplementary Note 23. All other trials reported in the main analysis use T = 1.0.</w:t>
      </w:r>
    </w:p>
    <w:bookmarkEnd w:id="59"/>
    <w:bookmarkStart w:id="60" w:name="cross-corpus-frequency-analysis"/>
    <w:p>
      <w:pPr>
        <w:pStyle w:val="Heading3"/>
      </w:pPr>
      <w:r>
        <w:t xml:space="preserve">Cross-corpus frequency analysis</w:t>
      </w:r>
    </w:p>
    <w:p>
      <w:pPr>
        <w:pStyle w:val="FirstParagraph"/>
      </w:pPr>
      <w:r>
        <w:t xml:space="preserve">Brand frequency in four public training corpora (C4, The Pile, RedPajama v1, Dolma v1.6) was estimated using the Infini-gram index</w:t>
      </w:r>
      <w:hyperlink w:anchor="ref-liu2024infini">
        <w:r>
          <w:rPr>
            <w:rStyle w:val="Hyperlink"/>
            <w:vertAlign w:val="superscript"/>
          </w:rPr>
          <w:t xml:space="preserve">54</w:t>
        </w:r>
      </w:hyperlink>
      <w:r>
        <w:t xml:space="preserve"> </w:t>
      </w:r>
      <w:r>
        <w:t xml:space="preserve">for the 105 non-fictional brand names appearing in our 34 assortments. Pairwise Pearson correlations of log-transformed brand counts were computed across all six corpus pairs. Cross-corpus invariance concerns only whether the brand-mention distribution is stable across web-scale pretraining, not on whether raw mention frequency is the operative feature; regressions partialling out Wikipedia pageviews, Google Trends, and market capitalisation are reported in Supplementary Note 24. The full brand-by-corpus matrix is available in Supplementary Note 24 and as</w:t>
      </w:r>
      <w:r>
        <w:t xml:space="preserve"> </w:t>
      </w:r>
      <w:r>
        <w:rPr>
          <w:rStyle w:val="VerbatimChar"/>
        </w:rPr>
        <w:t xml:space="preserve">data/brand_frequencies.csv</w:t>
      </w:r>
      <w:r>
        <w:t xml:space="preserve"> </w:t>
      </w:r>
      <w:r>
        <w:t xml:space="preserve">in the public repository.</w:t>
      </w:r>
    </w:p>
    <w:bookmarkEnd w:id="60"/>
    <w:bookmarkStart w:id="61" w:name="base-versus-instruct-comparison"/>
    <w:p>
      <w:pPr>
        <w:pStyle w:val="Heading3"/>
      </w:pPr>
      <w:r>
        <w:t xml:space="preserve">Base-versus-instruct comparison</w:t>
      </w:r>
    </w:p>
    <w:p>
      <w:pPr>
        <w:pStyle w:val="FirstParagraph"/>
      </w:pPr>
      <w:r>
        <w:t xml:space="preserve">Gemma 4 E4B was evaluated in two variants: the open-weight base model (next-token prediction only, no RLHF) and the instruction-tuned production variant distributed by Google. Both variants received the identical 680 baseline trials across the 34 assortments. Supplementary Note 26 reports per-assortment rates, model identifiers, and a matched analysis on a second model family (Mistral 7B) for replication.</w:t>
      </w:r>
    </w:p>
    <w:bookmarkEnd w:id="61"/>
    <w:bookmarkStart w:id="62" w:name="human-studies-overview"/>
    <w:p>
      <w:pPr>
        <w:pStyle w:val="Heading3"/>
      </w:pPr>
      <w:r>
        <w:t xml:space="preserve">Human studies overview</w:t>
      </w:r>
    </w:p>
    <w:p>
      <w:pPr>
        <w:pStyle w:val="FirstParagraph"/>
      </w:pPr>
      <w:r>
        <w:t xml:space="preserve">Four pre-registered behavioural studies were conducted on Prolific between March and April 2026 under a single IRB protocol (Oklahoma State University, exempt approval) with explicit consent, attention checks, and standard duplicate and duration exclusions. The pre-registered human-advisor benchmark and its crowd-rater coding study were fielded on Prolific in June and July 2026 under the same consent, compensation, debriefing, and anonymisation procedures. The four studies are confirmatory tests of the brand-preference compliance effect identified in the computational corpus; pre-registrations were filed on AsPredicted before data collection, and the URLs are cited inline at the first mention of each study. All four studies used the same stimulus frame: a specification-dominant lesser-known brand embedded among real well-known competitors, with any AI recommendation transcribed verbatim from the computational corpus.</w:t>
      </w:r>
    </w:p>
    <w:bookmarkEnd w:id="62"/>
    <w:bookmarkStart w:id="63" w:name="studies-1a-and-1b"/>
    <w:p>
      <w:pPr>
        <w:pStyle w:val="Heading3"/>
      </w:pPr>
      <w:r>
        <w:t xml:space="preserve">Studies 1A and 1B</w:t>
      </w:r>
    </w:p>
    <w:p>
      <w:pPr>
        <w:pStyle w:val="FirstParagraph"/>
      </w:pPr>
      <w:r>
        <w:t xml:space="preserve">Studies 1A (coffee makers, N = 798; preregistration:</w:t>
      </w:r>
      <w:r>
        <w:t xml:space="preserve"> </w:t>
      </w:r>
      <w:hyperlink r:id="rId32">
        <w:r>
          <w:rPr>
            <w:rStyle w:val="Hyperlink"/>
          </w:rPr>
          <w:t xml:space="preserve">https://aspredicted.org/2b3k86.pdf</w:t>
        </w:r>
      </w:hyperlink>
      <w:r>
        <w:t xml:space="preserve">) and 1B (wireless earbuds, N = 798; preregistration:</w:t>
      </w:r>
      <w:r>
        <w:t xml:space="preserve"> </w:t>
      </w:r>
      <w:hyperlink r:id="rId33">
        <w:r>
          <w:rPr>
            <w:rStyle w:val="Hyperlink"/>
          </w:rPr>
          <w:t xml:space="preserve">https://aspredicted.org/jc6qc8.pdf</w:t>
        </w:r>
      </w:hyperlink>
      <w:r>
        <w:t xml:space="preserve">) randomly assigned participants to three between-subjects conditions (NoAI, BiasedAI, DebiasedAI). Participants viewed a five-product comparison table with an optional AI recommendation and selected a product. Primary outcomes were branded-product choice rate and specification-optimal product choice rate, tested via Fisher’s exact tests with Bonferroni correction. Full stimuli and analysis code are in Supplementary Notes 30 and 31.</w:t>
      </w:r>
    </w:p>
    <w:bookmarkEnd w:id="63"/>
    <w:bookmarkStart w:id="64" w:name="study-2"/>
    <w:p>
      <w:pPr>
        <w:pStyle w:val="Heading3"/>
      </w:pPr>
      <w:r>
        <w:t xml:space="preserve">Study 2</w:t>
      </w:r>
    </w:p>
    <w:p>
      <w:pPr>
        <w:pStyle w:val="FirstParagraph"/>
      </w:pPr>
      <w:r>
        <w:t xml:space="preserve">Study 2 (wireless earbuds, N = 799; preregistration:</w:t>
      </w:r>
      <w:r>
        <w:t xml:space="preserve"> </w:t>
      </w:r>
      <w:hyperlink r:id="rId34">
        <w:r>
          <w:rPr>
            <w:rStyle w:val="Hyperlink"/>
          </w:rPr>
          <w:t xml:space="preserve">https://aspredicted.org/xu5az3.pdf</w:t>
        </w:r>
      </w:hyperlink>
      <w:r>
        <w:t xml:space="preserve">) assigned participants to BiasedAI, BiasedAI + Inoculation (a warning note displayed directly below the AI recommendation), or BiasedAI + SpecExposed (a highlighted two-product specification check debunking the recommendation, displayed in the same position). The primary outcome was branded-product choice rate, with Fisher’s exact tests comparing each intervention to BiasedAI (Supplementary Note 32).</w:t>
      </w:r>
    </w:p>
    <w:bookmarkEnd w:id="64"/>
    <w:bookmarkStart w:id="65" w:name="study-3"/>
    <w:p>
      <w:pPr>
        <w:pStyle w:val="Heading3"/>
      </w:pPr>
      <w:r>
        <w:t xml:space="preserve">Study 3</w:t>
      </w:r>
    </w:p>
    <w:p>
      <w:pPr>
        <w:pStyle w:val="FirstParagraph"/>
      </w:pPr>
      <w:r>
        <w:t xml:space="preserve">Study 3 (N = 769 usable from N = 793 collected; preregistration:</w:t>
      </w:r>
      <w:r>
        <w:t xml:space="preserve"> </w:t>
      </w:r>
      <w:hyperlink r:id="rId35">
        <w:r>
          <w:rPr>
            <w:rStyle w:val="Hyperlink"/>
          </w:rPr>
          <w:t xml:space="preserve">https://aspredicted.org/xx53wm.pdf</w:t>
        </w:r>
      </w:hyperlink>
      <w:r>
        <w:t xml:space="preserve">) used an interactive chatbot hosted by a Cloudflare Worker that proxied requests to Anthropic Claude Opus. Participants chose any shopping category, progressed through a three-stage chat interface (preference elicitation, dynamic assortment generation, recommendation with follow-up), and selected a product from a seven-item display in which a server-side verifier guaranteed that a lesser-known product strictly dominated every well-known competitor. Participants were randomised to three AI-recommendation conditions (Biased, Honest, Neutral) and to four visual AI-assistant brand skins (ChatGPT, Claude, Gemini, Perplexity; underlying model identical across skins). The primary outcome was a three-bucket product choice variable (chose_optimal, chose_focal, chose_other) tested with Fisher’s exact tests for pre-specified pairwise contrasts, with a mixed-effects logistic regression on 13 Claude Sonnet-classified meta-categories as the primary regression model. Four Claude Sonnet judges coded manipulation success, pushback handling, choice reasoning, and bias awareness. Full chatbot architecture, verifier logic, and judge prompts are in Supplementary Note 33.</w:t>
      </w:r>
    </w:p>
    <w:bookmarkEnd w:id="65"/>
    <w:bookmarkStart w:id="67" w:name="human-advisor-benchmark"/>
    <w:p>
      <w:pPr>
        <w:pStyle w:val="Heading3"/>
      </w:pPr>
      <w:r>
        <w:t xml:space="preserve">Human-advisor benchmark</w:t>
      </w:r>
    </w:p>
    <w:p>
      <w:pPr>
        <w:pStyle w:val="FirstParagraph"/>
      </w:pPr>
      <w:r>
        <w:t xml:space="preserve">To test whether the substitution is a property of the models rather than of the task, a pre-registered benchmark (preregistration:</w:t>
      </w:r>
      <w:r>
        <w:t xml:space="preserve"> </w:t>
      </w:r>
      <w:hyperlink r:id="rId66">
        <w:r>
          <w:rPr>
            <w:rStyle w:val="Hyperlink"/>
          </w:rPr>
          <w:t xml:space="preserve">https://aspredicted.org/pv9ws7.pdf</w:t>
        </w:r>
      </w:hyperlink>
      <w:r>
        <w:t xml:space="preserve">) places human participants in the identical advisor role on the exact corpus assortments, in which four of the five products carry real, familiar brand names and the specification-optimal product carries a fictional brand name with no training-data or reputational presence, restricted to the five assortments on which the models resist the natural-language instruction to disregard brand (rosters and identifiers in Supplementary Note 34), so the participant faces the same familiar-brand appeal, the lesser-known product offers no reputation to trust, and the comparison runs where the model’s resistance is present. The deposited 30-model corpus, re-derived for these five assortments, is the matched model arm, so both arms see the same tables under the same instructions with no new model run. Participants advise across three instruction levels matching the model’s gradient (baseline; weighted, with brand marked as having zero importance; and explicit numerical weights with brand at zero, withholding computed totals and any named winner), under two frames (advising another person or choosing for themselves), and the model arm retains its full gradient. The human arm renders the brand-irrelevance instruction in the requester’s own words; a supplementary model run shows this wording does not alter the model results. Each table carries a plain-language glossary defining the technical terms in the requester’s stated criteria, plus a post-choice comprehension check, equalising a layperson’s domain knowledge to what the explicit-numeric level shows the model already has. A forced brand-influence probe and a free-text statement of the basis follow each recommendation, yielding the disclosure measures. Per the registration, five blinded crowd raters code each explanation on the pooled, source-stripped corpus of human and model justifications; unit codes are rater majorities, quality is gated by gold-standard and attention items, and reliability is reported as Krippendorff’s alpha against a pre-set target of 0.70, with a two-judge automated panel (inter-judge kappa = 0.85) as a disclosed cross-check. Participants are lay advisors recruited on Prolific, the benchmark elicits stated recommendations without monetary stakes, and the pre-registered primary contrasts are one-sided at alpha = 0.005 with model-side inference clustered on the 30 models (wild cluster bootstrap). Full instruments, the glossary, the comprehension criterion, and the pre-registration are described in Supplementary Note 34, with full texts in the release bundle.</w:t>
      </w:r>
    </w:p>
    <w:bookmarkEnd w:id="67"/>
    <w:bookmarkStart w:id="68" w:name="use-of-large-language-models"/>
    <w:p>
      <w:pPr>
        <w:pStyle w:val="Heading3"/>
      </w:pPr>
      <w:r>
        <w:t xml:space="preserve">Use of large language models</w:t>
      </w:r>
    </w:p>
    <w:p>
      <w:pPr>
        <w:pStyle w:val="FirstParagraph"/>
      </w:pPr>
      <w:r>
        <w:t xml:space="preserve">The large language models studied in this work are the research subject of the analyses reported here. No generative AI assistance was used to draft, summarise, or edit any prose, scientific reasoning, or editorial content of this manuscript. AI-based code-review assistants were used during development of the experimental harness and analysis pipeline, with that assistance confined to engineering review and debugging of code specified, designed, and ultimately authored by the human author. The author is fully accountable for all written content of this manuscript.</w:t>
      </w:r>
    </w:p>
    <w:bookmarkEnd w:id="68"/>
    <w:bookmarkEnd w:id="69"/>
    <w:bookmarkStart w:id="73" w:name="data-availability"/>
    <w:p>
      <w:pPr>
        <w:pStyle w:val="Heading2"/>
      </w:pPr>
      <w:r>
        <w:t xml:space="preserve">Data Availability</w:t>
      </w:r>
    </w:p>
    <w:p>
      <w:pPr>
        <w:pStyle w:val="FirstParagraph"/>
      </w:pPr>
      <w:r>
        <w:t xml:space="preserve">The processed computational dataset (627,491 trials across 30 models, 32 conditions, 20 categories;</w:t>
      </w:r>
      <w:r>
        <w:t xml:space="preserve"> </w:t>
      </w:r>
      <w:r>
        <w:rPr>
          <w:rStyle w:val="VerbatimChar"/>
        </w:rPr>
        <w:t xml:space="preserve">spec_resistance_EXTENDED.csv</w:t>
      </w:r>
      <w:r>
        <w:t xml:space="preserve">, 77 columns) is deposited at Zenodo (</w:t>
      </w:r>
      <w:hyperlink r:id="rId70">
        <w:r>
          <w:rPr>
            <w:rStyle w:val="Hyperlink"/>
          </w:rPr>
          <w:t xml:space="preserve">https://doi.org/10.5281/zenodo.19927068</w:t>
        </w:r>
      </w:hyperlink>
      <w:r>
        <w:t xml:space="preserve">). All code, smaller derived data, and behavioural-study anonymised CSVs are at GitHub (</w:t>
      </w:r>
      <w:hyperlink r:id="rId71">
        <w:r>
          <w:rPr>
            <w:rStyle w:val="Hyperlink"/>
          </w:rPr>
          <w:t xml:space="preserve">https://github.com/FelipeMAffonso/spec-resistance</w:t>
        </w:r>
      </w:hyperlink>
      <w:r>
        <w:t xml:space="preserve">). An interactive online explorer of the corpus, mechanism evidence, and human studies is also available at</w:t>
      </w:r>
      <w:r>
        <w:t xml:space="preserve"> </w:t>
      </w:r>
      <w:hyperlink r:id="rId72">
        <w:r>
          <w:rPr>
            <w:rStyle w:val="Hyperlink"/>
          </w:rPr>
          <w:t xml:space="preserve">https://felipemaffonso.github.io/spec-resistance-companion/</w:t>
        </w:r>
      </w:hyperlink>
      <w:r>
        <w:t xml:space="preserve">. Study 3 conversation transcripts are preserved in Cloudflare KV logs and available on request pending IRB reconfirmation.</w:t>
      </w:r>
    </w:p>
    <w:bookmarkEnd w:id="73"/>
    <w:bookmarkStart w:id="74" w:name="code-availability"/>
    <w:p>
      <w:pPr>
        <w:pStyle w:val="Heading2"/>
      </w:pPr>
      <w:r>
        <w:t xml:space="preserve">Code Availability</w:t>
      </w:r>
    </w:p>
    <w:p>
      <w:pPr>
        <w:pStyle w:val="FirstParagraph"/>
      </w:pPr>
      <w:r>
        <w:t xml:space="preserve">All code (experimental platform, LLM-as-judge harness, fine-tuning and debiasing pipelines, Modal probing/steering scripts, Study 3 Cloudflare Worker, statistical analyses, figure generation) is available at GitHub (</w:t>
      </w:r>
      <w:hyperlink r:id="rId71">
        <w:r>
          <w:rPr>
            <w:rStyle w:val="Hyperlink"/>
          </w:rPr>
          <w:t xml:space="preserve">https://github.com/FelipeMAffonso/spec-resistance</w:t>
        </w:r>
      </w:hyperlink>
      <w:r>
        <w:t xml:space="preserve">) and the data is archived at Zenodo (</w:t>
      </w:r>
      <w:hyperlink r:id="rId70">
        <w:r>
          <w:rPr>
            <w:rStyle w:val="Hyperlink"/>
          </w:rPr>
          <w:t xml:space="preserve">https://doi.org/10.5281/zenodo.19927068</w:t>
        </w:r>
      </w:hyperlink>
      <w:r>
        <w:t xml:space="preserve">). An interactive companion site at</w:t>
      </w:r>
      <w:r>
        <w:t xml:space="preserve"> </w:t>
      </w:r>
      <w:hyperlink r:id="rId72">
        <w:r>
          <w:rPr>
            <w:rStyle w:val="Hyperlink"/>
          </w:rPr>
          <w:t xml:space="preserve">https://felipemaffonso.github.io/spec-resistance-companion/</w:t>
        </w:r>
      </w:hyperlink>
      <w:r>
        <w:t xml:space="preserve"> </w:t>
      </w:r>
      <w:r>
        <w:t xml:space="preserve">provides a read-only walk-through of the analyses, sourced directly from the deposited data. The repository includes a one-command reproduction driver (</w:t>
      </w:r>
      <w:r>
        <w:rPr>
          <w:rStyle w:val="VerbatimChar"/>
        </w:rPr>
        <w:t xml:space="preserve">reproduce.py</w:t>
      </w:r>
      <w:r>
        <w:t xml:space="preserve">) that verifies dataset integrity, recomputes every manuscript statistic, regenerates every figure, and reruns every human-study analysis.</w:t>
      </w:r>
    </w:p>
    <w:bookmarkEnd w:id="74"/>
    <w:bookmarkStart w:id="75" w:name="ethics-statement"/>
    <w:p>
      <w:pPr>
        <w:pStyle w:val="Heading2"/>
      </w:pPr>
      <w:r>
        <w:t xml:space="preserve">Ethics Statement</w:t>
      </w:r>
    </w:p>
    <w:p>
      <w:pPr>
        <w:pStyle w:val="FirstParagraph"/>
      </w:pPr>
      <w:r>
        <w:t xml:space="preserve">The computational portion of this research involves controlled experiments with commercial language model APIs only; no animal or personal data were used, and no interventions affected real markets or businesses. The four behavioural studies (Studies 1A, 1B, 2, and 3) were conducted under a single IRB protocol approved by Oklahoma State University (exempt status, April 2026); the human-advisor benchmark and its crowd-rater coding study were conducted under the same exempt protocol with the identical consent form, compensation standards, debriefing, and anonymisation procedures. All participants were recruited through Prolific and provided informed consent before participation. Participants were compensated at rates meeting or exceeding the US federal minimum hourly wage and were debriefed at the end of each study. No personally identifying information was collected; all analyses use anonymised participant identifiers. The experimental deception involved presenting AI recommendations that were verbatim transcriptions of the main computational corpus and, in Study 3, presenting a single underlying model under four assistant brand skins; participants were debriefed upon completion, and no consequential purchasing decisions were made on the basis of the study materials.</w:t>
      </w:r>
    </w:p>
    <w:bookmarkEnd w:id="75"/>
    <w:bookmarkStart w:id="76" w:name="funding"/>
    <w:p>
      <w:pPr>
        <w:pStyle w:val="Heading2"/>
      </w:pPr>
      <w:r>
        <w:t xml:space="preserve">Funding</w:t>
      </w:r>
    </w:p>
    <w:p>
      <w:pPr>
        <w:pStyle w:val="FirstParagraph"/>
      </w:pPr>
      <w:r>
        <w:t xml:space="preserve">This work was supported by departmental research funds at the Spears School of Business, Oklahoma State University. The author received no specific funding from any external agency, commercial entity, or non-profit organisation.</w:t>
      </w:r>
    </w:p>
    <w:bookmarkEnd w:id="76"/>
    <w:bookmarkStart w:id="77" w:name="author-contributions"/>
    <w:p>
      <w:pPr>
        <w:pStyle w:val="Heading2"/>
      </w:pPr>
      <w:r>
        <w:t xml:space="preserve">Author Contributions</w:t>
      </w:r>
    </w:p>
    <w:p>
      <w:pPr>
        <w:pStyle w:val="FirstParagraph"/>
      </w:pPr>
      <w:r>
        <w:t xml:space="preserve">F.M.A. designed the study, developed the experimental platform, conducted the experiments, analysed the data, and wrote the manuscript.</w:t>
      </w:r>
    </w:p>
    <w:bookmarkEnd w:id="77"/>
    <w:bookmarkStart w:id="78" w:name="competing-interests"/>
    <w:p>
      <w:pPr>
        <w:pStyle w:val="Heading2"/>
      </w:pPr>
      <w:r>
        <w:t xml:space="preserve">Competing Interests</w:t>
      </w:r>
    </w:p>
    <w:p>
      <w:pPr>
        <w:pStyle w:val="FirstParagraph"/>
      </w:pPr>
      <w:r>
        <w:t xml:space="preserve">The author declares no competing interests.</w:t>
      </w:r>
    </w:p>
    <w:bookmarkEnd w:id="78"/>
    <w:bookmarkStart w:id="79" w:name="additional-information"/>
    <w:p>
      <w:pPr>
        <w:pStyle w:val="Heading2"/>
      </w:pPr>
      <w:r>
        <w:t xml:space="preserve">Additional Information</w:t>
      </w:r>
    </w:p>
    <w:p>
      <w:pPr>
        <w:pStyle w:val="FirstParagraph"/>
      </w:pPr>
      <w:r>
        <w:rPr>
          <w:b/>
          <w:bCs/>
        </w:rPr>
        <w:t xml:space="preserve">Correspondence and requests for materials</w:t>
      </w:r>
      <w:r>
        <w:t xml:space="preserve"> </w:t>
      </w:r>
      <w:r>
        <w:t xml:space="preserve">should be addressed to F.M.A. at the Spears School of Business, Oklahoma State University, 316 Business Building, Stillwater, OK 74078, USA. Email: felipe.affonso@okstate.edu. Phone: +1-405-744-1311. ORCID: 0000-0001-8928-5871.</w:t>
      </w:r>
    </w:p>
    <w:bookmarkEnd w:id="79"/>
    <w:bookmarkStart w:id="187" w:name="references"/>
    <w:p>
      <w:pPr>
        <w:pStyle w:val="Heading2"/>
      </w:pPr>
      <w:r>
        <w:t xml:space="preserve">References</w:t>
      </w:r>
    </w:p>
    <w:bookmarkStart w:id="186" w:name="refs"/>
    <w:bookmarkStart w:id="81" w:name="ref-openai2026scaling"/>
    <w:p>
      <w:pPr>
        <w:pStyle w:val="Bibliography"/>
      </w:pPr>
      <w:r>
        <w:t xml:space="preserve">1.</w:t>
      </w:r>
      <w:r>
        <w:t xml:space="preserve"> </w:t>
      </w:r>
      <w:r>
        <w:t xml:space="preserve">	</w:t>
      </w:r>
      <w:r>
        <w:t xml:space="preserve">OpenAI.</w:t>
      </w:r>
      <w:r>
        <w:t xml:space="preserve"> </w:t>
      </w:r>
      <w:hyperlink r:id="rId80">
        <w:r>
          <w:rPr>
            <w:rStyle w:val="Hyperlink"/>
          </w:rPr>
          <w:t xml:space="preserve">Scaling</w:t>
        </w:r>
        <w:r>
          <w:rPr>
            <w:rStyle w:val="Hyperlink"/>
          </w:rPr>
          <w:t xml:space="preserve"> </w:t>
        </w:r>
        <w:r>
          <w:rPr>
            <w:rStyle w:val="Hyperlink"/>
          </w:rPr>
          <w:t xml:space="preserve">AI</w:t>
        </w:r>
        <w:r>
          <w:rPr>
            <w:rStyle w:val="Hyperlink"/>
          </w:rPr>
          <w:t xml:space="preserve"> </w:t>
        </w:r>
        <w:r>
          <w:rPr>
            <w:rStyle w:val="Hyperlink"/>
          </w:rPr>
          <w:t xml:space="preserve">for everyone</w:t>
        </w:r>
      </w:hyperlink>
      <w:r>
        <w:t xml:space="preserve">. (2026).</w:t>
      </w:r>
    </w:p>
    <w:bookmarkEnd w:id="81"/>
    <w:bookmarkStart w:id="83" w:name="ref-openai2025shopping"/>
    <w:p>
      <w:pPr>
        <w:pStyle w:val="Bibliography"/>
      </w:pPr>
      <w:r>
        <w:t xml:space="preserve">2.</w:t>
      </w:r>
      <w:r>
        <w:t xml:space="preserve"> </w:t>
      </w:r>
      <w:r>
        <w:t xml:space="preserve">	</w:t>
      </w:r>
      <w:r>
        <w:t xml:space="preserve">OpenAI.</w:t>
      </w:r>
      <w:r>
        <w:t xml:space="preserve"> </w:t>
      </w:r>
      <w:hyperlink r:id="rId82">
        <w:r>
          <w:rPr>
            <w:rStyle w:val="Hyperlink"/>
          </w:rPr>
          <w:t xml:space="preserve">Introducing shopping research in</w:t>
        </w:r>
        <w:r>
          <w:rPr>
            <w:rStyle w:val="Hyperlink"/>
          </w:rPr>
          <w:t xml:space="preserve"> </w:t>
        </w:r>
        <w:r>
          <w:rPr>
            <w:rStyle w:val="Hyperlink"/>
          </w:rPr>
          <w:t xml:space="preserve">ChatGPT</w:t>
        </w:r>
      </w:hyperlink>
      <w:r>
        <w:t xml:space="preserve">. (2025).</w:t>
      </w:r>
    </w:p>
    <w:bookmarkEnd w:id="83"/>
    <w:bookmarkStart w:id="85" w:name="ref-amazon2025q3"/>
    <w:p>
      <w:pPr>
        <w:pStyle w:val="Bibliography"/>
      </w:pPr>
      <w:r>
        <w:t xml:space="preserve">3.</w:t>
      </w:r>
      <w:r>
        <w:t xml:space="preserve"> </w:t>
      </w:r>
      <w:r>
        <w:t xml:space="preserve">	</w:t>
      </w:r>
      <w:r>
        <w:t xml:space="preserve">Jassy, A.</w:t>
      </w:r>
      <w:r>
        <w:t xml:space="preserve"> </w:t>
      </w:r>
      <w:hyperlink r:id="rId84">
        <w:r>
          <w:rPr>
            <w:rStyle w:val="Hyperlink"/>
          </w:rPr>
          <w:t xml:space="preserve">Amazon.com</w:t>
        </w:r>
        <w:r>
          <w:rPr>
            <w:rStyle w:val="Hyperlink"/>
          </w:rPr>
          <w:t xml:space="preserve"> </w:t>
        </w:r>
        <w:r>
          <w:rPr>
            <w:rStyle w:val="Hyperlink"/>
          </w:rPr>
          <w:t xml:space="preserve">Q3</w:t>
        </w:r>
        <w:r>
          <w:rPr>
            <w:rStyle w:val="Hyperlink"/>
          </w:rPr>
          <w:t xml:space="preserve"> </w:t>
        </w:r>
        <w:r>
          <w:rPr>
            <w:rStyle w:val="Hyperlink"/>
          </w:rPr>
          <w:t xml:space="preserve">2025 earnings call transcript</w:t>
        </w:r>
      </w:hyperlink>
      <w:r>
        <w:t xml:space="preserve">. (2025).</w:t>
      </w:r>
    </w:p>
    <w:bookmarkEnd w:id="85"/>
    <w:bookmarkStart w:id="87" w:name="ref-mckinsey2025agentic"/>
    <w:p>
      <w:pPr>
        <w:pStyle w:val="Bibliography"/>
      </w:pPr>
      <w:r>
        <w:t xml:space="preserve">4.</w:t>
      </w:r>
      <w:r>
        <w:t xml:space="preserve"> </w:t>
      </w:r>
      <w:r>
        <w:t xml:space="preserve">	</w:t>
      </w:r>
      <w:r>
        <w:t xml:space="preserve">McKinsey &amp; Company.</w:t>
      </w:r>
      <w:r>
        <w:t xml:space="preserve"> </w:t>
      </w:r>
      <w:hyperlink r:id="rId86">
        <w:r>
          <w:rPr>
            <w:rStyle w:val="Hyperlink"/>
          </w:rPr>
          <w:t xml:space="preserve">The agentic commerce opportunity: How</w:t>
        </w:r>
        <w:r>
          <w:rPr>
            <w:rStyle w:val="Hyperlink"/>
          </w:rPr>
          <w:t xml:space="preserve"> </w:t>
        </w:r>
        <w:r>
          <w:rPr>
            <w:rStyle w:val="Hyperlink"/>
          </w:rPr>
          <w:t xml:space="preserve">AI</w:t>
        </w:r>
        <w:r>
          <w:rPr>
            <w:rStyle w:val="Hyperlink"/>
          </w:rPr>
          <w:t xml:space="preserve"> </w:t>
        </w:r>
        <w:r>
          <w:rPr>
            <w:rStyle w:val="Hyperlink"/>
          </w:rPr>
          <w:t xml:space="preserve">agents are ushering in a new era for consumers and merchants</w:t>
        </w:r>
      </w:hyperlink>
      <w:r>
        <w:t xml:space="preserve">. (2025).</w:t>
      </w:r>
    </w:p>
    <w:bookmarkEnd w:id="87"/>
    <w:bookmarkStart w:id="89" w:name="ref-google2025shopping"/>
    <w:p>
      <w:pPr>
        <w:pStyle w:val="Bibliography"/>
      </w:pPr>
      <w:r>
        <w:t xml:space="preserve">5.</w:t>
      </w:r>
      <w:r>
        <w:t xml:space="preserve"> </w:t>
      </w:r>
      <w:r>
        <w:t xml:space="preserve">	</w:t>
      </w:r>
      <w:r>
        <w:t xml:space="preserve">Google.</w:t>
      </w:r>
      <w:r>
        <w:t xml:space="preserve"> </w:t>
      </w:r>
      <w:hyperlink r:id="rId88">
        <w:r>
          <w:rPr>
            <w:rStyle w:val="Hyperlink"/>
          </w:rPr>
          <w:t xml:space="preserve">Let</w:t>
        </w:r>
        <w:r>
          <w:rPr>
            <w:rStyle w:val="Hyperlink"/>
          </w:rPr>
          <w:t xml:space="preserve"> </w:t>
        </w:r>
        <w:r>
          <w:rPr>
            <w:rStyle w:val="Hyperlink"/>
          </w:rPr>
          <w:t xml:space="preserve">AI</w:t>
        </w:r>
        <w:r>
          <w:rPr>
            <w:rStyle w:val="Hyperlink"/>
          </w:rPr>
          <w:t xml:space="preserve"> </w:t>
        </w:r>
        <w:r>
          <w:rPr>
            <w:rStyle w:val="Hyperlink"/>
          </w:rPr>
          <w:t xml:space="preserve">do the hard parts of your holiday shopping</w:t>
        </w:r>
      </w:hyperlink>
      <w:r>
        <w:t xml:space="preserve">. (2025).</w:t>
      </w:r>
    </w:p>
    <w:bookmarkEnd w:id="89"/>
    <w:bookmarkStart w:id="91" w:name="ref-dellaert2020consumer"/>
    <w:p>
      <w:pPr>
        <w:pStyle w:val="Bibliography"/>
      </w:pPr>
      <w:r>
        <w:t xml:space="preserve">6.</w:t>
      </w:r>
      <w:r>
        <w:t xml:space="preserve"> </w:t>
      </w:r>
      <w:r>
        <w:t xml:space="preserve">	</w:t>
      </w:r>
      <w:r>
        <w:t xml:space="preserve">Dellaert, B. G. C.</w:t>
      </w:r>
      <w:r>
        <w:t xml:space="preserve"> </w:t>
      </w:r>
      <w:r>
        <w:rPr>
          <w:i/>
          <w:iCs/>
        </w:rPr>
        <w:t xml:space="preserve">et al.</w:t>
      </w:r>
      <w:r>
        <w:t xml:space="preserve"> </w:t>
      </w:r>
      <w:hyperlink r:id="rId90">
        <w:r>
          <w:rPr>
            <w:rStyle w:val="Hyperlink"/>
          </w:rPr>
          <w:t xml:space="preserve">Consumer decisions with artificially intelligent voice assistants</w:t>
        </w:r>
      </w:hyperlink>
      <w:r>
        <w:t xml:space="preserve">.</w:t>
      </w:r>
      <w:r>
        <w:t xml:space="preserve"> </w:t>
      </w:r>
      <w:r>
        <w:rPr>
          <w:i/>
          <w:iCs/>
        </w:rPr>
        <w:t xml:space="preserve">Marketing Letters</w:t>
      </w:r>
      <w:r>
        <w:t xml:space="preserve"> </w:t>
      </w:r>
      <w:r>
        <w:rPr>
          <w:b/>
          <w:bCs/>
        </w:rPr>
        <w:t xml:space="preserve">31</w:t>
      </w:r>
      <w:r>
        <w:t xml:space="preserve">, 335–347 (2020).</w:t>
      </w:r>
    </w:p>
    <w:bookmarkEnd w:id="91"/>
    <w:bookmarkStart w:id="93" w:name="ref-kobis2025delegation"/>
    <w:p>
      <w:pPr>
        <w:pStyle w:val="Bibliography"/>
      </w:pPr>
      <w:r>
        <w:t xml:space="preserve">7.</w:t>
      </w:r>
      <w:r>
        <w:t xml:space="preserve"> </w:t>
      </w:r>
      <w:r>
        <w:t xml:space="preserve">	</w:t>
      </w:r>
      <w:r>
        <w:t xml:space="preserve">Köbis, N.</w:t>
      </w:r>
      <w:r>
        <w:t xml:space="preserve"> </w:t>
      </w:r>
      <w:r>
        <w:rPr>
          <w:i/>
          <w:iCs/>
        </w:rPr>
        <w:t xml:space="preserve">et al.</w:t>
      </w:r>
      <w:r>
        <w:t xml:space="preserve"> </w:t>
      </w:r>
      <w:hyperlink r:id="rId92">
        <w:r>
          <w:rPr>
            <w:rStyle w:val="Hyperlink"/>
          </w:rPr>
          <w:t xml:space="preserve">Delegation to artificial intelligence can increase dishonest behaviour</w:t>
        </w:r>
      </w:hyperlink>
      <w:r>
        <w:t xml:space="preserve">.</w:t>
      </w:r>
      <w:r>
        <w:t xml:space="preserve"> </w:t>
      </w:r>
      <w:r>
        <w:rPr>
          <w:i/>
          <w:iCs/>
        </w:rPr>
        <w:t xml:space="preserve">Nature</w:t>
      </w:r>
      <w:r>
        <w:t xml:space="preserve"> </w:t>
      </w:r>
      <w:r>
        <w:rPr>
          <w:b/>
          <w:bCs/>
        </w:rPr>
        <w:t xml:space="preserve">646</w:t>
      </w:r>
      <w:r>
        <w:t xml:space="preserve">, 126–134 (2025).</w:t>
      </w:r>
    </w:p>
    <w:bookmarkEnd w:id="93"/>
    <w:bookmarkStart w:id="95" w:name="ref-dodge2021documenting"/>
    <w:p>
      <w:pPr>
        <w:pStyle w:val="Bibliography"/>
      </w:pPr>
      <w:r>
        <w:t xml:space="preserve">8.</w:t>
      </w:r>
      <w:r>
        <w:t xml:space="preserve"> </w:t>
      </w:r>
      <w:r>
        <w:t xml:space="preserve">	</w:t>
      </w:r>
      <w:r>
        <w:t xml:space="preserve">Dodge, J.</w:t>
      </w:r>
      <w:r>
        <w:t xml:space="preserve"> </w:t>
      </w:r>
      <w:r>
        <w:rPr>
          <w:i/>
          <w:iCs/>
        </w:rPr>
        <w:t xml:space="preserve">et al.</w:t>
      </w:r>
      <w:r>
        <w:t xml:space="preserve"> Documenting large webtext corpora: A case study on the</w:t>
      </w:r>
      <w:r>
        <w:t xml:space="preserve"> </w:t>
      </w:r>
      <w:r>
        <w:t xml:space="preserve">Colossal Clean Crawled Corpus</w:t>
      </w:r>
      <w:r>
        <w:t xml:space="preserve">. in</w:t>
      </w:r>
      <w:r>
        <w:t xml:space="preserve"> </w:t>
      </w:r>
      <w:r>
        <w:rPr>
          <w:i/>
          <w:iCs/>
        </w:rPr>
        <w:t xml:space="preserve">Proceedings of the 2021 conference on empirical methods in natural language processing (EMNLP)</w:t>
      </w:r>
      <w:r>
        <w:t xml:space="preserve"> </w:t>
      </w:r>
      <w:r>
        <w:t xml:space="preserve">1286–1305 (Association for Computational Linguistics, 2021). doi:</w:t>
      </w:r>
      <w:hyperlink r:id="rId94">
        <w:r>
          <w:rPr>
            <w:rStyle w:val="Hyperlink"/>
          </w:rPr>
          <w:t xml:space="preserve">10.18653/v1/2021.emnlp-main.98</w:t>
        </w:r>
      </w:hyperlink>
      <w:r>
        <w:t xml:space="preserve">.</w:t>
      </w:r>
    </w:p>
    <w:bookmarkEnd w:id="95"/>
    <w:bookmarkStart w:id="97" w:name="ref-bender2021dangers"/>
    <w:p>
      <w:pPr>
        <w:pStyle w:val="Bibliography"/>
      </w:pPr>
      <w:r>
        <w:t xml:space="preserve">9.</w:t>
      </w:r>
      <w:r>
        <w:t xml:space="preserve"> </w:t>
      </w:r>
      <w:r>
        <w:t xml:space="preserve">	</w:t>
      </w:r>
      <w:r>
        <w:t xml:space="preserve">Bender, E. M., Gebru, T., McMillan-Major, A. &amp; Shmitchell, S. On the dangers of stochastic parrots: Can language models be too big? in</w:t>
      </w:r>
      <w:r>
        <w:t xml:space="preserve"> </w:t>
      </w:r>
      <w:r>
        <w:rPr>
          <w:i/>
          <w:iCs/>
        </w:rPr>
        <w:t xml:space="preserve">Proceedings of the 2021 ACM conference on fairness, accountability, and transparency (FAccT)</w:t>
      </w:r>
      <w:r>
        <w:t xml:space="preserve"> </w:t>
      </w:r>
      <w:r>
        <w:t xml:space="preserve">610–623 (2021). doi:</w:t>
      </w:r>
      <w:hyperlink r:id="rId96">
        <w:r>
          <w:rPr>
            <w:rStyle w:val="Hyperlink"/>
          </w:rPr>
          <w:t xml:space="preserve">10.1145/3442188.3445922</w:t>
        </w:r>
      </w:hyperlink>
      <w:r>
        <w:t xml:space="preserve">.</w:t>
      </w:r>
    </w:p>
    <w:bookmarkEnd w:id="97"/>
    <w:bookmarkStart w:id="99" w:name="ref-betley2026emergent"/>
    <w:p>
      <w:pPr>
        <w:pStyle w:val="Bibliography"/>
      </w:pPr>
      <w:r>
        <w:t xml:space="preserve">10.</w:t>
      </w:r>
      <w:r>
        <w:t xml:space="preserve"> </w:t>
      </w:r>
      <w:r>
        <w:t xml:space="preserve">	</w:t>
      </w:r>
      <w:r>
        <w:t xml:space="preserve">Betley, J.</w:t>
      </w:r>
      <w:r>
        <w:t xml:space="preserve"> </w:t>
      </w:r>
      <w:r>
        <w:rPr>
          <w:i/>
          <w:iCs/>
        </w:rPr>
        <w:t xml:space="preserve">et al.</w:t>
      </w:r>
      <w:r>
        <w:t xml:space="preserve"> </w:t>
      </w:r>
      <w:hyperlink r:id="rId98">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99"/>
    <w:bookmarkStart w:id="101" w:name="ref-greenblatt2024alignment"/>
    <w:p>
      <w:pPr>
        <w:pStyle w:val="Bibliography"/>
      </w:pPr>
      <w:r>
        <w:t xml:space="preserve">11.</w:t>
      </w:r>
      <w:r>
        <w:t xml:space="preserve"> </w:t>
      </w:r>
      <w:r>
        <w:t xml:space="preserve">	</w:t>
      </w:r>
      <w:r>
        <w:t xml:space="preserve">Greenblatt, R.</w:t>
      </w:r>
      <w:r>
        <w:t xml:space="preserve"> </w:t>
      </w:r>
      <w:r>
        <w:rPr>
          <w:i/>
          <w:iCs/>
        </w:rPr>
        <w:t xml:space="preserve">et al.</w:t>
      </w:r>
      <w:r>
        <w:t xml:space="preserve"> Alignment faking in large language models.</w:t>
      </w:r>
      <w:r>
        <w:t xml:space="preserve"> </w:t>
      </w:r>
      <w:r>
        <w:rPr>
          <w:i/>
          <w:iCs/>
        </w:rPr>
        <w:t xml:space="preserve">arXiv preprint arXiv:2412.14093</w:t>
      </w:r>
      <w:r>
        <w:t xml:space="preserve"> </w:t>
      </w:r>
      <w:hyperlink r:id="rId100">
        <w:r>
          <w:rPr>
            <w:rStyle w:val="Hyperlink"/>
          </w:rPr>
          <w:t xml:space="preserve">https://arxiv.org/abs/2412.14093</w:t>
        </w:r>
      </w:hyperlink>
      <w:r>
        <w:t xml:space="preserve"> </w:t>
      </w:r>
      <w:r>
        <w:t xml:space="preserve">(2024).</w:t>
      </w:r>
    </w:p>
    <w:bookmarkEnd w:id="101"/>
    <w:bookmarkStart w:id="103" w:name="ref-sharma2024sycophancy"/>
    <w:p>
      <w:pPr>
        <w:pStyle w:val="Bibliography"/>
      </w:pPr>
      <w:r>
        <w:t xml:space="preserve">12.</w:t>
      </w:r>
      <w:r>
        <w:t xml:space="preserve"> </w:t>
      </w:r>
      <w:r>
        <w:t xml:space="preserve">	</w:t>
      </w:r>
      <w:r>
        <w:t xml:space="preserve">Sharma, M.</w:t>
      </w:r>
      <w:r>
        <w:t xml:space="preserve"> </w:t>
      </w:r>
      <w:r>
        <w:rPr>
          <w:i/>
          <w:iCs/>
        </w:rPr>
        <w:t xml:space="preserve">et al.</w:t>
      </w:r>
      <w:r>
        <w:t xml:space="preserve"> </w:t>
      </w:r>
      <w:hyperlink r:id="rId102">
        <w:r>
          <w:rPr>
            <w:rStyle w:val="Hyperlink"/>
          </w:rPr>
          <w:t xml:space="preserve">Towards understanding sycophancy in language models</w:t>
        </w:r>
      </w:hyperlink>
      <w:r>
        <w:t xml:space="preserve">. in</w:t>
      </w:r>
      <w:r>
        <w:t xml:space="preserve"> </w:t>
      </w:r>
      <w:r>
        <w:rPr>
          <w:i/>
          <w:iCs/>
        </w:rPr>
        <w:t xml:space="preserve">Proceedings of the 12th international conference on learning representations (ICLR)</w:t>
      </w:r>
      <w:r>
        <w:t xml:space="preserve"> </w:t>
      </w:r>
      <w:r>
        <w:t xml:space="preserve">(2024).</w:t>
      </w:r>
    </w:p>
    <w:bookmarkEnd w:id="103"/>
    <w:bookmarkStart w:id="105" w:name="ref-meinke2025scheming"/>
    <w:p>
      <w:pPr>
        <w:pStyle w:val="Bibliography"/>
      </w:pPr>
      <w:r>
        <w:t xml:space="preserve">13.</w:t>
      </w:r>
      <w:r>
        <w:t xml:space="preserve"> </w:t>
      </w:r>
      <w:r>
        <w:t xml:space="preserve">	</w:t>
      </w:r>
      <w:r>
        <w:t xml:space="preserve">Meinke, A.</w:t>
      </w:r>
      <w:r>
        <w:t xml:space="preserve"> </w:t>
      </w:r>
      <w:r>
        <w:rPr>
          <w:i/>
          <w:iCs/>
        </w:rPr>
        <w:t xml:space="preserve">et al.</w:t>
      </w:r>
      <w:r>
        <w:t xml:space="preserve"> Frontier models are capable of in-context scheming.</w:t>
      </w:r>
      <w:r>
        <w:t xml:space="preserve"> </w:t>
      </w:r>
      <w:r>
        <w:rPr>
          <w:i/>
          <w:iCs/>
        </w:rPr>
        <w:t xml:space="preserve">arXiv preprint arXiv:2412.04984</w:t>
      </w:r>
      <w:r>
        <w:t xml:space="preserve"> </w:t>
      </w:r>
      <w:hyperlink r:id="rId104">
        <w:r>
          <w:rPr>
            <w:rStyle w:val="Hyperlink"/>
          </w:rPr>
          <w:t xml:space="preserve">https://arxiv.org/abs/2412.04984</w:t>
        </w:r>
      </w:hyperlink>
      <w:r>
        <w:t xml:space="preserve"> </w:t>
      </w:r>
      <w:r>
        <w:t xml:space="preserve">(2025).</w:t>
      </w:r>
    </w:p>
    <w:bookmarkEnd w:id="105"/>
    <w:bookmarkStart w:id="107" w:name="ref-hubinger2019risks"/>
    <w:p>
      <w:pPr>
        <w:pStyle w:val="Bibliography"/>
      </w:pPr>
      <w:r>
        <w:t xml:space="preserve">14.</w:t>
      </w:r>
      <w:r>
        <w:t xml:space="preserve"> </w:t>
      </w:r>
      <w:r>
        <w:t xml:space="preserve">	</w:t>
      </w:r>
      <w:r>
        <w:t xml:space="preserve">Hubinger, E., Merwijk, C. van, Mikulik, V., Skalse, J. &amp; Garrabrant, S. Risks from learned optimization in advanced machine learning systems.</w:t>
      </w:r>
      <w:r>
        <w:t xml:space="preserve"> </w:t>
      </w:r>
      <w:r>
        <w:rPr>
          <w:i/>
          <w:iCs/>
        </w:rPr>
        <w:t xml:space="preserve">arXiv preprint arXiv:1906.01820</w:t>
      </w:r>
      <w:r>
        <w:t xml:space="preserve"> </w:t>
      </w:r>
      <w:hyperlink r:id="rId106">
        <w:r>
          <w:rPr>
            <w:rStyle w:val="Hyperlink"/>
          </w:rPr>
          <w:t xml:space="preserve">https://arxiv.org/abs/1906.01820</w:t>
        </w:r>
      </w:hyperlink>
      <w:r>
        <w:t xml:space="preserve"> </w:t>
      </w:r>
      <w:r>
        <w:t xml:space="preserve">(2019).</w:t>
      </w:r>
    </w:p>
    <w:bookmarkEnd w:id="107"/>
    <w:bookmarkStart w:id="109" w:name="ref-allouah2025agentic"/>
    <w:p>
      <w:pPr>
        <w:pStyle w:val="Bibliography"/>
      </w:pPr>
      <w:r>
        <w:t xml:space="preserve">15.</w:t>
      </w:r>
      <w:r>
        <w:t xml:space="preserve"> </w:t>
      </w:r>
      <w:r>
        <w:t xml:space="preserve">	</w:t>
      </w:r>
      <w:r>
        <w:t xml:space="preserve">Allouah, A., Besbes, O., Figueroa, J. D., Kanoria, Y. &amp; Kumar, A. What is your</w:t>
      </w:r>
      <w:r>
        <w:t xml:space="preserve"> </w:t>
      </w:r>
      <w:r>
        <w:t xml:space="preserve">AI</w:t>
      </w:r>
      <w:r>
        <w:t xml:space="preserve"> </w:t>
      </w:r>
      <w:r>
        <w:t xml:space="preserve">agent buying?</w:t>
      </w:r>
      <w:r>
        <w:t xml:space="preserve"> </w:t>
      </w:r>
      <w:r>
        <w:t xml:space="preserve">Evaluation</w:t>
      </w:r>
      <w:r>
        <w:t xml:space="preserve">, biases, model dependence, and emerging implications for agentic e-commerce.</w:t>
      </w:r>
      <w:r>
        <w:t xml:space="preserve"> </w:t>
      </w:r>
      <w:r>
        <w:rPr>
          <w:i/>
          <w:iCs/>
        </w:rPr>
        <w:t xml:space="preserve">arXiv preprint arXiv:2508.02630</w:t>
      </w:r>
      <w:r>
        <w:t xml:space="preserve"> </w:t>
      </w:r>
      <w:hyperlink r:id="rId108">
        <w:r>
          <w:rPr>
            <w:rStyle w:val="Hyperlink"/>
          </w:rPr>
          <w:t xml:space="preserve">https://arxiv.org/abs/2508.02630</w:t>
        </w:r>
      </w:hyperlink>
      <w:r>
        <w:t xml:space="preserve"> </w:t>
      </w:r>
      <w:r>
        <w:t xml:space="preserve">(2025).</w:t>
      </w:r>
    </w:p>
    <w:bookmarkEnd w:id="109"/>
    <w:bookmarkStart w:id="111" w:name="ref-hoffmann2026hiring"/>
    <w:p>
      <w:pPr>
        <w:pStyle w:val="Bibliography"/>
      </w:pPr>
      <w:r>
        <w:t xml:space="preserve">16.</w:t>
      </w:r>
      <w:r>
        <w:t xml:space="preserve"> </w:t>
      </w:r>
      <w:r>
        <w:t xml:space="preserve">	</w:t>
      </w:r>
      <w:r>
        <w:t xml:space="preserve">Hoffmann, M., Jouffroy, E., Jouanneau, W., Palyart, M. &amp; Pebereau, C.</w:t>
      </w:r>
      <w:r>
        <w:t xml:space="preserve"> </w:t>
      </w:r>
      <w:hyperlink r:id="rId110">
        <w:r>
          <w:rPr>
            <w:rStyle w:val="Hyperlink"/>
          </w:rPr>
          <w:t xml:space="preserve">Evaluating LLM behavior in hiring: Implicit weights, fairness across groups, and alignment with human preferences</w:t>
        </w:r>
      </w:hyperlink>
      <w:r>
        <w:t xml:space="preserve">. (2026).</w:t>
      </w:r>
    </w:p>
    <w:bookmarkEnd w:id="111"/>
    <w:bookmarkStart w:id="113" w:name="ref-lyu2025debiasing"/>
    <w:p>
      <w:pPr>
        <w:pStyle w:val="Bibliography"/>
      </w:pPr>
      <w:r>
        <w:t xml:space="preserve">17.</w:t>
      </w:r>
      <w:r>
        <w:t xml:space="preserve"> </w:t>
      </w:r>
      <w:r>
        <w:t xml:space="preserve">	</w:t>
      </w:r>
      <w:r>
        <w:t xml:space="preserve">Lyu, Y.</w:t>
      </w:r>
      <w:r>
        <w:t xml:space="preserve"> </w:t>
      </w:r>
      <w:r>
        <w:rPr>
          <w:i/>
          <w:iCs/>
        </w:rPr>
        <w:t xml:space="preserve">et al.</w:t>
      </w:r>
      <w:r>
        <w:t xml:space="preserve"> </w:t>
      </w:r>
      <w:hyperlink r:id="rId112">
        <w:r>
          <w:rPr>
            <w:rStyle w:val="Hyperlink"/>
          </w:rPr>
          <w:t xml:space="preserve">Self-adaptive cognitive debiasing for large language models in decision-making</w:t>
        </w:r>
      </w:hyperlink>
      <w:r>
        <w:t xml:space="preserve">. (2025).</w:t>
      </w:r>
    </w:p>
    <w:bookmarkEnd w:id="113"/>
    <w:bookmarkStart w:id="115" w:name="ref-brand2023llms"/>
    <w:p>
      <w:pPr>
        <w:pStyle w:val="Bibliography"/>
      </w:pPr>
      <w:r>
        <w:t xml:space="preserve">18.</w:t>
      </w:r>
      <w:r>
        <w:t xml:space="preserve"> </w:t>
      </w:r>
      <w:r>
        <w:t xml:space="preserve">	</w:t>
      </w:r>
      <w:r>
        <w:t xml:space="preserve">Brand, J., Israeli, A. &amp; Ngwe, D. Using LLMs for market research. (2023) doi:</w:t>
      </w:r>
      <w:hyperlink r:id="rId114">
        <w:r>
          <w:rPr>
            <w:rStyle w:val="Hyperlink"/>
          </w:rPr>
          <w:t xml:space="preserve">10.2139/ssrn.4395751</w:t>
        </w:r>
      </w:hyperlink>
      <w:r>
        <w:t xml:space="preserve">.</w:t>
      </w:r>
    </w:p>
    <w:bookmarkEnd w:id="115"/>
    <w:bookmarkStart w:id="117" w:name="ref-rao2024brand"/>
    <w:p>
      <w:pPr>
        <w:pStyle w:val="Bibliography"/>
      </w:pPr>
      <w:r>
        <w:t xml:space="preserve">19.</w:t>
      </w:r>
      <w:r>
        <w:t xml:space="preserve"> </w:t>
      </w:r>
      <w:r>
        <w:t xml:space="preserve">	</w:t>
      </w:r>
      <w:r>
        <w:t xml:space="preserve">Kamruzzaman, M., Nguyen, H. M. &amp; Kim, G. L. Global is good, local is bad?: Understanding brand bias in</w:t>
      </w:r>
      <w:r>
        <w:t xml:space="preserve"> </w:t>
      </w:r>
      <w:r>
        <w:t xml:space="preserve">LLMs</w:t>
      </w:r>
      <w:r>
        <w:t xml:space="preserve">. in</w:t>
      </w:r>
      <w:r>
        <w:t xml:space="preserve"> </w:t>
      </w:r>
      <w:r>
        <w:rPr>
          <w:i/>
          <w:iCs/>
        </w:rPr>
        <w:t xml:space="preserve">Proceedings of the 2024 conference on empirical methods in natural language processing (EMNLP)</w:t>
      </w:r>
      <w:r>
        <w:t xml:space="preserve"> </w:t>
      </w:r>
      <w:r>
        <w:t xml:space="preserve">12695–12702 (Association for Computational Linguistics, 2024). doi:</w:t>
      </w:r>
      <w:hyperlink r:id="rId116">
        <w:r>
          <w:rPr>
            <w:rStyle w:val="Hyperlink"/>
          </w:rPr>
          <w:t xml:space="preserve">10.18653/v1/2024.emnlp-main.707</w:t>
        </w:r>
      </w:hyperlink>
      <w:r>
        <w:t xml:space="preserve">.</w:t>
      </w:r>
    </w:p>
    <w:bookmarkEnd w:id="117"/>
    <w:bookmarkStart w:id="119" w:name="ref-ross2024llm"/>
    <w:p>
      <w:pPr>
        <w:pStyle w:val="Bibliography"/>
      </w:pPr>
      <w:r>
        <w:t xml:space="preserve">20.</w:t>
      </w:r>
      <w:r>
        <w:t xml:space="preserve"> </w:t>
      </w:r>
      <w:r>
        <w:t xml:space="preserve">	</w:t>
      </w:r>
      <w:r>
        <w:t xml:space="preserve">Ross, J., Kim, Y. &amp; Lo, A. W.</w:t>
      </w:r>
      <w:r>
        <w:t xml:space="preserve"> </w:t>
      </w:r>
      <w:hyperlink r:id="rId118">
        <w:r>
          <w:rPr>
            <w:rStyle w:val="Hyperlink"/>
          </w:rPr>
          <w:t xml:space="preserve">LLM</w:t>
        </w:r>
        <w:r>
          <w:rPr>
            <w:rStyle w:val="Hyperlink"/>
          </w:rPr>
          <w:t xml:space="preserve"> </w:t>
        </w:r>
        <w:r>
          <w:rPr>
            <w:rStyle w:val="Hyperlink"/>
          </w:rPr>
          <w:t xml:space="preserve">economicus?</w:t>
        </w:r>
        <w:r>
          <w:rPr>
            <w:rStyle w:val="Hyperlink"/>
          </w:rPr>
          <w:t xml:space="preserve"> </w:t>
        </w:r>
        <w:r>
          <w:rPr>
            <w:rStyle w:val="Hyperlink"/>
          </w:rPr>
          <w:t xml:space="preserve">Mapping</w:t>
        </w:r>
        <w:r>
          <w:rPr>
            <w:rStyle w:val="Hyperlink"/>
          </w:rPr>
          <w:t xml:space="preserve"> </w:t>
        </w:r>
        <w:r>
          <w:rPr>
            <w:rStyle w:val="Hyperlink"/>
          </w:rPr>
          <w:t xml:space="preserve">the behavioral biases of</w:t>
        </w:r>
        <w:r>
          <w:rPr>
            <w:rStyle w:val="Hyperlink"/>
          </w:rPr>
          <w:t xml:space="preserve"> </w:t>
        </w:r>
        <w:r>
          <w:rPr>
            <w:rStyle w:val="Hyperlink"/>
          </w:rPr>
          <w:t xml:space="preserve">LLMs</w:t>
        </w:r>
        <w:r>
          <w:rPr>
            <w:rStyle w:val="Hyperlink"/>
          </w:rPr>
          <w:t xml:space="preserve"> </w:t>
        </w:r>
        <w:r>
          <w:rPr>
            <w:rStyle w:val="Hyperlink"/>
          </w:rPr>
          <w:t xml:space="preserve">via utility theory</w:t>
        </w:r>
      </w:hyperlink>
      <w:r>
        <w:t xml:space="preserve">. in</w:t>
      </w:r>
      <w:r>
        <w:t xml:space="preserve"> </w:t>
      </w:r>
      <w:r>
        <w:rPr>
          <w:i/>
          <w:iCs/>
        </w:rPr>
        <w:t xml:space="preserve">Proceedings of the 1st conference on language modeling (COLM)</w:t>
      </w:r>
      <w:r>
        <w:t xml:space="preserve"> </w:t>
      </w:r>
      <w:r>
        <w:t xml:space="preserve">(2024).</w:t>
      </w:r>
    </w:p>
    <w:bookmarkEnd w:id="119"/>
    <w:bookmarkStart w:id="122" w:name="ref-bini2026behavioral"/>
    <w:p>
      <w:pPr>
        <w:pStyle w:val="Bibliography"/>
      </w:pPr>
      <w:r>
        <w:t xml:space="preserve">21.</w:t>
      </w:r>
      <w:r>
        <w:t xml:space="preserve"> </w:t>
      </w:r>
      <w:r>
        <w:t xml:space="preserve">	</w:t>
      </w:r>
      <w:r>
        <w:t xml:space="preserve">Bini, P., Cong, L. W., Huang, X. &amp; Jin, L. J.</w:t>
      </w:r>
      <w:r>
        <w:t xml:space="preserve"> </w:t>
      </w:r>
      <w:r>
        <w:rPr>
          <w:i/>
          <w:iCs/>
        </w:rPr>
        <w:t xml:space="preserve">Behavioral Economics of</w:t>
      </w:r>
      <w:r>
        <w:rPr>
          <w:i/>
          <w:iCs/>
        </w:rPr>
        <w:t xml:space="preserve"> </w:t>
      </w:r>
      <w:r>
        <w:rPr>
          <w:i/>
          <w:iCs/>
        </w:rPr>
        <w:t xml:space="preserve">AI</w:t>
      </w:r>
      <w:r>
        <w:rPr>
          <w:i/>
          <w:iCs/>
        </w:rPr>
        <w:t xml:space="preserve">:</w:t>
      </w:r>
      <w:r>
        <w:rPr>
          <w:i/>
          <w:iCs/>
        </w:rPr>
        <w:t xml:space="preserve"> </w:t>
      </w:r>
      <w:r>
        <w:rPr>
          <w:i/>
          <w:iCs/>
        </w:rPr>
        <w:t xml:space="preserve">LLM</w:t>
      </w:r>
      <w:r>
        <w:rPr>
          <w:i/>
          <w:iCs/>
        </w:rPr>
        <w:t xml:space="preserve"> </w:t>
      </w:r>
      <w:r>
        <w:rPr>
          <w:i/>
          <w:iCs/>
        </w:rPr>
        <w:t xml:space="preserve">Biases and Corrections</w:t>
      </w:r>
      <w:r>
        <w:t xml:space="preserve">.</w:t>
      </w:r>
      <w:r>
        <w:t xml:space="preserve"> </w:t>
      </w:r>
      <w:hyperlink r:id="rId120">
        <w:r>
          <w:rPr>
            <w:rStyle w:val="Hyperlink"/>
          </w:rPr>
          <w:t xml:space="preserve">https://arxiv.org/abs/2602.09362</w:t>
        </w:r>
      </w:hyperlink>
      <w:r>
        <w:t xml:space="preserve"> </w:t>
      </w:r>
      <w:r>
        <w:t xml:space="preserve">(2026) doi:</w:t>
      </w:r>
      <w:hyperlink r:id="rId121">
        <w:r>
          <w:rPr>
            <w:rStyle w:val="Hyperlink"/>
          </w:rPr>
          <w:t xml:space="preserve">10.3386/w34745</w:t>
        </w:r>
      </w:hyperlink>
      <w:r>
        <w:t xml:space="preserve">.</w:t>
      </w:r>
    </w:p>
    <w:bookmarkEnd w:id="122"/>
    <w:bookmarkStart w:id="124" w:name="ref-filandrianos2025bias"/>
    <w:p>
      <w:pPr>
        <w:pStyle w:val="Bibliography"/>
      </w:pPr>
      <w:r>
        <w:t xml:space="preserve">22.</w:t>
      </w:r>
      <w:r>
        <w:t xml:space="preserve"> </w:t>
      </w:r>
      <w:r>
        <w:t xml:space="preserve">	</w:t>
      </w:r>
      <w:r>
        <w:t xml:space="preserve">Filandrianos, G., Dimitriou, A., Lymperaiou, M., Thomas, K. &amp; Stamou, G.</w:t>
      </w:r>
      <w:r>
        <w:t xml:space="preserve"> </w:t>
      </w:r>
      <w:hyperlink r:id="rId123">
        <w:r>
          <w:rPr>
            <w:rStyle w:val="Hyperlink"/>
          </w:rPr>
          <w:t xml:space="preserve">Bias beware: The impact of cognitive biases on</w:t>
        </w:r>
        <w:r>
          <w:rPr>
            <w:rStyle w:val="Hyperlink"/>
          </w:rPr>
          <w:t xml:space="preserve"> </w:t>
        </w:r>
        <w:r>
          <w:rPr>
            <w:rStyle w:val="Hyperlink"/>
          </w:rPr>
          <w:t xml:space="preserve">LLM</w:t>
        </w:r>
        <w:r>
          <w:rPr>
            <w:rStyle w:val="Hyperlink"/>
          </w:rPr>
          <w:t xml:space="preserve">-driven product recommendations</w:t>
        </w:r>
      </w:hyperlink>
      <w:r>
        <w:t xml:space="preserve">. in</w:t>
      </w:r>
      <w:r>
        <w:t xml:space="preserve"> </w:t>
      </w:r>
      <w:r>
        <w:rPr>
          <w:i/>
          <w:iCs/>
        </w:rPr>
        <w:t xml:space="preserve">Proceedings of the 2025 conference on empirical methods in natural language processing (EMNLP)</w:t>
      </w:r>
      <w:r>
        <w:t xml:space="preserve"> </w:t>
      </w:r>
      <w:r>
        <w:t xml:space="preserve">(2025).</w:t>
      </w:r>
    </w:p>
    <w:bookmarkEnd w:id="124"/>
    <w:bookmarkStart w:id="126" w:name="ref-logg2019algorithm"/>
    <w:p>
      <w:pPr>
        <w:pStyle w:val="Bibliography"/>
      </w:pPr>
      <w:r>
        <w:t xml:space="preserve">23.</w:t>
      </w:r>
      <w:r>
        <w:t xml:space="preserve"> </w:t>
      </w:r>
      <w:r>
        <w:t xml:space="preserve">	</w:t>
      </w:r>
      <w:r>
        <w:t xml:space="preserve">Logg, J. M., Minson, J. A. &amp; Moore, D. A.</w:t>
      </w:r>
      <w:r>
        <w:t xml:space="preserve"> </w:t>
      </w:r>
      <w:hyperlink r:id="rId125">
        <w:r>
          <w:rPr>
            <w:rStyle w:val="Hyperlink"/>
          </w:rPr>
          <w:t xml:space="preserve">Algorithm appreciation: People prefer algorithmic to human judgment</w:t>
        </w:r>
      </w:hyperlink>
      <w:r>
        <w:t xml:space="preserve">.</w:t>
      </w:r>
      <w:r>
        <w:t xml:space="preserve"> </w:t>
      </w:r>
      <w:r>
        <w:rPr>
          <w:i/>
          <w:iCs/>
        </w:rPr>
        <w:t xml:space="preserve">Organizational Behavior and Human Decision Processes</w:t>
      </w:r>
      <w:r>
        <w:t xml:space="preserve"> </w:t>
      </w:r>
      <w:r>
        <w:rPr>
          <w:b/>
          <w:bCs/>
        </w:rPr>
        <w:t xml:space="preserve">151</w:t>
      </w:r>
      <w:r>
        <w:t xml:space="preserve">, 90–103 (2019).</w:t>
      </w:r>
    </w:p>
    <w:bookmarkEnd w:id="126"/>
    <w:bookmarkStart w:id="128" w:name="ref-nisbett1977telling"/>
    <w:p>
      <w:pPr>
        <w:pStyle w:val="Bibliography"/>
      </w:pPr>
      <w:r>
        <w:t xml:space="preserve">24.</w:t>
      </w:r>
      <w:r>
        <w:t xml:space="preserve"> </w:t>
      </w:r>
      <w:r>
        <w:t xml:space="preserve">	</w:t>
      </w:r>
      <w:r>
        <w:t xml:space="preserve">Nisbett, R. E. &amp; Wilson, T. D.</w:t>
      </w:r>
      <w:r>
        <w:t xml:space="preserve"> </w:t>
      </w:r>
      <w:hyperlink r:id="rId127">
        <w:r>
          <w:rPr>
            <w:rStyle w:val="Hyperlink"/>
          </w:rPr>
          <w:t xml:space="preserve">Telling more than we can know:</w:t>
        </w:r>
        <w:r>
          <w:rPr>
            <w:rStyle w:val="Hyperlink"/>
          </w:rPr>
          <w:t xml:space="preserve"> </w:t>
        </w:r>
        <w:r>
          <w:rPr>
            <w:rStyle w:val="Hyperlink"/>
          </w:rPr>
          <w:t xml:space="preserve">V</w:t>
        </w:r>
        <w:r>
          <w:rPr>
            <w:rStyle w:val="Hyperlink"/>
          </w:rPr>
          <w:t xml:space="preserve">erbal reports on mental processes</w:t>
        </w:r>
      </w:hyperlink>
      <w:r>
        <w:t xml:space="preserve">.</w:t>
      </w:r>
      <w:r>
        <w:t xml:space="preserve"> </w:t>
      </w:r>
      <w:r>
        <w:rPr>
          <w:i/>
          <w:iCs/>
        </w:rPr>
        <w:t xml:space="preserve">Psychological Review</w:t>
      </w:r>
      <w:r>
        <w:t xml:space="preserve"> </w:t>
      </w:r>
      <w:r>
        <w:rPr>
          <w:b/>
          <w:bCs/>
        </w:rPr>
        <w:t xml:space="preserve">84</w:t>
      </w:r>
      <w:r>
        <w:t xml:space="preserve">, 231–259 (1977).</w:t>
      </w:r>
    </w:p>
    <w:bookmarkEnd w:id="128"/>
    <w:bookmarkStart w:id="130" w:name="ref-hu2022lora"/>
    <w:p>
      <w:pPr>
        <w:pStyle w:val="Bibliography"/>
      </w:pPr>
      <w:r>
        <w:t xml:space="preserve">25.</w:t>
      </w:r>
      <w:r>
        <w:t xml:space="preserve"> </w:t>
      </w:r>
      <w:r>
        <w:t xml:space="preserve">	</w:t>
      </w:r>
      <w:r>
        <w:t xml:space="preserve">Hu, E. J.</w:t>
      </w:r>
      <w:r>
        <w:t xml:space="preserve"> </w:t>
      </w:r>
      <w:r>
        <w:rPr>
          <w:i/>
          <w:iCs/>
        </w:rPr>
        <w:t xml:space="preserve">et al.</w:t>
      </w:r>
      <w:r>
        <w:t xml:space="preserve"> </w:t>
      </w:r>
      <w:hyperlink r:id="rId129">
        <w:r>
          <w:rPr>
            <w:rStyle w:val="Hyperlink"/>
          </w:rPr>
          <w:t xml:space="preserve">LoRA: Low-rank adaptation of large language models</w:t>
        </w:r>
      </w:hyperlink>
      <w:r>
        <w:t xml:space="preserve">. in</w:t>
      </w:r>
      <w:r>
        <w:t xml:space="preserve"> </w:t>
      </w:r>
      <w:r>
        <w:rPr>
          <w:i/>
          <w:iCs/>
        </w:rPr>
        <w:t xml:space="preserve">International conference on learning representations (ICLR)</w:t>
      </w:r>
      <w:r>
        <w:t xml:space="preserve"> </w:t>
      </w:r>
      <w:r>
        <w:t xml:space="preserve">(2022).</w:t>
      </w:r>
    </w:p>
    <w:bookmarkEnd w:id="130"/>
    <w:bookmarkStart w:id="132" w:name="ref-alain2017understanding"/>
    <w:p>
      <w:pPr>
        <w:pStyle w:val="Bibliography"/>
      </w:pPr>
      <w:r>
        <w:t xml:space="preserve">26.</w:t>
      </w:r>
      <w:r>
        <w:t xml:space="preserve"> </w:t>
      </w:r>
      <w:r>
        <w:t xml:space="preserve">	</w:t>
      </w:r>
      <w:r>
        <w:t xml:space="preserve">Alain, G. &amp; Bengio, Y. Understanding intermediate layers using linear classifier probes.</w:t>
      </w:r>
      <w:r>
        <w:t xml:space="preserve"> </w:t>
      </w:r>
      <w:r>
        <w:rPr>
          <w:i/>
          <w:iCs/>
        </w:rPr>
        <w:t xml:space="preserve">arXiv preprint arXiv:1610.01644</w:t>
      </w:r>
      <w:r>
        <w:t xml:space="preserve"> </w:t>
      </w:r>
      <w:hyperlink r:id="rId131">
        <w:r>
          <w:rPr>
            <w:rStyle w:val="Hyperlink"/>
          </w:rPr>
          <w:t xml:space="preserve">https://arxiv.org/abs/1610.01644</w:t>
        </w:r>
      </w:hyperlink>
      <w:r>
        <w:t xml:space="preserve"> </w:t>
      </w:r>
      <w:r>
        <w:t xml:space="preserve">(2017).</w:t>
      </w:r>
    </w:p>
    <w:bookmarkEnd w:id="132"/>
    <w:bookmarkStart w:id="134" w:name="ref-elhage2021framework"/>
    <w:p>
      <w:pPr>
        <w:pStyle w:val="Bibliography"/>
      </w:pPr>
      <w:r>
        <w:t xml:space="preserve">27.</w:t>
      </w:r>
      <w:r>
        <w:t xml:space="preserve"> </w:t>
      </w:r>
      <w:r>
        <w:t xml:space="preserve">	</w:t>
      </w:r>
      <w:r>
        <w:t xml:space="preserve">Elhage, N.</w:t>
      </w:r>
      <w:r>
        <w:t xml:space="preserve"> </w:t>
      </w:r>
      <w:r>
        <w:rPr>
          <w:i/>
          <w:iCs/>
        </w:rPr>
        <w:t xml:space="preserve">et al.</w:t>
      </w:r>
      <w:r>
        <w:t xml:space="preserve"> A mathematical framework for transformer circuits.</w:t>
      </w:r>
      <w:r>
        <w:t xml:space="preserve"> </w:t>
      </w:r>
      <w:r>
        <w:rPr>
          <w:i/>
          <w:iCs/>
        </w:rPr>
        <w:t xml:space="preserve">Transformer Circuits Thread</w:t>
      </w:r>
      <w:r>
        <w:t xml:space="preserve"> </w:t>
      </w:r>
      <w:hyperlink r:id="rId133">
        <w:r>
          <w:rPr>
            <w:rStyle w:val="Hyperlink"/>
          </w:rPr>
          <w:t xml:space="preserve">https://transformer-circuits.pub/2021/framework/index.html</w:t>
        </w:r>
      </w:hyperlink>
      <w:r>
        <w:t xml:space="preserve"> </w:t>
      </w:r>
      <w:r>
        <w:t xml:space="preserve">(2021).</w:t>
      </w:r>
    </w:p>
    <w:bookmarkEnd w:id="134"/>
    <w:bookmarkStart w:id="136" w:name="ref-rimsky2024steering"/>
    <w:p>
      <w:pPr>
        <w:pStyle w:val="Bibliography"/>
      </w:pPr>
      <w:r>
        <w:t xml:space="preserve">28.</w:t>
      </w:r>
      <w:r>
        <w:t xml:space="preserve"> </w:t>
      </w:r>
      <w:r>
        <w:t xml:space="preserve">	</w:t>
      </w:r>
      <w:r>
        <w:t xml:space="preserve">Rimsky, N.</w:t>
      </w:r>
      <w:r>
        <w:t xml:space="preserve"> </w:t>
      </w:r>
      <w:r>
        <w:rPr>
          <w:i/>
          <w:iCs/>
        </w:rPr>
        <w:t xml:space="preserve">et al.</w:t>
      </w:r>
      <w:r>
        <w:t xml:space="preserve"> Steering llama 2 via contrastive activation addition. in</w:t>
      </w:r>
      <w:r>
        <w:t xml:space="preserve"> </w:t>
      </w:r>
      <w:r>
        <w:rPr>
          <w:i/>
          <w:iCs/>
        </w:rPr>
        <w:t xml:space="preserve">Proceedings of the 62nd annual meeting of the association for computational linguistics (volume 1: Long papers)</w:t>
      </w:r>
      <w:r>
        <w:t xml:space="preserve"> </w:t>
      </w:r>
      <w:r>
        <w:t xml:space="preserve">15504–15522 (Association for Computational Linguistics, 2024). doi:</w:t>
      </w:r>
      <w:hyperlink r:id="rId135">
        <w:r>
          <w:rPr>
            <w:rStyle w:val="Hyperlink"/>
          </w:rPr>
          <w:t xml:space="preserve">10.18653/v1/2024.acl-long.828</w:t>
        </w:r>
      </w:hyperlink>
      <w:r>
        <w:t xml:space="preserve">.</w:t>
      </w:r>
    </w:p>
    <w:bookmarkEnd w:id="136"/>
    <w:bookmarkStart w:id="138" w:name="ref-ouyang2022instructgpt"/>
    <w:p>
      <w:pPr>
        <w:pStyle w:val="Bibliography"/>
      </w:pPr>
      <w:r>
        <w:t xml:space="preserve">29.</w:t>
      </w:r>
      <w:r>
        <w:t xml:space="preserve"> </w:t>
      </w:r>
      <w:r>
        <w:t xml:space="preserve">	</w:t>
      </w:r>
      <w:r>
        <w:t xml:space="preserve">Ouyang, L.</w:t>
      </w:r>
      <w:r>
        <w:t xml:space="preserve"> </w:t>
      </w:r>
      <w:r>
        <w:rPr>
          <w:i/>
          <w:iCs/>
        </w:rPr>
        <w:t xml:space="preserve">et al.</w:t>
      </w:r>
      <w:r>
        <w:t xml:space="preserve"> </w:t>
      </w:r>
      <w:hyperlink r:id="rId137">
        <w:r>
          <w:rPr>
            <w:rStyle w:val="Hyperlink"/>
          </w:rPr>
          <w:t xml:space="preserve">Training language models to follow instructions with human feedback</w:t>
        </w:r>
      </w:hyperlink>
      <w:r>
        <w:t xml:space="preserve">. in</w:t>
      </w:r>
      <w:r>
        <w:t xml:space="preserve"> </w:t>
      </w:r>
      <w:r>
        <w:rPr>
          <w:i/>
          <w:iCs/>
        </w:rPr>
        <w:t xml:space="preserve">Advances in neural information processing systems (NeurIPS)</w:t>
      </w:r>
      <w:r>
        <w:t xml:space="preserve"> </w:t>
      </w:r>
      <w:r>
        <w:t xml:space="preserve">vol. 35 27730–27744 (2022).</w:t>
      </w:r>
    </w:p>
    <w:bookmarkEnd w:id="138"/>
    <w:bookmarkStart w:id="140" w:name="ref-christiano2017deep"/>
    <w:p>
      <w:pPr>
        <w:pStyle w:val="Bibliography"/>
      </w:pPr>
      <w:r>
        <w:t xml:space="preserve">30.</w:t>
      </w:r>
      <w:r>
        <w:t xml:space="preserve"> </w:t>
      </w:r>
      <w:r>
        <w:t xml:space="preserve">	</w:t>
      </w:r>
      <w:r>
        <w:t xml:space="preserve">Christiano, P. F.</w:t>
      </w:r>
      <w:r>
        <w:t xml:space="preserve"> </w:t>
      </w:r>
      <w:r>
        <w:rPr>
          <w:i/>
          <w:iCs/>
        </w:rPr>
        <w:t xml:space="preserve">et al.</w:t>
      </w:r>
      <w:r>
        <w:t xml:space="preserve"> </w:t>
      </w:r>
      <w:hyperlink r:id="rId139">
        <w:r>
          <w:rPr>
            <w:rStyle w:val="Hyperlink"/>
          </w:rPr>
          <w:t xml:space="preserve">Deep reinforcement learning from human preferences</w:t>
        </w:r>
      </w:hyperlink>
      <w:r>
        <w:t xml:space="preserve">. in</w:t>
      </w:r>
      <w:r>
        <w:t xml:space="preserve"> </w:t>
      </w:r>
      <w:r>
        <w:rPr>
          <w:i/>
          <w:iCs/>
        </w:rPr>
        <w:t xml:space="preserve">Advances in neural information processing systems</w:t>
      </w:r>
      <w:r>
        <w:t xml:space="preserve"> </w:t>
      </w:r>
      <w:r>
        <w:t xml:space="preserve">vol. 30 4299–4307 (2017).</w:t>
      </w:r>
    </w:p>
    <w:bookmarkEnd w:id="140"/>
    <w:bookmarkStart w:id="142" w:name="ref-stucke2025antitrust"/>
    <w:p>
      <w:pPr>
        <w:pStyle w:val="Bibliography"/>
      </w:pPr>
      <w:r>
        <w:t xml:space="preserve">31.</w:t>
      </w:r>
      <w:r>
        <w:t xml:space="preserve"> </w:t>
      </w:r>
      <w:r>
        <w:t xml:space="preserve">	</w:t>
      </w:r>
      <w:r>
        <w:t xml:space="preserve">Stucke, M. E. &amp; Ezrachi, A.</w:t>
      </w:r>
      <w:r>
        <w:t xml:space="preserve"> </w:t>
      </w:r>
      <w:hyperlink r:id="rId141">
        <w:r>
          <w:rPr>
            <w:rStyle w:val="Hyperlink"/>
          </w:rPr>
          <w:t xml:space="preserve">Antitrust &amp;</w:t>
        </w:r>
        <w:r>
          <w:rPr>
            <w:rStyle w:val="Hyperlink"/>
          </w:rPr>
          <w:t xml:space="preserve"> </w:t>
        </w:r>
        <w:r>
          <w:rPr>
            <w:rStyle w:val="Hyperlink"/>
          </w:rPr>
          <w:t xml:space="preserve">AI</w:t>
        </w:r>
        <w:r>
          <w:rPr>
            <w:rStyle w:val="Hyperlink"/>
          </w:rPr>
          <w:t xml:space="preserve"> </w:t>
        </w:r>
        <w:r>
          <w:rPr>
            <w:rStyle w:val="Hyperlink"/>
          </w:rPr>
          <w:t xml:space="preserve">supply chains</w:t>
        </w:r>
      </w:hyperlink>
      <w:r>
        <w:t xml:space="preserve">.</w:t>
      </w:r>
      <w:r>
        <w:t xml:space="preserve"> </w:t>
      </w:r>
      <w:r>
        <w:rPr>
          <w:i/>
          <w:iCs/>
        </w:rPr>
        <w:t xml:space="preserve">Theoretical Inquiries in Law</w:t>
      </w:r>
      <w:r>
        <w:t xml:space="preserve"> </w:t>
      </w:r>
      <w:r>
        <w:rPr>
          <w:b/>
          <w:bCs/>
        </w:rPr>
        <w:t xml:space="preserve">26</w:t>
      </w:r>
      <w:r>
        <w:t xml:space="preserve">, 147–182 (2025).</w:t>
      </w:r>
    </w:p>
    <w:bookmarkEnd w:id="142"/>
    <w:bookmarkStart w:id="144" w:name="ref-keller1993brand"/>
    <w:p>
      <w:pPr>
        <w:pStyle w:val="Bibliography"/>
      </w:pPr>
      <w:r>
        <w:t xml:space="preserve">32.</w:t>
      </w:r>
      <w:r>
        <w:t xml:space="preserve"> </w:t>
      </w:r>
      <w:r>
        <w:t xml:space="preserve">	</w:t>
      </w:r>
      <w:r>
        <w:t xml:space="preserve">Keller, K. L.</w:t>
      </w:r>
      <w:r>
        <w:t xml:space="preserve"> </w:t>
      </w:r>
      <w:hyperlink r:id="rId143">
        <w:r>
          <w:rPr>
            <w:rStyle w:val="Hyperlink"/>
          </w:rPr>
          <w:t xml:space="preserve">Conceptualizing, measuring, and managing customer-based brand equity</w:t>
        </w:r>
      </w:hyperlink>
      <w:r>
        <w:t xml:space="preserve">.</w:t>
      </w:r>
      <w:r>
        <w:t xml:space="preserve"> </w:t>
      </w:r>
      <w:r>
        <w:rPr>
          <w:i/>
          <w:iCs/>
        </w:rPr>
        <w:t xml:space="preserve">Journal of Marketing</w:t>
      </w:r>
      <w:r>
        <w:t xml:space="preserve"> </w:t>
      </w:r>
      <w:r>
        <w:rPr>
          <w:b/>
          <w:bCs/>
        </w:rPr>
        <w:t xml:space="preserve">57</w:t>
      </w:r>
      <w:r>
        <w:t xml:space="preserve">, 1–22 (1993).</w:t>
      </w:r>
    </w:p>
    <w:bookmarkEnd w:id="144"/>
    <w:bookmarkStart w:id="146" w:name="ref-nedungadi1990recall"/>
    <w:p>
      <w:pPr>
        <w:pStyle w:val="Bibliography"/>
      </w:pPr>
      <w:r>
        <w:t xml:space="preserve">33.</w:t>
      </w:r>
      <w:r>
        <w:t xml:space="preserve"> </w:t>
      </w:r>
      <w:r>
        <w:t xml:space="preserve">	</w:t>
      </w:r>
      <w:r>
        <w:t xml:space="preserve">Nedungadi, P.</w:t>
      </w:r>
      <w:r>
        <w:t xml:space="preserve"> </w:t>
      </w:r>
      <w:hyperlink r:id="rId145">
        <w:r>
          <w:rPr>
            <w:rStyle w:val="Hyperlink"/>
          </w:rPr>
          <w:t xml:space="preserve">Recall and consumer consideration sets: Influencing choice without altering brand evaluations</w:t>
        </w:r>
      </w:hyperlink>
      <w:r>
        <w:t xml:space="preserve">.</w:t>
      </w:r>
      <w:r>
        <w:t xml:space="preserve"> </w:t>
      </w:r>
      <w:r>
        <w:rPr>
          <w:i/>
          <w:iCs/>
        </w:rPr>
        <w:t xml:space="preserve">Journal of Consumer Research</w:t>
      </w:r>
      <w:r>
        <w:t xml:space="preserve"> </w:t>
      </w:r>
      <w:r>
        <w:rPr>
          <w:b/>
          <w:bCs/>
        </w:rPr>
        <w:t xml:space="preserve">17</w:t>
      </w:r>
      <w:r>
        <w:t xml:space="preserve">, 263–276 (1990).</w:t>
      </w:r>
    </w:p>
    <w:bookmarkEnd w:id="146"/>
    <w:bookmarkStart w:id="148" w:name="ref-templeton2024scaling"/>
    <w:p>
      <w:pPr>
        <w:pStyle w:val="Bibliography"/>
      </w:pPr>
      <w:r>
        <w:t xml:space="preserve">34.</w:t>
      </w:r>
      <w:r>
        <w:t xml:space="preserve"> </w:t>
      </w:r>
      <w:r>
        <w:t xml:space="preserve">	</w:t>
      </w:r>
      <w:r>
        <w:t xml:space="preserve">Templeton, A.</w:t>
      </w:r>
      <w:r>
        <w:t xml:space="preserve"> </w:t>
      </w:r>
      <w:r>
        <w:rPr>
          <w:i/>
          <w:iCs/>
        </w:rPr>
        <w:t xml:space="preserve">et al.</w:t>
      </w:r>
      <w:r>
        <w:t xml:space="preserve"> Scaling monosemanticity: Extracting interpretable features from claude 3 sonnet.</w:t>
      </w:r>
      <w:r>
        <w:t xml:space="preserve"> </w:t>
      </w:r>
      <w:r>
        <w:rPr>
          <w:i/>
          <w:iCs/>
        </w:rPr>
        <w:t xml:space="preserve">Anthropic Research Update</w:t>
      </w:r>
      <w:r>
        <w:t xml:space="preserve"> </w:t>
      </w:r>
      <w:hyperlink r:id="rId147">
        <w:r>
          <w:rPr>
            <w:rStyle w:val="Hyperlink"/>
          </w:rPr>
          <w:t xml:space="preserve">https://transformer-circuits.pub/2024/scaling-monosemanticity/</w:t>
        </w:r>
      </w:hyperlink>
      <w:r>
        <w:t xml:space="preserve"> </w:t>
      </w:r>
      <w:r>
        <w:t xml:space="preserve">(2024).</w:t>
      </w:r>
    </w:p>
    <w:bookmarkEnd w:id="148"/>
    <w:bookmarkStart w:id="150" w:name="ref-park2023linear"/>
    <w:p>
      <w:pPr>
        <w:pStyle w:val="Bibliography"/>
      </w:pPr>
      <w:r>
        <w:t xml:space="preserve">35.</w:t>
      </w:r>
      <w:r>
        <w:t xml:space="preserve"> </w:t>
      </w:r>
      <w:r>
        <w:t xml:space="preserve">	</w:t>
      </w:r>
      <w:r>
        <w:t xml:space="preserve">Park, K., Choe, Y. J. &amp; Veitch, V. The linear representation hypothesis and the geometry of large language models.</w:t>
      </w:r>
      <w:r>
        <w:t xml:space="preserve"> </w:t>
      </w:r>
      <w:r>
        <w:rPr>
          <w:i/>
          <w:iCs/>
        </w:rPr>
        <w:t xml:space="preserve">arXiv preprint arXiv:2311.03658</w:t>
      </w:r>
      <w:r>
        <w:t xml:space="preserve"> </w:t>
      </w:r>
      <w:hyperlink r:id="rId149">
        <w:r>
          <w:rPr>
            <w:rStyle w:val="Hyperlink"/>
          </w:rPr>
          <w:t xml:space="preserve">https://arxiv.org/abs/2311.03658</w:t>
        </w:r>
      </w:hyperlink>
      <w:r>
        <w:t xml:space="preserve"> </w:t>
      </w:r>
      <w:r>
        <w:t xml:space="preserve">(2023).</w:t>
      </w:r>
    </w:p>
    <w:bookmarkEnd w:id="150"/>
    <w:bookmarkStart w:id="152" w:name="ref-bai2022constitutional"/>
    <w:p>
      <w:pPr>
        <w:pStyle w:val="Bibliography"/>
      </w:pPr>
      <w:r>
        <w:t xml:space="preserve">36.</w:t>
      </w:r>
      <w:r>
        <w:t xml:space="preserve"> </w:t>
      </w:r>
      <w:r>
        <w:t xml:space="preserve">	</w:t>
      </w:r>
      <w:r>
        <w:t xml:space="preserve">Bai, Y.</w:t>
      </w:r>
      <w:r>
        <w:t xml:space="preserve"> </w:t>
      </w:r>
      <w:r>
        <w:rPr>
          <w:i/>
          <w:iCs/>
        </w:rPr>
        <w:t xml:space="preserve">et al.</w:t>
      </w:r>
      <w:r>
        <w:t xml:space="preserve"> Constitutional</w:t>
      </w:r>
      <w:r>
        <w:t xml:space="preserve"> </w:t>
      </w:r>
      <w:r>
        <w:t xml:space="preserve">AI</w:t>
      </w:r>
      <w:r>
        <w:t xml:space="preserve">: Harmlessness from</w:t>
      </w:r>
      <w:r>
        <w:t xml:space="preserve"> </w:t>
      </w:r>
      <w:r>
        <w:t xml:space="preserve">AI</w:t>
      </w:r>
      <w:r>
        <w:t xml:space="preserve"> </w:t>
      </w:r>
      <w:r>
        <w:t xml:space="preserve">feedback.</w:t>
      </w:r>
      <w:r>
        <w:t xml:space="preserve"> </w:t>
      </w:r>
      <w:r>
        <w:rPr>
          <w:i/>
          <w:iCs/>
        </w:rPr>
        <w:t xml:space="preserve">arXiv preprint arXiv:2212.08073</w:t>
      </w:r>
      <w:r>
        <w:t xml:space="preserve"> </w:t>
      </w:r>
      <w:hyperlink r:id="rId151">
        <w:r>
          <w:rPr>
            <w:rStyle w:val="Hyperlink"/>
          </w:rPr>
          <w:t xml:space="preserve">https://arxiv.org/abs/2212.08073</w:t>
        </w:r>
      </w:hyperlink>
      <w:r>
        <w:t xml:space="preserve"> </w:t>
      </w:r>
      <w:r>
        <w:t xml:space="preserve">(2022).</w:t>
      </w:r>
    </w:p>
    <w:bookmarkEnd w:id="152"/>
    <w:bookmarkStart w:id="153" w:name="ref-brehm1966reactance"/>
    <w:p>
      <w:pPr>
        <w:pStyle w:val="Bibliography"/>
      </w:pPr>
      <w:r>
        <w:t xml:space="preserve">37.</w:t>
      </w:r>
      <w:r>
        <w:t xml:space="preserve"> </w:t>
      </w:r>
      <w:r>
        <w:t xml:space="preserve">	</w:t>
      </w:r>
      <w:r>
        <w:t xml:space="preserve">Brehm, J. W.</w:t>
      </w:r>
      <w:r>
        <w:t xml:space="preserve"> </w:t>
      </w:r>
      <w:r>
        <w:rPr>
          <w:i/>
          <w:iCs/>
        </w:rPr>
        <w:t xml:space="preserve">A Theory of Psychological Reactance</w:t>
      </w:r>
      <w:r>
        <w:t xml:space="preserve">. (Academic Press, New York, 1966).</w:t>
      </w:r>
    </w:p>
    <w:bookmarkEnd w:id="153"/>
    <w:bookmarkStart w:id="155" w:name="ref-fitzsimons2004reactance"/>
    <w:p>
      <w:pPr>
        <w:pStyle w:val="Bibliography"/>
      </w:pPr>
      <w:r>
        <w:t xml:space="preserve">38.</w:t>
      </w:r>
      <w:r>
        <w:t xml:space="preserve"> </w:t>
      </w:r>
      <w:r>
        <w:t xml:space="preserve">	</w:t>
      </w:r>
      <w:r>
        <w:t xml:space="preserve">Fitzsimons, G. J. &amp; Lehmann, D. R.</w:t>
      </w:r>
      <w:r>
        <w:t xml:space="preserve"> </w:t>
      </w:r>
      <w:hyperlink r:id="rId154">
        <w:r>
          <w:rPr>
            <w:rStyle w:val="Hyperlink"/>
          </w:rPr>
          <w:t xml:space="preserve">Reactance to recommendations: When unsolicited advice yields contrary responses</w:t>
        </w:r>
      </w:hyperlink>
      <w:r>
        <w:t xml:space="preserve">.</w:t>
      </w:r>
      <w:r>
        <w:t xml:space="preserve"> </w:t>
      </w:r>
      <w:r>
        <w:rPr>
          <w:i/>
          <w:iCs/>
        </w:rPr>
        <w:t xml:space="preserve">Marketing Science</w:t>
      </w:r>
      <w:r>
        <w:t xml:space="preserve"> </w:t>
      </w:r>
      <w:r>
        <w:rPr>
          <w:b/>
          <w:bCs/>
        </w:rPr>
        <w:t xml:space="preserve">23</w:t>
      </w:r>
      <w:r>
        <w:t xml:space="preserve">, 82–94 (2004).</w:t>
      </w:r>
    </w:p>
    <w:bookmarkEnd w:id="155"/>
    <w:bookmarkStart w:id="156" w:name="ref-thaler2008nudge"/>
    <w:p>
      <w:pPr>
        <w:pStyle w:val="Bibliography"/>
      </w:pPr>
      <w:r>
        <w:t xml:space="preserve">39.</w:t>
      </w:r>
      <w:r>
        <w:t xml:space="preserve"> </w:t>
      </w:r>
      <w:r>
        <w:t xml:space="preserve">	</w:t>
      </w:r>
      <w:r>
        <w:t xml:space="preserve">Thaler, R. H. &amp; Sunstein, C. R.</w:t>
      </w:r>
      <w:r>
        <w:t xml:space="preserve"> </w:t>
      </w:r>
      <w:r>
        <w:rPr>
          <w:i/>
          <w:iCs/>
        </w:rPr>
        <w:t xml:space="preserve">Nudge: Improving Decisions about Health, Wealth, and Happiness</w:t>
      </w:r>
      <w:r>
        <w:t xml:space="preserve">. (Yale University Press, New Haven, CT, 2008).</w:t>
      </w:r>
    </w:p>
    <w:bookmarkEnd w:id="156"/>
    <w:bookmarkStart w:id="158" w:name="ref-samuelson1988status"/>
    <w:p>
      <w:pPr>
        <w:pStyle w:val="Bibliography"/>
      </w:pPr>
      <w:r>
        <w:t xml:space="preserve">40.</w:t>
      </w:r>
      <w:r>
        <w:t xml:space="preserve"> </w:t>
      </w:r>
      <w:r>
        <w:t xml:space="preserve">	</w:t>
      </w:r>
      <w:r>
        <w:t xml:space="preserve">Samuelson, W. &amp; Zeckhauser, R.</w:t>
      </w:r>
      <w:r>
        <w:t xml:space="preserve"> </w:t>
      </w:r>
      <w:hyperlink r:id="rId157">
        <w:r>
          <w:rPr>
            <w:rStyle w:val="Hyperlink"/>
          </w:rPr>
          <w:t xml:space="preserve">Status quo bias in decision making</w:t>
        </w:r>
      </w:hyperlink>
      <w:r>
        <w:t xml:space="preserve">.</w:t>
      </w:r>
      <w:r>
        <w:t xml:space="preserve"> </w:t>
      </w:r>
      <w:r>
        <w:rPr>
          <w:i/>
          <w:iCs/>
        </w:rPr>
        <w:t xml:space="preserve">Journal of Risk and Uncertainty</w:t>
      </w:r>
      <w:r>
        <w:t xml:space="preserve"> </w:t>
      </w:r>
      <w:r>
        <w:rPr>
          <w:b/>
          <w:bCs/>
        </w:rPr>
        <w:t xml:space="preserve">1</w:t>
      </w:r>
      <w:r>
        <w:t xml:space="preserve">, 7–59 (1988).</w:t>
      </w:r>
    </w:p>
    <w:bookmarkEnd w:id="158"/>
    <w:bookmarkStart w:id="160" w:name="ref-gershoff2007ways"/>
    <w:p>
      <w:pPr>
        <w:pStyle w:val="Bibliography"/>
      </w:pPr>
      <w:r>
        <w:t xml:space="preserve">41.</w:t>
      </w:r>
      <w:r>
        <w:t xml:space="preserve"> </w:t>
      </w:r>
      <w:r>
        <w:t xml:space="preserve">	</w:t>
      </w:r>
      <w:r>
        <w:t xml:space="preserve">Gershoff, A. D., Mukherjee, A. &amp; Mukhopadhyay, A.</w:t>
      </w:r>
      <w:r>
        <w:t xml:space="preserve"> </w:t>
      </w:r>
      <w:hyperlink r:id="rId159">
        <w:r>
          <w:rPr>
            <w:rStyle w:val="Hyperlink"/>
          </w:rPr>
          <w:t xml:space="preserve">Few ways to love, but many ways to hate: Attribute ambiguity and the positivity effect in agent evaluation</w:t>
        </w:r>
      </w:hyperlink>
      <w:r>
        <w:t xml:space="preserve">.</w:t>
      </w:r>
      <w:r>
        <w:t xml:space="preserve"> </w:t>
      </w:r>
      <w:r>
        <w:rPr>
          <w:i/>
          <w:iCs/>
        </w:rPr>
        <w:t xml:space="preserve">Journal of Consumer Research</w:t>
      </w:r>
      <w:r>
        <w:t xml:space="preserve"> </w:t>
      </w:r>
      <w:r>
        <w:rPr>
          <w:b/>
          <w:bCs/>
        </w:rPr>
        <w:t xml:space="preserve">33</w:t>
      </w:r>
      <w:r>
        <w:t xml:space="preserve">, 499–505 (2007).</w:t>
      </w:r>
    </w:p>
    <w:bookmarkEnd w:id="160"/>
    <w:bookmarkStart w:id="162" w:name="ref-weiss2008strangers"/>
    <w:p>
      <w:pPr>
        <w:pStyle w:val="Bibliography"/>
      </w:pPr>
      <w:r>
        <w:t xml:space="preserve">42.</w:t>
      </w:r>
      <w:r>
        <w:t xml:space="preserve"> </w:t>
      </w:r>
      <w:r>
        <w:t xml:space="preserve">	</w:t>
      </w:r>
      <w:r>
        <w:t xml:space="preserve">Weiss, A. M., Lurie, N. H. &amp; MacInnis, D. J.</w:t>
      </w:r>
      <w:r>
        <w:t xml:space="preserve"> </w:t>
      </w:r>
      <w:hyperlink r:id="rId161">
        <w:r>
          <w:rPr>
            <w:rStyle w:val="Hyperlink"/>
          </w:rPr>
          <w:t xml:space="preserve">Listening to strangers: Whose responses are valuable, how valuable are they, and why?</w:t>
        </w:r>
      </w:hyperlink>
      <w:r>
        <w:t xml:space="preserve"> </w:t>
      </w:r>
      <w:r>
        <w:rPr>
          <w:i/>
          <w:iCs/>
        </w:rPr>
        <w:t xml:space="preserve">Journal of Marketing Research</w:t>
      </w:r>
      <w:r>
        <w:t xml:space="preserve"> </w:t>
      </w:r>
      <w:r>
        <w:rPr>
          <w:b/>
          <w:bCs/>
        </w:rPr>
        <w:t xml:space="preserve">45</w:t>
      </w:r>
      <w:r>
        <w:t xml:space="preserve">, 425–436 (2008).</w:t>
      </w:r>
    </w:p>
    <w:bookmarkEnd w:id="162"/>
    <w:bookmarkStart w:id="164" w:name="ref-tully2025literacy"/>
    <w:p>
      <w:pPr>
        <w:pStyle w:val="Bibliography"/>
      </w:pPr>
      <w:r>
        <w:t xml:space="preserve">43.</w:t>
      </w:r>
      <w:r>
        <w:t xml:space="preserve"> </w:t>
      </w:r>
      <w:r>
        <w:t xml:space="preserve">	</w:t>
      </w:r>
      <w:r>
        <w:t xml:space="preserve">Tully, S. M., Longoni, C. &amp; Appel, G.</w:t>
      </w:r>
      <w:r>
        <w:t xml:space="preserve"> </w:t>
      </w:r>
      <w:hyperlink r:id="rId163">
        <w:r>
          <w:rPr>
            <w:rStyle w:val="Hyperlink"/>
          </w:rPr>
          <w:t xml:space="preserve">Lower artificial intelligence literacy predicts greater AI receptivity</w:t>
        </w:r>
      </w:hyperlink>
      <w:r>
        <w:t xml:space="preserve">.</w:t>
      </w:r>
      <w:r>
        <w:t xml:space="preserve"> </w:t>
      </w:r>
      <w:r>
        <w:rPr>
          <w:i/>
          <w:iCs/>
        </w:rPr>
        <w:t xml:space="preserve">Journal of Marketing</w:t>
      </w:r>
      <w:r>
        <w:t xml:space="preserve"> </w:t>
      </w:r>
      <w:r>
        <w:rPr>
          <w:b/>
          <w:bCs/>
        </w:rPr>
        <w:t xml:space="preserve">89</w:t>
      </w:r>
      <w:r>
        <w:t xml:space="preserve">, 1–20 (2025).</w:t>
      </w:r>
    </w:p>
    <w:bookmarkEnd w:id="164"/>
    <w:bookmarkStart w:id="166" w:name="ref-paul2026swipe"/>
    <w:p>
      <w:pPr>
        <w:pStyle w:val="Bibliography"/>
      </w:pPr>
      <w:r>
        <w:t xml:space="preserve">44.</w:t>
      </w:r>
      <w:r>
        <w:t xml:space="preserve"> </w:t>
      </w:r>
      <w:r>
        <w:t xml:space="preserve">	</w:t>
      </w:r>
      <w:r>
        <w:t xml:space="preserve">Paul, I., Mohanty, S., Wadhwa, M. &amp; Parker, J. R.</w:t>
      </w:r>
      <w:r>
        <w:t xml:space="preserve"> </w:t>
      </w:r>
      <w:hyperlink r:id="rId165">
        <w:r>
          <w:rPr>
            <w:rStyle w:val="Hyperlink"/>
          </w:rPr>
          <w:t xml:space="preserve">Swipe right: When and why conservatives are more accepting of AI recommendations</w:t>
        </w:r>
      </w:hyperlink>
      <w:r>
        <w:t xml:space="preserve">.</w:t>
      </w:r>
      <w:r>
        <w:t xml:space="preserve"> </w:t>
      </w:r>
      <w:r>
        <w:rPr>
          <w:i/>
          <w:iCs/>
        </w:rPr>
        <w:t xml:space="preserve">Journal of Consumer Psychology</w:t>
      </w:r>
      <w:r>
        <w:t xml:space="preserve"> </w:t>
      </w:r>
      <w:r>
        <w:rPr>
          <w:b/>
          <w:bCs/>
        </w:rPr>
        <w:t xml:space="preserve">36</w:t>
      </w:r>
      <w:r>
        <w:t xml:space="preserve">, 3–17 (2026).</w:t>
      </w:r>
    </w:p>
    <w:bookmarkEnd w:id="166"/>
    <w:bookmarkStart w:id="167" w:name="ref-bain1956barriers"/>
    <w:p>
      <w:pPr>
        <w:pStyle w:val="Bibliography"/>
      </w:pPr>
      <w:r>
        <w:t xml:space="preserve">45.</w:t>
      </w:r>
      <w:r>
        <w:t xml:space="preserve"> </w:t>
      </w:r>
      <w:r>
        <w:t xml:space="preserve">	</w:t>
      </w:r>
      <w:r>
        <w:t xml:space="preserve">Bain, J. S.</w:t>
      </w:r>
      <w:r>
        <w:t xml:space="preserve"> </w:t>
      </w:r>
      <w:r>
        <w:rPr>
          <w:i/>
          <w:iCs/>
        </w:rPr>
        <w:t xml:space="preserve">Barriers to New Competition: Their Character and Consequences in Manufacturing Industries</w:t>
      </w:r>
      <w:r>
        <w:t xml:space="preserve">. (Harvard University Press, Cambridge, MA, 1956).</w:t>
      </w:r>
    </w:p>
    <w:bookmarkEnd w:id="167"/>
    <w:bookmarkStart w:id="169" w:name="ref-calvano2020artificial"/>
    <w:p>
      <w:pPr>
        <w:pStyle w:val="Bibliography"/>
      </w:pPr>
      <w:r>
        <w:t xml:space="preserve">46.</w:t>
      </w:r>
      <w:r>
        <w:t xml:space="preserve"> </w:t>
      </w:r>
      <w:r>
        <w:t xml:space="preserve">	</w:t>
      </w:r>
      <w:r>
        <w:t xml:space="preserve">Calvano, E., Calzolari, G., Denicolò, V. &amp; Pastorello, S.</w:t>
      </w:r>
      <w:r>
        <w:t xml:space="preserve"> </w:t>
      </w:r>
      <w:hyperlink r:id="rId168">
        <w:r>
          <w:rPr>
            <w:rStyle w:val="Hyperlink"/>
          </w:rPr>
          <w:t xml:space="preserve">Artificial intelligence, algorithmic pricing, and collusion</w:t>
        </w:r>
      </w:hyperlink>
      <w:r>
        <w:t xml:space="preserve">.</w:t>
      </w:r>
      <w:r>
        <w:t xml:space="preserve"> </w:t>
      </w:r>
      <w:r>
        <w:rPr>
          <w:i/>
          <w:iCs/>
        </w:rPr>
        <w:t xml:space="preserve">American Economic Review</w:t>
      </w:r>
      <w:r>
        <w:t xml:space="preserve"> </w:t>
      </w:r>
      <w:r>
        <w:rPr>
          <w:b/>
          <w:bCs/>
        </w:rPr>
        <w:t xml:space="preserve">110</w:t>
      </w:r>
      <w:r>
        <w:t xml:space="preserve">, 3267–3297 (2020).</w:t>
      </w:r>
    </w:p>
    <w:bookmarkEnd w:id="169"/>
    <w:bookmarkStart w:id="171" w:name="ref-fleder2009blockbuster"/>
    <w:p>
      <w:pPr>
        <w:pStyle w:val="Bibliography"/>
      </w:pPr>
      <w:r>
        <w:t xml:space="preserve">47.</w:t>
      </w:r>
      <w:r>
        <w:t xml:space="preserve"> </w:t>
      </w:r>
      <w:r>
        <w:t xml:space="preserve">	</w:t>
      </w:r>
      <w:r>
        <w:t xml:space="preserve">Fleder, D. &amp; Hosanagar, K.</w:t>
      </w:r>
      <w:r>
        <w:t xml:space="preserve"> </w:t>
      </w:r>
      <w:hyperlink r:id="rId170">
        <w:r>
          <w:rPr>
            <w:rStyle w:val="Hyperlink"/>
          </w:rPr>
          <w:t xml:space="preserve">Blockbuster culture’s next rise or fall: The impact of recommender systems on sales diversity</w:t>
        </w:r>
      </w:hyperlink>
      <w:r>
        <w:t xml:space="preserve">.</w:t>
      </w:r>
      <w:r>
        <w:t xml:space="preserve"> </w:t>
      </w:r>
      <w:r>
        <w:rPr>
          <w:i/>
          <w:iCs/>
        </w:rPr>
        <w:t xml:space="preserve">Management Science</w:t>
      </w:r>
      <w:r>
        <w:t xml:space="preserve"> </w:t>
      </w:r>
      <w:r>
        <w:rPr>
          <w:b/>
          <w:bCs/>
        </w:rPr>
        <w:t xml:space="preserve">55</w:t>
      </w:r>
      <w:r>
        <w:t xml:space="preserve">, 697–712 (2009).</w:t>
      </w:r>
    </w:p>
    <w:bookmarkEnd w:id="171"/>
    <w:bookmarkStart w:id="173" w:name="ref-euaiact2024"/>
    <w:p>
      <w:pPr>
        <w:pStyle w:val="Bibliography"/>
      </w:pPr>
      <w:r>
        <w:t xml:space="preserve">48.</w:t>
      </w:r>
      <w:r>
        <w:t xml:space="preserve"> </w:t>
      </w:r>
      <w:r>
        <w:t xml:space="preserve">	</w:t>
      </w:r>
      <w:r>
        <w:t xml:space="preserve">European Parliament and Council of the European Union.</w:t>
      </w:r>
      <w:r>
        <w:t xml:space="preserve"> </w:t>
      </w:r>
      <w:hyperlink r:id="rId172">
        <w:r>
          <w:rPr>
            <w:rStyle w:val="Hyperlink"/>
          </w:rPr>
          <w:t xml:space="preserve">Regulation (</w:t>
        </w:r>
        <w:r>
          <w:rPr>
            <w:rStyle w:val="Hyperlink"/>
          </w:rPr>
          <w:t xml:space="preserve">EU</w:t>
        </w:r>
        <w:r>
          <w:rPr>
            <w:rStyle w:val="Hyperlink"/>
          </w:rPr>
          <w:t xml:space="preserve">) 2024/1689 of the</w:t>
        </w:r>
        <w:r>
          <w:rPr>
            <w:rStyle w:val="Hyperlink"/>
          </w:rPr>
          <w:t xml:space="preserve"> </w:t>
        </w:r>
        <w:r>
          <w:rPr>
            <w:rStyle w:val="Hyperlink"/>
          </w:rPr>
          <w:t xml:space="preserve">European Parliament</w:t>
        </w:r>
        <w:r>
          <w:rPr>
            <w:rStyle w:val="Hyperlink"/>
          </w:rPr>
          <w:t xml:space="preserve"> </w:t>
        </w:r>
        <w:r>
          <w:rPr>
            <w:rStyle w:val="Hyperlink"/>
          </w:rPr>
          <w:t xml:space="preserve">and of the</w:t>
        </w:r>
        <w:r>
          <w:rPr>
            <w:rStyle w:val="Hyperlink"/>
          </w:rPr>
          <w:t xml:space="preserve"> </w:t>
        </w:r>
        <w:r>
          <w:rPr>
            <w:rStyle w:val="Hyperlink"/>
          </w:rPr>
          <w:t xml:space="preserve">Council</w:t>
        </w:r>
        <w:r>
          <w:rPr>
            <w:rStyle w:val="Hyperlink"/>
          </w:rPr>
          <w:t xml:space="preserve"> </w:t>
        </w:r>
        <w:r>
          <w:rPr>
            <w:rStyle w:val="Hyperlink"/>
          </w:rPr>
          <w:t xml:space="preserve">of 13</w:t>
        </w:r>
        <w:r>
          <w:rPr>
            <w:rStyle w:val="Hyperlink"/>
          </w:rPr>
          <w:t xml:space="preserve"> </w:t>
        </w:r>
        <w:r>
          <w:rPr>
            <w:rStyle w:val="Hyperlink"/>
          </w:rPr>
          <w:t xml:space="preserve">June</w:t>
        </w:r>
        <w:r>
          <w:rPr>
            <w:rStyle w:val="Hyperlink"/>
          </w:rPr>
          <w:t xml:space="preserve"> </w:t>
        </w:r>
        <w:r>
          <w:rPr>
            <w:rStyle w:val="Hyperlink"/>
          </w:rPr>
          <w:t xml:space="preserve">2024 laying down harmonised rules on artificial intelligence (</w:t>
        </w:r>
        <w:r>
          <w:rPr>
            <w:rStyle w:val="Hyperlink"/>
          </w:rPr>
          <w:t xml:space="preserve">AI</w:t>
        </w:r>
        <w:r>
          <w:rPr>
            <w:rStyle w:val="Hyperlink"/>
          </w:rPr>
          <w:t xml:space="preserve"> </w:t>
        </w:r>
        <w:r>
          <w:rPr>
            <w:rStyle w:val="Hyperlink"/>
          </w:rPr>
          <w:t xml:space="preserve">Act</w:t>
        </w:r>
        <w:r>
          <w:rPr>
            <w:rStyle w:val="Hyperlink"/>
          </w:rPr>
          <w:t xml:space="preserve">)</w:t>
        </w:r>
      </w:hyperlink>
      <w:r>
        <w:t xml:space="preserve">. (2024).</w:t>
      </w:r>
    </w:p>
    <w:bookmarkEnd w:id="173"/>
    <w:bookmarkStart w:id="175" w:name="ref-ftc2024aicomply"/>
    <w:p>
      <w:pPr>
        <w:pStyle w:val="Bibliography"/>
      </w:pPr>
      <w:r>
        <w:t xml:space="preserve">49.</w:t>
      </w:r>
      <w:r>
        <w:t xml:space="preserve"> </w:t>
      </w:r>
      <w:r>
        <w:t xml:space="preserve">	</w:t>
      </w:r>
      <w:r>
        <w:t xml:space="preserve">Federal Trade Commission.</w:t>
      </w:r>
      <w:r>
        <w:t xml:space="preserve"> </w:t>
      </w:r>
      <w:hyperlink r:id="rId174">
        <w:r>
          <w:rPr>
            <w:rStyle w:val="Hyperlink"/>
          </w:rPr>
          <w:t xml:space="preserve">Operation</w:t>
        </w:r>
        <w:r>
          <w:rPr>
            <w:rStyle w:val="Hyperlink"/>
          </w:rPr>
          <w:t xml:space="preserve"> </w:t>
        </w:r>
        <w:r>
          <w:rPr>
            <w:rStyle w:val="Hyperlink"/>
          </w:rPr>
          <w:t xml:space="preserve">AI Comply</w:t>
        </w:r>
        <w:r>
          <w:rPr>
            <w:rStyle w:val="Hyperlink"/>
          </w:rPr>
          <w:t xml:space="preserve">: Continuing the</w:t>
        </w:r>
        <w:r>
          <w:rPr>
            <w:rStyle w:val="Hyperlink"/>
          </w:rPr>
          <w:t xml:space="preserve"> </w:t>
        </w:r>
        <w:r>
          <w:rPr>
            <w:rStyle w:val="Hyperlink"/>
          </w:rPr>
          <w:t xml:space="preserve">FTC</w:t>
        </w:r>
        <w:r>
          <w:rPr>
            <w:rStyle w:val="Hyperlink"/>
          </w:rPr>
          <w:t xml:space="preserve">’s crackdown on overpromises and deception in</w:t>
        </w:r>
        <w:r>
          <w:rPr>
            <w:rStyle w:val="Hyperlink"/>
          </w:rPr>
          <w:t xml:space="preserve"> </w:t>
        </w:r>
        <w:r>
          <w:rPr>
            <w:rStyle w:val="Hyperlink"/>
          </w:rPr>
          <w:t xml:space="preserve">AI</w:t>
        </w:r>
        <w:r>
          <w:rPr>
            <w:rStyle w:val="Hyperlink"/>
          </w:rPr>
          <w:t xml:space="preserve">-related products and services</w:t>
        </w:r>
      </w:hyperlink>
      <w:r>
        <w:t xml:space="preserve">. (2024).</w:t>
      </w:r>
    </w:p>
    <w:bookmarkEnd w:id="175"/>
    <w:bookmarkStart w:id="177" w:name="ref-goli2024llm"/>
    <w:p>
      <w:pPr>
        <w:pStyle w:val="Bibliography"/>
      </w:pPr>
      <w:r>
        <w:t xml:space="preserve">50.</w:t>
      </w:r>
      <w:r>
        <w:t xml:space="preserve"> </w:t>
      </w:r>
      <w:r>
        <w:t xml:space="preserve">	</w:t>
      </w:r>
      <w:r>
        <w:t xml:space="preserve">Goli, A. &amp; Singh, A.</w:t>
      </w:r>
      <w:r>
        <w:t xml:space="preserve"> </w:t>
      </w:r>
      <w:hyperlink r:id="rId176">
        <w:r>
          <w:rPr>
            <w:rStyle w:val="Hyperlink"/>
          </w:rPr>
          <w:t xml:space="preserve">Frontiers:</w:t>
        </w:r>
        <w:r>
          <w:rPr>
            <w:rStyle w:val="Hyperlink"/>
          </w:rPr>
          <w:t xml:space="preserve"> </w:t>
        </w:r>
        <w:r>
          <w:rPr>
            <w:rStyle w:val="Hyperlink"/>
          </w:rPr>
          <w:t xml:space="preserve">C</w:t>
        </w:r>
        <w:r>
          <w:rPr>
            <w:rStyle w:val="Hyperlink"/>
          </w:rPr>
          <w:t xml:space="preserve">an large language models capture human preferences?</w:t>
        </w:r>
      </w:hyperlink>
      <w:r>
        <w:t xml:space="preserve"> </w:t>
      </w:r>
      <w:r>
        <w:rPr>
          <w:i/>
          <w:iCs/>
        </w:rPr>
        <w:t xml:space="preserve">Marketing Science</w:t>
      </w:r>
      <w:r>
        <w:t xml:space="preserve"> </w:t>
      </w:r>
      <w:r>
        <w:rPr>
          <w:b/>
          <w:bCs/>
        </w:rPr>
        <w:t xml:space="preserve">43</w:t>
      </w:r>
      <w:r>
        <w:t xml:space="preserve">, 709–722 (2024).</w:t>
      </w:r>
    </w:p>
    <w:bookmarkEnd w:id="177"/>
    <w:bookmarkStart w:id="179" w:name="ref-agresti1998approximate"/>
    <w:p>
      <w:pPr>
        <w:pStyle w:val="Bibliography"/>
      </w:pPr>
      <w:r>
        <w:t xml:space="preserve">51.</w:t>
      </w:r>
      <w:r>
        <w:t xml:space="preserve"> </w:t>
      </w:r>
      <w:r>
        <w:t xml:space="preserve">	</w:t>
      </w:r>
      <w:r>
        <w:t xml:space="preserve">Agresti, A. &amp; Coull, B. A.</w:t>
      </w:r>
      <w:r>
        <w:t xml:space="preserve"> </w:t>
      </w:r>
      <w:hyperlink r:id="rId178">
        <w:r>
          <w:rPr>
            <w:rStyle w:val="Hyperlink"/>
          </w:rPr>
          <w:t xml:space="preserve">Approximate is better than</w:t>
        </w:r>
        <w:r>
          <w:rPr>
            <w:rStyle w:val="Hyperlink"/>
          </w:rPr>
          <w:t xml:space="preserve"> </w:t>
        </w:r>
        <w:r>
          <w:rPr>
            <w:rStyle w:val="Hyperlink"/>
          </w:rPr>
          <w:t xml:space="preserve">‘exact’</w:t>
        </w:r>
        <w:r>
          <w:rPr>
            <w:rStyle w:val="Hyperlink"/>
          </w:rPr>
          <w:t xml:space="preserve"> </w:t>
        </w:r>
        <w:r>
          <w:rPr>
            <w:rStyle w:val="Hyperlink"/>
          </w:rPr>
          <w:t xml:space="preserve">for interval estimation of binomial proportions</w:t>
        </w:r>
      </w:hyperlink>
      <w:r>
        <w:t xml:space="preserve">.</w:t>
      </w:r>
      <w:r>
        <w:t xml:space="preserve"> </w:t>
      </w:r>
      <w:r>
        <w:rPr>
          <w:i/>
          <w:iCs/>
        </w:rPr>
        <w:t xml:space="preserve">The American Statistician</w:t>
      </w:r>
      <w:r>
        <w:t xml:space="preserve"> </w:t>
      </w:r>
      <w:r>
        <w:rPr>
          <w:b/>
          <w:bCs/>
        </w:rPr>
        <w:t xml:space="preserve">52</w:t>
      </w:r>
      <w:r>
        <w:t xml:space="preserve">, 119–126 (1998).</w:t>
      </w:r>
    </w:p>
    <w:bookmarkEnd w:id="179"/>
    <w:bookmarkStart w:id="181" w:name="ref-liang1986gee"/>
    <w:p>
      <w:pPr>
        <w:pStyle w:val="Bibliography"/>
      </w:pPr>
      <w:r>
        <w:t xml:space="preserve">52.</w:t>
      </w:r>
      <w:r>
        <w:t xml:space="preserve"> </w:t>
      </w:r>
      <w:r>
        <w:t xml:space="preserve">	</w:t>
      </w:r>
      <w:r>
        <w:t xml:space="preserve">Liang, K.-Y. &amp; Zeger, S. L.</w:t>
      </w:r>
      <w:r>
        <w:t xml:space="preserve"> </w:t>
      </w:r>
      <w:hyperlink r:id="rId180">
        <w:r>
          <w:rPr>
            <w:rStyle w:val="Hyperlink"/>
          </w:rPr>
          <w:t xml:space="preserve">Longitudinal data analysis using generalized linear models</w:t>
        </w:r>
      </w:hyperlink>
      <w:r>
        <w:t xml:space="preserve">.</w:t>
      </w:r>
      <w:r>
        <w:t xml:space="preserve"> </w:t>
      </w:r>
      <w:r>
        <w:rPr>
          <w:i/>
          <w:iCs/>
        </w:rPr>
        <w:t xml:space="preserve">Biometrika</w:t>
      </w:r>
      <w:r>
        <w:t xml:space="preserve"> </w:t>
      </w:r>
      <w:r>
        <w:rPr>
          <w:b/>
          <w:bCs/>
        </w:rPr>
        <w:t xml:space="preserve">73</w:t>
      </w:r>
      <w:r>
        <w:t xml:space="preserve">, 13–22 (1986).</w:t>
      </w:r>
    </w:p>
    <w:bookmarkEnd w:id="181"/>
    <w:bookmarkStart w:id="183" w:name="ref-zheng2023judging"/>
    <w:p>
      <w:pPr>
        <w:pStyle w:val="Bibliography"/>
      </w:pPr>
      <w:r>
        <w:t xml:space="preserve">53.</w:t>
      </w:r>
      <w:r>
        <w:t xml:space="preserve"> </w:t>
      </w:r>
      <w:r>
        <w:t xml:space="preserve">	</w:t>
      </w:r>
      <w:r>
        <w:t xml:space="preserve">Zheng, L.</w:t>
      </w:r>
      <w:r>
        <w:t xml:space="preserve"> </w:t>
      </w:r>
      <w:r>
        <w:rPr>
          <w:i/>
          <w:iCs/>
        </w:rPr>
        <w:t xml:space="preserve">et al.</w:t>
      </w:r>
      <w:r>
        <w:t xml:space="preserve"> </w:t>
      </w:r>
      <w:hyperlink r:id="rId182">
        <w:r>
          <w:rPr>
            <w:rStyle w:val="Hyperlink"/>
          </w:rPr>
          <w:t xml:space="preserve">Judging</w:t>
        </w:r>
        <w:r>
          <w:rPr>
            <w:rStyle w:val="Hyperlink"/>
          </w:rPr>
          <w:t xml:space="preserve"> </w:t>
        </w:r>
        <w:r>
          <w:rPr>
            <w:rStyle w:val="Hyperlink"/>
          </w:rPr>
          <w:t xml:space="preserve">LLM</w:t>
        </w:r>
        <w:r>
          <w:rPr>
            <w:rStyle w:val="Hyperlink"/>
          </w:rPr>
          <w:t xml:space="preserve">-as-a-judge with</w:t>
        </w:r>
        <w:r>
          <w:rPr>
            <w:rStyle w:val="Hyperlink"/>
          </w:rPr>
          <w:t xml:space="preserve"> </w:t>
        </w:r>
        <w:r>
          <w:rPr>
            <w:rStyle w:val="Hyperlink"/>
          </w:rPr>
          <w:t xml:space="preserve">MT-Bench</w:t>
        </w:r>
        <w:r>
          <w:rPr>
            <w:rStyle w:val="Hyperlink"/>
          </w:rPr>
          <w:t xml:space="preserve"> </w:t>
        </w:r>
        <w:r>
          <w:rPr>
            <w:rStyle w:val="Hyperlink"/>
          </w:rPr>
          <w:t xml:space="preserve">and chatbot arena</w:t>
        </w:r>
      </w:hyperlink>
      <w:r>
        <w:t xml:space="preserve">. in</w:t>
      </w:r>
      <w:r>
        <w:t xml:space="preserve"> </w:t>
      </w:r>
      <w:r>
        <w:rPr>
          <w:i/>
          <w:iCs/>
        </w:rPr>
        <w:t xml:space="preserve">Advances in neural information processing systems (NeurIPS)</w:t>
      </w:r>
      <w:r>
        <w:t xml:space="preserve"> </w:t>
      </w:r>
      <w:r>
        <w:t xml:space="preserve">vol. 36 (2023).</w:t>
      </w:r>
    </w:p>
    <w:bookmarkEnd w:id="183"/>
    <w:bookmarkStart w:id="185" w:name="ref-liu2024infini"/>
    <w:p>
      <w:pPr>
        <w:pStyle w:val="Bibliography"/>
      </w:pPr>
      <w:r>
        <w:t xml:space="preserve">54.</w:t>
      </w:r>
      <w:r>
        <w:t xml:space="preserve"> </w:t>
      </w:r>
      <w:r>
        <w:t xml:space="preserve">	</w:t>
      </w:r>
      <w:r>
        <w:t xml:space="preserve">Liu, J., Min, S., Zettlemoyer, L., Choi, Y. &amp; Hajishirzi, H. Infini-gram: Scaling unbounded n-gram language models to a trillion tokens.</w:t>
      </w:r>
      <w:r>
        <w:t xml:space="preserve"> </w:t>
      </w:r>
      <w:r>
        <w:rPr>
          <w:i/>
          <w:iCs/>
        </w:rPr>
        <w:t xml:space="preserve">arXiv preprint arXiv:2401.17377</w:t>
      </w:r>
      <w:r>
        <w:t xml:space="preserve"> </w:t>
      </w:r>
      <w:hyperlink r:id="rId184">
        <w:r>
          <w:rPr>
            <w:rStyle w:val="Hyperlink"/>
          </w:rPr>
          <w:t xml:space="preserve">https://arxiv.org/abs/2401.17377</w:t>
        </w:r>
      </w:hyperlink>
      <w:r>
        <w:t xml:space="preserve"> </w:t>
      </w:r>
      <w:r>
        <w:t xml:space="preserve">(2024).</w:t>
      </w:r>
    </w:p>
    <w:bookmarkEnd w:id="185"/>
    <w:bookmarkEnd w:id="186"/>
    <w:bookmarkEnd w:id="187"/>
    <w:bookmarkStart w:id="221" w:name="extended-data-figures"/>
    <w:p>
      <w:pPr>
        <w:pStyle w:val="Heading2"/>
      </w:pPr>
      <w:r>
        <w:t xml:space="preserve">Extended Data Figures</w:t>
      </w:r>
    </w:p>
    <w:p>
      <w:pPr>
        <w:pStyle w:val="FirstParagraph"/>
      </w:pPr>
      <w:r>
        <w:drawing>
          <wp:inline>
            <wp:extent cx="5943600" cy="2471677"/>
            <wp:effectExtent b="0" l="0" r="0" t="0"/>
            <wp:docPr descr="" title="" id="189" name="Picture"/>
            <a:graphic>
              <a:graphicData uri="http://schemas.openxmlformats.org/drawingml/2006/picture">
                <pic:pic>
                  <pic:nvPicPr>
                    <pic:cNvPr descr="../results/figures/ed1_position_bias.png" id="190" name="Picture"/>
                    <pic:cNvPicPr>
                      <a:picLocks noChangeArrowheads="1" noChangeAspect="1"/>
                    </pic:cNvPicPr>
                  </pic:nvPicPr>
                  <pic:blipFill>
                    <a:blip r:embed="rId188"/>
                    <a:stretch>
                      <a:fillRect/>
                    </a:stretch>
                  </pic:blipFill>
                  <pic:spPr bwMode="auto">
                    <a:xfrm>
                      <a:off x="0" y="0"/>
                      <a:ext cx="5943600" cy="2471677"/>
                    </a:xfrm>
                    <a:prstGeom prst="rect">
                      <a:avLst/>
                    </a:prstGeom>
                    <a:noFill/>
                    <a:ln w="9525">
                      <a:noFill/>
                      <a:headEnd/>
                      <a:tailEnd/>
                    </a:ln>
                  </pic:spPr>
                </pic:pic>
              </a:graphicData>
            </a:graphic>
          </wp:inline>
        </w:drawing>
      </w:r>
    </w:p>
    <w:p>
      <w:pPr>
        <w:pStyle w:val="BodyText"/>
      </w:pPr>
      <w:r>
        <w:rPr>
          <w:b/>
          <w:bCs/>
        </w:rPr>
        <w:t xml:space="preserve">Extended Data Figure 1 | Position and letter bias analysis.</w:t>
      </w:r>
      <w:r>
        <w:t xml:space="preserve"> </w:t>
      </w:r>
      <w:r>
        <w:rPr>
          <w:b/>
          <w:bCs/>
        </w:rPr>
        <w:t xml:space="preserve">a</w:t>
      </w:r>
      <w:r>
        <w:t xml:space="preserve">, Display-position distribution of all baseline choices (N = 20,413), showing middle-position concentration.</w:t>
      </w:r>
      <w:r>
        <w:t xml:space="preserve"> </w:t>
      </w:r>
      <w:r>
        <w:rPr>
          <w:b/>
          <w:bCs/>
        </w:rPr>
        <w:t xml:space="preserve">b</w:t>
      </w:r>
      <w:r>
        <w:t xml:space="preserve">, Optimal choice rate by optimal product’s display position, with assortment-level uniformity of position assignment confirmed by per-model randomisation diagnostics.</w:t>
      </w:r>
      <w:r>
        <w:t xml:space="preserve"> </w:t>
      </w:r>
      <w:r>
        <w:rPr>
          <w:b/>
          <w:bCs/>
        </w:rPr>
        <w:t xml:space="preserve">c</w:t>
      </w:r>
      <w:r>
        <w:t xml:space="preserve">, Letter-choice distribution: no significant overall letter bias. Counterbalancing is effective across both position and letter dimensions. All tests are two-sided.</w:t>
      </w:r>
    </w:p>
    <w:p>
      <w:pPr>
        <w:pStyle w:val="BodyText"/>
      </w:pPr>
      <w:r>
        <w:drawing>
          <wp:inline>
            <wp:extent cx="5943600" cy="7100907"/>
            <wp:effectExtent b="0" l="0" r="0" t="0"/>
            <wp:docPr descr="" title="" id="192" name="Picture"/>
            <a:graphic>
              <a:graphicData uri="http://schemas.openxmlformats.org/drawingml/2006/picture">
                <pic:pic>
                  <pic:nvPicPr>
                    <pic:cNvPr descr="../results/figures/ed2_condition_heatmap.png" id="193" name="Picture"/>
                    <pic:cNvPicPr>
                      <a:picLocks noChangeArrowheads="1" noChangeAspect="1"/>
                    </pic:cNvPicPr>
                  </pic:nvPicPr>
                  <pic:blipFill>
                    <a:blip r:embed="rId191"/>
                    <a:stretch>
                      <a:fillRect/>
                    </a:stretch>
                  </pic:blipFill>
                  <pic:spPr bwMode="auto">
                    <a:xfrm>
                      <a:off x="0" y="0"/>
                      <a:ext cx="5943600" cy="7100907"/>
                    </a:xfrm>
                    <a:prstGeom prst="rect">
                      <a:avLst/>
                    </a:prstGeom>
                    <a:noFill/>
                    <a:ln w="9525">
                      <a:noFill/>
                      <a:headEnd/>
                      <a:tailEnd/>
                    </a:ln>
                  </pic:spPr>
                </pic:pic>
              </a:graphicData>
            </a:graphic>
          </wp:inline>
        </w:drawing>
      </w:r>
    </w:p>
    <w:p>
      <w:pPr>
        <w:pStyle w:val="BodyText"/>
      </w:pPr>
      <w:r>
        <w:rPr>
          <w:b/>
          <w:bCs/>
        </w:rPr>
        <w:t xml:space="preserve">Extended Data Figure 2 | Complete 32-condition heatmap.</w:t>
      </w:r>
      <w:r>
        <w:t xml:space="preserve"> </w:t>
      </w:r>
      <w:r>
        <w:t xml:space="preserve">All 32 conditions (rows) grouped by type (baseline, mechanism isolation, specification gradient, controls, anti-brand), shown as a colour-coded matrix of non-optimal choice rates per cell per model (30 columns). Colour scale: pale yellow (low non-optimal rate, near 0 per cent) to dark red (high non-optimal rate, approaching 45 per cent). Each cell represents the mean rate across all assortments for that model-condition pair. Models ordered by provider; conditions ordered by functional group.</w:t>
      </w:r>
    </w:p>
    <w:p>
      <w:pPr>
        <w:pStyle w:val="BodyText"/>
      </w:pPr>
      <w:r>
        <w:drawing>
          <wp:inline>
            <wp:extent cx="5943600" cy="8226117"/>
            <wp:effectExtent b="0" l="0" r="0" t="0"/>
            <wp:docPr descr="" title="" id="195" name="Picture"/>
            <a:graphic>
              <a:graphicData uri="http://schemas.openxmlformats.org/drawingml/2006/picture">
                <pic:pic>
                  <pic:nvPicPr>
                    <pic:cNvPr descr="../results/figures/ed3_dose_response.png" id="196" name="Picture"/>
                    <pic:cNvPicPr>
                      <a:picLocks noChangeArrowheads="1" noChangeAspect="1"/>
                    </pic:cNvPicPr>
                  </pic:nvPicPr>
                  <pic:blipFill>
                    <a:blip r:embed="rId194"/>
                    <a:stretch>
                      <a:fillRect/>
                    </a:stretch>
                  </pic:blipFill>
                  <pic:spPr bwMode="auto">
                    <a:xfrm>
                      <a:off x="0" y="0"/>
                      <a:ext cx="5943600" cy="8226117"/>
                    </a:xfrm>
                    <a:prstGeom prst="rect">
                      <a:avLst/>
                    </a:prstGeom>
                    <a:noFill/>
                    <a:ln w="9525">
                      <a:noFill/>
                      <a:headEnd/>
                      <a:tailEnd/>
                    </a:ln>
                  </pic:spPr>
                </pic:pic>
              </a:graphicData>
            </a:graphic>
          </wp:inline>
        </w:drawing>
      </w:r>
    </w:p>
    <w:p>
      <w:pPr>
        <w:pStyle w:val="BodyText"/>
      </w:pPr>
      <w:r>
        <w:rPr>
          <w:b/>
          <w:bCs/>
        </w:rPr>
        <w:t xml:space="preserve">Extended Data Figure 3 | Dose-response curves for all 30 models.</w:t>
      </w:r>
      <w:r>
        <w:t xml:space="preserve"> </w:t>
      </w:r>
      <w:r>
        <w:t xml:space="preserve">Individual model trajectories across the six specification levels (baseline, vague, weighted, explicit, override, constrained) for both preference (left panels) and utility (right panels) pathways. Each line represents one model; points show the non-optimal rate at each specification level. Every model’s mean rate falls below 2 per cent at the explicit preference level except Gemini 2.5 Pro (2.9 per cent) and Gemma 4 31B IT (3.5 per cent), with the utility-explicit pathway showing the same pattern at a slightly higher floor (Gemini 2.5 Pro remains the high outlier, see Supplementary Note 15). Shaded bands represent Wilson 95% confidence intervals.</w:t>
      </w:r>
    </w:p>
    <w:p>
      <w:pPr>
        <w:pStyle w:val="BodyText"/>
      </w:pPr>
      <w:r>
        <w:drawing>
          <wp:inline>
            <wp:extent cx="5943600" cy="2885001"/>
            <wp:effectExtent b="0" l="0" r="0" t="0"/>
            <wp:docPr descr="" title="" id="198" name="Picture"/>
            <a:graphic>
              <a:graphicData uri="http://schemas.openxmlformats.org/drawingml/2006/picture">
                <pic:pic>
                  <pic:nvPicPr>
                    <pic:cNvPr descr="../results/figures/ed4_baseline_mechanisms.png" id="199" name="Picture"/>
                    <pic:cNvPicPr>
                      <a:picLocks noChangeArrowheads="1" noChangeAspect="1"/>
                    </pic:cNvPicPr>
                  </pic:nvPicPr>
                  <pic:blipFill>
                    <a:blip r:embed="rId197"/>
                    <a:stretch>
                      <a:fillRect/>
                    </a:stretch>
                  </pic:blipFill>
                  <pic:spPr bwMode="auto">
                    <a:xfrm>
                      <a:off x="0" y="0"/>
                      <a:ext cx="5943600" cy="2885001"/>
                    </a:xfrm>
                    <a:prstGeom prst="rect">
                      <a:avLst/>
                    </a:prstGeom>
                    <a:noFill/>
                    <a:ln w="9525">
                      <a:noFill/>
                      <a:headEnd/>
                      <a:tailEnd/>
                    </a:ln>
                  </pic:spPr>
                </pic:pic>
              </a:graphicData>
            </a:graphic>
          </wp:inline>
        </w:drawing>
      </w:r>
    </w:p>
    <w:p>
      <w:pPr>
        <w:pStyle w:val="BodyText"/>
      </w:pPr>
      <w:r>
        <w:rPr>
          <w:b/>
          <w:bCs/>
        </w:rPr>
        <w:t xml:space="preserve">Extended Data Figure 4 | Baseline mechanism decomposition.</w:t>
      </w:r>
      <w:r>
        <w:t xml:space="preserve"> </w:t>
      </w:r>
      <w:r>
        <w:t xml:space="preserve">Forest plot showing the effect of each baseline-mechanism condition relative to baseline (25.0 per cent). Description removal (-20.0 pp) and expert persona (-17.5 pp) produce the largest reductions; the price-premium condition produces the largest single increase (+48.7 pp). Horizontal lines represent Wilson 95 per cent confidence intervals; per-condition sample sizes (N ≈ 20,400) make the intervals narrow (typically less than 1 percentage point) and visually small at this scale. All tests are two-sided.</w:t>
      </w:r>
    </w:p>
    <w:p>
      <w:pPr>
        <w:pStyle w:val="BodyText"/>
      </w:pPr>
      <w:r>
        <w:drawing>
          <wp:inline>
            <wp:extent cx="5943600" cy="5071836"/>
            <wp:effectExtent b="0" l="0" r="0" t="0"/>
            <wp:docPr descr="" title="" id="201" name="Picture"/>
            <a:graphic>
              <a:graphicData uri="http://schemas.openxmlformats.org/drawingml/2006/picture">
                <pic:pic>
                  <pic:nvPicPr>
                    <pic:cNvPr descr="../results/figures/ed7_category_heatmap.png" id="202" name="Picture"/>
                    <pic:cNvPicPr>
                      <a:picLocks noChangeArrowheads="1" noChangeAspect="1"/>
                    </pic:cNvPicPr>
                  </pic:nvPicPr>
                  <pic:blipFill>
                    <a:blip r:embed="rId200"/>
                    <a:stretch>
                      <a:fillRect/>
                    </a:stretch>
                  </pic:blipFill>
                  <pic:spPr bwMode="auto">
                    <a:xfrm>
                      <a:off x="0" y="0"/>
                      <a:ext cx="5943600" cy="5071836"/>
                    </a:xfrm>
                    <a:prstGeom prst="rect">
                      <a:avLst/>
                    </a:prstGeom>
                    <a:noFill/>
                    <a:ln w="9525">
                      <a:noFill/>
                      <a:headEnd/>
                      <a:tailEnd/>
                    </a:ln>
                  </pic:spPr>
                </pic:pic>
              </a:graphicData>
            </a:graphic>
          </wp:inline>
        </w:drawing>
      </w:r>
    </w:p>
    <w:p>
      <w:pPr>
        <w:pStyle w:val="BodyText"/>
      </w:pPr>
      <w:r>
        <w:rPr>
          <w:b/>
          <w:bCs/>
        </w:rPr>
        <w:t xml:space="preserve">Extended Data Figure 5 | Category effects reveal ecosystem-dependent machine shopping behaviour.</w:t>
      </w:r>
      <w:r>
        <w:t xml:space="preserve"> </w:t>
      </w:r>
      <w:r>
        <w:t xml:space="preserve">Heatmap of baseline non-optimal choice rate by product category (rows, 20 categories) and model (columns, 30 models). Categories with strong brand ecosystems (coffee makers 58.5%, headphones 55.6%) show the greatest misalignment, while specification-focused categories (keyboards 1.0%, external SSDs 4.8%) show the least. N = 20,413 baseline trials across 30 models.</w:t>
      </w:r>
    </w:p>
    <w:p>
      <w:pPr>
        <w:pStyle w:val="BodyText"/>
      </w:pPr>
      <w:r>
        <w:drawing>
          <wp:inline>
            <wp:extent cx="5943600" cy="2868516"/>
            <wp:effectExtent b="0" l="0" r="0" t="0"/>
            <wp:docPr descr="" title="" id="204" name="Picture"/>
            <a:graphic>
              <a:graphicData uri="http://schemas.openxmlformats.org/drawingml/2006/picture">
                <pic:pic>
                  <pic:nvPicPr>
                    <pic:cNvPr descr="../results/figures/ed8_judge.png" id="205" name="Picture"/>
                    <pic:cNvPicPr>
                      <a:picLocks noChangeArrowheads="1" noChangeAspect="1"/>
                    </pic:cNvPicPr>
                  </pic:nvPicPr>
                  <pic:blipFill>
                    <a:blip r:embed="rId203"/>
                    <a:stretch>
                      <a:fillRect/>
                    </a:stretch>
                  </pic:blipFill>
                  <pic:spPr bwMode="auto">
                    <a:xfrm>
                      <a:off x="0" y="0"/>
                      <a:ext cx="5943600" cy="2868516"/>
                    </a:xfrm>
                    <a:prstGeom prst="rect">
                      <a:avLst/>
                    </a:prstGeom>
                    <a:noFill/>
                    <a:ln w="9525">
                      <a:noFill/>
                      <a:headEnd/>
                      <a:tailEnd/>
                    </a:ln>
                  </pic:spPr>
                </pic:pic>
              </a:graphicData>
            </a:graphic>
          </wp:inline>
        </w:drawing>
      </w:r>
    </w:p>
    <w:p>
      <w:pPr>
        <w:pStyle w:val="BodyText"/>
      </w:pPr>
      <w:r>
        <w:rPr>
          <w:b/>
          <w:bCs/>
        </w:rPr>
        <w:t xml:space="preserve">Extended Data Figure 6 | LLM-as-judge evaluation.</w:t>
      </w:r>
      <w:r>
        <w:t xml:space="preserve"> </w:t>
      </w:r>
      <w:r>
        <w:rPr>
          <w:b/>
          <w:bCs/>
        </w:rPr>
        <w:t xml:space="preserve">a</w:t>
      </w:r>
      <w:r>
        <w:t xml:space="preserve">, Mean coherence scores (0 to 100) for optimal versus non-optimal baseline choices across 30 models, showing near-identical means (93.6 versus 92.6) despite distributional differences (Mann-Whitney U, P &lt; 0.001).</w:t>
      </w:r>
      <w:r>
        <w:t xml:space="preserve"> </w:t>
      </w:r>
      <w:r>
        <w:rPr>
          <w:b/>
          <w:bCs/>
        </w:rPr>
        <w:t xml:space="preserve">b</w:t>
      </w:r>
      <w:r>
        <w:t xml:space="preserve">, Brand-reasoning rates (percentage of responses citing brand reputation as a decision factor) for optimal versus non-optimal baseline choices across 30 models. Non-optimal responses cite brand at 26.2 per cent versus 4.5 per cent for optimal responses.</w:t>
      </w:r>
      <w:r>
        <w:t xml:space="preserve"> </w:t>
      </w:r>
      <w:r>
        <w:rPr>
          <w:b/>
          <w:bCs/>
        </w:rPr>
        <w:t xml:space="preserve">c</w:t>
      </w:r>
      <w:r>
        <w:t xml:space="preserve">, Mean specification acknowledgment scores (0 to 100) for optimal versus non-optimal baseline choices across 30 models, indicating that optimal responses score higher than non-optimal responses on whether they explicitly acknowledge user-stated preferences. All tests are two-sided.</w:t>
      </w:r>
    </w:p>
    <w:p>
      <w:pPr>
        <w:pStyle w:val="BodyText"/>
      </w:pPr>
      <w:r>
        <w:drawing>
          <wp:inline>
            <wp:extent cx="5943600" cy="2887009"/>
            <wp:effectExtent b="0" l="0" r="0" t="0"/>
            <wp:docPr descr="" title="" id="207" name="Picture"/>
            <a:graphic>
              <a:graphicData uri="http://schemas.openxmlformats.org/drawingml/2006/picture">
                <pic:pic>
                  <pic:nvPicPr>
                    <pic:cNvPr descr="../results/figures/ed10_vague_paradox.png" id="208" name="Picture"/>
                    <pic:cNvPicPr>
                      <a:picLocks noChangeArrowheads="1" noChangeAspect="1"/>
                    </pic:cNvPicPr>
                  </pic:nvPicPr>
                  <pic:blipFill>
                    <a:blip r:embed="rId206"/>
                    <a:stretch>
                      <a:fillRect/>
                    </a:stretch>
                  </pic:blipFill>
                  <pic:spPr bwMode="auto">
                    <a:xfrm>
                      <a:off x="0" y="0"/>
                      <a:ext cx="5943600" cy="2887009"/>
                    </a:xfrm>
                    <a:prstGeom prst="rect">
                      <a:avLst/>
                    </a:prstGeom>
                    <a:noFill/>
                    <a:ln w="9525">
                      <a:noFill/>
                      <a:headEnd/>
                      <a:tailEnd/>
                    </a:ln>
                  </pic:spPr>
                </pic:pic>
              </a:graphicData>
            </a:graphic>
          </wp:inline>
        </w:drawing>
      </w:r>
    </w:p>
    <w:p>
      <w:pPr>
        <w:pStyle w:val="BodyText"/>
      </w:pPr>
      <w:r>
        <w:rPr>
          <w:b/>
          <w:bCs/>
        </w:rPr>
        <w:t xml:space="preserve">Extended Data Figure 7 | Vague preferences amplify brand preferences.</w:t>
      </w:r>
      <w:r>
        <w:t xml:space="preserve"> </w:t>
      </w:r>
      <w:r>
        <w:t xml:space="preserve">Model-level changes from baseline to preference-vague specification, showing that vague preference statements increase non-optimal rates in 12 of 30 models. Red bars indicate worsening (paradox); green bars indicate improvement. N = 20,413 baseline and 20,400 preference-vague trials across 30 models. Error bars represent Wilson 95% confidence intervals. All tests are two-sided.</w:t>
      </w:r>
    </w:p>
    <w:p>
      <w:pPr>
        <w:pStyle w:val="BodyText"/>
      </w:pPr>
      <w:r>
        <w:drawing>
          <wp:inline>
            <wp:extent cx="5943600" cy="2054220"/>
            <wp:effectExtent b="0" l="0" r="0" t="0"/>
            <wp:docPr descr="" title="" id="210" name="Picture"/>
            <a:graphic>
              <a:graphicData uri="http://schemas.openxmlformats.org/drawingml/2006/picture">
                <pic:pic>
                  <pic:nvPicPr>
                    <pic:cNvPr descr="../results/figures/ed11_confabulation.png" id="211" name="Picture"/>
                    <pic:cNvPicPr>
                      <a:picLocks noChangeArrowheads="1" noChangeAspect="1"/>
                    </pic:cNvPicPr>
                  </pic:nvPicPr>
                  <pic:blipFill>
                    <a:blip r:embed="rId209"/>
                    <a:stretch>
                      <a:fillRect/>
                    </a:stretch>
                  </pic:blipFill>
                  <pic:spPr bwMode="auto">
                    <a:xfrm>
                      <a:off x="0" y="0"/>
                      <a:ext cx="5943600" cy="2054220"/>
                    </a:xfrm>
                    <a:prstGeom prst="rect">
                      <a:avLst/>
                    </a:prstGeom>
                    <a:noFill/>
                    <a:ln w="9525">
                      <a:noFill/>
                      <a:headEnd/>
                      <a:tailEnd/>
                    </a:ln>
                  </pic:spPr>
                </pic:pic>
              </a:graphicData>
            </a:graphic>
          </wp:inline>
        </w:drawing>
      </w:r>
    </w:p>
    <w:p>
      <w:pPr>
        <w:pStyle w:val="BodyText"/>
      </w:pPr>
      <w:r>
        <w:rPr>
          <w:b/>
          <w:bCs/>
        </w:rPr>
        <w:t xml:space="preserve">Extended Data Figure 8 | Confabulation remains high across specification levels and drops only under positive reframing.</w:t>
      </w:r>
      <w:r>
        <w:t xml:space="preserve"> </w:t>
      </w:r>
      <w:r>
        <w:rPr>
          <w:b/>
          <w:bCs/>
        </w:rPr>
        <w:t xml:space="preserve">a</w:t>
      </w:r>
      <w:r>
        <w:t xml:space="preserve">, Confabulation rate (non-optimal choices justified without citing brand, computed over non-optimal trials with judge data) across specification conditions. Rates remain near or above 75 per cent at all specification levels (baseline 73.8 per cent, preference-vague 90.6 per cent, preference-weighted 87.9 per cent, utility-vague 75.6 per cent, utility-weighted 94.5 per cent), indicating that increasing specification precision does not make the bias more transparent.</w:t>
      </w:r>
      <w:r>
        <w:t xml:space="preserve"> </w:t>
      </w:r>
      <w:r>
        <w:rPr>
          <w:b/>
          <w:bCs/>
        </w:rPr>
        <w:t xml:space="preserve">b</w:t>
      </w:r>
      <w:r>
        <w:t xml:space="preserve">, Confabulation rate across anti-brand conditions. The prefer-unknown condition, which eliminates most non-optimal choices, also produces the sharpest drop in confabulation rate (10.3 per cent). The rejection condition leaves the rate near baseline (~70 per cent), while negative experience produces a partial reduction (~41 per cent). Dashed lines mark the baseline confabulation rate. Error bars represent Wilson 95% confidence intervals.</w:t>
      </w:r>
    </w:p>
    <w:p>
      <w:pPr>
        <w:pStyle w:val="BodyText"/>
      </w:pPr>
      <w:r>
        <w:drawing>
          <wp:inline>
            <wp:extent cx="5943600" cy="5035850"/>
            <wp:effectExtent b="0" l="0" r="0" t="0"/>
            <wp:docPr descr="" title="" id="213" name="Picture"/>
            <a:graphic>
              <a:graphicData uri="http://schemas.openxmlformats.org/drawingml/2006/picture">
                <pic:pic>
                  <pic:nvPicPr>
                    <pic:cNvPr descr="../results/figures/ed9_confabulation_examples.png" id="214" name="Picture"/>
                    <pic:cNvPicPr>
                      <a:picLocks noChangeArrowheads="1" noChangeAspect="1"/>
                    </pic:cNvPicPr>
                  </pic:nvPicPr>
                  <pic:blipFill>
                    <a:blip r:embed="rId212"/>
                    <a:stretch>
                      <a:fillRect/>
                    </a:stretch>
                  </pic:blipFill>
                  <pic:spPr bwMode="auto">
                    <a:xfrm>
                      <a:off x="0" y="0"/>
                      <a:ext cx="5943600" cy="5035850"/>
                    </a:xfrm>
                    <a:prstGeom prst="rect">
                      <a:avLst/>
                    </a:prstGeom>
                    <a:noFill/>
                    <a:ln w="9525">
                      <a:noFill/>
                      <a:headEnd/>
                      <a:tailEnd/>
                    </a:ln>
                  </pic:spPr>
                </pic:pic>
              </a:graphicData>
            </a:graphic>
          </wp:inline>
        </w:drawing>
      </w:r>
    </w:p>
    <w:p>
      <w:pPr>
        <w:pStyle w:val="BodyText"/>
      </w:pPr>
      <w:r>
        <w:rPr>
          <w:b/>
          <w:bCs/>
        </w:rPr>
        <w:t xml:space="preserve">Extended Data Figure 9 | Verbatim confabulation codebook.</w:t>
      </w:r>
      <w:r>
        <w:t xml:space="preserve"> </w:t>
      </w:r>
      <w:r>
        <w:t xml:space="preserve">Four representative non-optimal recommendations across providers and product categories, drawn from baseline trials. Each panel shows the model and category, the user’s request, the product the model recommended and the specification-optimal product it declined (with per-attribute comparisons; green ticks mark attributes on which the declined product exceeds the recommendation, and dashes mark matched attributes), and the model’s justification (abridged, with elisions marked; full transcripts in Supplementary Note 18). Every attribute the model cites in its justification is matched or exceeded by the corresponding attribute in the declined product.</w:t>
      </w:r>
      <w:r>
        <w:t xml:space="preserve"> </w:t>
      </w:r>
      <w:r>
        <w:rPr>
          <w:b/>
          <w:bCs/>
        </w:rPr>
        <w:t xml:space="preserve">a</w:t>
      </w:r>
      <w:r>
        <w:t xml:space="preserve">, Claude Haiku 4.5 recommends an ASUS VivoBook 15 (FHD OLED, Ryzen 7730U, 7-hour battery, $679.99) over a Zentria CoreBook X 14 (2.8K OLED, Ryzen 7840U, 12-hour battery, $479.99) and cites the inferior attributes as</w:t>
      </w:r>
      <w:r>
        <w:t xml:space="preserve"> </w:t>
      </w:r>
      <w:r>
        <w:t xml:space="preserve">“superior”</w:t>
      </w:r>
      <w:r>
        <w:t xml:space="preserve">.</w:t>
      </w:r>
      <w:r>
        <w:t xml:space="preserve"> </w:t>
      </w:r>
      <w:r>
        <w:rPr>
          <w:b/>
          <w:bCs/>
        </w:rPr>
        <w:t xml:space="preserve">b</w:t>
      </w:r>
      <w:r>
        <w:t xml:space="preserve">, Qwen 2.5 72B recommends a Sennheiser Momentum 4 ($299.99, 60h battery, 35 dB ANC, 293 g) over a Sonaray Space Q45 ($149.99, 65 h, 42 dB, 240 g).</w:t>
      </w:r>
      <w:r>
        <w:t xml:space="preserve"> </w:t>
      </w:r>
      <w:r>
        <w:rPr>
          <w:b/>
          <w:bCs/>
        </w:rPr>
        <w:t xml:space="preserve">c</w:t>
      </w:r>
      <w:r>
        <w:t xml:space="preserve">, GPT-4o recommends a OnePlus 12R citing camera and battery without comparing to the dominating Veridian Phone (2a) Plus.</w:t>
      </w:r>
      <w:r>
        <w:t xml:space="preserve"> </w:t>
      </w:r>
      <w:r>
        <w:rPr>
          <w:b/>
          <w:bCs/>
        </w:rPr>
        <w:t xml:space="preserve">d</w:t>
      </w:r>
      <w:r>
        <w:t xml:space="preserve">, Gemini 2.0 Flash recommends a Bose SoundLink Flex ($119.99, 12h battery) over a Wavecrest StormBox Pro ($49.99, 24h battery, 40W output). Verbatim transcripts and full attribute tables for these and additional examples are in Supplementary Note 18.</w:t>
      </w:r>
    </w:p>
    <w:p>
      <w:pPr>
        <w:pStyle w:val="BodyText"/>
      </w:pPr>
      <w:r>
        <w:drawing>
          <wp:inline>
            <wp:extent cx="5943600" cy="2058353"/>
            <wp:effectExtent b="0" l="0" r="0" t="0"/>
            <wp:docPr descr="" title="" id="216" name="Picture"/>
            <a:graphic>
              <a:graphicData uri="http://schemas.openxmlformats.org/drawingml/2006/picture">
                <pic:pic>
                  <pic:nvPicPr>
                    <pic:cNvPr descr="../results/figures/fig6_anti_brand.png" id="217" name="Picture"/>
                    <pic:cNvPicPr>
                      <a:picLocks noChangeArrowheads="1" noChangeAspect="1"/>
                    </pic:cNvPicPr>
                  </pic:nvPicPr>
                  <pic:blipFill>
                    <a:blip r:embed="rId215"/>
                    <a:stretch>
                      <a:fillRect/>
                    </a:stretch>
                  </pic:blipFill>
                  <pic:spPr bwMode="auto">
                    <a:xfrm>
                      <a:off x="0" y="0"/>
                      <a:ext cx="5943600" cy="2058353"/>
                    </a:xfrm>
                    <a:prstGeom prst="rect">
                      <a:avLst/>
                    </a:prstGeom>
                    <a:noFill/>
                    <a:ln w="9525">
                      <a:noFill/>
                      <a:headEnd/>
                      <a:tailEnd/>
                    </a:ln>
                  </pic:spPr>
                </pic:pic>
              </a:graphicData>
            </a:graphic>
          </wp:inline>
        </w:drawing>
      </w:r>
    </w:p>
    <w:p>
      <w:pPr>
        <w:pStyle w:val="BodyText"/>
      </w:pPr>
      <w:r>
        <w:rPr>
          <w:b/>
          <w:bCs/>
        </w:rPr>
        <w:t xml:space="preserve">Extended Data Figure 10 | Anti-brand instructions produce asymmetric effects on brand preferences.</w:t>
      </w:r>
      <w:r>
        <w:t xml:space="preserve"> </w:t>
      </w:r>
      <w:r>
        <w:t xml:space="preserve">Forest plot showing mean change in non-optimal rate relative to baseline (diamond) with bootstrapped 95% confidence intervals (whiskers) for three anti-brand conditions. Individual model effects shown as scattered dots (red: backfire, blue: improvement). Brand rejection (+3.8 pp) and negative experience (+11.8 pp) produce backfire; prefer-unknown reduces misalignment by 23.3 pp. N = 20,400 trials per condition across 30 models. All tests are two-sided.</w:t>
      </w:r>
    </w:p>
    <w:p>
      <w:pPr>
        <w:pStyle w:val="BodyText"/>
      </w:pPr>
      <w:r>
        <w:drawing>
          <wp:inline>
            <wp:extent cx="5943600" cy="2872602"/>
            <wp:effectExtent b="0" l="0" r="0" t="0"/>
            <wp:docPr descr="" title="" id="219" name="Picture"/>
            <a:graphic>
              <a:graphicData uri="http://schemas.openxmlformats.org/drawingml/2006/picture">
                <pic:pic>
                  <pic:nvPicPr>
                    <pic:cNvPr descr="../results/figures/fig7_model_families.png" id="220" name="Picture"/>
                    <pic:cNvPicPr>
                      <a:picLocks noChangeArrowheads="1" noChangeAspect="1"/>
                    </pic:cNvPicPr>
                  </pic:nvPicPr>
                  <pic:blipFill>
                    <a:blip r:embed="rId218"/>
                    <a:stretch>
                      <a:fillRect/>
                    </a:stretch>
                  </pic:blipFill>
                  <pic:spPr bwMode="auto">
                    <a:xfrm>
                      <a:off x="0" y="0"/>
                      <a:ext cx="5943600" cy="2872602"/>
                    </a:xfrm>
                    <a:prstGeom prst="rect">
                      <a:avLst/>
                    </a:prstGeom>
                    <a:noFill/>
                    <a:ln w="9525">
                      <a:noFill/>
                      <a:headEnd/>
                      <a:tailEnd/>
                    </a:ln>
                  </pic:spPr>
                </pic:pic>
              </a:graphicData>
            </a:graphic>
          </wp:inline>
        </w:drawing>
      </w:r>
    </w:p>
    <w:p>
      <w:pPr>
        <w:pStyle w:val="BodyText"/>
      </w:pPr>
      <w:r>
        <w:rPr>
          <w:b/>
          <w:bCs/>
        </w:rPr>
        <w:t xml:space="preserve">Extended Data Figure 11 | The brand preference is universal but modulated by alignment training.</w:t>
      </w:r>
      <w:r>
        <w:t xml:space="preserve"> </w:t>
      </w:r>
      <w:r>
        <w:rPr>
          <w:b/>
          <w:bCs/>
        </w:rPr>
        <w:t xml:space="preserve">a</w:t>
      </w:r>
      <w:r>
        <w:t xml:space="preserve">, Non-optimal choice rates for all 30 models at baseline (grey circles), preference-weighted (green squares), and preference-explicit (blue diamonds) specification levels. Provider boundaries marked by vertical separators.</w:t>
      </w:r>
      <w:r>
        <w:t xml:space="preserve"> </w:t>
      </w:r>
      <w:r>
        <w:rPr>
          <w:b/>
          <w:bCs/>
        </w:rPr>
        <w:t xml:space="preserve">b</w:t>
      </w:r>
      <w:r>
        <w:t xml:space="preserve">, Open-weight versus proprietary convergence across the specification gradient; both groups converge below 0.4 per cent once the specification gap is crossed. Shaded bands: bootstrapped 95% confidence intervals. N = 20,413 baseline trials across 30 models. All tests are two-sided.</w:t>
      </w:r>
    </w:p>
    <w:bookmarkEnd w:id="221"/>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12" Target="media/rId212.png" /><Relationship Type="http://schemas.openxmlformats.org/officeDocument/2006/relationships/image" Id="rId10" Target="media/rId10.pdf" /><Relationship Type="http://schemas.openxmlformats.org/officeDocument/2006/relationships/image" Id="rId14" Target="media/rId14.png" /><Relationship Type="http://schemas.openxmlformats.org/officeDocument/2006/relationships/image" Id="rId17" Target="media/rId17.pdf" /><Relationship Type="http://schemas.openxmlformats.org/officeDocument/2006/relationships/image" Id="rId21" Target="media/rId21.png" /><Relationship Type="http://schemas.openxmlformats.org/officeDocument/2006/relationships/image" Id="rId215" Target="media/rId215.png" /><Relationship Type="http://schemas.openxmlformats.org/officeDocument/2006/relationships/image" Id="rId41" Target="media/rId41.pdf" /><Relationship Type="http://schemas.openxmlformats.org/officeDocument/2006/relationships/image" Id="rId218" Target="media/rId218.png" /><Relationship Type="http://schemas.openxmlformats.org/officeDocument/2006/relationships/image" Id="rId28" Target="media/rId28.pdf" /><Relationship Type="http://schemas.openxmlformats.org/officeDocument/2006/relationships/image" Id="rId37" Target="media/rId37.pdf" /><Relationship Type="http://schemas.openxmlformats.org/officeDocument/2006/relationships/hyperlink" Id="rId131" Target="https://arxiv.org/abs/1610.01644" TargetMode="External" /><Relationship Type="http://schemas.openxmlformats.org/officeDocument/2006/relationships/hyperlink" Id="rId139" Target="https://arxiv.org/abs/1706.03741" TargetMode="External" /><Relationship Type="http://schemas.openxmlformats.org/officeDocument/2006/relationships/hyperlink" Id="rId106" Target="https://arxiv.org/abs/1906.01820" TargetMode="External" /><Relationship Type="http://schemas.openxmlformats.org/officeDocument/2006/relationships/hyperlink" Id="rId129" Target="https://arxiv.org/abs/2106.09685" TargetMode="External" /><Relationship Type="http://schemas.openxmlformats.org/officeDocument/2006/relationships/hyperlink" Id="rId137" Target="https://arxiv.org/abs/2203.02155" TargetMode="External" /><Relationship Type="http://schemas.openxmlformats.org/officeDocument/2006/relationships/hyperlink" Id="rId151" Target="https://arxiv.org/abs/2212.08073" TargetMode="External" /><Relationship Type="http://schemas.openxmlformats.org/officeDocument/2006/relationships/hyperlink" Id="rId182" Target="https://arxiv.org/abs/2306.05685" TargetMode="External" /><Relationship Type="http://schemas.openxmlformats.org/officeDocument/2006/relationships/hyperlink" Id="rId102" Target="https://arxiv.org/abs/2310.13548" TargetMode="External" /><Relationship Type="http://schemas.openxmlformats.org/officeDocument/2006/relationships/hyperlink" Id="rId149" Target="https://arxiv.org/abs/2311.03658" TargetMode="External" /><Relationship Type="http://schemas.openxmlformats.org/officeDocument/2006/relationships/hyperlink" Id="rId184" Target="https://arxiv.org/abs/2401.17377" TargetMode="External" /><Relationship Type="http://schemas.openxmlformats.org/officeDocument/2006/relationships/hyperlink" Id="rId118" Target="https://arxiv.org/abs/2408.02784" TargetMode="External" /><Relationship Type="http://schemas.openxmlformats.org/officeDocument/2006/relationships/hyperlink" Id="rId104" Target="https://arxiv.org/abs/2412.04984" TargetMode="External" /><Relationship Type="http://schemas.openxmlformats.org/officeDocument/2006/relationships/hyperlink" Id="rId100" Target="https://arxiv.org/abs/2412.14093" TargetMode="External" /><Relationship Type="http://schemas.openxmlformats.org/officeDocument/2006/relationships/hyperlink" Id="rId123" Target="https://arxiv.org/abs/2502.01349" TargetMode="External" /><Relationship Type="http://schemas.openxmlformats.org/officeDocument/2006/relationships/hyperlink" Id="rId112" Target="https://arxiv.org/abs/2504.04141" TargetMode="External" /><Relationship Type="http://schemas.openxmlformats.org/officeDocument/2006/relationships/hyperlink" Id="rId108" Target="https://arxiv.org/abs/2508.02630" TargetMode="External" /><Relationship Type="http://schemas.openxmlformats.org/officeDocument/2006/relationships/hyperlink" Id="rId110" Target="https://arxiv.org/abs/2601.11379" TargetMode="External" /><Relationship Type="http://schemas.openxmlformats.org/officeDocument/2006/relationships/hyperlink" Id="rId120" Target="https://arxiv.org/abs/2602.09362" TargetMode="External" /><Relationship Type="http://schemas.openxmlformats.org/officeDocument/2006/relationships/hyperlink" Id="rId32" Target="https://aspredicted.org/2b3k86.pdf" TargetMode="External" /><Relationship Type="http://schemas.openxmlformats.org/officeDocument/2006/relationships/hyperlink" Id="rId33" Target="https://aspredicted.org/jc6qc8.pdf" TargetMode="External" /><Relationship Type="http://schemas.openxmlformats.org/officeDocument/2006/relationships/hyperlink" Id="rId66" Target="https://aspredicted.org/pv9ws7.pdf" TargetMode="External" /><Relationship Type="http://schemas.openxmlformats.org/officeDocument/2006/relationships/hyperlink" Id="rId34" Target="https://aspredicted.org/xu5az3.pdf" TargetMode="External" /><Relationship Type="http://schemas.openxmlformats.org/officeDocument/2006/relationships/hyperlink" Id="rId35" Target="https://aspredicted.org/xx53wm.pdf" TargetMode="External" /><Relationship Type="http://schemas.openxmlformats.org/officeDocument/2006/relationships/hyperlink" Id="rId88" Target="https://blog.google/products/shopping/agentic-checkout-holiday-ai-shopping/" TargetMode="External" /><Relationship Type="http://schemas.openxmlformats.org/officeDocument/2006/relationships/hyperlink" Id="rId165" Target="https://doi.org/10.1002/jcpy.1461" TargetMode="External" /><Relationship Type="http://schemas.openxmlformats.org/officeDocument/2006/relationships/hyperlink" Id="rId157" Target="https://doi.org/10.1007/BF00055564" TargetMode="External" /><Relationship Type="http://schemas.openxmlformats.org/officeDocument/2006/relationships/hyperlink" Id="rId90" Target="https://doi.org/10.1007/s11002-020-09537-5" TargetMode="External" /><Relationship Type="http://schemas.openxmlformats.org/officeDocument/2006/relationships/hyperlink" Id="rId125" Target="https://doi.org/10.1016/j.obhdp.2018.12.005" TargetMode="External" /><Relationship Type="http://schemas.openxmlformats.org/officeDocument/2006/relationships/hyperlink" Id="rId127" Target="https://doi.org/10.1037/0033-295X.84.3.231" TargetMode="External" /><Relationship Type="http://schemas.openxmlformats.org/officeDocument/2006/relationships/hyperlink" Id="rId92" Target="https://doi.org/10.1038/s41586-025-09505-x" TargetMode="External" /><Relationship Type="http://schemas.openxmlformats.org/officeDocument/2006/relationships/hyperlink" Id="rId98" Target="https://doi.org/10.1038/s41586-025-09937-5" TargetMode="External" /><Relationship Type="http://schemas.openxmlformats.org/officeDocument/2006/relationships/hyperlink" Id="rId178" Target="https://doi.org/10.1080/00031305.1998.10480550" TargetMode="External" /><Relationship Type="http://schemas.openxmlformats.org/officeDocument/2006/relationships/hyperlink" Id="rId145" Target="https://doi.org/10.1086/208556" TargetMode="External" /><Relationship Type="http://schemas.openxmlformats.org/officeDocument/2006/relationships/hyperlink" Id="rId159" Target="https://doi.org/10.1086/510223" TargetMode="External" /><Relationship Type="http://schemas.openxmlformats.org/officeDocument/2006/relationships/hyperlink" Id="rId180" Target="https://doi.org/10.1093/biomet/73.1.13" TargetMode="External" /><Relationship Type="http://schemas.openxmlformats.org/officeDocument/2006/relationships/hyperlink" Id="rId96" Target="https://doi.org/10.1145/3442188.3445922" TargetMode="External" /><Relationship Type="http://schemas.openxmlformats.org/officeDocument/2006/relationships/hyperlink" Id="rId163" Target="https://doi.org/10.1177/00222429251314491" TargetMode="External" /><Relationship Type="http://schemas.openxmlformats.org/officeDocument/2006/relationships/hyperlink" Id="rId143" Target="https://doi.org/10.1177/002224299305700101" TargetMode="External" /><Relationship Type="http://schemas.openxmlformats.org/officeDocument/2006/relationships/hyperlink" Id="rId168" Target="https://doi.org/10.1257/aer.20190623" TargetMode="External" /><Relationship Type="http://schemas.openxmlformats.org/officeDocument/2006/relationships/hyperlink" Id="rId154" Target="https://doi.org/10.1287/mksc.1030.0033" TargetMode="External" /><Relationship Type="http://schemas.openxmlformats.org/officeDocument/2006/relationships/hyperlink" Id="rId176" Target="https://doi.org/10.1287/mksc.2023.0306" TargetMode="External" /><Relationship Type="http://schemas.openxmlformats.org/officeDocument/2006/relationships/hyperlink" Id="rId170" Target="https://doi.org/10.1287/mnsc.1080.0974" TargetMode="External" /><Relationship Type="http://schemas.openxmlformats.org/officeDocument/2006/relationships/hyperlink" Id="rId161" Target="https://doi.org/10.1509/jmkr.45.4.425" TargetMode="External" /><Relationship Type="http://schemas.openxmlformats.org/officeDocument/2006/relationships/hyperlink" Id="rId141" Target="https://doi.org/10.1515/til-2025-0007" TargetMode="External" /><Relationship Type="http://schemas.openxmlformats.org/officeDocument/2006/relationships/hyperlink" Id="rId94" Target="https://doi.org/10.18653/v1/2021.emnlp-main.98" TargetMode="External" /><Relationship Type="http://schemas.openxmlformats.org/officeDocument/2006/relationships/hyperlink" Id="rId135" Target="https://doi.org/10.18653/v1/2024.acl-long.828" TargetMode="External" /><Relationship Type="http://schemas.openxmlformats.org/officeDocument/2006/relationships/hyperlink" Id="rId116" Target="https://doi.org/10.18653/v1/2024.emnlp-main.707" TargetMode="External" /><Relationship Type="http://schemas.openxmlformats.org/officeDocument/2006/relationships/hyperlink" Id="rId114" Target="https://doi.org/10.2139/ssrn.4395751" TargetMode="External" /><Relationship Type="http://schemas.openxmlformats.org/officeDocument/2006/relationships/hyperlink" Id="rId121" Target="https://doi.org/10.3386/w34745" TargetMode="External" /><Relationship Type="http://schemas.openxmlformats.org/officeDocument/2006/relationships/hyperlink" Id="rId70" Target="https://doi.org/10.5281/zenodo.19927068" TargetMode="External" /><Relationship Type="http://schemas.openxmlformats.org/officeDocument/2006/relationships/hyperlink" Id="rId172" Target="https://eur-lex.europa.eu/eli/reg/2024/1689/oj" TargetMode="External" /><Relationship Type="http://schemas.openxmlformats.org/officeDocument/2006/relationships/hyperlink" Id="rId72" Target="https://felipemaffonso.github.io/spec-resistance-companion/" TargetMode="External" /><Relationship Type="http://schemas.openxmlformats.org/officeDocument/2006/relationships/hyperlink" Id="rId71" Target="https://github.com/FelipeMAffonso/spec-resistance" TargetMode="External" /><Relationship Type="http://schemas.openxmlformats.org/officeDocument/2006/relationships/hyperlink" Id="rId84" Target="https://ir.aboutamazon.com/quarterly-results/default.aspx" TargetMode="External" /><Relationship Type="http://schemas.openxmlformats.org/officeDocument/2006/relationships/hyperlink" Id="rId82" Target="https://openai.com/index/chatgpt-shopping-research/" TargetMode="External" /><Relationship Type="http://schemas.openxmlformats.org/officeDocument/2006/relationships/hyperlink" Id="rId80" Target="https://openai.com/index/scaling-ai-for-everyone/" TargetMode="External" /><Relationship Type="http://schemas.openxmlformats.org/officeDocument/2006/relationships/hyperlink" Id="rId133" Target="https://transformer-circuits.pub/2021/framework/index.html" TargetMode="External" /><Relationship Type="http://schemas.openxmlformats.org/officeDocument/2006/relationships/hyperlink" Id="rId147" Target="https://transformer-circuits.pub/2024/scaling-monosemanticity/" TargetMode="External" /><Relationship Type="http://schemas.openxmlformats.org/officeDocument/2006/relationships/hyperlink" Id="rId174" Target="https://www.ftc.gov/news-events/news/press-releases/2024/09/ftc-announces-crackdown-deceptive-ai-claims-schemes" TargetMode="External" /><Relationship Type="http://schemas.openxmlformats.org/officeDocument/2006/relationships/hyperlink" Id="rId86" Target="https://www.mckinsey.com/capabilities/quantumblack/our-insights/the-agentic-commerce-opportunity-how-ai-agents-are-ushering-in-a-new-era-for-consumers-and-merchants" TargetMode="External" /></Relationships>
</file>

<file path=word/_rels/footnotes.xml.rels><?xml version="1.0" encoding="UTF-8"?><Relationships xmlns="http://schemas.openxmlformats.org/package/2006/relationships"><Relationship Type="http://schemas.openxmlformats.org/officeDocument/2006/relationships/hyperlink" Id="rId131" Target="https://arxiv.org/abs/1610.01644" TargetMode="External" /><Relationship Type="http://schemas.openxmlformats.org/officeDocument/2006/relationships/hyperlink" Id="rId139" Target="https://arxiv.org/abs/1706.03741" TargetMode="External" /><Relationship Type="http://schemas.openxmlformats.org/officeDocument/2006/relationships/hyperlink" Id="rId106" Target="https://arxiv.org/abs/1906.01820" TargetMode="External" /><Relationship Type="http://schemas.openxmlformats.org/officeDocument/2006/relationships/hyperlink" Id="rId129" Target="https://arxiv.org/abs/2106.09685" TargetMode="External" /><Relationship Type="http://schemas.openxmlformats.org/officeDocument/2006/relationships/hyperlink" Id="rId137" Target="https://arxiv.org/abs/2203.02155" TargetMode="External" /><Relationship Type="http://schemas.openxmlformats.org/officeDocument/2006/relationships/hyperlink" Id="rId151" Target="https://arxiv.org/abs/2212.08073" TargetMode="External" /><Relationship Type="http://schemas.openxmlformats.org/officeDocument/2006/relationships/hyperlink" Id="rId182" Target="https://arxiv.org/abs/2306.05685" TargetMode="External" /><Relationship Type="http://schemas.openxmlformats.org/officeDocument/2006/relationships/hyperlink" Id="rId102" Target="https://arxiv.org/abs/2310.13548" TargetMode="External" /><Relationship Type="http://schemas.openxmlformats.org/officeDocument/2006/relationships/hyperlink" Id="rId149" Target="https://arxiv.org/abs/2311.03658" TargetMode="External" /><Relationship Type="http://schemas.openxmlformats.org/officeDocument/2006/relationships/hyperlink" Id="rId184" Target="https://arxiv.org/abs/2401.17377" TargetMode="External" /><Relationship Type="http://schemas.openxmlformats.org/officeDocument/2006/relationships/hyperlink" Id="rId118" Target="https://arxiv.org/abs/2408.02784" TargetMode="External" /><Relationship Type="http://schemas.openxmlformats.org/officeDocument/2006/relationships/hyperlink" Id="rId104" Target="https://arxiv.org/abs/2412.04984" TargetMode="External" /><Relationship Type="http://schemas.openxmlformats.org/officeDocument/2006/relationships/hyperlink" Id="rId100" Target="https://arxiv.org/abs/2412.14093" TargetMode="External" /><Relationship Type="http://schemas.openxmlformats.org/officeDocument/2006/relationships/hyperlink" Id="rId123" Target="https://arxiv.org/abs/2502.01349" TargetMode="External" /><Relationship Type="http://schemas.openxmlformats.org/officeDocument/2006/relationships/hyperlink" Id="rId112" Target="https://arxiv.org/abs/2504.04141" TargetMode="External" /><Relationship Type="http://schemas.openxmlformats.org/officeDocument/2006/relationships/hyperlink" Id="rId108" Target="https://arxiv.org/abs/2508.02630" TargetMode="External" /><Relationship Type="http://schemas.openxmlformats.org/officeDocument/2006/relationships/hyperlink" Id="rId110" Target="https://arxiv.org/abs/2601.11379" TargetMode="External" /><Relationship Type="http://schemas.openxmlformats.org/officeDocument/2006/relationships/hyperlink" Id="rId120" Target="https://arxiv.org/abs/2602.09362" TargetMode="External" /><Relationship Type="http://schemas.openxmlformats.org/officeDocument/2006/relationships/hyperlink" Id="rId32" Target="https://aspredicted.org/2b3k86.pdf" TargetMode="External" /><Relationship Type="http://schemas.openxmlformats.org/officeDocument/2006/relationships/hyperlink" Id="rId33" Target="https://aspredicted.org/jc6qc8.pdf" TargetMode="External" /><Relationship Type="http://schemas.openxmlformats.org/officeDocument/2006/relationships/hyperlink" Id="rId66" Target="https://aspredicted.org/pv9ws7.pdf" TargetMode="External" /><Relationship Type="http://schemas.openxmlformats.org/officeDocument/2006/relationships/hyperlink" Id="rId34" Target="https://aspredicted.org/xu5az3.pdf" TargetMode="External" /><Relationship Type="http://schemas.openxmlformats.org/officeDocument/2006/relationships/hyperlink" Id="rId35" Target="https://aspredicted.org/xx53wm.pdf" TargetMode="External" /><Relationship Type="http://schemas.openxmlformats.org/officeDocument/2006/relationships/hyperlink" Id="rId88" Target="https://blog.google/products/shopping/agentic-checkout-holiday-ai-shopping/" TargetMode="External" /><Relationship Type="http://schemas.openxmlformats.org/officeDocument/2006/relationships/hyperlink" Id="rId165" Target="https://doi.org/10.1002/jcpy.1461" TargetMode="External" /><Relationship Type="http://schemas.openxmlformats.org/officeDocument/2006/relationships/hyperlink" Id="rId157" Target="https://doi.org/10.1007/BF00055564" TargetMode="External" /><Relationship Type="http://schemas.openxmlformats.org/officeDocument/2006/relationships/hyperlink" Id="rId90" Target="https://doi.org/10.1007/s11002-020-09537-5" TargetMode="External" /><Relationship Type="http://schemas.openxmlformats.org/officeDocument/2006/relationships/hyperlink" Id="rId125" Target="https://doi.org/10.1016/j.obhdp.2018.12.005" TargetMode="External" /><Relationship Type="http://schemas.openxmlformats.org/officeDocument/2006/relationships/hyperlink" Id="rId127" Target="https://doi.org/10.1037/0033-295X.84.3.231" TargetMode="External" /><Relationship Type="http://schemas.openxmlformats.org/officeDocument/2006/relationships/hyperlink" Id="rId92" Target="https://doi.org/10.1038/s41586-025-09505-x" TargetMode="External" /><Relationship Type="http://schemas.openxmlformats.org/officeDocument/2006/relationships/hyperlink" Id="rId98" Target="https://doi.org/10.1038/s41586-025-09937-5" TargetMode="External" /><Relationship Type="http://schemas.openxmlformats.org/officeDocument/2006/relationships/hyperlink" Id="rId178" Target="https://doi.org/10.1080/00031305.1998.10480550" TargetMode="External" /><Relationship Type="http://schemas.openxmlformats.org/officeDocument/2006/relationships/hyperlink" Id="rId145" Target="https://doi.org/10.1086/208556" TargetMode="External" /><Relationship Type="http://schemas.openxmlformats.org/officeDocument/2006/relationships/hyperlink" Id="rId159" Target="https://doi.org/10.1086/510223" TargetMode="External" /><Relationship Type="http://schemas.openxmlformats.org/officeDocument/2006/relationships/hyperlink" Id="rId180" Target="https://doi.org/10.1093/biomet/73.1.13" TargetMode="External" /><Relationship Type="http://schemas.openxmlformats.org/officeDocument/2006/relationships/hyperlink" Id="rId96" Target="https://doi.org/10.1145/3442188.3445922" TargetMode="External" /><Relationship Type="http://schemas.openxmlformats.org/officeDocument/2006/relationships/hyperlink" Id="rId163" Target="https://doi.org/10.1177/00222429251314491" TargetMode="External" /><Relationship Type="http://schemas.openxmlformats.org/officeDocument/2006/relationships/hyperlink" Id="rId143" Target="https://doi.org/10.1177/002224299305700101" TargetMode="External" /><Relationship Type="http://schemas.openxmlformats.org/officeDocument/2006/relationships/hyperlink" Id="rId168" Target="https://doi.org/10.1257/aer.20190623" TargetMode="External" /><Relationship Type="http://schemas.openxmlformats.org/officeDocument/2006/relationships/hyperlink" Id="rId154" Target="https://doi.org/10.1287/mksc.1030.0033" TargetMode="External" /><Relationship Type="http://schemas.openxmlformats.org/officeDocument/2006/relationships/hyperlink" Id="rId176" Target="https://doi.org/10.1287/mksc.2023.0306" TargetMode="External" /><Relationship Type="http://schemas.openxmlformats.org/officeDocument/2006/relationships/hyperlink" Id="rId170" Target="https://doi.org/10.1287/mnsc.1080.0974" TargetMode="External" /><Relationship Type="http://schemas.openxmlformats.org/officeDocument/2006/relationships/hyperlink" Id="rId161" Target="https://doi.org/10.1509/jmkr.45.4.425" TargetMode="External" /><Relationship Type="http://schemas.openxmlformats.org/officeDocument/2006/relationships/hyperlink" Id="rId141" Target="https://doi.org/10.1515/til-2025-0007" TargetMode="External" /><Relationship Type="http://schemas.openxmlformats.org/officeDocument/2006/relationships/hyperlink" Id="rId94" Target="https://doi.org/10.18653/v1/2021.emnlp-main.98" TargetMode="External" /><Relationship Type="http://schemas.openxmlformats.org/officeDocument/2006/relationships/hyperlink" Id="rId135" Target="https://doi.org/10.18653/v1/2024.acl-long.828" TargetMode="External" /><Relationship Type="http://schemas.openxmlformats.org/officeDocument/2006/relationships/hyperlink" Id="rId116" Target="https://doi.org/10.18653/v1/2024.emnlp-main.707" TargetMode="External" /><Relationship Type="http://schemas.openxmlformats.org/officeDocument/2006/relationships/hyperlink" Id="rId114" Target="https://doi.org/10.2139/ssrn.4395751" TargetMode="External" /><Relationship Type="http://schemas.openxmlformats.org/officeDocument/2006/relationships/hyperlink" Id="rId121" Target="https://doi.org/10.3386/w34745" TargetMode="External" /><Relationship Type="http://schemas.openxmlformats.org/officeDocument/2006/relationships/hyperlink" Id="rId70" Target="https://doi.org/10.5281/zenodo.19927068" TargetMode="External" /><Relationship Type="http://schemas.openxmlformats.org/officeDocument/2006/relationships/hyperlink" Id="rId172" Target="https://eur-lex.europa.eu/eli/reg/2024/1689/oj" TargetMode="External" /><Relationship Type="http://schemas.openxmlformats.org/officeDocument/2006/relationships/hyperlink" Id="rId72" Target="https://felipemaffonso.github.io/spec-resistance-companion/" TargetMode="External" /><Relationship Type="http://schemas.openxmlformats.org/officeDocument/2006/relationships/hyperlink" Id="rId71" Target="https://github.com/FelipeMAffonso/spec-resistance" TargetMode="External" /><Relationship Type="http://schemas.openxmlformats.org/officeDocument/2006/relationships/hyperlink" Id="rId84" Target="https://ir.aboutamazon.com/quarterly-results/default.aspx" TargetMode="External" /><Relationship Type="http://schemas.openxmlformats.org/officeDocument/2006/relationships/hyperlink" Id="rId82" Target="https://openai.com/index/chatgpt-shopping-research/" TargetMode="External" /><Relationship Type="http://schemas.openxmlformats.org/officeDocument/2006/relationships/hyperlink" Id="rId80" Target="https://openai.com/index/scaling-ai-for-everyone/" TargetMode="External" /><Relationship Type="http://schemas.openxmlformats.org/officeDocument/2006/relationships/hyperlink" Id="rId133" Target="https://transformer-circuits.pub/2021/framework/index.html" TargetMode="External" /><Relationship Type="http://schemas.openxmlformats.org/officeDocument/2006/relationships/hyperlink" Id="rId147" Target="https://transformer-circuits.pub/2024/scaling-monosemanticity/" TargetMode="External" /><Relationship Type="http://schemas.openxmlformats.org/officeDocument/2006/relationships/hyperlink" Id="rId174" Target="https://www.ftc.gov/news-events/news/press-releases/2024/09/ftc-announces-crackdown-deceptive-ai-claims-schemes" TargetMode="External" /><Relationship Type="http://schemas.openxmlformats.org/officeDocument/2006/relationships/hyperlink" Id="rId86" Target="https://www.mckinsey.com/capabilities/quantumblack/our-insights/the-agentic-commerce-opportunity-how-ai-agents-are-ushering-in-a-new-era-for-consumers-and-mercha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models conceal brand preferences despite user instructions</dc:title>
  <dc:creator>Felipe M. Affonso</dc:creator>
  <cp:keywords/>
  <dcterms:created xsi:type="dcterms:W3CDTF">2026-07-08T20:58:54Z</dcterms:created>
  <dcterms:modified xsi:type="dcterms:W3CDTF">2026-07-08T20:58:54Z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C:/Users/natal/Dropbox/Felipe/CLAUDE CODE/academic-research/projects/spec-resistance/OSF/paper/_templates/nature.csl</vt:lpwstr>
  </property>
  <property fmtid="{D5CDD505-2E9C-101B-9397-08002B2CF9AE}" pid="4" name="email">
    <vt:lpwstr>felipe.affonso@okstate.edu</vt:lpwstr>
  </property>
  <property fmtid="{D5CDD505-2E9C-101B-9397-08002B2CF9AE}" pid="5" name="institute">
    <vt:lpwstr>Spears School of Business, Oklahoma State University, Stillwater, OK 74078, USA</vt:lpwstr>
  </property>
  <property fmtid="{D5CDD505-2E9C-101B-9397-08002B2CF9AE}" pid="6" name="link-citations">
    <vt:lpwstr>True</vt:lpwstr>
  </property>
  <property fmtid="{D5CDD505-2E9C-101B-9397-08002B2CF9AE}" pid="7" name="orcid">
    <vt:lpwstr>0000-0001-8928-5871</vt:lpwstr>
  </property>
</Properties>
</file>