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80" w:line="288" w:lineRule="auto"/>
        <w:jc w:val="center"/>
      </w:pPr>
      <w:r>
        <w:rPr>
          <w:rFonts w:ascii="Noto Sans" w:hAnsi="Noto Sans"/>
          <w:b/>
          <w:i w:val="0"/>
          <w:color w:val="FE4600"/>
          <w:sz w:val="28"/>
        </w:rPr>
        <w:t>OPER RADAR</w:t>
      </w:r>
    </w:p>
    <w:p>
      <w:pPr>
        <w:keepNext w:val="0"/>
        <w:spacing w:before="0" w:after="160" w:line="288" w:lineRule="auto"/>
        <w:jc w:val="center"/>
      </w:pPr>
      <w:r>
        <w:rPr>
          <w:rFonts w:ascii="Noto Sans" w:hAnsi="Noto Sans"/>
          <w:b/>
          <w:i w:val="0"/>
          <w:color w:val="00074A"/>
          <w:sz w:val="56"/>
        </w:rPr>
        <w:t>MAPA FUNCIONAL DO SISTEMA</w:t>
      </w:r>
    </w:p>
    <w:p>
      <w:pPr>
        <w:keepNext w:val="0"/>
        <w:spacing w:before="0" w:after="680" w:line="288" w:lineRule="auto"/>
        <w:jc w:val="center"/>
      </w:pPr>
      <w:r>
        <w:rPr>
          <w:rFonts w:ascii="Noto Sans" w:hAnsi="Noto Sans"/>
          <w:b w:val="0"/>
          <w:i w:val="0"/>
          <w:color w:val="596681"/>
          <w:sz w:val="28"/>
        </w:rPr>
        <w:t>Arquitetura de navegação, comportamento, dados, acessibilidade e implementação</w:t>
      </w:r>
    </w:p>
    <w:p>
      <w:pPr>
        <w:keepNext w:val="0"/>
        <w:spacing w:before="0" w:after="80" w:line="288" w:lineRule="auto"/>
        <w:jc w:val="center"/>
      </w:pPr>
      <w:r>
        <w:rPr>
          <w:rFonts w:ascii="Noto Sans" w:hAnsi="Noto Sans"/>
          <w:b/>
          <w:i w:val="0"/>
          <w:color w:val="00074A"/>
          <w:sz w:val="24"/>
        </w:rPr>
        <w:t>Versão funcional 1.0</w:t>
      </w:r>
    </w:p>
    <w:p>
      <w:pPr>
        <w:keepNext w:val="0"/>
        <w:spacing w:before="0" w:after="720" w:line="288" w:lineRule="auto"/>
        <w:jc w:val="center"/>
      </w:pPr>
      <w:r>
        <w:rPr>
          <w:rFonts w:ascii="Noto Sans" w:hAnsi="Noto Sans"/>
          <w:b w:val="0"/>
          <w:i w:val="0"/>
          <w:color w:val="596681"/>
          <w:sz w:val="21"/>
        </w:rPr>
        <w:t>31 ago 2026</w:t>
      </w:r>
    </w:p>
    <w:p>
      <w:pPr>
        <w:spacing w:before="80" w:after="160" w:line="283" w:lineRule="auto"/>
        <w:ind w:left="200" w:right="160"/>
        <w:shd w:fill="FFF0E8"/>
        <w:pBdr>
          <w:left w:val="single" w:sz="20" w:space="8" w:color="FE4600"/>
        </w:pBdr>
      </w:pPr>
      <w:r>
        <w:rPr>
          <w:rFonts w:ascii="Noto Sans" w:hAnsi="Noto Sans"/>
          <w:b/>
          <w:color w:val="FE4600"/>
          <w:sz w:val="17"/>
        </w:rPr>
        <w:t>STATUS DO DOCUMENTO</w:t>
        <w:br/>
      </w:r>
      <w:r>
        <w:rPr>
          <w:rFonts w:ascii="Noto Sans" w:hAnsi="Noto Sans"/>
          <w:color w:val="18233C"/>
          <w:sz w:val="20"/>
        </w:rPr>
        <w:t>Especificação para validação do gestor. Consolida o Plano Mestre v1.0, as Telas 1–16 e as decisões de fluxo tomadas durante a reformulação. Não comprova frontend, APIs, banco, permissões ou publicação em produção.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69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Definição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Responsável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Felipe Hilário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Produto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OPER RADAR — inteligência de mercado para caminhões e veículos pesados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Fonte principal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Plano Mestre de Redesign v1.0, data-base 29 ago 2026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Governança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Somente confirmação explícita do gestor altera o status de uma tela para APROVADA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Escopo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Desktop e mobile; dados de demonstração podem ilustrar comportamento, mas não substituir contratos reais</w:t>
            </w:r>
          </w:p>
        </w:tc>
      </w:tr>
    </w:tbl>
    <w:p>
      <w:pPr>
        <w:spacing w:after="40"/>
      </w:pPr>
    </w:p>
    <w:p>
      <w:pPr>
        <w:keepNext w:val="0"/>
        <w:spacing w:before="200" w:after="0" w:line="288" w:lineRule="auto"/>
        <w:jc w:val="center"/>
      </w:pPr>
      <w:r>
        <w:rPr>
          <w:rFonts w:ascii="Noto Sans" w:hAnsi="Noto Sans"/>
          <w:b w:val="0"/>
          <w:i/>
          <w:color w:val="596681"/>
          <w:sz w:val="18"/>
        </w:rPr>
        <w:t>Leitura recomendada: começar pelas decisões executivas e arquitetura; usar os capítulos de tela como contrato de implementação e os anexos como checklist de aceite.</w:t>
      </w:r>
    </w:p>
    <w:p>
      <w:pPr>
        <w:pStyle w:val="Heading1"/>
        <w:keepNext/>
        <w:pageBreakBefore/>
      </w:pPr>
      <w:r>
        <w:t>Sumário executivo</w:t>
      </w:r>
    </w:p>
    <w:p>
      <w:pPr>
        <w:spacing w:before="80" w:after="160" w:line="283" w:lineRule="auto"/>
        <w:ind w:left="200" w:right="160"/>
        <w:shd w:fill="FFF0E8"/>
        <w:pBdr>
          <w:left w:val="single" w:sz="20" w:space="8" w:color="FE4600"/>
        </w:pBdr>
      </w:pPr>
      <w:r>
        <w:rPr>
          <w:rFonts w:ascii="Noto Sans" w:hAnsi="Noto Sans"/>
          <w:b/>
          <w:color w:val="FE4600"/>
          <w:sz w:val="17"/>
        </w:rPr>
        <w:t>DECISÃO ESTRUTURAL</w:t>
        <w:br/>
      </w:r>
      <w:r>
        <w:rPr>
          <w:rFonts w:ascii="Noto Sans" w:hAnsi="Noto Sans"/>
          <w:color w:val="18233C"/>
          <w:sz w:val="20"/>
        </w:rPr>
        <w:t>O menu principal permanece curto. Submenus aparecem apenas para destinos recorrentes; estado, cidade, modelo, lojista, item e anúncio são drill-downs contextuais. Alertas e Radar IA são ferramentas globais.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A hierarquia de mercado é Brasil → região → estado → cidade → lojista → anúncio.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Minha Loja — SVD Seminovos permanece referência fixa de comparação quando aplicável.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Mediana de anúncios equivalentes é a referência principal; FIPE permanece separada e rotulada.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Verde/vermelho comunicam apenas movimento temporal. Diferenças estáticas usam azul-marinho/cinza.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Saída de portal é saída detectada; não é venda confirmada.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Toda leitura estratégica deve expor fonte, período, amostra, confiança e caminho para evidência.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Rolagem infinita será híbrida: automática para fluidez e botão Carregar mais para acessibilidade e recuperação.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Desktop é a superfície de comparação; mobile prioriza briefing, alertas, busca e ações rápidas sem remover contexto.</w:t>
      </w:r>
    </w:p>
    <w:p>
      <w:pPr>
        <w:pStyle w:val="Heading2"/>
        <w:keepNext/>
      </w:pPr>
      <w:r>
        <w:t>O que este documento acrescenta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Mapa completo de rotas, menus, submenus e retornos.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Contrato de estado global e persistência de filtros.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Especificação funcional das 16 telas.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Estados loading, vazio, erro, baixa confiança, stale e sem permissão.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Modelo de confiança, RBAC, telemetria, APIs e entidades propostos.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Mapa de acessibilidade desktop/mobile e critérios WCAG 2.2 AA.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9"/>
        </w:rPr>
        <w:t>Backlog de funções novas, prioridades e decisões pendentes.</w:t>
      </w:r>
    </w:p>
    <w:p>
      <w:pPr>
        <w:pStyle w:val="Heading2"/>
        <w:keepNext/>
      </w:pPr>
      <w:r>
        <w:t>Sumário de capítulos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Governança, escopo e princípios.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Arquitetura de informação.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Modelo de navegação e contexto.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Fluxos ponta a ponta.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Especificação das Telas 1–16.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Estados universais.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Dados, equivalência e confiança.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Funções novas propostas.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Acessibilidade e responsividade.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Permissões e segurança.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APIs, entidades e telemetria.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Performance e observabilidade.</w:t>
      </w:r>
    </w:p>
    <w:p>
      <w:pPr>
        <w:pStyle w:val="ListNumber"/>
        <w:spacing w:after="20" w:line="252" w:lineRule="auto"/>
      </w:pPr>
      <w:r>
        <w:rPr>
          <w:rFonts w:ascii="Noto Sans" w:hAnsi="Noto Sans"/>
          <w:color w:val="18233C"/>
          <w:sz w:val="18"/>
        </w:rPr>
        <w:t>Critérios de aceite, roadmap e decisões pendentes.</w:t>
      </w:r>
    </w:p>
    <w:p>
      <w:pPr>
        <w:pStyle w:val="Heading1"/>
        <w:keepNext/>
        <w:pageBreakBefore/>
      </w:pPr>
      <w:r>
        <w:t>1. Governança, escopo e princípios</w:t>
      </w:r>
    </w:p>
    <w:p>
      <w:pPr>
        <w:pStyle w:val="Heading2"/>
        <w:keepNext/>
      </w:pPr>
      <w:r>
        <w:t>1.1 Regra de governança</w:t>
      </w:r>
    </w:p>
    <w:p>
      <w:pPr>
        <w:spacing w:before="80" w:after="160" w:line="283" w:lineRule="auto"/>
        <w:ind w:left="200" w:right="160"/>
        <w:shd w:fill="FFF0E8"/>
        <w:pBdr>
          <w:left w:val="single" w:sz="20" w:space="8" w:color="FE4600"/>
        </w:pBdr>
      </w:pPr>
      <w:r>
        <w:rPr>
          <w:rFonts w:ascii="Noto Sans" w:hAnsi="Noto Sans"/>
          <w:b/>
          <w:color w:val="FE4600"/>
          <w:sz w:val="17"/>
        </w:rPr>
        <w:t>REGRA OBRIGATÓRIA</w:t>
        <w:br/>
      </w:r>
      <w:r>
        <w:rPr>
          <w:rFonts w:ascii="Noto Sans" w:hAnsi="Noto Sans"/>
          <w:color w:val="18233C"/>
          <w:sz w:val="20"/>
        </w:rPr>
        <w:t>Mockup bonito não equivale a tela aprovada nem implementada. Cada tela precisa de origem, destino, comportamento, dados, estados, acessibilidade e confirmação explícita de Felipe Hilário.</w:t>
      </w:r>
    </w:p>
    <w:p>
      <w:pPr>
        <w:pStyle w:val="Heading2"/>
        <w:keepNext/>
      </w:pPr>
      <w:r>
        <w:t>1.2 O produto é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Sistema de inteligência comercial sobre anúncios monitorados.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Ferramenta para CEO, gestor comercial, comprador, analista e operação de dados.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Ambiente de comparação por grupos equivalentes, geografia e tempo.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Base de evidências para decisões humanas, sem prescrever automaticamente preço ou compra.</w:t>
      </w:r>
    </w:p>
    <w:p>
      <w:pPr>
        <w:pStyle w:val="Heading2"/>
        <w:keepNext/>
      </w:pPr>
      <w:r>
        <w:t>1.3 O produto não é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Marketplace, catálogo de compra ou fluxo de negociação.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Galeria de fotos de caminhões.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Sistema que chama saída de anúncio de venda confirmada.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Motor que mistura FIPE com mediana de anúncios.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Assistente que inventa causa, tendência ou preço ideal sem evidência suficiente.</w:t>
      </w:r>
    </w:p>
    <w:p>
      <w:pPr>
        <w:pStyle w:val="Heading2"/>
        <w:keepNext/>
      </w:pPr>
      <w:r>
        <w:t>1.4 Semântica obrigatória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160"/>
        <w:gridCol w:w="2400"/>
      </w:tblGrid>
      <w:tr>
        <w:trPr>
          <w:tblHeader w:val="true"/>
        </w:trPr>
        <w:tc>
          <w:tcPr>
            <w:tcW w:type="dxa" w:w="18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Conceito</w:t>
            </w:r>
          </w:p>
        </w:tc>
        <w:tc>
          <w:tcPr>
            <w:tcW w:type="dxa" w:w="51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Regra funcional</w:t>
            </w:r>
          </w:p>
        </w:tc>
        <w:tc>
          <w:tcPr>
            <w:tcW w:type="dxa" w:w="24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Tratamento visual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Preço de mercado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Mediana do grupo equivalente; média, mínimo, máximo e dispersão são contexto.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Azul-marinho/cinza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Diferença estática</w:t>
            </w:r>
          </w:p>
        </w:tc>
        <w:tc>
          <w:tcPr>
            <w:tcW w:type="dxa" w:w="51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Comparação contra Brasil, UF, cidade ou Minha Loja em um mesmo instante.</w:t>
            </w:r>
          </w:p>
        </w:tc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Neutro; nunca verde/vermelho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Movimento temporal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Variação ao longo do período monitorado.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Verde para alta; vermelho para queda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Saída detectada</w:t>
            </w:r>
          </w:p>
        </w:tc>
        <w:tc>
          <w:tcPr>
            <w:tcW w:type="dxa" w:w="51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Anúncio deixou de ser observado após confirmações do coletor.</w:t>
            </w:r>
          </w:p>
        </w:tc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Cinza; não usar Vendido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FIPE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Fonte externa e distinta; nunca substitui mediana de anúncios.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Rótulo e fonte explícitos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Minha Loja</w:t>
            </w:r>
          </w:p>
        </w:tc>
        <w:tc>
          <w:tcPr>
            <w:tcW w:type="dxa" w:w="51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SVD Seminovos é referência fixa quando houver grupo comparável.</w:t>
            </w:r>
          </w:p>
        </w:tc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Laranja restrito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2. Arquitetura de informação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7976"/>
            <wp:docPr id="1" name="Picture 1" descr="Diagrama da arquitetura: casca global conectada às áreas Visão estratégica, Mercado, Concorrência, Minha Loja e Configurações; Alertas e Radar IA como ferramentas globais." title="Figura 1 — Arquitetura funcional consolid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quitetura-inform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60" w:line="288" w:lineRule="auto"/>
        <w:jc w:val="center"/>
      </w:pPr>
      <w:r>
        <w:rPr>
          <w:rFonts w:ascii="Noto Sans" w:hAnsi="Noto Sans"/>
          <w:b w:val="0"/>
          <w:i/>
          <w:color w:val="596681"/>
          <w:sz w:val="17"/>
        </w:rPr>
        <w:t>Figura 1 — Arquitetura funcional consolidada</w:t>
      </w:r>
    </w:p>
    <w:p>
      <w:pPr>
        <w:pStyle w:val="Heading2"/>
        <w:keepNext/>
      </w:pPr>
      <w:r>
        <w:t>2.1 Menu e submenus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1900"/>
        <w:gridCol w:w="4260"/>
      </w:tblGrid>
      <w:tr>
        <w:trPr>
          <w:tblHeader w:val="true"/>
        </w:trPr>
        <w:tc>
          <w:tcPr>
            <w:tcW w:type="dxa" w:w="13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Nível</w:t>
            </w:r>
          </w:p>
        </w:tc>
        <w:tc>
          <w:tcPr>
            <w:tcW w:type="dxa" w:w="19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Item</w:t>
            </w:r>
          </w:p>
        </w:tc>
        <w:tc>
          <w:tcPr>
            <w:tcW w:type="dxa" w:w="19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Destino</w:t>
            </w:r>
          </w:p>
        </w:tc>
        <w:tc>
          <w:tcPr>
            <w:tcW w:type="dxa" w:w="4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Regra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Principal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Visão estratégica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Tela 1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Entrada executiva; sem submenu obrigatório</w:t>
            </w:r>
          </w:p>
        </w:tc>
      </w:tr>
      <w:tr>
        <w:tc>
          <w:tcPr>
            <w:tcW w:type="dxa" w:w="1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Principal</w:t>
            </w:r>
          </w:p>
        </w:tc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Mercado</w:t>
            </w:r>
          </w:p>
        </w:tc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Submenu</w:t>
            </w:r>
          </w:p>
        </w:tc>
        <w:tc>
          <w:tcPr>
            <w:tcW w:type="dxa" w:w="4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Visão geral e Anúncios monitorados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Principal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Concorrência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Submenu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Visão geral e Comparador</w:t>
            </w:r>
          </w:p>
        </w:tc>
      </w:tr>
      <w:tr>
        <w:tc>
          <w:tcPr>
            <w:tcW w:type="dxa" w:w="1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Principal</w:t>
            </w:r>
          </w:p>
        </w:tc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Minha Loja</w:t>
            </w:r>
          </w:p>
        </w:tc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Submenu</w:t>
            </w:r>
          </w:p>
        </w:tc>
        <w:tc>
          <w:tcPr>
            <w:tcW w:type="dxa" w:w="4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Visão geral; detalhes ficam em drill-down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Rodapé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Configurações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Submenu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Conta e preferências; Saúde dos dados</w:t>
            </w:r>
          </w:p>
        </w:tc>
      </w:tr>
      <w:tr>
        <w:tc>
          <w:tcPr>
            <w:tcW w:type="dxa" w:w="1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Global</w:t>
            </w:r>
          </w:p>
        </w:tc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Sino</w:t>
            </w:r>
          </w:p>
        </w:tc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Tela 14</w:t>
            </w:r>
          </w:p>
        </w:tc>
        <w:tc>
          <w:tcPr>
            <w:tcW w:type="dxa" w:w="4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Presente no cabeçalho de todas as telas; contador de novos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Global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Radar IA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Tela 13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Botão flutuante; abre painel sobre a tela atual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O que é submenu e o que é drill-down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Submenu: destino recorrente que pode ser iniciado sem selecionar uma entidade anterior.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Drill-down: página que depende de uma entidade ou recorte, como UF, cidade, modelo, lojista, item ou anúncio.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Drill-down não polui o menu. Ele usa breadcrumb, título contextual e botão Voltar.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 rota direta de um drill-down deve reconstruir o contexto mínimo a partir da URL.</w:t>
      </w:r>
    </w:p>
    <w:p>
      <w:pPr>
        <w:pStyle w:val="Heading1"/>
        <w:keepNext/>
        <w:pageBreakBefore/>
      </w:pPr>
      <w:r>
        <w:t>3. Modelo de navegação e contexto</w:t>
      </w:r>
    </w:p>
    <w:p>
      <w:pPr>
        <w:pStyle w:val="Heading2"/>
        <w:keepNext/>
      </w:pPr>
      <w:r>
        <w:t>3.1 Estado global de análise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69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Definição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geography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país, região, UF e cidade; filtros filhos dependem do pai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period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Todo o período, data personalizada, 1 ano, 120, 90 ou 60 dias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comparison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Sem comparação ou período anterior equivalente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segment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categoria/tipo do veículo, como caminhões pesados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equivalence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grupo comparável normalizado e seus critérios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base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Minha Loja — SVD Seminovos, fixa quando aplicável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origin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rota, entidade, linha e posição necessárias para retornar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dataFreshness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última coleta, cobertura e status stale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Regras de persistência</w:t>
      </w:r>
    </w:p>
    <w:p>
      <w:pPr>
        <w:pStyle w:val="ListNumber"/>
        <w:spacing w:after="80" w:line="283" w:lineRule="auto"/>
      </w:pPr>
      <w:r>
        <w:rPr>
          <w:rFonts w:ascii="Noto Sans" w:hAnsi="Noto Sans"/>
          <w:color w:val="18233C"/>
          <w:sz w:val="20"/>
        </w:rPr>
        <w:t>Toda alteração relevante atualiza a URL sem apagar a rota anterior do histórico.</w:t>
      </w:r>
    </w:p>
    <w:p>
      <w:pPr>
        <w:pStyle w:val="ListNumber"/>
        <w:spacing w:after="80" w:line="283" w:lineRule="auto"/>
      </w:pPr>
      <w:r>
        <w:rPr>
          <w:rFonts w:ascii="Noto Sans" w:hAnsi="Noto Sans"/>
          <w:color w:val="18233C"/>
          <w:sz w:val="20"/>
        </w:rPr>
        <w:t>Abrir um drill-down cria um snapshot de retorno: filtros, ordenação, lotes carregados e ID da linha de origem.</w:t>
      </w:r>
    </w:p>
    <w:p>
      <w:pPr>
        <w:pStyle w:val="ListNumber"/>
        <w:spacing w:after="80" w:line="283" w:lineRule="auto"/>
      </w:pPr>
      <w:r>
        <w:rPr>
          <w:rFonts w:ascii="Noto Sans" w:hAnsi="Noto Sans"/>
          <w:color w:val="18233C"/>
          <w:sz w:val="20"/>
        </w:rPr>
        <w:t>Voltar restaura a linha por identidade; se a lista mudou, aproxima a posição e anuncia a mudança.</w:t>
      </w:r>
    </w:p>
    <w:p>
      <w:pPr>
        <w:pStyle w:val="ListNumber"/>
        <w:spacing w:after="80" w:line="283" w:lineRule="auto"/>
      </w:pPr>
      <w:r>
        <w:rPr>
          <w:rFonts w:ascii="Noto Sans" w:hAnsi="Noto Sans"/>
          <w:color w:val="18233C"/>
          <w:sz w:val="20"/>
        </w:rPr>
        <w:t>Recarregar a página reconstrói o contexto pela URL e pelas preferências do usuário.</w:t>
      </w:r>
    </w:p>
    <w:p>
      <w:pPr>
        <w:pStyle w:val="ListNumber"/>
        <w:spacing w:after="80" w:line="283" w:lineRule="auto"/>
      </w:pPr>
      <w:r>
        <w:rPr>
          <w:rFonts w:ascii="Noto Sans" w:hAnsi="Noto Sans"/>
          <w:color w:val="18233C"/>
          <w:sz w:val="20"/>
        </w:rPr>
        <w:t>Links compartilhados não carregam segredos; apenas IDs internos, filtros e recortes permitidos.</w:t>
      </w:r>
    </w:p>
    <w:p>
      <w:pPr>
        <w:pStyle w:val="ListNumber"/>
        <w:spacing w:after="80" w:line="283" w:lineRule="auto"/>
      </w:pPr>
      <w:r>
        <w:rPr>
          <w:rFonts w:ascii="Noto Sans" w:hAnsi="Noto Sans"/>
          <w:color w:val="18233C"/>
          <w:sz w:val="20"/>
        </w:rPr>
        <w:t>No mobile, o primeiro Voltar fecha modal/painel; o segundo retorna à rota anterior.</w:t>
      </w:r>
    </w:p>
    <w:p>
      <w:pPr>
        <w:pStyle w:val="Heading2"/>
        <w:keepNext/>
      </w:pPr>
      <w:r>
        <w:t>3.3 Dependência de filtros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Alterar país reinicia região, UF e cidade.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Alterar região reinicia UF e cidade; alterar UF reinicia cidade.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Alterar segmento invalida o grupo equivalente quando incompatível.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Alterar período mantém geografia e modelo, mas recalcula séries, amostra e confiança.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Todo o período força Sem comparação por não existir período anterior equivalente completo.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Filtros incompatíveis são removidos com aviso acessível; nunca falham silenciosamente.</w:t>
      </w:r>
    </w:p>
    <w:p>
      <w:pPr>
        <w:pStyle w:val="Heading2"/>
        <w:keepNext/>
      </w:pPr>
      <w:r>
        <w:t>3.4 Rotas propostas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400"/>
        <w:gridCol w:w="2660"/>
      </w:tblGrid>
      <w:tr>
        <w:trPr>
          <w:tblHeader w:val="true"/>
        </w:trPr>
        <w:tc>
          <w:tcPr>
            <w:tcW w:type="dxa" w:w="33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Tela</w:t>
            </w:r>
          </w:p>
        </w:tc>
        <w:tc>
          <w:tcPr>
            <w:tcW w:type="dxa" w:w="34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Rota proposta</w:t>
            </w:r>
          </w:p>
        </w:tc>
        <w:tc>
          <w:tcPr>
            <w:tcW w:type="dxa" w:w="26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Natureza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1 — Visão estratégica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/visao-estrategica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Área principal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2 — Mercado nacional</w:t>
            </w:r>
          </w:p>
        </w:tc>
        <w:tc>
          <w:tcPr>
            <w:tcW w:type="dxa" w:w="3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/mercado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Área principal / submenu Visão geral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3 — Mercado por estado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/mercado/{regiao}/{uf}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Drill-down contextual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4 — Mercado por cidade</w:t>
            </w:r>
          </w:p>
        </w:tc>
        <w:tc>
          <w:tcPr>
            <w:tcW w:type="dxa" w:w="3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/mercado/{regiao}/{uf}/{cidade}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Drill-down contextual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5 — Análise integrada de modelo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/mercado/modelos/{grupo_equivalente}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Drill-down reutilizável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6 — Navegador de anúncios</w:t>
            </w:r>
          </w:p>
        </w:tc>
        <w:tc>
          <w:tcPr>
            <w:tcW w:type="dxa" w:w="3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/mercado/anuncios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Submenu recorrente + evidência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7 — Detalhe do anúncio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/mercado/anuncios/{anuncio_id}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Detalhe contextual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8 — Concorrência — visão geral</w:t>
            </w:r>
          </w:p>
        </w:tc>
        <w:tc>
          <w:tcPr>
            <w:tcW w:type="dxa" w:w="3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/concorrencia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Área principal / submenu Visão geral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9 — Perfil do concorrente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/concorrencia/lojistas/{lojista_id}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Drill-down contextual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10 — Comparador de concorrentes</w:t>
            </w:r>
          </w:p>
        </w:tc>
        <w:tc>
          <w:tcPr>
            <w:tcW w:type="dxa" w:w="3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/concorrencia/comparador?participantes={ids}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Submenu recorrente / análise final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11 — Minha Loja — visão geral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/minha-loja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Área principal / submenu Visão geral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12 — Minha Loja — modelo/item</w:t>
            </w:r>
          </w:p>
        </w:tc>
        <w:tc>
          <w:tcPr>
            <w:tcW w:type="dxa" w:w="3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/minha-loja/itens/{item_id}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Drill-down contextual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13 — Radar IA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Estado global: ?radar=open (PROPOSTA)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Ferramenta global sobreposta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14 — Alertas estratégicos</w:t>
            </w:r>
          </w:p>
        </w:tc>
        <w:tc>
          <w:tcPr>
            <w:tcW w:type="dxa" w:w="3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/alertas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Central global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15 — Saúde dos dados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/configuracoes/saude-dados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Configurações &gt; submenu</w:t>
            </w:r>
          </w:p>
        </w:tc>
      </w:tr>
      <w:tr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16 — Configurações e conta</w:t>
            </w:r>
          </w:p>
        </w:tc>
        <w:tc>
          <w:tcPr>
            <w:tcW w:type="dxa" w:w="3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/configuracoes/conta?aba={aba}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Configurações &gt; submenu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/>
          <w:color w:val="596681"/>
          <w:sz w:val="17"/>
        </w:rPr>
        <w:t>As rotas são PROPOSTA de engenharia de fluxo; devem ser adaptadas ao roteador e ao backend existentes sem perder o contrato de estado.</w:t>
      </w:r>
    </w:p>
    <w:p>
      <w:pPr>
        <w:pStyle w:val="Heading1"/>
        <w:keepNext/>
        <w:pageBreakBefore/>
      </w:pPr>
      <w:r>
        <w:t>4. Fluxos ponta a ponta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77639" cy="2332476"/>
            <wp:docPr id="2" name="Picture 2" descr="Diagrama do fluxo de Mercado: Mercado nacional para estado e cidade; análise de modelo, navegador de anúncios, detalhe e perfil de concorrente; alertas abrem análises relacionadas." title="Figura 2 — Fluxo principal de Mercado e evidênc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luxo-merc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33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60" w:line="288" w:lineRule="auto"/>
        <w:jc w:val="center"/>
      </w:pPr>
      <w:r>
        <w:rPr>
          <w:rFonts w:ascii="Noto Sans" w:hAnsi="Noto Sans"/>
          <w:b w:val="0"/>
          <w:i/>
          <w:color w:val="596681"/>
          <w:sz w:val="17"/>
        </w:rPr>
        <w:t>Figura 2 — Fluxo principal de Mercado e evidências</w:t>
      </w:r>
    </w:p>
    <w:p>
      <w:pPr>
        <w:pStyle w:val="Heading2"/>
        <w:keepNext/>
      </w:pPr>
      <w:r>
        <w:t>4.1 Exploração geográfica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O gestor abre Mercado nacional.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Seleciona uma UF no mapa ou ranking.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A Tela 3 recalcula o estado e preserva período, comparação e segmento.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Seleciona uma cidade; a Tela 4 recalcula KPIs, modelos, lojistas e anúncios locais.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Abre um modelo ou evidência sem perder o contexto geográfico.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Volta e encontra filtros, grupo selecionado e posição restaurados.</w:t>
      </w:r>
    </w:p>
    <w:p>
      <w:pPr>
        <w:pStyle w:val="Heading2"/>
        <w:keepNext/>
      </w:pPr>
      <w:r>
        <w:t>4.2 Da leitura à evidência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Um KPI, insight, alerta ou resposta da IA apresenta uma afirmação.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A interface mostra fonte, período, amostra e confiança.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Ver evidências abre o Navegador de anúncios com filtros bloqueados e explicados.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A linha abre o Detalhe do anúncio; o histórico prova preço/status observado.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O retorno restaura a leitura original.</w:t>
      </w:r>
    </w:p>
    <w:p>
      <w:pPr>
        <w:pStyle w:val="Heading2"/>
        <w:keepNext/>
      </w:pPr>
      <w:r>
        <w:t>4.3 Concorrência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Ranking identifica participantes no recorte.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Perfil detalha mix, preço e movimentos do lojista.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Comparador recebe até quatro participantes; Minha Loja permanece fixa.</w:t>
      </w:r>
    </w:p>
    <w:p>
      <w:pPr>
        <w:pStyle w:val="ListNumber"/>
        <w:spacing w:after="40" w:line="264" w:lineRule="auto"/>
      </w:pPr>
      <w:r>
        <w:rPr>
          <w:rFonts w:ascii="Noto Sans" w:hAnsi="Noto Sans"/>
          <w:color w:val="18233C"/>
          <w:sz w:val="19"/>
        </w:rPr>
        <w:t>Célula da comparação abre anúncios do participante e modelo correspondentes.</w:t>
      </w:r>
    </w:p>
    <w:p>
      <w:pPr>
        <w:pStyle w:val="Heading2"/>
        <w:keepNext/>
      </w:pPr>
      <w:r>
        <w:t>4.4 Alertas e IA</w:t>
      </w:r>
    </w:p>
    <w:p>
      <w:pPr>
        <w:pStyle w:val="ListBullet"/>
        <w:spacing w:after="40" w:line="264" w:lineRule="auto"/>
      </w:pPr>
      <w:r>
        <w:rPr>
          <w:rFonts w:ascii="Noto Sans" w:hAnsi="Noto Sans"/>
          <w:color w:val="18233C"/>
          <w:sz w:val="19"/>
        </w:rPr>
        <w:t>O sino global abre resumo; Ver todos abre a Tela 14.</w:t>
      </w:r>
    </w:p>
    <w:p>
      <w:pPr>
        <w:pStyle w:val="ListBullet"/>
        <w:spacing w:after="40" w:line="264" w:lineRule="auto"/>
      </w:pPr>
      <w:r>
        <w:rPr>
          <w:rFonts w:ascii="Noto Sans" w:hAnsi="Noto Sans"/>
          <w:color w:val="18233C"/>
          <w:sz w:val="19"/>
        </w:rPr>
        <w:t>Alertas são eventos derivados de regras versionadas e apontam à análise relacionada.</w:t>
      </w:r>
    </w:p>
    <w:p>
      <w:pPr>
        <w:pStyle w:val="ListBullet"/>
        <w:spacing w:after="40" w:line="264" w:lineRule="auto"/>
      </w:pPr>
      <w:r>
        <w:rPr>
          <w:rFonts w:ascii="Noto Sans" w:hAnsi="Noto Sans"/>
          <w:color w:val="18233C"/>
          <w:sz w:val="19"/>
        </w:rPr>
        <w:t>Radar IA herda o contexto da tela, mas explicita quando o usuário ampliou ou alterou o recorte.</w:t>
      </w:r>
    </w:p>
    <w:p>
      <w:pPr>
        <w:pStyle w:val="ListBullet"/>
        <w:spacing w:after="40" w:line="264" w:lineRule="auto"/>
      </w:pPr>
      <w:r>
        <w:rPr>
          <w:rFonts w:ascii="Noto Sans" w:hAnsi="Noto Sans"/>
          <w:color w:val="18233C"/>
          <w:sz w:val="19"/>
        </w:rPr>
        <w:t>Sem confiança mínima, a IA recusa a conclusão e oferece abrir um recorte maior.</w:t>
      </w:r>
    </w:p>
    <w:p>
      <w:pPr>
        <w:pStyle w:val="Heading1"/>
        <w:keepNext/>
        <w:pageBreakBefore/>
      </w:pPr>
      <w:r>
        <w:t>5.1 Tela 1 — Visão estratégica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Área principal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EAF7E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16823B"/>
                <w:sz w:val="16"/>
              </w:rPr>
              <w:t>APROVADA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/visao-estrategica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 que merece atenção agora?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Login, logo OPER RADAR ou item Visão estratégica.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Mercado, análise de modelo, alerta relacionado e evidências.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Brasil; filtros globais; Base Minha Loja fixa; período inicial Todo o período.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Alterar geografia, período e comparação.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prioridade comercial na análise que a sustenta.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movimentos relevantes e respectivas evidências.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Acionar Radar IA com o contexto da página.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KPIs nacionais; pulso de preço e oferta; movimentos temporais; prioridades comerciais; confiança e cobertura.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Sem movimentos: explicar que não houve mudança relevante. Baixa confiança: ocultar priorização prescritiva e mostrar causa. Erro parcial: preservar KPIs válidos.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Resumo textual para o gráfico; prioridades em ordem de foco; ícones com nome acessível; verde/vermelho sempre acompanhados de sinal e texto.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screen_view, filter_changed, priority_opened, evidence_opened, radar_opened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Toda prioridade deve apontar para fonte, amostra, período, confiança e rota de evidência.</w:t>
      </w:r>
    </w:p>
    <w:p>
      <w:pPr>
        <w:pStyle w:val="Heading1"/>
        <w:keepNext/>
        <w:pageBreakBefore/>
      </w:pPr>
      <w:r>
        <w:t>5.2 Tela 2 — Mercado nacional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Área principal / submenu Visão geral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EAF7E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16823B"/>
                <w:sz w:val="16"/>
              </w:rPr>
              <w:t>APROVADA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/mercado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Como oferta, preço e concentração se distribuem no Brasil?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Menu Mercado &gt; Visão geral.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Estado, análise de modelo, anúncios equivalentes.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Brasil; regiões/estados/cidades encadeados; filtros temporais e segmento.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Selecionar UF no mapa ou ranking.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Selecionar grupo equivalente.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Alternar volume e pressão competitiva.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anúncios equivalentes.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mapa de oferta; contagem por UF; modelos equivalentes; mediana por região; séries de preço e oferta.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Mapa sem cobertura diferencia sem dado de zero anúncios. Falha no mapa não bloqueia tabela. Grupo sem amostra exibe motivo e alternativa de filtro.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Mapa possui tabela alternativa por UF; seleção não depende apenas de cor; cabeçalhos e linhas da tabela são navegáveis por teclado.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market_country_view, geography_selected, model_group_selected, ads_opened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Selecionar UF preserva todos os filtros e recalcula a Tela 3 sem perder o grupo escolhido.</w:t>
      </w:r>
    </w:p>
    <w:p>
      <w:pPr>
        <w:pStyle w:val="Heading1"/>
        <w:keepNext/>
        <w:pageBreakBefore/>
      </w:pPr>
      <w:r>
        <w:t>5.3 Tela 3 — Mercado por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Drill-down contextual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EAF7E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16823B"/>
                <w:sz w:val="16"/>
              </w:rPr>
              <w:t>APROVADA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/mercado/{regiao}/{uf}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Como o mercado se comporta no estado escolhido?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Clique na UF da Tela 2 ou URL compartilhada.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Cidade, modelo, lojista e anúncios.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Herda país, região, período, comparação, segmento e grupo equivalente.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Selecionar cidade.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Analisar modelo.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lojista.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Voltar ao Brasil preservando estado anterior e rolagem.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KPIs estaduais; cidades; modelo comparável; faixa estadual; lojistas; referência Minha Loja.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Estado sem cobertura mostra UFs cobertas e opção de voltar. Cidade sem dados permanece desabilitada com explicação.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Breadcrumb programático; botão Voltar com rótulo explícito; mapa estadual tem lista de cidades equivalente.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market_state_view, city_selected, dealer_opened, back_restored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Diferenças estáticas contra Brasil/MG usam cor neutra; movimento temporal usa verde/vermelho.</w:t>
      </w:r>
    </w:p>
    <w:p>
      <w:pPr>
        <w:pStyle w:val="Heading1"/>
        <w:keepNext/>
        <w:pageBreakBefore/>
      </w:pPr>
      <w:r>
        <w:t>5.4 Tela 4 — Mercado por cidade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Drill-down contextual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/mercado/{regiao}/{uf}/{cidade}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Qual é a oferta, o preço e a concorrência desta praça?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Clique em cidade na Tela 3.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Modelo, perfil de lojista e anúncios.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Herda todos os filtros; cidade substitui Todas as cidades.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concorrência completa.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Analisar modelo.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anúncio equivalente.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Voltar ao estado preservando posição.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KPIs locais; participação no estado; concentração por lojista; medianas da cidade; amostra e confiança.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Cidade com amostra pequena não força confiança alta. Sem granularidade de bairro: não mostrar mapa fictício; usar concentração competitiva.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Barras horizontais têm tabela textual; amostra e confiança são lidas antes da ação; rótulos completos sem depender de tooltip.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market_city_view, competitor_concentration_opened, city_model_selected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Validar KPI participação no estado, substituição do mapa e regra de confiança para amostra local.</w:t>
      </w:r>
    </w:p>
    <w:p>
      <w:pPr>
        <w:pStyle w:val="Heading1"/>
        <w:keepNext/>
        <w:pageBreakBefore/>
      </w:pPr>
      <w:r>
        <w:t>5.5 Tela 5 — Análise integrada de modelo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Drill-down reutilizável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/mercado/modelos/{grupo_equivalente}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Como este modelo se posiciona em todos os recortes monitorados?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Analisar modelo a partir das Telas 2, 3 ou 4.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Anúncios filtrados e perfil de lojista.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Por padrão herda o recorte de origem; o gestor pode ampliar para Brasil.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Trocar recorte sem perder o grupo comparável.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estado ou região.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anúncios do modelo.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lojista.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série de mediana; oferta ativa; regiões; top estados; top lojistas; Minha Loja.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Quando um recorte não tiver amostra, manter o modelo e oferecer recorte superior. Não estimar preço ausente.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Gráficos têm tabela alternativa; seleção de recorte usa combobox acessível; valores da Minha Loja têm rótulo textual.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model_analysis_view, scope_changed, region_opened, model_ads_opened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Decidir formalmente se sempre abre no Brasil ou herda o recorte; recomendação: herdar e oferecer ampliar.</w:t>
      </w:r>
    </w:p>
    <w:p>
      <w:pPr>
        <w:pStyle w:val="Heading1"/>
        <w:keepNext/>
        <w:pageBreakBefore/>
      </w:pPr>
      <w:r>
        <w:t>5.6 Tela 6 — Navegador de anúncios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Submenu recorrente + evidência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/mercado/anuncios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Quais anúncios sustentam esta leitura?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Mercado &gt; Anúncios monitorados ou botões Ver anúncios equivalentes.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Detalhe do anúncio e perfil do lojista.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Filtros, grupo equivalente e geografia chegam pela URL; acesso direto abre visão geral permitida ao papel.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Busca livre.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Filtrar ano, condição, preço e status.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Ordenar.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linha.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Carregar mais por rolagem infinita híbrida.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anúncio; lojista; localidade; ano; km; condição; preço; dias no ar; status.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Fim da lista anunciado. Erro de próximo lote mantém itens carregados e oferece Tentar novamente. Filtro sem resultado permite limpar filtros.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Rolagem infinita possui botão Carregar mais, aria-live com total carregado e foco estável; tabela pode alternar para cartões em mobile.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ads_view, ads_search, ads_filter_changed, infinite_scroll_loaded, load_more_clicked, ad_opened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Voltar do detalhe restaura filtros, ordenação e posição por ID da linha, não apenas pixel.</w:t>
      </w:r>
    </w:p>
    <w:p>
      <w:pPr>
        <w:pStyle w:val="Heading1"/>
        <w:keepNext/>
        <w:pageBreakBefore/>
      </w:pPr>
      <w:r>
        <w:t>5.7 Tela 7 — Detalhe do anúncio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Detalhe contextual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/mercado/anuncios/{anuncio_id}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Qual é a evidência individual e seu histórico?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Linha do Navegador de anúncios.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Perfil do lojista; voltar à lista.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Mantém token de retorno da lista e grupo comparável.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Ver perfil do lojista.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Inspecionar histórico de preço/status.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Voltar à lista.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Copiar link interno.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atributos normalizados; preço atual; histórico; status; lojista; participação no cálculo.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Anúncio saído preserva histórico e mostra Saída detectada, nunca Vendido. Registro indisponível apresenta motivo e link de retorno.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Especificações em lista de definição; histórico tem descrição textual; status não depende de cor.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ad_detail_view, dealer_profile_opened, return_to_ads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Definir o layout do estado Saído e a evidência mínima para venda provável.</w:t>
      </w:r>
    </w:p>
    <w:p>
      <w:pPr>
        <w:pStyle w:val="Heading1"/>
        <w:keepNext/>
        <w:pageBreakBefore/>
      </w:pPr>
      <w:r>
        <w:t>5.8 Tela 8 — Concorrência — visão geral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Área principal / submenu Visão geral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/concorrencia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Quem está movimentando e pressionando o mercado?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Menu Concorrência &gt; Visão geral.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Perfil do concorrente e Comparador.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Recorte geográfico, período e segmento; Base Minha Loja fixa.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Ordenar ranking.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perfil.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Selecionar até quatro participantes.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Comparar selecionados.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lojistas ativos; entradas; saídas; novos participantes; ticket; movimento temporal.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Nenhum participante selecionado desabilita comparação e explica requisito. Saída é movimento de anúncio, não venda.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Seleção para comparação usa checkbox real; ações por linha têm nome do lojista; barras divergentes possuem lista equivalente.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competition_view, competitor_selected, competitor_profile_opened, compare_started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Definir regra explícita de concorrente direto da SVD.</w:t>
      </w:r>
    </w:p>
    <w:p>
      <w:pPr>
        <w:pStyle w:val="Heading1"/>
        <w:keepNext/>
        <w:pageBreakBefore/>
      </w:pPr>
      <w:r>
        <w:t>5.9 Tela 9 — Perfil do concorrente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Drill-down contextual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/concorrencia/lojistas/{lojista_id}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Como este lojista forma preço e movimenta estoque?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Ver perfil na Tela 8, anúncios ou detalhe.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Comparador com lojista pré-selecionado e anúncios.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Herda geografia, período e segmento; perfil é identificado por ID estável.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anúncios do mix.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Comparar com Minha Loja.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histórico de entradas/saídas.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estoque; mix; ticket; tempo médio; movimento; modelos em comum com SVD.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Sem modelos em comum mostra explicação, não uma tabela vazia. Badge concorrente direto só aparece se a regra for satisfeita.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Badge possui texto e explicação; gráfico de entradas/saídas tem tabela; botão de comparação explicita os participantes.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competitor_profile_view, competitor_ads_opened, compare_with_store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Fonte e critério do badge Concorrente direto devem ser auditáveis.</w:t>
      </w:r>
    </w:p>
    <w:p>
      <w:pPr>
        <w:pStyle w:val="Heading1"/>
        <w:keepNext/>
        <w:pageBreakBefore/>
      </w:pPr>
      <w:r>
        <w:t>5.10 Tela 10 — Comparador de concorrentes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Submenu recorrente / análise final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/concorrencia/comparador?participantes={ids}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Como participantes selecionados e Minha Loja se comparam?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Concorrência &gt; Comparador, seleção na Tela 8 ou perfil na Tela 9.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Anúncios de uma célula específica.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Até quatro participantes; Minha Loja fixa e não removível.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Adicionar/remover concorrente.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Trocar modelo comum.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anúncios da célula.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Compartilhar comparação.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mediana por lojista/modelo; unidades; ausência de modelo comum; Minha Loja.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Participante sem modelo comum mostra travessão e explicação. Zero não substitui ausência. Comparação vazia orienta seleção.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Tabela é fonte principal; gráfico é complementar; Minha Loja identificada por texto, não apenas laranja.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competitor_compare_view, participant_added, participant_removed, comparison_cell_opened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Definir comportamento quando nenhum participante possuir qualquer modelo em comum.</w:t>
      </w:r>
    </w:p>
    <w:p>
      <w:pPr>
        <w:pStyle w:val="Heading1"/>
        <w:keepNext/>
        <w:pageBreakBefore/>
      </w:pPr>
      <w:r>
        <w:t>5.11 Tela 11 — Minha Loja — visão geral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Área principal / submenu Visão geral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/minha-loja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Como o estoque da SVD está posicionado frente ao mercado equivalente?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Menu Minha Loja &gt; Visão geral.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Modelo/item da loja e anúncios equivalentes.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SVD Seminovos, Curitiba/PR; recortes comparativos configuráveis.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item/modelo.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Ver recomendação entendida como leitura comparativa.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Filtrar posição e alcance.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estoque; ticket; dias em estoque; modelos acima; preço SVD; mediana equivalente; alcance.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Item sem grupo comparável mostra Não comparável e os atributos faltantes. Nunca fabricar mediana.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Leituras Acima/Alinhado/Abaixo têm texto; valores estáticos permanecem neutros; tabela vira cartões ordenados no mobile.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store_view, store_item_opened, store_position_filter_changed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Formalizar os limiares de Acima/Alinhado/Abaixo e manter linguagem não prescritiva.</w:t>
      </w:r>
    </w:p>
    <w:p>
      <w:pPr>
        <w:pStyle w:val="Heading1"/>
        <w:keepNext/>
        <w:pageBreakBefore/>
      </w:pPr>
      <w:r>
        <w:t>5.12 Tela 12 — Minha Loja — modelo/item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Drill-down contextual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/minha-loja/itens/{item_id}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Quais evidências posicionam este item em cada geografia?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Linha da Tela 11.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Navegador de anúncios filtrado.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Item SVD fixo; grupo equivalente e recortes Brasil/Sul/UF.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Alternar recorte.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Ver anúncios equivalentes.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Voltar ao estoque.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preço SVD; medianas por recorte; diferença estática; amostra; confiança; distribuição.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Recorte insuficiente recebe baixa confiança/indisponível. Texto não sugere preço ideal ou obrigação de ação.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Distribuição tem descrição e tabela; marcador SVD possui rótulo; texto de leitura é simples e objetivo.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store_item_view, store_scope_changed, store_evidence_opened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Validar o tom do texto para que seja evidência, nunca recomendação automática de preço.</w:t>
      </w:r>
    </w:p>
    <w:p>
      <w:pPr>
        <w:pStyle w:val="Heading1"/>
        <w:keepNext/>
        <w:pageBreakBefore/>
      </w:pPr>
      <w:r>
        <w:t>5.13 Tela 13 — Radar 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Ferramenta global sobreposta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Estado global: ?radar=open (PROPOSTA)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 que os dados monitorados respondem sobre a pergunta do gestor?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Botão circular em qualquer tela.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Anúncios, modelo, concorrente ou recorte que sustentam a resposta.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Herda tela, filtros e entidade atual; usuário pode remover ou ampliar o contexto.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Perguntar.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Inspecionar fonte/amostra/período/confiança.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evidências.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Limpar contexto.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Salvar pergunta como alerta (PROPOSTA).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consulta; contexto; resposta; evidências; confiança; política de recusa.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Sem amostra suficiente: recusar conclusão e sugerir recorte maior. Erro da IA não esconde dados do painel. Conteúdo causal não comprovado deve ser bloqueado.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Dialog com foco preso, Esc fecha, foco retorna ao botão; mensagens têm papéis semânticos; resposta não depende de animação.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radar_opened, radar_question_submitted, radar_refused, radar_evidence_opened, radar_closed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Toda resposta contém fonte, período, amostra, confiança e caminho de evidência.</w:t>
      </w:r>
    </w:p>
    <w:p>
      <w:pPr>
        <w:pStyle w:val="Heading1"/>
        <w:keepNext/>
        <w:pageBreakBefore/>
      </w:pPr>
      <w:r>
        <w:t>5.14 Tela 14 — Alertas estratégicos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Central global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CORRIGIDO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/alertas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Quais mudanças relevantes exigem atenção?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Sino global com contador em todas as telas; popover com recentes e Ver todos.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Mercado, modelo, concorrente, Minha Loja ou anúncios relacionados.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Regras do usuário; geografia, modelos e frequência configurados.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alerta.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Marcar como visualizado.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Arquivar.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Filtrar por tipo/status.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Configurar regras.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tipo; prioridade; descrição; data; status; alvo; regra disparadora.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Sem alertas novos mostra histórico e estado saudável. Alerta cuja evidência expirou explica indisponibilidade. Contador sincroniza após leitura.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Sino tem nome e contador anunciado sem repetição; popover é navegável; prioridade/status usam texto; foco volta ao sino.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alert_center_view, alert_opened, alert_read, alert_archived, alert_rule_changed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Sino é componente global; nenhum menu comercial fica ativo na central.</w:t>
      </w:r>
    </w:p>
    <w:p>
      <w:pPr>
        <w:pStyle w:val="Heading1"/>
        <w:keepNext/>
        <w:pageBreakBefore/>
      </w:pPr>
      <w:r>
        <w:t>5.15 Tela 15 — Saúde dos dados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Configurações &gt; submenu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/configuracoes/saude-dados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A base está atualizada, coberta e confiável?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Configurações &gt; Saúde dos dados ou Fontes de dados &gt; Ver saúde dos dados.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Navegador de anúncios em duplicidade, quando aplicável.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Visão operacional; sem filtros comerciais; respeita permissão administrativa.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Inspecionar cobertura por UF.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detalhes de falha.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Abrir duplicidades mescladas.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Atualizar diagnóstico.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fontes; última coleta; UFs; taxa de sucesso; falhas; duplicidades; confiança.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Fonte atrasada, coleta parcial e fonte indisponível recebem mensagens distintas. Diagnóstico terminal não cria decisão comercial direta.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Tabela densa mantém cabeçalhos; falhas usam ícone + texto; atualizações são anunciadas em região live moderada.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data_health_view, source_issue_opened, duplicates_opened, health_refresh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Confirmar permanência em Configurações; recomendação funcional: manter como submenu administrativo.</w:t>
      </w:r>
    </w:p>
    <w:p>
      <w:pPr>
        <w:pStyle w:val="Heading1"/>
        <w:keepNext/>
        <w:pageBreakBefore/>
      </w:pPr>
      <w:r>
        <w:t>5.16 Tela 16 — Configurações e conta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7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Contrato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Natureza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Configurações &gt; submenu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Status</w:t>
            </w:r>
          </w:p>
        </w:tc>
        <w:tc>
          <w:tcPr>
            <w:tcW w:type="dxa" w:w="7260"/>
            <w:shd w:fill="FFF0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FE4600"/>
                <w:sz w:val="16"/>
              </w:rPr>
              <w:t>MOCKUP — aprovação formal pendente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 proposta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/configuracoes/conta?aba={aba}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Pergunta de negócio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Como administrar conta, usuários, fontes, permissões, preferências e método?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Origem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Configurações &gt; Conta e preferências.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Destino</w:t>
            </w:r>
          </w:p>
        </w:tc>
        <w:tc>
          <w:tcPr>
            <w:tcW w:type="dxa" w:w="7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Saúde dos dados pela aba Fontes de dados.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Contexto inicial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Aba na URL; preferências sincronizadas por usuário e dispositivo.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Ações e navegação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Alternar abas.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Gerenciar usuários e permissões conforme papel.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Inspecionar fontes.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Definir preferências.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Ler metodologia oficial.</w:t>
      </w:r>
    </w:p>
    <w:p>
      <w:pPr>
        <w:pStyle w:val="Heading2"/>
        <w:keepNext/>
      </w:pPr>
      <w:r>
        <w:t>Dados e dependências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9"/>
        </w:rPr>
        <w:t>Consome: conta; usuários; fontes; papéis; preferências; metodologia somente leitura.</w:t>
      </w:r>
    </w:p>
    <w:p>
      <w:pPr>
        <w:pStyle w:val="Heading2"/>
        <w:keepNext/>
      </w:pPr>
      <w:r>
        <w:t>Estados e exceções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Aba sem permissão permanece oculta ou bloqueada com motivo. Alteração de metodologia não ocorre na interface; exige Plano Mestre.</w:t>
      </w:r>
    </w:p>
    <w:p>
      <w:pPr>
        <w:pStyle w:val="Heading2"/>
        <w:keepNext/>
      </w:pPr>
      <w:r>
        <w:t>Acessibilidade específica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0"/>
        </w:rPr>
        <w:t>Tabs usam padrão tablist/tab/tabpanel; setas movem entre abas; foco e seleção são independentes; formulários têm labels e ajuda.</w:t>
      </w:r>
    </w:p>
    <w:p>
      <w:pPr>
        <w:pStyle w:val="Heading2"/>
        <w:keepNext/>
      </w:pPr>
      <w:r>
        <w:t>Telemetria mínima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596681"/>
          <w:sz w:val="18"/>
        </w:rPr>
        <w:t>settings_view, settings_tab_changed, preference_changed, permission_changed, data_health_opened</w:t>
      </w:r>
    </w:p>
    <w:p>
      <w:pPr>
        <w:spacing w:before="80" w:after="160" w:line="283" w:lineRule="auto"/>
        <w:ind w:left="200" w:right="160"/>
        <w:shd w:fill="F5F7FA"/>
        <w:pBdr>
          <w:left w:val="single" w:sz="20" w:space="8" w:color="00074A"/>
        </w:pBdr>
      </w:pPr>
      <w:r>
        <w:rPr>
          <w:rFonts w:ascii="Noto Sans" w:hAnsi="Noto Sans"/>
          <w:b/>
          <w:color w:val="00074A"/>
          <w:sz w:val="17"/>
        </w:rPr>
        <w:t>CRITÉRIO DE ACEITE</w:t>
        <w:br/>
      </w:r>
      <w:r>
        <w:rPr>
          <w:rFonts w:ascii="Noto Sans" w:hAnsi="Noto Sans"/>
          <w:color w:val="18233C"/>
          <w:sz w:val="20"/>
        </w:rPr>
        <w:t>Definir granularidade de permissões; Fontes de dados oferece rota explícita para Tela 15.</w:t>
      </w:r>
    </w:p>
    <w:p>
      <w:pPr>
        <w:pStyle w:val="Heading1"/>
        <w:keepNext/>
        <w:pageBreakBefore/>
      </w:pPr>
      <w:r>
        <w:t>6. Contrato universal de estados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74920" cy="2472158"/>
            <wp:docPr id="3" name="Picture 3" descr="Diagrama dos estados universais: pronto, carregando, sucesso, vazio, erro, baixa confiança, dados desatualizados e sem permissão." title="Figura 3 — Estados que toda tela precisa implement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stados-inter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47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60" w:line="288" w:lineRule="auto"/>
        <w:jc w:val="center"/>
      </w:pPr>
      <w:r>
        <w:rPr>
          <w:rFonts w:ascii="Noto Sans" w:hAnsi="Noto Sans"/>
          <w:b w:val="0"/>
          <w:i/>
          <w:color w:val="596681"/>
          <w:sz w:val="17"/>
        </w:rPr>
        <w:t>Figura 3 — Estados que toda tela precisa implementar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360"/>
        <w:gridCol w:w="2300"/>
      </w:tblGrid>
      <w:tr>
        <w:trPr>
          <w:tblHeader w:val="true"/>
        </w:trPr>
        <w:tc>
          <w:tcPr>
            <w:tcW w:type="dxa" w:w="17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Estado</w:t>
            </w:r>
          </w:p>
        </w:tc>
        <w:tc>
          <w:tcPr>
            <w:tcW w:type="dxa" w:w="53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Comportamento obrigatório</w:t>
            </w:r>
          </w:p>
        </w:tc>
        <w:tc>
          <w:tcPr>
            <w:tcW w:type="dxa" w:w="23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Ação oferecida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Carregando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Skeleton preserva a geometria; não mostrar zero temporário; cancelar requisição anterior quando filtro muda.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Cancelar implícito / aguardar</w:t>
            </w:r>
          </w:p>
        </w:tc>
      </w:tr>
      <w:tr>
        <w:tc>
          <w:tcPr>
            <w:tcW w:type="dxa" w:w="1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Vazio real</w:t>
            </w:r>
          </w:p>
        </w:tc>
        <w:tc>
          <w:tcPr>
            <w:tcW w:type="dxa" w:w="53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Explicar que não há dados no recorte, distinguindo ausência de cobertura de zero anúncios.</w:t>
            </w:r>
          </w:p>
        </w:tc>
        <w:tc>
          <w:tcPr>
            <w:tcW w:type="dxa" w:w="2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Ampliar recorte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Vazio por filtro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Listar filtros responsáveis sem apagar o contexto.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Limpar filtros</w:t>
            </w:r>
          </w:p>
        </w:tc>
      </w:tr>
      <w:tr>
        <w:tc>
          <w:tcPr>
            <w:tcW w:type="dxa" w:w="1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Erro parcial</w:t>
            </w:r>
          </w:p>
        </w:tc>
        <w:tc>
          <w:tcPr>
            <w:tcW w:type="dxa" w:w="53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Manter componentes válidos e marcar somente o bloco que falhou.</w:t>
            </w:r>
          </w:p>
        </w:tc>
        <w:tc>
          <w:tcPr>
            <w:tcW w:type="dxa" w:w="2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Tentar novamente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Erro total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Mensagem com request_id para suporte; nenhum dado antigo apresentado como atual.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Recarregar / voltar</w:t>
            </w:r>
          </w:p>
        </w:tc>
      </w:tr>
      <w:tr>
        <w:tc>
          <w:tcPr>
            <w:tcW w:type="dxa" w:w="1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Baixa confiança</w:t>
            </w:r>
          </w:p>
        </w:tc>
        <w:tc>
          <w:tcPr>
            <w:tcW w:type="dxa" w:w="53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Mostrar dado com ressalva ou recusar insight; explicar fatores do score.</w:t>
            </w:r>
          </w:p>
        </w:tc>
        <w:tc>
          <w:tcPr>
            <w:tcW w:type="dxa" w:w="2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Ver amostra / ampliar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Stale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Exibir última atualização e motivo; não misturar com estado atual sem rótulo.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Atualizar</w:t>
            </w:r>
          </w:p>
        </w:tc>
      </w:tr>
      <w:tr>
        <w:tc>
          <w:tcPr>
            <w:tcW w:type="dxa" w:w="1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Sem permissão</w:t>
            </w:r>
          </w:p>
        </w:tc>
        <w:tc>
          <w:tcPr>
            <w:tcW w:type="dxa" w:w="53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 vazar existência/conteúdo protegido; explicar papel necessário.</w:t>
            </w:r>
          </w:p>
        </w:tc>
        <w:tc>
          <w:tcPr>
            <w:tcW w:type="dxa" w:w="2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Solicitar acesso / voltar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Offline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Preservar último estado em leitura, rotulado como offline; bloquear mutações.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Reconectar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Mensagens-padrão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8"/>
        </w:rPr>
        <w:t>Sem dados neste recorte. Amplie a geografia ou o período para continuar.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8"/>
        </w:rPr>
        <w:t>A amostra é insuficiente para uma leitura confiável. Nenhuma conclusão foi gerada.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8"/>
        </w:rPr>
        <w:t>Dados atualizados pela última vez em {data_hora}. A coleta atual está atrasada.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8"/>
        </w:rPr>
        <w:t>Não foi possível carregar este bloco. Os demais dados permanecem disponíveis.</w:t>
      </w:r>
    </w:p>
    <w:p>
      <w:pPr>
        <w:pStyle w:val="ListBullet"/>
        <w:spacing w:after="30" w:line="259" w:lineRule="auto"/>
      </w:pPr>
      <w:r>
        <w:rPr>
          <w:rFonts w:ascii="Noto Sans" w:hAnsi="Noto Sans"/>
          <w:color w:val="18233C"/>
          <w:sz w:val="18"/>
        </w:rPr>
        <w:t>Você não possui permissão para esta configuração.</w:t>
      </w:r>
    </w:p>
    <w:p>
      <w:pPr>
        <w:pStyle w:val="Heading1"/>
        <w:keepNext/>
        <w:pageBreakBefore/>
      </w:pPr>
      <w:r>
        <w:t>7. Dados, equivalência e confiança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27056"/>
            <wp:docPr id="4" name="Picture 4" descr="Diagrama da linhagem: coletores, normalização, duplicidade e identidade, grupos equivalentes, agregações e confiança, API e evidências, consumidos por dashboards, alertas e Radar IA." title="Figura 4 — Linhagem funcional dos d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nhagem-d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60" w:line="288" w:lineRule="auto"/>
        <w:jc w:val="center"/>
      </w:pPr>
      <w:r>
        <w:rPr>
          <w:rFonts w:ascii="Noto Sans" w:hAnsi="Noto Sans"/>
          <w:b w:val="0"/>
          <w:i/>
          <w:color w:val="596681"/>
          <w:sz w:val="17"/>
        </w:rPr>
        <w:t>Figura 4 — Linhagem funcional dos dados</w:t>
      </w:r>
    </w:p>
    <w:p>
      <w:pPr>
        <w:pStyle w:val="Heading2"/>
        <w:keepNext/>
      </w:pPr>
      <w:r>
        <w:t>7.1 Grupo equivalente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categoria e tipo do veículo;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marca e modelo normalizados;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configuração e tração;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ano ou faixa curta;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condição;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carroceria/implemento quando relevante;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quilometragem quando houver cobertura suficiente.</w:t>
      </w:r>
    </w:p>
    <w:p>
      <w:pPr>
        <w:pStyle w:val="Heading2"/>
        <w:keepNext/>
      </w:pPr>
      <w:r>
        <w:t>7.2 Score de confiança — PROPOSTA</w:t>
      </w:r>
    </w:p>
    <w:p>
      <w:pPr>
        <w:keepNext w:val="0"/>
        <w:spacing w:before="0" w:after="12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21"/>
        </w:rPr>
        <w:t>A confiança não pode depender apenas do número de anúncios. A proposta abaixo combina quatro dimensões e explica o resultado ao usuário.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100"/>
        <w:gridCol w:w="5860"/>
      </w:tblGrid>
      <w:tr>
        <w:trPr>
          <w:tblHeader w:val="true"/>
        </w:trPr>
        <w:tc>
          <w:tcPr>
            <w:tcW w:type="dxa" w:w="24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Dimensão</w:t>
            </w:r>
          </w:p>
        </w:tc>
        <w:tc>
          <w:tcPr>
            <w:tcW w:type="dxa" w:w="1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Peso</w:t>
            </w:r>
          </w:p>
        </w:tc>
        <w:tc>
          <w:tcPr>
            <w:tcW w:type="dxa" w:w="58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Exemplo de pontuação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Amostra válida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40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≥30: 40; 10–29: 28; 5–9: 16; &lt;5: 5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Diversidade de lojistas</w:t>
            </w:r>
          </w:p>
        </w:tc>
        <w:tc>
          <w:tcPr>
            <w:tcW w:type="dxa" w:w="1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25</w:t>
            </w:r>
          </w:p>
        </w:tc>
        <w:tc>
          <w:tcPr>
            <w:tcW w:type="dxa" w:w="58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≥10: 25; 4–9: 17; 2–3: 8; 1: 0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Frescor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20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≤24h: 20; ≤72h: 12; ≤7d: 5; &gt;7d: 0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Completude</w:t>
            </w:r>
          </w:p>
        </w:tc>
        <w:tc>
          <w:tcPr>
            <w:tcW w:type="dxa" w:w="1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15</w:t>
            </w:r>
          </w:p>
        </w:tc>
        <w:tc>
          <w:tcPr>
            <w:tcW w:type="dxa" w:w="58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≥90%: 15; 75–89%: 10; 50–74%: 5; &lt;50%: 0</w:t>
            </w:r>
          </w:p>
        </w:tc>
      </w:tr>
    </w:tbl>
    <w:p>
      <w:pPr>
        <w:spacing w:after="40"/>
      </w:pP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Alta: score ≥80.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Média: score de 55 a 79.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Baixa: score &lt;55.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Qualquer falha crítica de identidade/duplicidade pode rebaixar a classe, mesmo com amostra grande.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Os limites são proposta e precisam de validação com o histórico real antes da produção.</w:t>
      </w:r>
    </w:p>
    <w:p>
      <w:pPr>
        <w:pStyle w:val="Heading2"/>
        <w:keepNext/>
      </w:pPr>
      <w:r>
        <w:t>7.3 Status do anúncio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60"/>
        <w:gridCol w:w="2700"/>
      </w:tblGrid>
      <w:tr>
        <w:trPr>
          <w:tblHeader w:val="true"/>
        </w:trPr>
        <w:tc>
          <w:tcPr>
            <w:tcW w:type="dxa" w:w="2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Status interno</w:t>
            </w:r>
          </w:p>
        </w:tc>
        <w:tc>
          <w:tcPr>
            <w:tcW w:type="dxa" w:w="45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Significado</w:t>
            </w:r>
          </w:p>
        </w:tc>
        <w:tc>
          <w:tcPr>
            <w:tcW w:type="dxa" w:w="27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Exibição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ATIVO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Observado na coleta atual e validado.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Ativo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SAIDA_DETECTADA</w:t>
            </w:r>
          </w:p>
        </w:tc>
        <w:tc>
          <w:tcPr>
            <w:tcW w:type="dxa" w:w="4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Ausente após a quantidade de confirmações definida.</w:t>
            </w:r>
          </w:p>
        </w:tc>
        <w:tc>
          <w:tcPr>
            <w:tcW w:type="dxa" w:w="2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Saído do portal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VENDA_PROVAVEL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Saída com sinais adicionais, ainda não venda confirmada.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Venda provável + confiança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STALE</w:t>
            </w:r>
          </w:p>
        </w:tc>
        <w:tc>
          <w:tcPr>
            <w:tcW w:type="dxa" w:w="4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Registro não revalidado dentro do SLA da fonte.</w:t>
            </w:r>
          </w:p>
        </w:tc>
        <w:tc>
          <w:tcPr>
            <w:tcW w:type="dxa" w:w="2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Dados desatualizados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DUPLICADO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Mesmo anúncio/veículo identificado em mais de um registro.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Mesclado / oculto da contagem</w:t>
            </w:r>
          </w:p>
        </w:tc>
      </w:tr>
      <w:tr>
        <w:tc>
          <w:tcPr>
            <w:tcW w:type="dxa" w:w="2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INVALIDO</w:t>
            </w:r>
          </w:p>
        </w:tc>
        <w:tc>
          <w:tcPr>
            <w:tcW w:type="dxa" w:w="4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Campos essenciais incoerentes ou insuficientes.</w:t>
            </w:r>
          </w:p>
        </w:tc>
        <w:tc>
          <w:tcPr>
            <w:tcW w:type="dxa" w:w="2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Fora dos cálculos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8. Funções novas propostas</w:t>
      </w:r>
    </w:p>
    <w:p>
      <w:pPr>
        <w:spacing w:before="80" w:after="160" w:line="283" w:lineRule="auto"/>
        <w:ind w:left="200" w:right="160"/>
        <w:shd w:fill="FFF0E8"/>
        <w:pBdr>
          <w:left w:val="single" w:sz="20" w:space="8" w:color="FE4600"/>
        </w:pBdr>
      </w:pPr>
      <w:r>
        <w:rPr>
          <w:rFonts w:ascii="Noto Sans" w:hAnsi="Noto Sans"/>
          <w:b/>
          <w:color w:val="FE4600"/>
          <w:sz w:val="17"/>
        </w:rPr>
        <w:t>COMO LER</w:t>
        <w:br/>
      </w:r>
      <w:r>
        <w:rPr>
          <w:rFonts w:ascii="Noto Sans" w:hAnsi="Noto Sans"/>
          <w:color w:val="18233C"/>
          <w:sz w:val="20"/>
        </w:rPr>
        <w:t>Estas funções não estavam integralmente especificadas nos mockups. Foram incluídas para fechar lacunas de operação, rastreabilidade, acessibilidade e governança. P0 é essencial ao MVP funcional; P1 amplia valor; P2 é evolução.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660"/>
      </w:tblGrid>
      <w:tr>
        <w:trPr>
          <w:tblHeader w:val="true"/>
        </w:trPr>
        <w:tc>
          <w:tcPr>
            <w:tcW w:type="dxa" w:w="1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Prioridade</w:t>
            </w:r>
          </w:p>
        </w:tc>
        <w:tc>
          <w:tcPr>
            <w:tcW w:type="dxa" w:w="26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Função</w:t>
            </w:r>
          </w:p>
        </w:tc>
        <w:tc>
          <w:tcPr>
            <w:tcW w:type="dxa" w:w="56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Resultado esperado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Estado e deep link reproduzível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Filtros, entidade, ordenação e comparação ficam na URL. Permite compartilhar uma análise e reconstruir o estado após recarregar.</w:t>
            </w:r>
          </w:p>
        </w:tc>
      </w:tr>
      <w:tr>
        <w:tc>
          <w:tcPr>
            <w:tcW w:type="dxa" w:w="1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P0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Restauração de retorno</w:t>
            </w:r>
          </w:p>
        </w:tc>
        <w:tc>
          <w:tcPr>
            <w:tcW w:type="dxa" w:w="5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Voltar restaura filtros, linha/entidade de referência, lote carregado e posição da lista; evita recomeçar a análise.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Motor de confiança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Calcula confiança por amostra, diversidade de lojistas, frescor e completude; impede conclusões fortes em amostra fraca.</w:t>
            </w:r>
          </w:p>
        </w:tc>
      </w:tr>
      <w:tr>
        <w:tc>
          <w:tcPr>
            <w:tcW w:type="dxa" w:w="1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P0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Linhagem e evidência</w:t>
            </w:r>
          </w:p>
        </w:tc>
        <w:tc>
          <w:tcPr>
            <w:tcW w:type="dxa" w:w="5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Todo KPI, insight, alerta e resposta da IA expõe origem, período, amostra, confiança e link para anúncios sustentadores.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Rolagem infinita híbrida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Carregamento automático com botão acessível Carregar mais, recuperação de erro e fim de lista anunciado.</w:t>
            </w:r>
          </w:p>
        </w:tc>
      </w:tr>
      <w:tr>
        <w:tc>
          <w:tcPr>
            <w:tcW w:type="dxa" w:w="1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P0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Telemetria de produto</w:t>
            </w:r>
          </w:p>
        </w:tc>
        <w:tc>
          <w:tcPr>
            <w:tcW w:type="dxa" w:w="5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Eventos padronizados para navegação, filtros, drill-down, evidências, alertas, IA e falhas; base para medir uso e regressão.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Auditoria administrativa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Registra alterações de usuários, papéis, fontes, regras de alerta e preferências com autor, data e antes/depois.</w:t>
            </w:r>
          </w:p>
        </w:tc>
      </w:tr>
      <w:tr>
        <w:tc>
          <w:tcPr>
            <w:tcW w:type="dxa" w:w="1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P1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Salvar visão</w:t>
            </w:r>
          </w:p>
        </w:tc>
        <w:tc>
          <w:tcPr>
            <w:tcW w:type="dxa" w:w="5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Salva filtros, entidade, ordenação e comparação com nome do usuário. Pode ser reaberta sem reconstrução manual.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Converter visão em alerta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Transforma uma pesquisa/modelo/recorte salvo em regra de alerta, com limiar e frequência explícitos.</w:t>
            </w:r>
          </w:p>
        </w:tc>
      </w:tr>
      <w:tr>
        <w:tc>
          <w:tcPr>
            <w:tcW w:type="dxa" w:w="1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P1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Favoritos e monitoramento</w:t>
            </w:r>
          </w:p>
        </w:tc>
        <w:tc>
          <w:tcPr>
            <w:tcW w:type="dxa" w:w="5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Favorita modelos, cidades e lojistas; alimenta briefing e alertas, sem criar recomendação automática.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Exportação governada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CSV para dados tabulares e PDF para briefing, respeitando filtros, permissão, fonte e carimbo de atualização.</w:t>
            </w:r>
          </w:p>
        </w:tc>
      </w:tr>
      <w:tr>
        <w:tc>
          <w:tcPr>
            <w:tcW w:type="dxa" w:w="1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P1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Resumo executivo agendado</w:t>
            </w:r>
          </w:p>
        </w:tc>
        <w:tc>
          <w:tcPr>
            <w:tcW w:type="dxa" w:w="5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Digest diário/semanal de alertas e mudanças, configurável pelo gestor; canais ficam pendentes de decisão.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Classificação de concorrente direto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Regra auditável baseada em sobreposição de modelos, praça e faixa de preço; substitui badge manual.</w:t>
            </w:r>
          </w:p>
        </w:tc>
      </w:tr>
      <w:tr>
        <w:tc>
          <w:tcPr>
            <w:tcW w:type="dxa" w:w="1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P1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Detecção de saída provável</w:t>
            </w:r>
          </w:p>
        </w:tc>
        <w:tc>
          <w:tcPr>
            <w:tcW w:type="dxa" w:w="5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Classifica saída com evidências e nível de confiança; nunca chama de venda confirmada sem integração de venda.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P2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Anotações internas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Permite registrar observação em modelo/lojista/anúncio com autor e data; sem alterar o dado monitorado.</w:t>
            </w:r>
          </w:p>
        </w:tc>
      </w:tr>
      <w:tr>
        <w:tc>
          <w:tcPr>
            <w:tcW w:type="dxa" w:w="1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P2</w:t>
            </w:r>
          </w:p>
        </w:tc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Comparação de snapshots</w:t>
            </w:r>
          </w:p>
        </w:tc>
        <w:tc>
          <w:tcPr>
            <w:tcW w:type="dxa" w:w="5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Compara duas datas/recortes salvos e evidencia o que mudou, mantendo diferença estática separada de movimento temporal.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Regras para funções novas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Nenhuma função nova pode criar recomendação automática de preço sem governança e confiança suficientes.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Exportações carregam filtros, fonte, data de atualização e aviso de que preços são anunciados.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Visões salvas e alertas são privados por padrão; compartilhamento exige permissão explícita.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Anotações nunca alteram o dado coletado; ficam em camada separada e auditada.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Toda automação pode ser desativada pelo usuário e registra sua regra disparadora.</w:t>
      </w:r>
    </w:p>
    <w:p>
      <w:pPr>
        <w:pStyle w:val="Heading1"/>
        <w:keepNext/>
        <w:pageBreakBefore/>
      </w:pPr>
      <w:r>
        <w:t>9. Acessibilidade e responsividade</w:t>
      </w:r>
    </w:p>
    <w:p>
      <w:pPr>
        <w:pStyle w:val="Heading2"/>
        <w:keepNext/>
      </w:pPr>
      <w:r>
        <w:t>9.1 Meta</w:t>
      </w:r>
    </w:p>
    <w:p>
      <w:pPr>
        <w:spacing w:before="80" w:after="160" w:line="283" w:lineRule="auto"/>
        <w:ind w:left="200" w:right="160"/>
        <w:shd w:fill="EAF0FB"/>
        <w:pBdr>
          <w:left w:val="single" w:sz="20" w:space="8" w:color="2E63D4"/>
        </w:pBdr>
      </w:pPr>
      <w:r>
        <w:rPr>
          <w:rFonts w:ascii="Noto Sans" w:hAnsi="Noto Sans"/>
          <w:b/>
          <w:color w:val="2E63D4"/>
          <w:sz w:val="17"/>
        </w:rPr>
        <w:t>CRITÉRIO MÍNIMO</w:t>
        <w:br/>
      </w:r>
      <w:r>
        <w:rPr>
          <w:rFonts w:ascii="Noto Sans" w:hAnsi="Noto Sans"/>
          <w:color w:val="18233C"/>
          <w:sz w:val="20"/>
        </w:rPr>
        <w:t>WCAG 2.2 nível AA, navegação completa por teclado, reflow a 320 CSS px e equivalência textual para gráficos e mapas.</w:t>
      </w:r>
    </w:p>
    <w:p>
      <w:pPr>
        <w:pStyle w:val="Heading2"/>
        <w:keepNext/>
      </w:pPr>
      <w:r>
        <w:t>9.2 Mapa de controles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200"/>
        <w:gridCol w:w="3110"/>
        <w:gridCol w:w="2500"/>
      </w:tblGrid>
      <w:tr>
        <w:trPr>
          <w:tblHeader w:val="true"/>
        </w:trPr>
        <w:tc>
          <w:tcPr>
            <w:tcW w:type="dxa" w:w="155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Componente</w:t>
            </w:r>
          </w:p>
        </w:tc>
        <w:tc>
          <w:tcPr>
            <w:tcW w:type="dxa" w:w="22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Teclado</w:t>
            </w:r>
          </w:p>
        </w:tc>
        <w:tc>
          <w:tcPr>
            <w:tcW w:type="dxa" w:w="311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Leitor de tela / foco</w:t>
            </w:r>
          </w:p>
        </w:tc>
        <w:tc>
          <w:tcPr>
            <w:tcW w:type="dxa" w:w="25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Mobile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Sidebar/submenu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Tab; Enter/Espaço abre; setas opcionais no grupo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aria-expanded e item atual; foco não salta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Menu lateral ou Mais; estado atual visível</w:t>
            </w:r>
          </w:p>
        </w:tc>
      </w:tr>
      <w:tr>
        <w:tc>
          <w:tcPr>
            <w:tcW w:type="dxa" w:w="155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Tabs</w:t>
            </w:r>
          </w:p>
        </w:tc>
        <w:tc>
          <w:tcPr>
            <w:tcW w:type="dxa" w:w="2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Setas movem; Home/End; Enter ativa se manual</w:t>
            </w:r>
          </w:p>
        </w:tc>
        <w:tc>
          <w:tcPr>
            <w:tcW w:type="dxa" w:w="311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tablist/tab/tabpanel; aria-selected</w:t>
            </w:r>
          </w:p>
        </w:tc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Rolagem horizontal com rótulo completo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Combobox/filtro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Setas, Enter, Esc; digitação busca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label, valor, total de opções e erro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Painel full-screen; Aplicar/Limpar fixos</w:t>
            </w:r>
          </w:p>
        </w:tc>
      </w:tr>
      <w:tr>
        <w:tc>
          <w:tcPr>
            <w:tcW w:type="dxa" w:w="155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Tabela</w:t>
            </w:r>
          </w:p>
        </w:tc>
        <w:tc>
          <w:tcPr>
            <w:tcW w:type="dxa" w:w="2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Tab apenas em ações; setas não obrigatórias</w:t>
            </w:r>
          </w:p>
        </w:tc>
        <w:tc>
          <w:tcPr>
            <w:tcW w:type="dxa" w:w="311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th/headers, caption e ordem lógica</w:t>
            </w:r>
          </w:p>
        </w:tc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Cartões ou tabela com primeira coluna fixa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Gráfico/mapa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Foco em pontos relevantes quando acionáveis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Resumo + tabela alternativa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Resumo primeiro; visual simplificado</w:t>
            </w:r>
          </w:p>
        </w:tc>
      </w:tr>
      <w:tr>
        <w:tc>
          <w:tcPr>
            <w:tcW w:type="dxa" w:w="155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Rolagem infinita</w:t>
            </w:r>
          </w:p>
        </w:tc>
        <w:tc>
          <w:tcPr>
            <w:tcW w:type="dxa" w:w="2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Botão Carregar mais sempre disponível</w:t>
            </w:r>
          </w:p>
        </w:tc>
        <w:tc>
          <w:tcPr>
            <w:tcW w:type="dxa" w:w="311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aria-live anuncia lote e total</w:t>
            </w:r>
          </w:p>
        </w:tc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Carga automática moderada; botão persistente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Dialog/Radar IA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Esc fecha; Tab preso; foco retorna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role dialog, título e descrição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Tela cheia; campo acima do teclado</w:t>
            </w:r>
          </w:p>
        </w:tc>
      </w:tr>
      <w:tr>
        <w:tc>
          <w:tcPr>
            <w:tcW w:type="dxa" w:w="155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Sino/popover</w:t>
            </w:r>
          </w:p>
        </w:tc>
        <w:tc>
          <w:tcPr>
            <w:tcW w:type="dxa" w:w="2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Enter abre; Esc fecha</w:t>
            </w:r>
          </w:p>
        </w:tc>
        <w:tc>
          <w:tcPr>
            <w:tcW w:type="dxa" w:w="311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contador anunciado uma vez; foco retorna</w:t>
            </w:r>
          </w:p>
        </w:tc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Popover ou folha inferior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Toast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 captura foco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aria-live polite/assertive conforme severidade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Visível sem cobrir ação principal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Regras visuais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Contraste mínimo 4,5:1 para texto normal e 3:1 para texto grande/componentes.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Foco com contorno de pelo menos 2 px e contraste de 3:1; nunca removido.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Alvos de toque mínimos de 44 × 44 CSS px.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Zoom de 200% sem perda de conteúdo ou ação; 400% com reflow quando aplicável.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Cor nunca é a única indicação: sinal, texto, badge e ícone acompanham.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prefers-reduced-motion elimina animação não essencial e preserva transições instantâneas.</w:t>
      </w:r>
    </w:p>
    <w:p>
      <w:pPr>
        <w:pStyle w:val="Heading2"/>
        <w:keepNext/>
      </w:pPr>
      <w:r>
        <w:t>9.4 Breakpoints e comportamento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60"/>
        <w:gridCol w:w="3300"/>
      </w:tblGrid>
      <w:tr>
        <w:trPr>
          <w:tblHeader w:val="true"/>
        </w:trPr>
        <w:tc>
          <w:tcPr>
            <w:tcW w:type="dxa" w:w="15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Faixa</w:t>
            </w:r>
          </w:p>
        </w:tc>
        <w:tc>
          <w:tcPr>
            <w:tcW w:type="dxa" w:w="45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Layout</w:t>
            </w:r>
          </w:p>
        </w:tc>
        <w:tc>
          <w:tcPr>
            <w:tcW w:type="dxa" w:w="33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Prioridade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≥1280 px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Sidebar fixa, 12 colunas, comparação completa.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Exploração e análise densa</w:t>
            </w:r>
          </w:p>
        </w:tc>
      </w:tr>
      <w:tr>
        <w:tc>
          <w:tcPr>
            <w:tcW w:type="dxa" w:w="1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1024–1279 px</w:t>
            </w:r>
          </w:p>
        </w:tc>
        <w:tc>
          <w:tcPr>
            <w:tcW w:type="dxa" w:w="4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Sidebar compacta; cards podem quebrar em 2 linhas.</w:t>
            </w:r>
          </w:p>
        </w:tc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Análise com menor simultaneidade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768–1023 px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Sidebar recolhível; filtros em painel; duas colunas.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Leitura e comparação moderada</w:t>
            </w:r>
          </w:p>
        </w:tc>
      </w:tr>
      <w:tr>
        <w:tc>
          <w:tcPr>
            <w:tcW w:type="dxa" w:w="1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&lt;768 px</w:t>
            </w:r>
          </w:p>
        </w:tc>
        <w:tc>
          <w:tcPr>
            <w:tcW w:type="dxa" w:w="4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Uma coluna; navegação compacta; filtros full-screen.</w:t>
            </w:r>
          </w:p>
        </w:tc>
        <w:tc>
          <w:tcPr>
            <w:tcW w:type="dxa" w:w="33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Briefing, alertas, busca e ações rápidas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9.5 Mobile por área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Visão estratégica: KPIs em carrossel acessível ou pilha; prioridades antes de gráficos.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Mercado: mapa substituído por ranking/lista como padrão; filtros em tela cheia.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Concorrência: ranking em cartões; comparação horizontal com primeira coluna fixa e modo lista.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Minha Loja: leitura e evidência primeiro; nenhum texto prescritivo.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Radar IA: painel vira página cheia; evidências continuam acessíveis.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Alertas: sino no topo; central em lista; ações de leitura/arquivo com confirmação acessível.</w:t>
      </w:r>
    </w:p>
    <w:p>
      <w:pPr>
        <w:pStyle w:val="Heading1"/>
        <w:keepNext/>
        <w:pageBreakBefore/>
      </w:pPr>
      <w:r>
        <w:t>10. Permissões e segurança</w:t>
      </w:r>
    </w:p>
    <w:p>
      <w:pPr>
        <w:pStyle w:val="Heading2"/>
        <w:keepNext/>
      </w:pPr>
      <w:r>
        <w:t>10.1 Papéis — PROPOSTA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600"/>
        <w:gridCol w:w="1600"/>
        <w:gridCol w:w="1600"/>
        <w:gridCol w:w="2060"/>
      </w:tblGrid>
      <w:tr>
        <w:trPr>
          <w:tblHeader w:val="true"/>
        </w:trPr>
        <w:tc>
          <w:tcPr>
            <w:tcW w:type="dxa" w:w="25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Capacidade</w:t>
            </w:r>
          </w:p>
        </w:tc>
        <w:tc>
          <w:tcPr>
            <w:tcW w:type="dxa" w:w="16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00074A"/>
                <w:sz w:val="15"/>
              </w:rPr>
              <w:t>Gestor</w:t>
            </w:r>
          </w:p>
        </w:tc>
        <w:tc>
          <w:tcPr>
            <w:tcW w:type="dxa" w:w="16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00074A"/>
                <w:sz w:val="15"/>
              </w:rPr>
              <w:t>Analista</w:t>
            </w:r>
          </w:p>
        </w:tc>
        <w:tc>
          <w:tcPr>
            <w:tcW w:type="dxa" w:w="16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00074A"/>
                <w:sz w:val="15"/>
              </w:rPr>
              <w:t>Comercial</w:t>
            </w:r>
          </w:p>
        </w:tc>
        <w:tc>
          <w:tcPr>
            <w:tcW w:type="dxa" w:w="20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/>
                <w:color w:val="00074A"/>
                <w:sz w:val="15"/>
              </w:rPr>
              <w:t>Administrador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Ver dashboards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</w:tr>
      <w:tr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Comparar/exportar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Limitado</w:t>
            </w:r>
          </w:p>
        </w:tc>
        <w:tc>
          <w:tcPr>
            <w:tcW w:type="dxa" w:w="2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Criar alertas/visões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</w:tr>
      <w:tr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Ver Saúde dos dados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Leitura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</w:t>
            </w:r>
          </w:p>
        </w:tc>
        <w:tc>
          <w:tcPr>
            <w:tcW w:type="dxa" w:w="2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Gerenciar usuários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Conforme política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</w:tr>
      <w:tr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Gerenciar fontes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Leitura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</w:t>
            </w:r>
          </w:p>
        </w:tc>
        <w:tc>
          <w:tcPr>
            <w:tcW w:type="dxa" w:w="2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Alterar permissões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Conforme política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Sim</w:t>
            </w:r>
          </w:p>
        </w:tc>
      </w:tr>
      <w:tr>
        <w:tc>
          <w:tcPr>
            <w:tcW w:type="dxa" w:w="2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Alterar metodologia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 pela interface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</w:t>
            </w:r>
          </w:p>
        </w:tc>
        <w:tc>
          <w:tcPr>
            <w:tcW w:type="dxa" w:w="1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</w:t>
            </w:r>
          </w:p>
        </w:tc>
        <w:tc>
          <w:tcPr>
            <w:tcW w:type="dxa" w:w="20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Não pela interface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Controles obrigatórios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RBAC no backend; ocultar botão no frontend não é segurança.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Segredos de coletores ficam somente no servidor e em cofre apropriado.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Logs de auditoria para usuário, papel, fonte, alerta e preferência.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Exportações recebem marca temporal, usuário, filtros e origem.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Rate limit e proteção contra enumeração em anúncios, lojistas e consultas da IA.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Radar IA não recebe segredos nem dados fora do escopo permitido ao usuário.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Retenção de perguntas, exports e logs deve ser definida antes da produção.</w:t>
      </w:r>
    </w:p>
    <w:p>
      <w:pPr>
        <w:pStyle w:val="Heading1"/>
        <w:keepNext/>
        <w:pageBreakBefore/>
      </w:pPr>
      <w:r>
        <w:t>11. APIs, entidades e contratos</w:t>
      </w:r>
    </w:p>
    <w:p>
      <w:pPr>
        <w:pStyle w:val="Heading2"/>
        <w:keepNext/>
      </w:pPr>
      <w:r>
        <w:t>11.1 Envelope de resposta — PROPOSTA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Campo</w:t>
            </w:r>
          </w:p>
        </w:tc>
        <w:tc>
          <w:tcPr>
            <w:tcW w:type="dxa" w:w="69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7"/>
              </w:rPr>
              <w:t>Definição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data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conteúdo solicitado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meta.context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geografia, período, comparação, segmento e grupo equivalente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meta.source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fonte(s), coleta e versão do normalizador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meta.sample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anúncios válidos, lojistas e cobertura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meta.confidence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score, classe e fatores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meta.freshness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última coleta, SLA e stale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meta.request_id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correlação para suporte e observabilidade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links.evidence</w:t>
            </w:r>
          </w:p>
        </w:tc>
        <w:tc>
          <w:tcPr>
            <w:tcW w:type="dxa" w:w="6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7"/>
              </w:rPr>
              <w:t>rota/consulta do Navegador de anúncios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Endpoints sugeridos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500"/>
        <w:gridCol w:w="4960"/>
      </w:tblGrid>
      <w:tr>
        <w:trPr>
          <w:tblHeader w:val="true"/>
        </w:trPr>
        <w:tc>
          <w:tcPr>
            <w:tcW w:type="dxa" w:w="9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Método</w:t>
            </w:r>
          </w:p>
        </w:tc>
        <w:tc>
          <w:tcPr>
            <w:tcW w:type="dxa" w:w="35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Endpoint</w:t>
            </w:r>
          </w:p>
        </w:tc>
        <w:tc>
          <w:tcPr>
            <w:tcW w:type="dxa" w:w="49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Responsabilidade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/api/v1/context/facets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Filtros encadeados e disponibilidade</w:t>
            </w:r>
          </w:p>
        </w:tc>
      </w:tr>
      <w:tr>
        <w:tc>
          <w:tcPr>
            <w:tcW w:type="dxa" w:w="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/api/v1/market/summary</w:t>
            </w:r>
          </w:p>
        </w:tc>
        <w:tc>
          <w:tcPr>
            <w:tcW w:type="dxa" w:w="4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KPIs do recorte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/api/v1/market/geography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Mapa/ranking geográfico</w:t>
            </w:r>
          </w:p>
        </w:tc>
      </w:tr>
      <w:tr>
        <w:tc>
          <w:tcPr>
            <w:tcW w:type="dxa" w:w="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/api/v1/market/models</w:t>
            </w:r>
          </w:p>
        </w:tc>
        <w:tc>
          <w:tcPr>
            <w:tcW w:type="dxa" w:w="4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Grupos equivalentes e medianas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/api/v1/market/models/{id}/series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Séries de preço e oferta</w:t>
            </w:r>
          </w:p>
        </w:tc>
      </w:tr>
      <w:tr>
        <w:tc>
          <w:tcPr>
            <w:tcW w:type="dxa" w:w="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/api/v1/ads</w:t>
            </w:r>
          </w:p>
        </w:tc>
        <w:tc>
          <w:tcPr>
            <w:tcW w:type="dxa" w:w="4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Busca, filtros e cursor da lista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/api/v1/ads/{id}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Detalhe e histórico</w:t>
            </w:r>
          </w:p>
        </w:tc>
      </w:tr>
      <w:tr>
        <w:tc>
          <w:tcPr>
            <w:tcW w:type="dxa" w:w="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/api/v1/dealers/{id}</w:t>
            </w:r>
          </w:p>
        </w:tc>
        <w:tc>
          <w:tcPr>
            <w:tcW w:type="dxa" w:w="4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Perfil do lojista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POST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/api/v1/competitors/compare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Comparação de participantes</w:t>
            </w:r>
          </w:p>
        </w:tc>
      </w:tr>
      <w:tr>
        <w:tc>
          <w:tcPr>
            <w:tcW w:type="dxa" w:w="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/api/v1/store/positioning</w:t>
            </w:r>
          </w:p>
        </w:tc>
        <w:tc>
          <w:tcPr>
            <w:tcW w:type="dxa" w:w="4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Posição do estoque SVD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/api/v1/store/items/{id}/evidence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Leitura por item</w:t>
            </w:r>
          </w:p>
        </w:tc>
      </w:tr>
      <w:tr>
        <w:tc>
          <w:tcPr>
            <w:tcW w:type="dxa" w:w="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GET/POST/PATCH</w:t>
            </w:r>
          </w:p>
        </w:tc>
        <w:tc>
          <w:tcPr>
            <w:tcW w:type="dxa" w:w="3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/api/v1/alerts e /alert-rules</w:t>
            </w:r>
          </w:p>
        </w:tc>
        <w:tc>
          <w:tcPr>
            <w:tcW w:type="dxa" w:w="4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Central e regras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POST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/api/v1/radar/query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Pergunta com contexto e evidências</w:t>
            </w:r>
          </w:p>
        </w:tc>
      </w:tr>
      <w:tr>
        <w:tc>
          <w:tcPr>
            <w:tcW w:type="dxa" w:w="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</w:t>
            </w:r>
          </w:p>
        </w:tc>
        <w:tc>
          <w:tcPr>
            <w:tcW w:type="dxa" w:w="3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/api/v1/data-health</w:t>
            </w:r>
          </w:p>
        </w:tc>
        <w:tc>
          <w:tcPr>
            <w:tcW w:type="dxa" w:w="4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Cobertura, falhas e confiança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GET/PATCH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/api/v1/settings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Preferências permitidas</w:t>
            </w:r>
          </w:p>
        </w:tc>
      </w:tr>
      <w:tr>
        <w:tc>
          <w:tcPr>
            <w:tcW w:type="dxa" w:w="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GET/POST/PATCH</w:t>
            </w:r>
          </w:p>
        </w:tc>
        <w:tc>
          <w:tcPr>
            <w:tcW w:type="dxa" w:w="3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/api/v1/users e /roles</w:t>
            </w:r>
          </w:p>
        </w:tc>
        <w:tc>
          <w:tcPr>
            <w:tcW w:type="dxa" w:w="4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Administração RBAC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11.3 Entidades mínimas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Entidade</w:t>
            </w:r>
          </w:p>
        </w:tc>
        <w:tc>
          <w:tcPr>
            <w:tcW w:type="dxa" w:w="65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Responsabilidade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Source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Fonte, SLA, credencial indireta e status operacional</w:t>
            </w:r>
          </w:p>
        </w:tc>
      </w:tr>
      <w:tr>
        <w:tc>
          <w:tcPr>
            <w:tcW w:type="dxa" w:w="2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Capture</w:t>
            </w:r>
          </w:p>
        </w:tc>
        <w:tc>
          <w:tcPr>
            <w:tcW w:type="dxa" w:w="6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Execução da coleta, tempos, contagens e falhas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Listing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Anúncio normalizado e identidade observada</w:t>
            </w:r>
          </w:p>
        </w:tc>
      </w:tr>
      <w:tr>
        <w:tc>
          <w:tcPr>
            <w:tcW w:type="dxa" w:w="2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PriceObservation</w:t>
            </w:r>
          </w:p>
        </w:tc>
        <w:tc>
          <w:tcPr>
            <w:tcW w:type="dxa" w:w="6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Preço/status por data para histórico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Dealer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Lojista, localidade e identidade consolidada</w:t>
            </w:r>
          </w:p>
        </w:tc>
      </w:tr>
      <w:tr>
        <w:tc>
          <w:tcPr>
            <w:tcW w:type="dxa" w:w="2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VehicleNormalization</w:t>
            </w:r>
          </w:p>
        </w:tc>
        <w:tc>
          <w:tcPr>
            <w:tcW w:type="dxa" w:w="6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Marca, modelo, configuração, ano, condição e atributos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ComparableGroup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Regra/versionamento do grupo equivalente</w:t>
            </w:r>
          </w:p>
        </w:tc>
      </w:tr>
      <w:tr>
        <w:tc>
          <w:tcPr>
            <w:tcW w:type="dxa" w:w="2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StoreItem</w:t>
            </w:r>
          </w:p>
        </w:tc>
        <w:tc>
          <w:tcPr>
            <w:tcW w:type="dxa" w:w="6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Item SVD e vínculo com grupo equivalente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AlertRule / AlertEvent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Regra configurada e ocorrência derivada</w:t>
            </w:r>
          </w:p>
        </w:tc>
      </w:tr>
      <w:tr>
        <w:tc>
          <w:tcPr>
            <w:tcW w:type="dxa" w:w="2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SavedView</w:t>
            </w:r>
          </w:p>
        </w:tc>
        <w:tc>
          <w:tcPr>
            <w:tcW w:type="dxa" w:w="6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Contexto de análise salvo pelo usuário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User / Role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Identidade e autorização</w:t>
            </w:r>
          </w:p>
        </w:tc>
      </w:tr>
      <w:tr>
        <w:tc>
          <w:tcPr>
            <w:tcW w:type="dxa" w:w="28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AuditLog</w:t>
            </w:r>
          </w:p>
        </w:tc>
        <w:tc>
          <w:tcPr>
            <w:tcW w:type="dxa" w:w="65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Rastro imutável de mutações administrativas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11.4 Paginação por cursor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Usar cursor opaco, não offset, para reduzir duplicação/salto quando novos anúncios entram.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Resposta inclui next_cursor, has_more e total aproximado/confirmado.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Ordenação possui desempate estável por ID.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Filtros mudados invalidam cursor e cancelam requisição anterior.</w:t>
      </w:r>
    </w:p>
    <w:p>
      <w:pPr>
        <w:pStyle w:val="Heading1"/>
        <w:keepNext/>
        <w:pageBreakBefore/>
      </w:pPr>
      <w:r>
        <w:t>12. Telemetria, performance e observabilidade</w:t>
      </w:r>
    </w:p>
    <w:p>
      <w:pPr>
        <w:pStyle w:val="Heading2"/>
        <w:keepNext/>
      </w:pPr>
      <w:r>
        <w:t>12.1 Eventos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rPr>
          <w:tblHeader w:val="true"/>
        </w:trPr>
        <w:tc>
          <w:tcPr>
            <w:tcW w:type="dxa" w:w="24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4"/>
              </w:rPr>
              <w:t>Evento</w:t>
            </w:r>
          </w:p>
        </w:tc>
        <w:tc>
          <w:tcPr>
            <w:tcW w:type="dxa" w:w="30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4"/>
              </w:rPr>
              <w:t>Quando</w:t>
            </w:r>
          </w:p>
        </w:tc>
        <w:tc>
          <w:tcPr>
            <w:tcW w:type="dxa" w:w="39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4"/>
              </w:rPr>
              <w:t>Payload mínimo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screen_view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Rota estabilizada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screen, context_id, role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filter_changed</w:t>
            </w:r>
          </w:p>
        </w:tc>
        <w:tc>
          <w:tcPr>
            <w:tcW w:type="dxa" w:w="30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Filtro aplicado</w:t>
            </w:r>
          </w:p>
        </w:tc>
        <w:tc>
          <w:tcPr>
            <w:tcW w:type="dxa" w:w="3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field, old, new, source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drilldown_opened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Entidade aberta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origin, target_type, target_id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back_restored</w:t>
            </w:r>
          </w:p>
        </w:tc>
        <w:tc>
          <w:tcPr>
            <w:tcW w:type="dxa" w:w="30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Retorno concluído</w:t>
            </w:r>
          </w:p>
        </w:tc>
        <w:tc>
          <w:tcPr>
            <w:tcW w:type="dxa" w:w="3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origin, restored_filters, restored_row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evidence_opened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Evidência solicitada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claim_type, evidence_query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infinite_scroll_loaded</w:t>
            </w:r>
          </w:p>
        </w:tc>
        <w:tc>
          <w:tcPr>
            <w:tcW w:type="dxa" w:w="30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Lote automático</w:t>
            </w:r>
          </w:p>
        </w:tc>
        <w:tc>
          <w:tcPr>
            <w:tcW w:type="dxa" w:w="3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cursor, count, latency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load_more_clicked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Fallback acessível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cursor, count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alert_opened</w:t>
            </w:r>
          </w:p>
        </w:tc>
        <w:tc>
          <w:tcPr>
            <w:tcW w:type="dxa" w:w="30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Alerta aberto</w:t>
            </w:r>
          </w:p>
        </w:tc>
        <w:tc>
          <w:tcPr>
            <w:tcW w:type="dxa" w:w="3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alert_id, type, target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radar_question_submitted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Pergunta enviada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context_hash, confidence_result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export_requested</w:t>
            </w:r>
          </w:p>
        </w:tc>
        <w:tc>
          <w:tcPr>
            <w:tcW w:type="dxa" w:w="30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Exportação</w:t>
            </w:r>
          </w:p>
        </w:tc>
        <w:tc>
          <w:tcPr>
            <w:tcW w:type="dxa" w:w="3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format, context_hash, rows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permission_denied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Ação bloqueada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action, object, role</w:t>
            </w:r>
          </w:p>
        </w:tc>
      </w:tr>
      <w:tr>
        <w:tc>
          <w:tcPr>
            <w:tcW w:type="dxa" w:w="24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ui_error</w:t>
            </w:r>
          </w:p>
        </w:tc>
        <w:tc>
          <w:tcPr>
            <w:tcW w:type="dxa" w:w="30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Erro de interface/API</w:t>
            </w:r>
          </w:p>
        </w:tc>
        <w:tc>
          <w:tcPr>
            <w:tcW w:type="dxa" w:w="39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4"/>
              </w:rPr>
              <w:t>request_id, component, code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Orçamentos de performance — PROPOSTA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Métrica</w:t>
            </w:r>
          </w:p>
        </w:tc>
        <w:tc>
          <w:tcPr>
            <w:tcW w:type="dxa" w:w="62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Meta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LCP desktop/mobile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≤2,5 s no p75</w:t>
            </w:r>
          </w:p>
        </w:tc>
      </w:tr>
      <w:tr>
        <w:tc>
          <w:tcPr>
            <w:tcW w:type="dxa" w:w="3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INP</w:t>
            </w:r>
          </w:p>
        </w:tc>
        <w:tc>
          <w:tcPr>
            <w:tcW w:type="dxa" w:w="6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≤200 ms no p75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CLS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≤0,10</w:t>
            </w:r>
          </w:p>
        </w:tc>
      </w:tr>
      <w:tr>
        <w:tc>
          <w:tcPr>
            <w:tcW w:type="dxa" w:w="3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API resumo/cache</w:t>
            </w:r>
          </w:p>
        </w:tc>
        <w:tc>
          <w:tcPr>
            <w:tcW w:type="dxa" w:w="6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p95 ≤800 ms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API análise pesada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p95 ≤2,5 s com estado progressivo</w:t>
            </w:r>
          </w:p>
        </w:tc>
      </w:tr>
      <w:tr>
        <w:tc>
          <w:tcPr>
            <w:tcW w:type="dxa" w:w="3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Troca de filtro</w:t>
            </w:r>
          </w:p>
        </w:tc>
        <w:tc>
          <w:tcPr>
            <w:tcW w:type="dxa" w:w="6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feedback visual ≤100 ms; cancelamento de requisição anterior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Lista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virtualização a partir de 200 itens montados</w:t>
            </w:r>
          </w:p>
        </w:tc>
      </w:tr>
      <w:tr>
        <w:tc>
          <w:tcPr>
            <w:tcW w:type="dxa" w:w="31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Bundle inicial</w:t>
            </w:r>
          </w:p>
        </w:tc>
        <w:tc>
          <w:tcPr>
            <w:tcW w:type="dxa" w:w="62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carregamento por rota; gráficos/mapas sob demanda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 Métricas operacionais</w:t>
      </w:r>
    </w:p>
    <w:p>
      <w:pPr>
        <w:keepNext w:val="0"/>
        <w:spacing w:before="0" w:after="0" w:line="288" w:lineRule="auto"/>
        <w:jc w:val="left"/>
      </w:pPr>
      <w:r>
        <w:rPr>
          <w:rFonts w:ascii="Noto Sans" w:hAnsi="Noto Sans"/>
          <w:b w:val="0"/>
          <w:i w:val="0"/>
          <w:color w:val="18233C"/>
          <w:sz w:val="18"/>
        </w:rPr>
        <w:t>Monitorar: taxa de sucesso e duração por fonte; idade do dado por UF; duplicidade e registros inválidos; cobertura de grupo equivalente; taxa de erro de API e componente; respostas e recusas do Radar IA por confiança; alertas disparados, abertos e arquivados; tempo até evidência e taxa de retorno restaurado.</w:t>
      </w:r>
    </w:p>
    <w:p>
      <w:pPr>
        <w:pStyle w:val="Heading1"/>
        <w:keepNext/>
        <w:pageBreakBefore/>
      </w:pPr>
      <w:r>
        <w:t>13. Critérios de aceite e testes</w:t>
      </w:r>
    </w:p>
    <w:p>
      <w:pPr>
        <w:pStyle w:val="Heading2"/>
        <w:keepNext/>
      </w:pPr>
      <w:r>
        <w:t>13.1 Gate por tela</w:t>
      </w:r>
    </w:p>
    <w:p>
      <w:pPr>
        <w:pStyle w:val="ListNumber"/>
        <w:spacing w:after="40" w:line="259" w:lineRule="auto"/>
      </w:pPr>
      <w:r>
        <w:rPr>
          <w:rFonts w:ascii="Noto Sans" w:hAnsi="Noto Sans"/>
          <w:color w:val="18233C"/>
          <w:sz w:val="19"/>
        </w:rPr>
        <w:t>Objetivo ligado a uma área e pergunta de negócio.</w:t>
      </w:r>
    </w:p>
    <w:p>
      <w:pPr>
        <w:pStyle w:val="ListNumber"/>
        <w:spacing w:after="40" w:line="259" w:lineRule="auto"/>
      </w:pPr>
      <w:r>
        <w:rPr>
          <w:rFonts w:ascii="Noto Sans" w:hAnsi="Noto Sans"/>
          <w:color w:val="18233C"/>
          <w:sz w:val="19"/>
        </w:rPr>
        <w:t>Origem, destino, Voltar e deep link definidos.</w:t>
      </w:r>
    </w:p>
    <w:p>
      <w:pPr>
        <w:pStyle w:val="ListNumber"/>
        <w:spacing w:after="40" w:line="259" w:lineRule="auto"/>
      </w:pPr>
      <w:r>
        <w:rPr>
          <w:rFonts w:ascii="Noto Sans" w:hAnsi="Noto Sans"/>
          <w:color w:val="18233C"/>
          <w:sz w:val="19"/>
        </w:rPr>
        <w:t>Filtros e contexto inicial coerentes.</w:t>
      </w:r>
    </w:p>
    <w:p>
      <w:pPr>
        <w:pStyle w:val="ListNumber"/>
        <w:spacing w:after="40" w:line="259" w:lineRule="auto"/>
      </w:pPr>
      <w:r>
        <w:rPr>
          <w:rFonts w:ascii="Noto Sans" w:hAnsi="Noto Sans"/>
          <w:color w:val="18233C"/>
          <w:sz w:val="19"/>
        </w:rPr>
        <w:t>KPIs possuem definição, fonte e amostra.</w:t>
      </w:r>
    </w:p>
    <w:p>
      <w:pPr>
        <w:pStyle w:val="ListNumber"/>
        <w:spacing w:after="40" w:line="259" w:lineRule="auto"/>
      </w:pPr>
      <w:r>
        <w:rPr>
          <w:rFonts w:ascii="Noto Sans" w:hAnsi="Noto Sans"/>
          <w:color w:val="18233C"/>
          <w:sz w:val="19"/>
        </w:rPr>
        <w:t>Equivalência e Minha Loja aplicadas corretamente.</w:t>
      </w:r>
    </w:p>
    <w:p>
      <w:pPr>
        <w:pStyle w:val="ListNumber"/>
        <w:spacing w:after="40" w:line="259" w:lineRule="auto"/>
      </w:pPr>
      <w:r>
        <w:rPr>
          <w:rFonts w:ascii="Noto Sans" w:hAnsi="Noto Sans"/>
          <w:color w:val="18233C"/>
          <w:sz w:val="19"/>
        </w:rPr>
        <w:t>Semântica de cor validada.</w:t>
      </w:r>
    </w:p>
    <w:p>
      <w:pPr>
        <w:pStyle w:val="ListNumber"/>
        <w:spacing w:after="40" w:line="259" w:lineRule="auto"/>
      </w:pPr>
      <w:r>
        <w:rPr>
          <w:rFonts w:ascii="Noto Sans" w:hAnsi="Noto Sans"/>
          <w:color w:val="18233C"/>
          <w:sz w:val="19"/>
        </w:rPr>
        <w:t>Loading, vazio, erro, baixa confiança, stale e permissão desenhados.</w:t>
      </w:r>
    </w:p>
    <w:p>
      <w:pPr>
        <w:pStyle w:val="ListNumber"/>
        <w:spacing w:after="40" w:line="259" w:lineRule="auto"/>
      </w:pPr>
      <w:r>
        <w:rPr>
          <w:rFonts w:ascii="Noto Sans" w:hAnsi="Noto Sans"/>
          <w:color w:val="18233C"/>
          <w:sz w:val="19"/>
        </w:rPr>
        <w:t>Teclado, leitor de tela, foco, contraste, zoom e mobile testados.</w:t>
      </w:r>
    </w:p>
    <w:p>
      <w:pPr>
        <w:pStyle w:val="ListNumber"/>
        <w:spacing w:after="40" w:line="259" w:lineRule="auto"/>
      </w:pPr>
      <w:r>
        <w:rPr>
          <w:rFonts w:ascii="Noto Sans" w:hAnsi="Noto Sans"/>
          <w:color w:val="18233C"/>
          <w:sz w:val="19"/>
        </w:rPr>
        <w:t>Telemetria e request_id implementados.</w:t>
      </w:r>
    </w:p>
    <w:p>
      <w:pPr>
        <w:pStyle w:val="ListNumber"/>
        <w:spacing w:after="40" w:line="259" w:lineRule="auto"/>
      </w:pPr>
      <w:r>
        <w:rPr>
          <w:rFonts w:ascii="Noto Sans" w:hAnsi="Noto Sans"/>
          <w:color w:val="18233C"/>
          <w:sz w:val="19"/>
        </w:rPr>
        <w:t>Aprovação explícita do gestor e Plano Mestre atualizados.</w:t>
      </w:r>
    </w:p>
    <w:p>
      <w:pPr>
        <w:pStyle w:val="Heading2"/>
        <w:keepNext/>
      </w:pPr>
      <w:r>
        <w:t>13.2 Matriz de testes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Camada</w:t>
            </w:r>
          </w:p>
        </w:tc>
        <w:tc>
          <w:tcPr>
            <w:tcW w:type="dxa" w:w="71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Testes mínimos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Unidade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Normalização, equivalência, mediana, confiança, status e regras de alerta</w:t>
            </w:r>
          </w:p>
        </w:tc>
      </w:tr>
      <w:tr>
        <w:tc>
          <w:tcPr>
            <w:tcW w:type="dxa" w:w="2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Contrato</w:t>
            </w:r>
          </w:p>
        </w:tc>
        <w:tc>
          <w:tcPr>
            <w:tcW w:type="dxa" w:w="71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Schema de API, filtros, cursor, erros e metadados de evidência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Integração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Filtro → API → tabela/gráfico; alerta → destino; IA → evidência</w:t>
            </w:r>
          </w:p>
        </w:tc>
      </w:tr>
      <w:tr>
        <w:tc>
          <w:tcPr>
            <w:tcW w:type="dxa" w:w="2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E2E</w:t>
            </w:r>
          </w:p>
        </w:tc>
        <w:tc>
          <w:tcPr>
            <w:tcW w:type="dxa" w:w="71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Brasil→UF→cidade→modelo→anúncio→voltar; concorrente→comparador; fonte→saúde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Visual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Grades, quebra responsiva, estados e regressão por screenshot</w:t>
            </w:r>
          </w:p>
        </w:tc>
      </w:tr>
      <w:tr>
        <w:tc>
          <w:tcPr>
            <w:tcW w:type="dxa" w:w="2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Acessibilidade</w:t>
            </w:r>
          </w:p>
        </w:tc>
        <w:tc>
          <w:tcPr>
            <w:tcW w:type="dxa" w:w="71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axe + teste manual de teclado, leitor de tela, zoom e contraste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Performance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Web Vitals, p95, cancelamento, cache e listas grandes</w:t>
            </w:r>
          </w:p>
        </w:tc>
      </w:tr>
      <w:tr>
        <w:tc>
          <w:tcPr>
            <w:tcW w:type="dxa" w:w="2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Segurança</w:t>
            </w:r>
          </w:p>
        </w:tc>
        <w:tc>
          <w:tcPr>
            <w:tcW w:type="dxa" w:w="71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RBAC backend, IDOR, rate limit, exportação e logs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13.3 Cenários E2E críticos</w:t>
      </w:r>
    </w:p>
    <w:p>
      <w:pPr>
        <w:pStyle w:val="ListBullet"/>
        <w:spacing w:after="30" w:line="257" w:lineRule="auto"/>
      </w:pPr>
      <w:r>
        <w:rPr>
          <w:rFonts w:ascii="Noto Sans" w:hAnsi="Noto Sans"/>
          <w:color w:val="18233C"/>
          <w:sz w:val="18"/>
        </w:rPr>
        <w:t>Selecionar MG, abrir Belo Horizonte, abrir modelo, abrir anúncios, detalhe e retornar com estado intacto.</w:t>
      </w:r>
    </w:p>
    <w:p>
      <w:pPr>
        <w:pStyle w:val="ListBullet"/>
        <w:spacing w:after="30" w:line="257" w:lineRule="auto"/>
      </w:pPr>
      <w:r>
        <w:rPr>
          <w:rFonts w:ascii="Noto Sans" w:hAnsi="Noto Sans"/>
          <w:color w:val="18233C"/>
          <w:sz w:val="18"/>
        </w:rPr>
        <w:t>Comparar TransMinas, BH Caminhões e SVD; abrir célula; voltar à comparação.</w:t>
      </w:r>
    </w:p>
    <w:p>
      <w:pPr>
        <w:pStyle w:val="ListBullet"/>
        <w:spacing w:after="30" w:line="257" w:lineRule="auto"/>
      </w:pPr>
      <w:r>
        <w:rPr>
          <w:rFonts w:ascii="Noto Sans" w:hAnsi="Noto Sans"/>
          <w:color w:val="18233C"/>
          <w:sz w:val="18"/>
        </w:rPr>
        <w:t>Abrir alerta no sino e chegar ao modelo/recorte correto.</w:t>
      </w:r>
    </w:p>
    <w:p>
      <w:pPr>
        <w:pStyle w:val="ListBullet"/>
        <w:spacing w:after="30" w:line="257" w:lineRule="auto"/>
      </w:pPr>
      <w:r>
        <w:rPr>
          <w:rFonts w:ascii="Noto Sans" w:hAnsi="Noto Sans"/>
          <w:color w:val="18233C"/>
          <w:sz w:val="18"/>
        </w:rPr>
        <w:t>Perguntar ao Radar IA e abrir os 38 anúncios/22 lojistas que sustentam a resposta de demonstração.</w:t>
      </w:r>
    </w:p>
    <w:p>
      <w:pPr>
        <w:pStyle w:val="ListBullet"/>
        <w:spacing w:after="30" w:line="257" w:lineRule="auto"/>
      </w:pPr>
      <w:r>
        <w:rPr>
          <w:rFonts w:ascii="Noto Sans" w:hAnsi="Noto Sans"/>
          <w:color w:val="18233C"/>
          <w:sz w:val="18"/>
        </w:rPr>
        <w:t>Forçar amostra insuficiente e confirmar recusa segura.</w:t>
      </w:r>
    </w:p>
    <w:p>
      <w:pPr>
        <w:pStyle w:val="ListBullet"/>
        <w:spacing w:after="30" w:line="257" w:lineRule="auto"/>
      </w:pPr>
      <w:r>
        <w:rPr>
          <w:rFonts w:ascii="Noto Sans" w:hAnsi="Noto Sans"/>
          <w:color w:val="18233C"/>
          <w:sz w:val="18"/>
        </w:rPr>
        <w:t>Simular fonte stale/falha e confirmar rebaixamento de confiança e Saúde dos dados.</w:t>
      </w:r>
    </w:p>
    <w:p>
      <w:pPr>
        <w:pStyle w:val="ListBullet"/>
        <w:spacing w:after="30" w:line="257" w:lineRule="auto"/>
      </w:pPr>
      <w:r>
        <w:rPr>
          <w:rFonts w:ascii="Noto Sans" w:hAnsi="Noto Sans"/>
          <w:color w:val="18233C"/>
          <w:sz w:val="18"/>
        </w:rPr>
        <w:t>Testar rolagem infinita com erro no segundo lote e recuperação pelo botão Carregar mais.</w:t>
      </w:r>
    </w:p>
    <w:p>
      <w:pPr>
        <w:pStyle w:val="ListBullet"/>
        <w:spacing w:after="30" w:line="257" w:lineRule="auto"/>
      </w:pPr>
      <w:r>
        <w:rPr>
          <w:rFonts w:ascii="Noto Sans" w:hAnsi="Noto Sans"/>
          <w:color w:val="18233C"/>
          <w:sz w:val="18"/>
        </w:rPr>
        <w:t>Usuário Comercial tenta abrir permissões e recebe bloqueio sem vazamento.</w:t>
      </w:r>
    </w:p>
    <w:p>
      <w:pPr>
        <w:pStyle w:val="Heading1"/>
        <w:keepNext/>
        <w:pageBreakBefore/>
      </w:pPr>
      <w:r>
        <w:t>14. Roadmap recomendado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200"/>
        <w:gridCol w:w="2660"/>
      </w:tblGrid>
      <w:tr>
        <w:trPr>
          <w:tblHeader w:val="true"/>
        </w:trPr>
        <w:tc>
          <w:tcPr>
            <w:tcW w:type="dxa" w:w="15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Fase</w:t>
            </w:r>
          </w:p>
        </w:tc>
        <w:tc>
          <w:tcPr>
            <w:tcW w:type="dxa" w:w="52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Escopo</w:t>
            </w:r>
          </w:p>
        </w:tc>
        <w:tc>
          <w:tcPr>
            <w:tcW w:type="dxa" w:w="26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Saída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0 — Governança e dados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Mapa de APIs, dicionário, confiança, equivalência, status e RBAC.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Contratos aprovados</w:t>
            </w:r>
          </w:p>
        </w:tc>
      </w:tr>
      <w:tr>
        <w:tc>
          <w:tcPr>
            <w:tcW w:type="dxa" w:w="1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1 — Casca global</w:t>
            </w:r>
          </w:p>
        </w:tc>
        <w:tc>
          <w:tcPr>
            <w:tcW w:type="dxa" w:w="5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Router, URL state, sidebar/submenus, header, sino, filtros e estados.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Navegação funcional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2 — Mercado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Telas 1–7, evidências, cursor e retorno restaurado.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Exploração ponta a ponta</w:t>
            </w:r>
          </w:p>
        </w:tc>
      </w:tr>
      <w:tr>
        <w:tc>
          <w:tcPr>
            <w:tcW w:type="dxa" w:w="1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3 — Concorrência</w:t>
            </w:r>
          </w:p>
        </w:tc>
        <w:tc>
          <w:tcPr>
            <w:tcW w:type="dxa" w:w="5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Telas 8–10 e regra de concorrente direto.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Perfis e comparação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4 — Minha Loja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Telas 11–12 e linguagem não prescritiva.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Posicionamento SVD</w:t>
            </w:r>
          </w:p>
        </w:tc>
      </w:tr>
      <w:tr>
        <w:tc>
          <w:tcPr>
            <w:tcW w:type="dxa" w:w="1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5 — Inteligência</w:t>
            </w:r>
          </w:p>
        </w:tc>
        <w:tc>
          <w:tcPr>
            <w:tcW w:type="dxa" w:w="5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Radar IA, alertas, evidência, recusa e auditoria.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Telas 13–14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6 — Administração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Saúde dos dados, conta, fontes, papéis e preferências.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Telas 15–16</w:t>
            </w:r>
          </w:p>
        </w:tc>
      </w:tr>
      <w:tr>
        <w:tc>
          <w:tcPr>
            <w:tcW w:type="dxa" w:w="15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7 — Qualidade</w:t>
            </w:r>
          </w:p>
        </w:tc>
        <w:tc>
          <w:tcPr>
            <w:tcW w:type="dxa" w:w="52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Mobile, WCAG, performance, segurança, observabilidade e regressão.</w:t>
            </w:r>
          </w:p>
        </w:tc>
        <w:tc>
          <w:tcPr>
            <w:tcW w:type="dxa" w:w="26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Release candidate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14.1 Ordem de implementação interna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Construir primeiro contratos e casca; não codificar 16 telas isoladas.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Criar componentes reutilizáveis: filtro, KPI, tabela, estado, evidence link, confiança, badge e breadcrumb.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Validar um fluxo vertical completo antes de replicar áreas.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Automatizar testes e telemetria junto com o componente, não ao final.</w:t>
      </w:r>
    </w:p>
    <w:p>
      <w:pPr>
        <w:pStyle w:val="Heading1"/>
        <w:keepNext/>
        <w:pageBreakBefore/>
      </w:pPr>
      <w:r>
        <w:t>15. Decisões consolidadas e pendências</w:t>
      </w:r>
    </w:p>
    <w:p>
      <w:pPr>
        <w:pStyle w:val="Heading2"/>
        <w:keepNext/>
      </w:pPr>
      <w:r>
        <w:t>15.1 Decisões consolidadas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Decisão</w:t>
            </w:r>
          </w:p>
        </w:tc>
        <w:tc>
          <w:tcPr>
            <w:tcW w:type="dxa" w:w="67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6"/>
              </w:rPr>
              <w:t>Resultado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Menu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Curto; submenus apenas para destinos recorrentes</w:t>
            </w:r>
          </w:p>
        </w:tc>
      </w:tr>
      <w:tr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Drill-downs</w:t>
            </w:r>
          </w:p>
        </w:tc>
        <w:tc>
          <w:tcPr>
            <w:tcW w:type="dxa" w:w="6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Estado, cidade, modelo, lojista, item e anúncio fora do menu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Alertas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Central global acessada pelo sino em todas as telas</w:t>
            </w:r>
          </w:p>
        </w:tc>
      </w:tr>
      <w:tr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Radar IA</w:t>
            </w:r>
          </w:p>
        </w:tc>
        <w:tc>
          <w:tcPr>
            <w:tcW w:type="dxa" w:w="6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Camada global com fonte, amostra, período, confiança e evidência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Listagens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Rolagem infinita híbrida; sem paginação numérica</w:t>
            </w:r>
          </w:p>
        </w:tc>
      </w:tr>
      <w:tr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Configurações</w:t>
            </w:r>
          </w:p>
        </w:tc>
        <w:tc>
          <w:tcPr>
            <w:tcW w:type="dxa" w:w="6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Conta e preferências + Saúde dos dados como submenus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Fotos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Proibidas como elemento do produto</w:t>
            </w:r>
          </w:p>
        </w:tc>
      </w:tr>
      <w:tr>
        <w:tc>
          <w:tcPr>
            <w:tcW w:type="dxa" w:w="26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Dados de mockup</w:t>
            </w:r>
          </w:p>
        </w:tc>
        <w:tc>
          <w:tcPr>
            <w:tcW w:type="dxa" w:w="6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Podem ser demonstrativos, mas coerentes e explicitamente identificados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Cores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6"/>
              </w:rPr>
              <w:t>Verde/vermelho só para movimento temporal; exceções operacionais explicitamente rotuladas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15.2 Pendências para decisão do gestor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Tema</w:t>
            </w:r>
          </w:p>
        </w:tc>
        <w:tc>
          <w:tcPr>
            <w:tcW w:type="dxa" w:w="370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Decisão necessária</w:t>
            </w:r>
          </w:p>
        </w:tc>
        <w:tc>
          <w:tcPr>
            <w:tcW w:type="dxa" w:w="3760"/>
            <w:shd w:fill="EAF0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/>
                <w:color w:val="00074A"/>
                <w:sz w:val="15"/>
              </w:rPr>
              <w:t>Recomendação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Permissões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Granularidade de Usuários/Permissões.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Adotar RBAC proposto e validar por ação.</w:t>
            </w:r>
          </w:p>
        </w:tc>
      </w:tr>
      <w:tr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Confiança</w:t>
            </w:r>
          </w:p>
        </w:tc>
        <w:tc>
          <w:tcPr>
            <w:tcW w:type="dxa" w:w="3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Score e limiares reais.</w:t>
            </w:r>
          </w:p>
        </w:tc>
        <w:tc>
          <w:tcPr>
            <w:tcW w:type="dxa" w:w="3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Calibrar proposta com histórico e backtest.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Concorrente direto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Critério e fonte do badge.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Sobreposição de modelo + praça + preço, auditável.</w:t>
            </w:r>
          </w:p>
        </w:tc>
      </w:tr>
      <w:tr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Venda provável</w:t>
            </w:r>
          </w:p>
        </w:tc>
        <w:tc>
          <w:tcPr>
            <w:tcW w:type="dxa" w:w="3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Quantidade e tipo de confirmações.</w:t>
            </w:r>
          </w:p>
        </w:tc>
        <w:tc>
          <w:tcPr>
            <w:tcW w:type="dxa" w:w="3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Classificar com confiança; nunca venda confirmada.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Cidade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KPI participação no estado.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Manter se definição e fonte forem estáveis.</w:t>
            </w:r>
          </w:p>
        </w:tc>
      </w:tr>
      <w:tr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Análise de modelo</w:t>
            </w:r>
          </w:p>
        </w:tc>
        <w:tc>
          <w:tcPr>
            <w:tcW w:type="dxa" w:w="3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Abrir no Brasil ou herdar origem.</w:t>
            </w:r>
          </w:p>
        </w:tc>
        <w:tc>
          <w:tcPr>
            <w:tcW w:type="dxa" w:w="3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Herdar origem e oferecer ampliar.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Comparador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Nenhum modelo comum.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Estado vazio explicativo e sugestão de remover participante.</w:t>
            </w:r>
          </w:p>
        </w:tc>
      </w:tr>
      <w:tr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Alertas</w:t>
            </w:r>
          </w:p>
        </w:tc>
        <w:tc>
          <w:tcPr>
            <w:tcW w:type="dxa" w:w="3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Canais e frequência padrão.</w:t>
            </w:r>
          </w:p>
        </w:tc>
        <w:tc>
          <w:tcPr>
            <w:tcW w:type="dxa" w:w="3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In-app primeiro; demais canais após governança.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Exportação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Formatos e papéis.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CSV + PDF governados no P1.</w:t>
            </w:r>
          </w:p>
        </w:tc>
      </w:tr>
      <w:tr>
        <w:tc>
          <w:tcPr>
            <w:tcW w:type="dxa" w:w="19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Retenção</w:t>
            </w:r>
          </w:p>
        </w:tc>
        <w:tc>
          <w:tcPr>
            <w:tcW w:type="dxa" w:w="370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Logs, perguntas IA, exports e alertas.</w:t>
            </w:r>
          </w:p>
        </w:tc>
        <w:tc>
          <w:tcPr>
            <w:tcW w:type="dxa" w:w="3760"/>
            <w:shd w:fill="F5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" w:hAnsi="Noto Sans"/>
                <w:b w:val="0"/>
                <w:color w:val="18233C"/>
                <w:sz w:val="15"/>
              </w:rPr>
              <w:t>Definir política antes da produção.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16. Checklist final de handoff</w:t>
      </w:r>
    </w:p>
    <w:p>
      <w:pPr>
        <w:pStyle w:val="Heading2"/>
        <w:keepNext/>
      </w:pPr>
      <w:r>
        <w:t>Produto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Plano Mestre atualizado com status real de cada tela.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Dicionário de termos e regras de equivalência versionados.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Decisões pendentes com dono e prazo.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Fluxos e mensagens de erro aprovados.</w:t>
      </w:r>
    </w:p>
    <w:p>
      <w:pPr>
        <w:pStyle w:val="Heading2"/>
        <w:keepNext/>
      </w:pPr>
      <w:r>
        <w:t>Design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Componentes desktop/mobile com estados completos.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Sino global e submenus aplicados a todas as telas.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Tabelas, gráficos e mapas com alternativas acessíveis.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Tokens, foco, contraste e redução de movimento documentados.</w:t>
      </w:r>
    </w:p>
    <w:p>
      <w:pPr>
        <w:pStyle w:val="Heading2"/>
        <w:keepNext/>
      </w:pPr>
      <w:r>
        <w:t>Engenharia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Rotas e query params implementados.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APIs com meta de fonte, amostra, confiança, freshness e request_id.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Cursor, cancelamento, cache e virtualização testados.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RBAC e logs no backend.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Telemetria e alertas operacionais ativos.</w:t>
      </w:r>
    </w:p>
    <w:p>
      <w:pPr>
        <w:pStyle w:val="Heading2"/>
        <w:keepNext/>
      </w:pPr>
      <w:r>
        <w:t>Qualidade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E2E dos fluxos críticos aprovado.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WCAG 2.2 AA verificada manual e automaticamente.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Performance dentro dos orçamentos.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Dados reais comparados com consultas de controle.</w:t>
      </w:r>
    </w:p>
    <w:p>
      <w:pPr>
        <w:pStyle w:val="ListBullet"/>
        <w:spacing w:after="60" w:line="283" w:lineRule="auto"/>
      </w:pPr>
      <w:r>
        <w:rPr>
          <w:rFonts w:ascii="Noto Sans" w:hAnsi="Noto Sans"/>
          <w:color w:val="18233C"/>
          <w:sz w:val="20"/>
        </w:rPr>
        <w:t>Aprovação do gestor registrada.</w:t>
      </w:r>
    </w:p>
    <w:p>
      <w:pPr>
        <w:spacing w:before="80" w:after="160" w:line="283" w:lineRule="auto"/>
        <w:ind w:left="200" w:right="160"/>
        <w:shd w:fill="FFF0E8"/>
        <w:pBdr>
          <w:left w:val="single" w:sz="20" w:space="8" w:color="FE4600"/>
        </w:pBdr>
      </w:pPr>
      <w:r>
        <w:rPr>
          <w:rFonts w:ascii="Noto Sans" w:hAnsi="Noto Sans"/>
          <w:b/>
          <w:color w:val="FE4600"/>
          <w:sz w:val="17"/>
        </w:rPr>
        <w:t>MARCO DE CONCLUSÃO</w:t>
        <w:br/>
      </w:r>
      <w:r>
        <w:rPr>
          <w:rFonts w:ascii="Noto Sans" w:hAnsi="Noto Sans"/>
          <w:color w:val="18233C"/>
          <w:sz w:val="20"/>
        </w:rPr>
        <w:t>O projeto visual termina quando os mockups estão aprovados. O produto funcional termina somente quando fluxos, dados, acessibilidade, permissões, performance e evidências passam pelo gate deste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  <w:jc w:val="left"/>
    </w:pPr>
    <w:r>
      <w:rPr>
        <w:rFonts w:ascii="Noto Sans" w:hAnsi="Noto Sans"/>
        <w:color w:val="596681"/>
        <w:sz w:val="16"/>
      </w:rPr>
      <w:t>Especificação para validação • uso interno</w:t>
    </w:r>
    <w:r>
      <w:tab/>
    </w:r>
    <w:r>
      <w:rPr>
        <w:rFonts w:ascii="Noto Sans" w:hAnsi="Noto Sans"/>
        <w:color w:val="596681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Noto Sans" w:hAnsi="Noto Sans"/>
        <w:b/>
        <w:color w:val="00074A"/>
        <w:sz w:val="16"/>
      </w:rPr>
      <w:t>OPER RADAR  |  Mapa Funcional</w:t>
    </w:r>
    <w:r>
      <w:rPr>
        <w:rFonts w:ascii="Noto Sans" w:hAnsi="Noto Sans"/>
        <w:color w:val="18233C"/>
        <w:sz w:val="16"/>
      </w:rPr>
      <w:tab/>
    </w:r>
    <w:r>
      <w:rPr>
        <w:rFonts w:ascii="Noto Sans" w:hAnsi="Noto Sans"/>
        <w:color w:val="596681"/>
        <w:sz w:val="16"/>
      </w:rPr>
      <w:t>Versão 1.0 • 31 ago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" w:hAnsi="Noto Sans"/>
      <w:color w:val="1823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" w:hAnsi="Noto Sans"/>
      <w:b/>
      <w:bCs/>
      <w:color w:val="0007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" w:hAnsi="Noto Sans"/>
      <w:b/>
      <w:bCs/>
      <w:color w:val="0007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" w:hAnsi="Noto Sans"/>
      <w:b/>
      <w:bCs/>
      <w:color w:val="2E63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0007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" w:hAnsi="Noto Sans"/>
      <w:b w:val="0"/>
      <w:i/>
      <w:iCs/>
      <w:color w:val="59668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/>
      <w:color w:val="18233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/>
      <w:color w:val="18233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/>
      <w:color w:val="18233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" w:hAnsi="Noto Sans"/>
      <w:b/>
      <w:bCs/>
      <w:color w:val="59668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Funcional OPER RADAR v1.0</dc:title>
  <dc:subject>Arquitetura funcional, fluxos, acessibilidade, dados e critérios de aceite</dc:subject>
  <dc:creator>Felipe Hilário + Codex</dc:creator>
  <cp:keywords>OPER RADAR, mapa funcional, UX, acessibilidade, inteligência de mercado</cp:keywords>
  <dc:description>Documento de planejamento funcional. Não comprova implementação.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