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D23"/>
          <w:sz w:val="44"/>
          <w:szCs w:val="44"/>
        </w:rPr>
        <w:t xml:space="preserve">OPER RADAR</w:t>
      </w:r>
    </w:p>
    <w:p>
      <w:pPr>
        <w:spacing w:after="280"/>
      </w:pPr>
      <w:r>
        <w:rPr>
          <w:color w:val="6B7280"/>
          <w:sz w:val="22"/>
          <w:szCs w:val="22"/>
        </w:rPr>
        <w:t xml:space="preserve">Documento interno de produto e design — análise competitiva, diferenciais e direção visual</w:t>
      </w:r>
    </w:p>
    <w:p>
      <w:pPr>
        <w:pStyle w:val="Heading1"/>
        <w:spacing w:after="140" w:before="340"/>
      </w:pPr>
      <w:r>
        <w:rPr>
          <w:color w:val="1A1D23"/>
        </w:rPr>
        <w:t xml:space="preserve">1. Posicionamento</w:t>
      </w:r>
    </w:p>
    <w:p>
      <w:pPr>
        <w:spacing w:after="110"/>
      </w:pPr>
      <w:r>
        <w:rPr>
          <w:sz w:val="21"/>
          <w:szCs w:val="21"/>
        </w:rPr>
        <w:t xml:space="preserve">Pesquisa sobre as principais plataformas de inteligência de mercado para revendas de veículos (mercado americano, o mais maduro): CarGurus PriceVantage, vAuto ProfitTime GPS, vAuto Provision, Carbly, VinAssessment, MarketCheck, Lotlinx, Catalyst IQ MarketAI e autoniq.</w:t>
      </w:r>
    </w:p>
    <w:p>
      <w:pPr>
        <w:spacing w:after="110"/>
      </w:pPr>
      <w:r>
        <w:rPr>
          <w:sz w:val="21"/>
          <w:szCs w:val="21"/>
        </w:rPr>
        <w:t xml:space="preserve">Todas resolvem a mesma pergunta: "quanto o MEU veículo no MEU pátio vale, e por quanto anunciar?". Elas partem do estoque interno do lojista e exigem integração com os sistemas dele.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O OPER RADAR responde uma pergunta que nenhuma delas responde:</w:t>
      </w:r>
    </w:p>
    <w:p>
      <w:pPr>
        <w:pBdr>
          <w:left w:val="single" w:color="B8791A" w:sz="12"/>
        </w:pBdr>
        <w:spacing w:after="110"/>
        <w:ind w:left="400"/>
      </w:pPr>
      <w:r>
        <w:rPr>
          <w:i/>
          <w:iCs/>
          <w:color w:val="6B7280"/>
          <w:sz w:val="21"/>
          <w:szCs w:val="21"/>
        </w:rPr>
        <w:t xml:space="preserve">"O que o mercado inteiro ao meu redor está fazendo — o que meus concorrentes têm em estoque, por quanto anunciam, e o que está efetivamente girando na minha região?"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 ferramentas americanas enxergam só o pátio do próprio cliente; o OPER RADAR enxerga o mercado público inteiro — o estoque dos concorrentes.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 sinal central (anúncio que some = venda estimada) gera uma métrica de giro dos concorrentes que nenhuma delas tem.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Nicho sem concorrente direto: pesados e extrapesados no Brasil, com a maior base do setor (Caminhões e Carretas) como fonte.</w:t>
      </w:r>
    </w:p>
    <w:p>
      <w:pPr>
        <w:spacing w:after="110"/>
      </w:pPr>
      <w:r>
        <w:rPr>
          <w:i/>
          <w:iCs/>
          <w:sz w:val="21"/>
          <w:szCs w:val="21"/>
        </w:rPr>
        <w:t xml:space="preserve">Posicionamento: "OPER RADAR é o radar de mercado do transporte pesado brasileiro — estoque, preço e giro dos concorrentes em tempo quase real."</w:t>
      </w:r>
    </w:p>
    <w:p>
      <w:pPr>
        <w:pStyle w:val="Heading1"/>
        <w:spacing w:after="140" w:before="340"/>
      </w:pPr>
      <w:r>
        <w:rPr>
          <w:color w:val="1A1D23"/>
        </w:rPr>
        <w:t xml:space="preserve">2. Diferenciais a implementar (de onde veio cada um)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400"/>
      </w:tblGrid>
      <w:tr>
        <w:tc>
          <w:tcPr>
            <w:tcW w:type="dxa" w:w="33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Diferencial</w:t>
            </w:r>
          </w:p>
        </w:tc>
        <w:tc>
          <w:tcPr>
            <w:tcW w:type="dxa" w:w="26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Inspiração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Adaptação OPER RADAR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Giro regional por modelo (Market Days Supply)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Carbly, vAuto Provision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vs velocidade de sumiço por modelo/região — o que está quente vs saturado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Velocidade de venda por concorrente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EXCLUSIVO OPER RADAR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Ranking de revendas que mais giram — ninguém mais vê o giro dos concorrentes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Posição de preço por anúncio (vs mercado e FIPE)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CarGurus PriceVantage, VinAssessment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da Fase 2 (FIPE); comparáveis exatos e aproximados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de anúncio parado (aging)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Carbly, Lotpop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Anúncio 30+ dias no ar = oportunidade de negociação/arbitragem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Camada de AÇÃO rastreável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Lotpop (insight central)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 vira tarefa com dono e status — não morre no dashboard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 de sinais em tempo quase real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MarketCheck, Catalyst IQ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Cronologia do que mudou: novos, quedas de preço, vendas prováveis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 de calor regional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Catalyst IQ MarketAI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Começa como lista por cidade; mapa visual quando houver mais estados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Bdr>
          <w:left w:val="single" w:color="B8791A" w:sz="12"/>
        </w:pBdr>
        <w:spacing w:after="110"/>
        <w:ind w:left="400"/>
      </w:pPr>
      <w:r>
        <w:rPr>
          <w:i/>
          <w:iCs/>
          <w:color w:val="6B7280"/>
          <w:sz w:val="21"/>
          <w:szCs w:val="21"/>
        </w:rPr>
        <w:t xml:space="preserve">Insight central (Lotpop): "dado de mercado diz o que fazer; a ferramenta boa registra se foi feito." A maioria das plataformas para no dashboard — o diferencial é a ponte insight → ação.</w:t>
      </w:r>
    </w:p>
    <w:p>
      <w:pPr>
        <w:pStyle w:val="Heading1"/>
        <w:spacing w:after="140" w:before="340"/>
      </w:pPr>
      <w:r>
        <w:rPr>
          <w:color w:val="1A1D23"/>
        </w:rPr>
        <w:t xml:space="preserve">3. Nova estrutura de seções</w:t>
      </w:r>
    </w:p>
    <w:p>
      <w:pPr>
        <w:spacing w:after="110"/>
      </w:pPr>
      <w:r>
        <w:rPr>
          <w:sz w:val="21"/>
          <w:szCs w:val="21"/>
        </w:rPr>
        <w:t xml:space="preserve">A estrutura anterior (Dashboard, Anúncios, Análise, Lojistas, Configuração) era organizada por tipo de tela. A nova é organizada pela decisão que o usuário precisa tomar: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00"/>
      </w:tblGrid>
      <w:tr>
        <w:tc>
          <w:tcPr>
            <w:tcW w:type="dxa" w:w="22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Seção</w:t>
            </w:r>
          </w:p>
        </w:tc>
        <w:tc>
          <w:tcPr>
            <w:tcW w:type="dxa" w:w="33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38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Hoje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 que mudou desde ontem?" — feed de sinais + KPIs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Mercado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Anúncios + Análise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 que tem à venda, por quanto, como está o giro?"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"Onde há dinheiro na mesa agora?"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Concorrentes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Lojistas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"Quem são os players, quem gira mais rápido?"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Ações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 que meu time faz com esses insights?"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Ajustes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Papéis, coleta, cobertura</w:t>
            </w:r>
          </w:p>
        </w:tc>
      </w:tr>
    </w:tbl>
    <w:p>
      <w:pPr>
        <w:pStyle w:val="Heading1"/>
        <w:spacing w:after="140" w:before="340"/>
      </w:pPr>
      <w:r>
        <w:rPr>
          <w:color w:val="1A1D23"/>
        </w:rPr>
        <w:t xml:space="preserve">4. Direção de design</w:t>
      </w:r>
    </w:p>
    <w:p>
      <w:pPr>
        <w:spacing w:after="110"/>
      </w:pPr>
      <w:r>
        <w:rPr>
          <w:sz w:val="21"/>
          <w:szCs w:val="21"/>
        </w:rPr>
        <w:t xml:space="preserve">Brief: elegante e futurista ("como um Apple"), sofisticação de fintech de renome, mantendo a identidade de instrumentação/radar. A identidade escolhida: INSTRUMENTO DE PRECISÃO — painel de radar/aviação: escuro, calmo, um único sinal de cor.</w:t>
      </w:r>
    </w:p>
    <w:p>
      <w:pPr>
        <w:pStyle w:val="Heading2"/>
        <w:spacing w:after="100" w:before="260"/>
      </w:pPr>
      <w:r>
        <w:rPr>
          <w:color w:val="B8791A"/>
        </w:rPr>
        <w:t xml:space="preserve">Cores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Fundo profundo #0B0E13 (tela de radar) · Cartões #141922 · Elevado #1B212C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Texto #EDEFF3 · Secundário #8A94A6 · Hairlines rgba(255,255,255,0.07)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Sinal (acento único) #F5A623 âmbar · Positivo/venda #3DD68C · Oportunidade quente #FF6B4A</w:t>
      </w:r>
    </w:p>
    <w:p>
      <w:pPr>
        <w:pStyle w:val="Heading2"/>
        <w:spacing w:after="100" w:before="260"/>
      </w:pPr>
      <w:r>
        <w:rPr>
          <w:color w:val="B8791A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Display e números: Space Grotesk (dígitos com caráter de instrumento)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Corpo: Inter · Dados/IDs/timestamps: JetBrains Mono (alinhamento tabular)</w:t>
      </w:r>
    </w:p>
    <w:p>
      <w:pPr>
        <w:pStyle w:val="Heading2"/>
        <w:spacing w:after="100" w:before="260"/>
      </w:pPr>
      <w:r>
        <w:rPr>
          <w:color w:val="B8791A"/>
        </w:rPr>
        <w:t xml:space="preserve">Assinatura visual</w:t>
      </w:r>
    </w:p>
    <w:p>
      <w:pPr>
        <w:spacing w:after="110"/>
      </w:pPr>
      <w:r>
        <w:rPr>
          <w:sz w:val="21"/>
          <w:szCs w:val="21"/>
        </w:rPr>
        <w:t xml:space="preserve">O pulso de radar "ao vivo" — um indicador pulsante permanente mostrando que o monitoramento está ativo e há quanto tempo foi a última varredura. Nenhum concorrente comunica o "estou vigiando agora"; todos parecem relatórios estáticos.</w:t>
      </w:r>
    </w:p>
    <w:p>
      <w:pPr>
        <w:pStyle w:val="Heading2"/>
        <w:spacing w:after="100" w:before="260"/>
      </w:pPr>
      <w:r>
        <w:rPr>
          <w:color w:val="B8791A"/>
        </w:rPr>
        <w:t xml:space="preserve">Movimento</w:t>
      </w:r>
    </w:p>
    <w:p>
      <w:pPr>
        <w:spacing w:after="110"/>
      </w:pPr>
      <w:r>
        <w:rPr>
          <w:sz w:val="21"/>
          <w:szCs w:val="21"/>
        </w:rPr>
        <w:t xml:space="preserve">Contido: pulso ambiente no indicador, transições de 150–200ms, sem animação decorativa.</w:t>
      </w:r>
    </w:p>
    <w:p>
      <w:pPr>
        <w:pStyle w:val="Heading1"/>
        <w:spacing w:after="140" w:before="340"/>
      </w:pPr>
      <w:r>
        <w:rPr>
          <w:color w:val="1A1D23"/>
        </w:rPr>
        <w:t xml:space="preserve">5. O que fica explicitamente para depois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Preço vs FIPE e oportunidades por preço: dependem da Fase 2 (mapeamento marca/modelo → FIPE). As telas mostram o estado "aguardando Fase 2" — nunca número inventado.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Aging real e quedas de preço: precisam de histórico de coletas; a métrica amadurece sozinha com o cron rodando.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Mapa de calor geográfico: entra quando houver coleta de mais estados além do PR.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2026-07-07T11:47:32.177Z</dcterms:created>
  <dcterms:modified xsi:type="dcterms:W3CDTF">2026-07-07T11:47:32.177Z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