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0C53" w14:textId="1D3CB1CC" w:rsidR="00F91582" w:rsidRPr="00B66AFB" w:rsidRDefault="00F91582" w:rsidP="005207D9">
      <w:pPr>
        <w:jc w:val="both"/>
        <w:rPr>
          <w:rFonts w:ascii="Calibri" w:hAnsi="Calibri" w:cs="Calibri"/>
          <w:b/>
          <w:bCs/>
          <w:sz w:val="48"/>
          <w:szCs w:val="48"/>
        </w:rPr>
      </w:pPr>
      <w:r w:rsidRPr="00F91582">
        <w:rPr>
          <w:rFonts w:ascii="Calibri" w:hAnsi="Calibri" w:cs="Calibri"/>
          <w:b/>
          <w:bCs/>
          <w:sz w:val="44"/>
          <w:szCs w:val="44"/>
        </w:rPr>
        <w:t>Plan de Soporte Post-Entrega del Producto</w:t>
      </w:r>
    </w:p>
    <w:p w14:paraId="4B990FEF" w14:textId="77777777" w:rsidR="00B66AFB" w:rsidRDefault="00B66AFB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8DB6A96" w14:textId="77777777" w:rsidR="00B66AFB" w:rsidRDefault="00B66AFB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59EDD98" w14:textId="3580BE21" w:rsidR="00F91582" w:rsidRDefault="00B66AFB" w:rsidP="005207D9">
      <w:pPr>
        <w:pStyle w:val="Ttulo1"/>
        <w:jc w:val="both"/>
      </w:pPr>
      <w:bookmarkStart w:id="0" w:name="_Toc185239043"/>
      <w:r>
        <w:t>Datos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B66AFB" w14:paraId="2480C2B3" w14:textId="77777777" w:rsidTr="00B66AFB">
        <w:tc>
          <w:tcPr>
            <w:tcW w:w="3681" w:type="dxa"/>
          </w:tcPr>
          <w:p w14:paraId="2471E70C" w14:textId="3902AE28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Cliente</w:t>
            </w:r>
          </w:p>
        </w:tc>
        <w:tc>
          <w:tcPr>
            <w:tcW w:w="5147" w:type="dxa"/>
          </w:tcPr>
          <w:p w14:paraId="40B96C69" w14:textId="74078F14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DuocUC Departamento de Inglés, Sede Melipilla</w:t>
            </w:r>
          </w:p>
        </w:tc>
      </w:tr>
      <w:tr w:rsidR="00B66AFB" w14:paraId="72A24C3B" w14:textId="77777777" w:rsidTr="00B66AFB">
        <w:tc>
          <w:tcPr>
            <w:tcW w:w="3681" w:type="dxa"/>
          </w:tcPr>
          <w:p w14:paraId="7ABA1C99" w14:textId="54A739FC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Proyecto</w:t>
            </w:r>
          </w:p>
        </w:tc>
        <w:tc>
          <w:tcPr>
            <w:tcW w:w="5147" w:type="dxa"/>
          </w:tcPr>
          <w:p w14:paraId="50E8160A" w14:textId="5BAA6027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SpeakIT</w:t>
            </w:r>
          </w:p>
        </w:tc>
      </w:tr>
      <w:tr w:rsidR="00B66AFB" w14:paraId="3DB37A8D" w14:textId="77777777" w:rsidTr="00B66AFB">
        <w:tc>
          <w:tcPr>
            <w:tcW w:w="3681" w:type="dxa"/>
          </w:tcPr>
          <w:p w14:paraId="57536207" w14:textId="72D76FFE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Versión</w:t>
            </w:r>
          </w:p>
        </w:tc>
        <w:tc>
          <w:tcPr>
            <w:tcW w:w="5147" w:type="dxa"/>
          </w:tcPr>
          <w:p w14:paraId="34E48447" w14:textId="6A1BBDFB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1.0</w:t>
            </w:r>
          </w:p>
        </w:tc>
      </w:tr>
      <w:tr w:rsidR="00B66AFB" w14:paraId="04744BE6" w14:textId="77777777" w:rsidTr="00B66AFB">
        <w:tc>
          <w:tcPr>
            <w:tcW w:w="3681" w:type="dxa"/>
          </w:tcPr>
          <w:p w14:paraId="29713623" w14:textId="6DC138CC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5147" w:type="dxa"/>
          </w:tcPr>
          <w:p w14:paraId="7736980E" w14:textId="4BF2ABA2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15-12-2024</w:t>
            </w:r>
          </w:p>
        </w:tc>
      </w:tr>
      <w:tr w:rsidR="00B66AFB" w14:paraId="44C27D7D" w14:textId="77777777" w:rsidTr="00B66AFB">
        <w:tc>
          <w:tcPr>
            <w:tcW w:w="3681" w:type="dxa"/>
          </w:tcPr>
          <w:p w14:paraId="7C905EF0" w14:textId="543C2AE5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Elaborado por</w:t>
            </w:r>
          </w:p>
        </w:tc>
        <w:tc>
          <w:tcPr>
            <w:tcW w:w="5147" w:type="dxa"/>
          </w:tcPr>
          <w:p w14:paraId="499719B8" w14:textId="13EED378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Felipe Ortiz</w:t>
            </w:r>
          </w:p>
        </w:tc>
      </w:tr>
    </w:tbl>
    <w:p w14:paraId="6403AFC3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p w14:paraId="5EF00893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p w14:paraId="42836698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29711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9A7E0" w14:textId="70F6026B" w:rsidR="00F91582" w:rsidRDefault="00F91582" w:rsidP="005207D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0AE7BA1A" w14:textId="0C2B4C51" w:rsidR="00402B58" w:rsidRDefault="00F91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39043" w:history="1">
            <w:r w:rsidR="00402B58" w:rsidRPr="008C2B0B">
              <w:rPr>
                <w:rStyle w:val="Hipervnculo"/>
                <w:noProof/>
              </w:rPr>
              <w:t>Datos del documento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_Toc185239043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402B58">
              <w:rPr>
                <w:noProof/>
                <w:webHidden/>
              </w:rPr>
              <w:t>1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76DB1E8E" w14:textId="3764BB80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4" w:history="1">
            <w:r w:rsidRPr="008C2B0B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26BF" w14:textId="5F91E2D0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5" w:history="1">
            <w:r w:rsidRPr="008C2B0B">
              <w:rPr>
                <w:rStyle w:val="Hipervnculo"/>
                <w:noProof/>
              </w:rPr>
              <w:t>2. Alcance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3C4A" w14:textId="05CB00E8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6" w:history="1">
            <w:r w:rsidRPr="008C2B0B">
              <w:rPr>
                <w:rStyle w:val="Hipervnculo"/>
                <w:noProof/>
              </w:rPr>
              <w:t>3. Política de Uso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A0A0" w14:textId="4D5876ED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7" w:history="1">
            <w:r w:rsidRPr="008C2B0B">
              <w:rPr>
                <w:rStyle w:val="Hipervnculo"/>
                <w:noProof/>
              </w:rPr>
              <w:t>3.1. Asignación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E760" w14:textId="7AF2C2F1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8" w:history="1">
            <w:r w:rsidRPr="008C2B0B">
              <w:rPr>
                <w:rStyle w:val="Hipervnculo"/>
                <w:noProof/>
              </w:rPr>
              <w:t>3.2. Límite de Horas Incluidas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3221" w14:textId="2F6F547D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9" w:history="1">
            <w:r w:rsidRPr="008C2B0B">
              <w:rPr>
                <w:rStyle w:val="Hipervnculo"/>
                <w:noProof/>
              </w:rPr>
              <w:t>3.3. Plazo de 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F753" w14:textId="7F9A3774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0" w:history="1">
            <w:r w:rsidRPr="008C2B0B">
              <w:rPr>
                <w:rStyle w:val="Hipervnculo"/>
                <w:noProof/>
              </w:rPr>
              <w:t>4. Condiciones para Horas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1519" w14:textId="62FBBE62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1" w:history="1">
            <w:r w:rsidRPr="008C2B0B">
              <w:rPr>
                <w:rStyle w:val="Hipervnculo"/>
                <w:noProof/>
              </w:rPr>
              <w:t>5. Procedimiento para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5A24" w14:textId="67DAEAF4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2" w:history="1">
            <w:r w:rsidRPr="008C2B0B">
              <w:rPr>
                <w:rStyle w:val="Hipervnculo"/>
                <w:noProof/>
              </w:rPr>
              <w:t>5.1. Registro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ECCC" w14:textId="0156AA22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3" w:history="1">
            <w:r w:rsidRPr="008C2B0B">
              <w:rPr>
                <w:rStyle w:val="Hipervnculo"/>
                <w:noProof/>
              </w:rPr>
              <w:t>5.2. Evaluación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2028" w14:textId="42DE732F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4" w:history="1">
            <w:r w:rsidRPr="008C2B0B">
              <w:rPr>
                <w:rStyle w:val="Hipervnculo"/>
                <w:noProof/>
              </w:rPr>
              <w:t>6. Exclusiones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7465" w14:textId="72B8ECAE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5" w:history="1">
            <w:r w:rsidRPr="008C2B0B">
              <w:rPr>
                <w:rStyle w:val="Hipervnculo"/>
                <w:noProof/>
              </w:rPr>
              <w:t>7. Beneficios para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4D09" w14:textId="3D07BC29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6" w:history="1">
            <w:r w:rsidRPr="008C2B0B">
              <w:rPr>
                <w:rStyle w:val="Hipervnculo"/>
                <w:noProof/>
              </w:rPr>
              <w:t>8. Contacto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4655" w14:textId="3366FD52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7" w:history="1">
            <w:r w:rsidRPr="008C2B0B">
              <w:rPr>
                <w:rStyle w:val="Hipervnculo"/>
                <w:noProof/>
              </w:rPr>
              <w:t>9. Aceptación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652D" w14:textId="5ABF1294" w:rsidR="00F91582" w:rsidRPr="00F91582" w:rsidRDefault="00F91582" w:rsidP="005207D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165D72" w14:textId="77777777" w:rsidR="00F91582" w:rsidRDefault="00F91582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4CB4392" w14:textId="77777777" w:rsidR="00F91582" w:rsidRPr="00F91582" w:rsidRDefault="00F91582" w:rsidP="005207D9">
      <w:pPr>
        <w:pStyle w:val="Ttulo1"/>
        <w:jc w:val="both"/>
      </w:pPr>
      <w:bookmarkStart w:id="1" w:name="_Toc185239044"/>
      <w:r w:rsidRPr="00F91582">
        <w:lastRenderedPageBreak/>
        <w:t>1. Introducción</w:t>
      </w:r>
      <w:bookmarkEnd w:id="1"/>
    </w:p>
    <w:p w14:paraId="64EC17DF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presente documento establece los términos y condiciones del Plan de Soporte Post-Entrega ofrecido al cliente, cuyo objetivo es garantizar el adecuado funcionamiento, mantenimiento y mejora del producto entregado. Este plan detalla los recursos asignados, las actividades incluidas, y las condiciones para la solicitud de servicios adicionales fuera del alcance inicial.</w:t>
      </w:r>
    </w:p>
    <w:p w14:paraId="505CAC10" w14:textId="77777777" w:rsidR="00F91582" w:rsidRPr="00F91582" w:rsidRDefault="00F91582" w:rsidP="005207D9">
      <w:pPr>
        <w:pStyle w:val="Ttulo1"/>
        <w:jc w:val="both"/>
      </w:pPr>
      <w:bookmarkStart w:id="2" w:name="_Toc185239045"/>
      <w:r w:rsidRPr="00F91582">
        <w:t>2. Alcance del Plan de Soporte</w:t>
      </w:r>
      <w:bookmarkEnd w:id="2"/>
    </w:p>
    <w:p w14:paraId="0E41CACA" w14:textId="622B7E24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Plan de Soporte incluye un total de </w:t>
      </w:r>
      <w:r w:rsidR="00502AC6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Horas-Hombre (HH) disponibles para el cliente. Estas horas pueden ser utilizadas para:</w:t>
      </w:r>
    </w:p>
    <w:p w14:paraId="0D0D6D38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Soporte técnico</w:t>
      </w:r>
      <w:r w:rsidRPr="00F91582">
        <w:rPr>
          <w:rFonts w:ascii="Calibri" w:hAnsi="Calibri" w:cs="Calibri"/>
        </w:rPr>
        <w:t>: Resolución de errores, problemas de funcionamiento o configuración del producto.</w:t>
      </w:r>
    </w:p>
    <w:p w14:paraId="5723BBE8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Capacitación</w:t>
      </w:r>
      <w:r w:rsidRPr="00F91582">
        <w:rPr>
          <w:rFonts w:ascii="Calibri" w:hAnsi="Calibri" w:cs="Calibri"/>
        </w:rPr>
        <w:t>: Sesiones de formación para el personal del cliente en el uso del producto.</w:t>
      </w:r>
    </w:p>
    <w:p w14:paraId="10ECA6D3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Nuevas funcionalidades</w:t>
      </w:r>
      <w:r w:rsidRPr="00F91582">
        <w:rPr>
          <w:rFonts w:ascii="Calibri" w:hAnsi="Calibri" w:cs="Calibri"/>
        </w:rPr>
        <w:t>: Desarrollo o implementación de nuevas características solicitadas por el cliente.</w:t>
      </w:r>
    </w:p>
    <w:p w14:paraId="61C8A393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Consultoría</w:t>
      </w:r>
      <w:r w:rsidRPr="00F91582">
        <w:rPr>
          <w:rFonts w:ascii="Calibri" w:hAnsi="Calibri" w:cs="Calibri"/>
        </w:rPr>
        <w:t>: Asesoramiento para optimizar el uso del producto.</w:t>
      </w:r>
    </w:p>
    <w:p w14:paraId="69381DB5" w14:textId="77777777" w:rsidR="00F91582" w:rsidRPr="00F91582" w:rsidRDefault="00F91582" w:rsidP="005207D9">
      <w:pPr>
        <w:pStyle w:val="Ttulo1"/>
        <w:jc w:val="both"/>
      </w:pPr>
      <w:bookmarkStart w:id="3" w:name="_Toc185239046"/>
      <w:r w:rsidRPr="00F91582">
        <w:t>3. Política de Uso de Horas-Hombre</w:t>
      </w:r>
      <w:bookmarkEnd w:id="3"/>
    </w:p>
    <w:p w14:paraId="21C5EC81" w14:textId="77777777" w:rsidR="00F91582" w:rsidRPr="00F91582" w:rsidRDefault="00F91582" w:rsidP="005207D9">
      <w:pPr>
        <w:pStyle w:val="Ttulo2"/>
        <w:jc w:val="both"/>
      </w:pPr>
      <w:bookmarkStart w:id="4" w:name="_Toc185239047"/>
      <w:r w:rsidRPr="00F91582">
        <w:rPr>
          <w:rStyle w:val="Ttulo3Car"/>
          <w:color w:val="auto"/>
          <w:szCs w:val="32"/>
        </w:rPr>
        <w:t>3.1. Asignación y Seguimiento</w:t>
      </w:r>
      <w:bookmarkEnd w:id="4"/>
      <w:r w:rsidRPr="00F91582">
        <w:t xml:space="preserve"> </w:t>
      </w:r>
    </w:p>
    <w:p w14:paraId="28D8AAC2" w14:textId="4AD32882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Cada actividad solicitada por el cliente será evaluada y se proporcionará una estimación de HH requeridas antes de su ejecución. Las HH utilizadas se descontarán del total asignado al plan y se mantendrá un registro detallado y transparente del consumo.</w:t>
      </w:r>
    </w:p>
    <w:p w14:paraId="734755E5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5" w:name="_Toc185239048"/>
      <w:r w:rsidRPr="00F91582">
        <w:rPr>
          <w:rStyle w:val="Ttulo2Car"/>
        </w:rPr>
        <w:t>3.2. Límite de Horas Incluidas</w:t>
      </w:r>
      <w:bookmarkEnd w:id="5"/>
      <w:r w:rsidRPr="00F91582">
        <w:rPr>
          <w:rFonts w:ascii="Calibri" w:hAnsi="Calibri" w:cs="Calibri"/>
        </w:rPr>
        <w:t xml:space="preserve"> </w:t>
      </w:r>
    </w:p>
    <w:p w14:paraId="1B1B8D93" w14:textId="59EE0D4B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cliente dispone de hasta </w:t>
      </w:r>
      <w:r w:rsidR="005207D9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HH dentro del alcance del Plan de Soporte. Una vez consumidas estas horas, el cliente podrá optar por adquirir horas adicionales según lo especificado en la sección 4.</w:t>
      </w:r>
    </w:p>
    <w:p w14:paraId="64F6D2F6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6" w:name="_Toc185239049"/>
      <w:r w:rsidRPr="00F91582">
        <w:rPr>
          <w:rStyle w:val="Ttulo2Car"/>
        </w:rPr>
        <w:t>3.3. Plazo de Vigencia</w:t>
      </w:r>
      <w:bookmarkEnd w:id="6"/>
      <w:r w:rsidRPr="00F91582">
        <w:rPr>
          <w:rFonts w:ascii="Calibri" w:hAnsi="Calibri" w:cs="Calibri"/>
        </w:rPr>
        <w:t xml:space="preserve"> </w:t>
      </w:r>
    </w:p>
    <w:p w14:paraId="0B13039E" w14:textId="7782835F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Plan de Soporte tendrá una vigencia de 12 meses a partir de la fecha de entrega del producto. Las HH no utilizadas al término de este periodo no serán acumulables ni reembolsables.</w:t>
      </w:r>
    </w:p>
    <w:p w14:paraId="737E7540" w14:textId="77777777" w:rsidR="00F91582" w:rsidRPr="00F91582" w:rsidRDefault="00F91582" w:rsidP="005207D9">
      <w:pPr>
        <w:pStyle w:val="Ttulo1"/>
        <w:jc w:val="both"/>
      </w:pPr>
      <w:bookmarkStart w:id="7" w:name="_Toc185239050"/>
      <w:r w:rsidRPr="00F91582">
        <w:t>4. Condiciones para Horas Adicionales</w:t>
      </w:r>
      <w:bookmarkEnd w:id="7"/>
    </w:p>
    <w:p w14:paraId="55650293" w14:textId="681E24EC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En caso de que el cliente requiera más de las </w:t>
      </w:r>
      <w:r w:rsidR="005207D9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HH incluidas en el Plan de Soporte, se aplicará un costo adicional de $</w:t>
      </w:r>
      <w:r w:rsidR="008E1139">
        <w:rPr>
          <w:rFonts w:ascii="Calibri" w:hAnsi="Calibri" w:cs="Calibri"/>
        </w:rPr>
        <w:t>3.0</w:t>
      </w:r>
      <w:r w:rsidRPr="00F91582">
        <w:rPr>
          <w:rFonts w:ascii="Calibri" w:hAnsi="Calibri" w:cs="Calibri"/>
        </w:rPr>
        <w:t>00 por HH. Antes de realizar cualquier actividad adicional, se proporcionará una cotización detallada y se requerirá la aprobación por escrito del cliente.</w:t>
      </w:r>
    </w:p>
    <w:p w14:paraId="1F2091A7" w14:textId="77777777" w:rsidR="00F91582" w:rsidRPr="00F91582" w:rsidRDefault="00F91582" w:rsidP="005207D9">
      <w:pPr>
        <w:pStyle w:val="Ttulo1"/>
        <w:jc w:val="both"/>
      </w:pPr>
      <w:bookmarkStart w:id="8" w:name="_Toc185239051"/>
      <w:r w:rsidRPr="00F91582">
        <w:t>5. Procedimiento para Solicitudes</w:t>
      </w:r>
      <w:bookmarkEnd w:id="8"/>
    </w:p>
    <w:p w14:paraId="59B3114D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9" w:name="_Toc185239052"/>
      <w:r w:rsidRPr="00F91582">
        <w:rPr>
          <w:rStyle w:val="Ttulo2Car"/>
        </w:rPr>
        <w:t>5.1. Registro de Solicitudes</w:t>
      </w:r>
      <w:bookmarkEnd w:id="9"/>
      <w:r w:rsidRPr="00F91582">
        <w:rPr>
          <w:rFonts w:ascii="Calibri" w:hAnsi="Calibri" w:cs="Calibri"/>
        </w:rPr>
        <w:t xml:space="preserve"> </w:t>
      </w:r>
    </w:p>
    <w:p w14:paraId="3F807BC0" w14:textId="42BBBB81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cliente deberá enviar sus solicitudes por escrito a través del correo electrónico oficial o mediante el </w:t>
      </w:r>
      <w:r w:rsidR="00402B58">
        <w:rPr>
          <w:rFonts w:ascii="Calibri" w:hAnsi="Calibri" w:cs="Calibri"/>
        </w:rPr>
        <w:t>correo de soporte</w:t>
      </w:r>
      <w:r w:rsidRPr="00F91582">
        <w:rPr>
          <w:rFonts w:ascii="Calibri" w:hAnsi="Calibri" w:cs="Calibri"/>
        </w:rPr>
        <w:t xml:space="preserve"> proporcionado. Cada solicitud deberá incluir:</w:t>
      </w:r>
    </w:p>
    <w:p w14:paraId="3F18448D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lastRenderedPageBreak/>
        <w:t>Descripción clara de la actividad o problema.</w:t>
      </w:r>
    </w:p>
    <w:p w14:paraId="210A99DC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Prioridad de la solicitud.</w:t>
      </w:r>
    </w:p>
    <w:p w14:paraId="2EBD4F16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Fecha deseada de entrega o resolución.</w:t>
      </w:r>
    </w:p>
    <w:p w14:paraId="44ABAC96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10" w:name="_Toc185239053"/>
      <w:r w:rsidRPr="00F91582">
        <w:rPr>
          <w:rStyle w:val="Ttulo2Car"/>
        </w:rPr>
        <w:t>5.2. Evaluación y Aprobación</w:t>
      </w:r>
      <w:bookmarkEnd w:id="10"/>
      <w:r w:rsidRPr="00F91582">
        <w:rPr>
          <w:rFonts w:ascii="Calibri" w:hAnsi="Calibri" w:cs="Calibri"/>
        </w:rPr>
        <w:t xml:space="preserve"> </w:t>
      </w:r>
    </w:p>
    <w:p w14:paraId="2F8FC161" w14:textId="50360D5E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Nuestro equipo evaluará la solicitud y proporcionará un estimado de HH requeridas, junto con un cronograma de ejecución. La actividad se iniciará una vez que el cliente apruebe el estimado.</w:t>
      </w:r>
    </w:p>
    <w:p w14:paraId="38FA7D88" w14:textId="77777777" w:rsidR="00F91582" w:rsidRPr="00F91582" w:rsidRDefault="00F91582" w:rsidP="005207D9">
      <w:pPr>
        <w:pStyle w:val="Ttulo1"/>
        <w:jc w:val="both"/>
      </w:pPr>
      <w:bookmarkStart w:id="11" w:name="_Toc185239054"/>
      <w:r w:rsidRPr="00F91582">
        <w:t>6. Exclusiones del Plan de Soporte</w:t>
      </w:r>
      <w:bookmarkEnd w:id="11"/>
    </w:p>
    <w:p w14:paraId="7CAE9555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Plan de Soporte no cubre:</w:t>
      </w:r>
    </w:p>
    <w:p w14:paraId="79853059" w14:textId="32E42A90" w:rsidR="00F91582" w:rsidRPr="00F91582" w:rsidRDefault="00F91582" w:rsidP="00942F07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Cambios estructurales mayores que requieran una reingeniería completa.</w:t>
      </w:r>
    </w:p>
    <w:p w14:paraId="059CBE99" w14:textId="3715269F" w:rsidR="00F91582" w:rsidRPr="00F91582" w:rsidRDefault="00F91582" w:rsidP="005207D9">
      <w:pPr>
        <w:pStyle w:val="Ttulo1"/>
        <w:jc w:val="both"/>
      </w:pPr>
      <w:bookmarkStart w:id="12" w:name="_Toc185239055"/>
      <w:r w:rsidRPr="00F91582">
        <w:t>7. Beneficios para el Cliente</w:t>
      </w:r>
      <w:bookmarkEnd w:id="12"/>
    </w:p>
    <w:p w14:paraId="69489539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Acceso a un equipo especializado para garantizar el éxito continuo del producto.</w:t>
      </w:r>
    </w:p>
    <w:p w14:paraId="20919AE7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Flexibilidad para personalizar el producto según las necesidades emergentes.</w:t>
      </w:r>
    </w:p>
    <w:p w14:paraId="0CF058AD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Transparencia en la gestión y consumo de HH.</w:t>
      </w:r>
    </w:p>
    <w:p w14:paraId="7B86A6A2" w14:textId="77777777" w:rsidR="00F91582" w:rsidRPr="00F91582" w:rsidRDefault="00F91582" w:rsidP="005207D9">
      <w:pPr>
        <w:pStyle w:val="Ttulo1"/>
        <w:jc w:val="both"/>
      </w:pPr>
      <w:bookmarkStart w:id="13" w:name="_Toc185239056"/>
      <w:r w:rsidRPr="00F91582">
        <w:t>8. Contacto y Soporte</w:t>
      </w:r>
      <w:bookmarkEnd w:id="13"/>
    </w:p>
    <w:p w14:paraId="77B3811F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Para cualquier consulta o solicitud de soporte, el cliente puede comunicarse con nuestro equipo a través de los siguientes canales:</w:t>
      </w:r>
    </w:p>
    <w:p w14:paraId="3C6D6E3C" w14:textId="3B803316" w:rsidR="00F91582" w:rsidRPr="00F91582" w:rsidRDefault="00F91582" w:rsidP="005207D9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Correo electrónico: </w:t>
      </w:r>
      <w:r w:rsidR="00402B58" w:rsidRPr="00402B58">
        <w:rPr>
          <w:rFonts w:ascii="Calibri" w:hAnsi="Calibri" w:cs="Calibri"/>
        </w:rPr>
        <w:t>speakit.duocuc@gmail.com</w:t>
      </w:r>
    </w:p>
    <w:p w14:paraId="4D2AC3E5" w14:textId="09F00059" w:rsidR="00F91582" w:rsidRPr="00F91582" w:rsidRDefault="00F91582" w:rsidP="005207D9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Teléfono: +56 9 </w:t>
      </w:r>
      <w:r w:rsidR="00402B58">
        <w:rPr>
          <w:rFonts w:ascii="Calibri" w:hAnsi="Calibri" w:cs="Calibri"/>
        </w:rPr>
        <w:t>6231 8552</w:t>
      </w:r>
    </w:p>
    <w:p w14:paraId="7CAA08B2" w14:textId="02DE73FF" w:rsidR="00F91582" w:rsidRPr="00F91582" w:rsidRDefault="00402B58" w:rsidP="00402B58">
      <w:pPr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Correo de soporte</w:t>
      </w:r>
      <w:r w:rsidR="00F91582" w:rsidRPr="00F91582">
        <w:rPr>
          <w:rFonts w:ascii="Calibri" w:hAnsi="Calibri" w:cs="Calibri"/>
        </w:rPr>
        <w:t xml:space="preserve">: </w:t>
      </w:r>
      <w:r w:rsidRPr="00402B58">
        <w:rPr>
          <w:rFonts w:ascii="Calibri" w:hAnsi="Calibri" w:cs="Calibri"/>
        </w:rPr>
        <w:t>soportespeakit@gmail.com</w:t>
      </w:r>
    </w:p>
    <w:p w14:paraId="221C9312" w14:textId="77777777" w:rsidR="00F91582" w:rsidRPr="00F91582" w:rsidRDefault="00F91582" w:rsidP="005207D9">
      <w:pPr>
        <w:pStyle w:val="Ttulo1"/>
        <w:jc w:val="both"/>
      </w:pPr>
      <w:bookmarkStart w:id="14" w:name="_Toc185239057"/>
      <w:r w:rsidRPr="00F91582">
        <w:t>9. Aceptación del Plan de Soporte</w:t>
      </w:r>
      <w:bookmarkEnd w:id="14"/>
    </w:p>
    <w:p w14:paraId="3D42DD80" w14:textId="77777777" w:rsid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cliente, al firmar este documento, acepta los términos y condiciones establecidos en el Plan de Soporte.</w:t>
      </w:r>
    </w:p>
    <w:p w14:paraId="38CE42D0" w14:textId="77777777" w:rsidR="00402B58" w:rsidRDefault="00402B58" w:rsidP="005207D9">
      <w:pPr>
        <w:jc w:val="both"/>
        <w:rPr>
          <w:rFonts w:ascii="Calibri" w:hAnsi="Calibri" w:cs="Calibri"/>
        </w:rPr>
      </w:pPr>
    </w:p>
    <w:p w14:paraId="1F89FADA" w14:textId="77777777" w:rsidR="00402B58" w:rsidRDefault="00402B58" w:rsidP="005207D9">
      <w:pPr>
        <w:jc w:val="both"/>
        <w:rPr>
          <w:rFonts w:ascii="Calibri" w:hAnsi="Calibri" w:cs="Calibri"/>
        </w:rPr>
      </w:pPr>
    </w:p>
    <w:p w14:paraId="1204726D" w14:textId="552E88D0" w:rsidR="00402B58" w:rsidRDefault="00402B58" w:rsidP="00402B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F91582">
        <w:rPr>
          <w:rFonts w:ascii="Calibri" w:hAnsi="Calibri" w:cs="Calibri"/>
        </w:rPr>
        <w:t xml:space="preserve">_____________________________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F91582">
        <w:rPr>
          <w:rFonts w:ascii="Calibri" w:hAnsi="Calibri" w:cs="Calibri"/>
        </w:rPr>
        <w:t xml:space="preserve">_____________________________ </w:t>
      </w:r>
    </w:p>
    <w:p w14:paraId="535CFCE6" w14:textId="0D206991" w:rsidR="00402B58" w:rsidRDefault="00402B58" w:rsidP="00402B58">
      <w:pPr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Firma del Representante de la Empresa</w:t>
      </w:r>
      <w:r w:rsidRPr="00F9158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91582" w:rsidRPr="00F91582">
        <w:rPr>
          <w:rFonts w:ascii="Calibri" w:hAnsi="Calibri" w:cs="Calibri"/>
          <w:b/>
          <w:bCs/>
        </w:rPr>
        <w:t>Firma del Cliente</w:t>
      </w:r>
      <w:r w:rsidR="00F91582" w:rsidRPr="00F91582">
        <w:rPr>
          <w:rFonts w:ascii="Calibri" w:hAnsi="Calibri" w:cs="Calibri"/>
        </w:rPr>
        <w:t xml:space="preserve"> </w:t>
      </w:r>
    </w:p>
    <w:p w14:paraId="5C9EC747" w14:textId="77777777" w:rsidR="001977DF" w:rsidRPr="00F91582" w:rsidRDefault="001977DF" w:rsidP="005207D9">
      <w:pPr>
        <w:jc w:val="both"/>
        <w:rPr>
          <w:rFonts w:ascii="Calibri" w:hAnsi="Calibri" w:cs="Calibri"/>
        </w:rPr>
      </w:pPr>
    </w:p>
    <w:sectPr w:rsidR="001977DF" w:rsidRPr="00F91582" w:rsidSect="00B66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5A6"/>
    <w:multiLevelType w:val="multilevel"/>
    <w:tmpl w:val="A7C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178CD"/>
    <w:multiLevelType w:val="multilevel"/>
    <w:tmpl w:val="26E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249E"/>
    <w:multiLevelType w:val="multilevel"/>
    <w:tmpl w:val="D03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37D52"/>
    <w:multiLevelType w:val="multilevel"/>
    <w:tmpl w:val="F7F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1C22"/>
    <w:multiLevelType w:val="multilevel"/>
    <w:tmpl w:val="F072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D7FF1"/>
    <w:multiLevelType w:val="multilevel"/>
    <w:tmpl w:val="301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21951">
    <w:abstractNumId w:val="1"/>
  </w:num>
  <w:num w:numId="2" w16cid:durableId="877816348">
    <w:abstractNumId w:val="5"/>
  </w:num>
  <w:num w:numId="3" w16cid:durableId="335304428">
    <w:abstractNumId w:val="0"/>
  </w:num>
  <w:num w:numId="4" w16cid:durableId="1233080613">
    <w:abstractNumId w:val="3"/>
  </w:num>
  <w:num w:numId="5" w16cid:durableId="2029213917">
    <w:abstractNumId w:val="2"/>
  </w:num>
  <w:num w:numId="6" w16cid:durableId="79726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BB"/>
    <w:rsid w:val="001977DF"/>
    <w:rsid w:val="003D0D94"/>
    <w:rsid w:val="00402B58"/>
    <w:rsid w:val="004E0E59"/>
    <w:rsid w:val="004F5CBB"/>
    <w:rsid w:val="00502AC6"/>
    <w:rsid w:val="005207D9"/>
    <w:rsid w:val="007C4D53"/>
    <w:rsid w:val="008E1139"/>
    <w:rsid w:val="009443B9"/>
    <w:rsid w:val="00AE440B"/>
    <w:rsid w:val="00B66AFB"/>
    <w:rsid w:val="00C262B5"/>
    <w:rsid w:val="00C51C15"/>
    <w:rsid w:val="00F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38DF"/>
  <w15:chartTrackingRefBased/>
  <w15:docId w15:val="{23B067B2-67D5-41D8-8738-33E3CE67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FB"/>
  </w:style>
  <w:style w:type="paragraph" w:styleId="Ttulo1">
    <w:name w:val="heading 1"/>
    <w:basedOn w:val="Normal"/>
    <w:next w:val="Normal"/>
    <w:link w:val="Ttulo1Car"/>
    <w:uiPriority w:val="9"/>
    <w:qFormat/>
    <w:rsid w:val="00F91582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F4761" w:themeColor="accent1" w:themeShade="BF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582"/>
    <w:rPr>
      <w:rFonts w:ascii="Calibri" w:eastAsiaTheme="majorEastAsia" w:hAnsi="Calibri" w:cstheme="majorBidi"/>
      <w:color w:val="0F4761" w:themeColor="accent1" w:themeShade="BF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1582"/>
    <w:rPr>
      <w:rFonts w:asciiTheme="majorHAnsi" w:eastAsiaTheme="majorEastAsia" w:hAnsiTheme="majorHAnsi" w:cstheme="majorBidi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1582"/>
    <w:rPr>
      <w:rFonts w:eastAsiaTheme="majorEastAsia" w:cstheme="majorBidi"/>
      <w:color w:val="0F476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C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C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C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C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CB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91582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15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15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1582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B66AF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6AFB"/>
    <w:rPr>
      <w:rFonts w:eastAsiaTheme="minorEastAsia"/>
      <w:kern w:val="0"/>
      <w:lang w:eastAsia="es-CL"/>
      <w14:ligatures w14:val="none"/>
    </w:rPr>
  </w:style>
  <w:style w:type="table" w:styleId="Tablaconcuadrcula">
    <w:name w:val="Table Grid"/>
    <w:basedOn w:val="Tablanormal"/>
    <w:uiPriority w:val="39"/>
    <w:rsid w:val="00B6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B8CC-8EC8-4845-AADE-AC9ED28F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Ortiz</dc:creator>
  <cp:keywords/>
  <dc:description/>
  <cp:lastModifiedBy>Felipe Ortiz</cp:lastModifiedBy>
  <cp:revision>4</cp:revision>
  <dcterms:created xsi:type="dcterms:W3CDTF">2024-12-16T13:10:00Z</dcterms:created>
  <dcterms:modified xsi:type="dcterms:W3CDTF">2024-12-18T14:40:00Z</dcterms:modified>
</cp:coreProperties>
</file>