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13B7" w14:textId="77777777" w:rsidR="00E710E5" w:rsidRPr="008C5BCC" w:rsidRDefault="00E710E5" w:rsidP="00E710E5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000000" w:themeColor="text1"/>
        </w:rPr>
      </w:pPr>
      <w:r w:rsidRPr="008C5BCC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8C5BCC">
        <w:rPr>
          <w:rFonts w:asciiTheme="minorHAnsi" w:eastAsia="Calibri" w:hAnsiTheme="minorHAnsi" w:cstheme="minorHAnsi"/>
          <w:b/>
          <w:bCs/>
          <w:color w:val="000000" w:themeColor="text1"/>
        </w:rPr>
        <w:t>PARA ENTREGA DO PROJETO DA DISCIPLINA</w:t>
      </w:r>
      <w:r w:rsidRPr="008C5BCC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27513B7C" w14:textId="30BF6EA4" w:rsidR="00E710E5" w:rsidRPr="00D40A7D" w:rsidRDefault="000F0D64" w:rsidP="00E710E5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 w:rsidRPr="000F0D64">
        <w:rPr>
          <w:rStyle w:val="normaltextrun"/>
          <w:rFonts w:asciiTheme="minorHAnsi" w:hAnsiTheme="minorHAnsi" w:cstheme="majorHAnsi"/>
          <w:b/>
          <w:color w:val="000000" w:themeColor="text1"/>
        </w:rPr>
        <w:t>Projeto em Business Intelligence e Analytics</w:t>
      </w:r>
    </w:p>
    <w:p w14:paraId="7263BC04" w14:textId="1813F757" w:rsidR="00E710E5" w:rsidRPr="00D40A7D" w:rsidRDefault="00E710E5" w:rsidP="00E710E5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 w:rsidR="00330C9F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2</w:t>
      </w:r>
    </w:p>
    <w:p w14:paraId="7730D997" w14:textId="4B3799BC" w:rsidR="00E710E5" w:rsidRPr="00A85D89" w:rsidRDefault="00E710E5" w:rsidP="00330C9F">
      <w:pPr>
        <w:shd w:val="clear" w:color="auto" w:fill="4664B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="00196E11">
        <w:rPr>
          <w:rStyle w:val="normaltextrun"/>
          <w:rFonts w:asciiTheme="majorHAnsi" w:hAnsiTheme="majorHAnsi" w:cstheme="majorHAnsi"/>
          <w:b/>
          <w:color w:val="FFFFFF" w:themeColor="background1"/>
        </w:rPr>
        <w:t>Felipe Pinheiro Fossá</w:t>
      </w:r>
    </w:p>
    <w:p w14:paraId="189D2C4E" w14:textId="3122C7C5" w:rsidR="006E6815" w:rsidRPr="00987B5B" w:rsidRDefault="004D1350" w:rsidP="004D1350">
      <w:pPr>
        <w:spacing w:before="720" w:after="60" w:line="24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1. </w:t>
      </w:r>
      <w:r w:rsidR="006E6815" w:rsidRPr="00987B5B">
        <w:rPr>
          <w:rFonts w:asciiTheme="minorHAnsi" w:hAnsiTheme="minorHAnsi" w:cstheme="minorHAnsi"/>
          <w:b/>
          <w:bCs/>
          <w:color w:val="4664BE"/>
          <w:sz w:val="24"/>
          <w:szCs w:val="23"/>
        </w:rPr>
        <w:t>Métricas para o negócio proposto (KPIs)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</w:p>
    <w:p w14:paraId="73D6AE29" w14:textId="28ED94B2" w:rsidR="004D1350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color w:val="000000" w:themeColor="text1"/>
          <w:sz w:val="24"/>
        </w:rPr>
        <w:tab/>
      </w:r>
      <w:r w:rsidR="00132522" w:rsidRPr="00132522">
        <w:rPr>
          <w:rFonts w:ascii="Arial" w:hAnsi="Arial" w:cs="Arial"/>
          <w:color w:val="000000" w:themeColor="text1"/>
          <w:sz w:val="24"/>
        </w:rPr>
        <w:t>Os indicadores foram definidos com o objetivo de transformar as previsões de risco de rebaixamento em informações de apoio à análise do desempenho dos clubes. O dashboard apresenta seis indicadores principais:</w:t>
      </w:r>
    </w:p>
    <w:p w14:paraId="2F0B56CD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1E135D7C" w14:textId="418F38DF" w:rsidR="00E503C9" w:rsidRP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1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>Divisão de risco dos clubes</w:t>
      </w:r>
      <w:r w:rsidRPr="000C08D3">
        <w:rPr>
          <w:rFonts w:ascii="Arial" w:hAnsi="Arial" w:cs="Arial"/>
          <w:color w:val="000000" w:themeColor="text1"/>
          <w:sz w:val="24"/>
        </w:rPr>
        <w:t>:</w:t>
      </w:r>
      <w:r w:rsidR="00196E11" w:rsidRPr="00196E11">
        <w:t xml:space="preserve"> </w:t>
      </w:r>
      <w:r w:rsidR="00196E11" w:rsidRPr="00196E11">
        <w:rPr>
          <w:rFonts w:ascii="Arial" w:hAnsi="Arial" w:cs="Arial"/>
          <w:color w:val="000000" w:themeColor="text1"/>
          <w:sz w:val="24"/>
        </w:rPr>
        <w:t xml:space="preserve">classifica os clubes </w:t>
      </w:r>
      <w:r w:rsidR="00196E11">
        <w:rPr>
          <w:rFonts w:ascii="Arial" w:hAnsi="Arial" w:cs="Arial"/>
          <w:color w:val="000000" w:themeColor="text1"/>
          <w:sz w:val="24"/>
        </w:rPr>
        <w:t>conforme o</w:t>
      </w:r>
      <w:r w:rsidR="00196E11" w:rsidRPr="00196E11">
        <w:rPr>
          <w:rFonts w:ascii="Arial" w:hAnsi="Arial" w:cs="Arial"/>
          <w:color w:val="000000" w:themeColor="text1"/>
          <w:sz w:val="24"/>
        </w:rPr>
        <w:t xml:space="preserve"> risco previsto de rebaixamento nas categorias Baixo, Médio, Alto e Muito alto</w:t>
      </w:r>
      <w:r w:rsidRPr="000C08D3">
        <w:rPr>
          <w:rFonts w:ascii="Arial" w:hAnsi="Arial" w:cs="Arial"/>
          <w:color w:val="000000" w:themeColor="text1"/>
          <w:sz w:val="24"/>
        </w:rPr>
        <w:t>;</w:t>
      </w:r>
    </w:p>
    <w:p w14:paraId="09890642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11C3F882" w14:textId="3FA1DE67" w:rsidR="00E503C9" w:rsidRP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2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>Média de risco</w:t>
      </w:r>
      <w:r w:rsidRPr="000C08D3">
        <w:rPr>
          <w:rFonts w:ascii="Arial" w:hAnsi="Arial" w:cs="Arial"/>
          <w:color w:val="000000" w:themeColor="text1"/>
          <w:sz w:val="24"/>
        </w:rPr>
        <w:t xml:space="preserve">: </w:t>
      </w:r>
      <w:r w:rsidR="00196E11" w:rsidRPr="00196E11">
        <w:rPr>
          <w:rFonts w:ascii="Arial" w:hAnsi="Arial" w:cs="Arial"/>
          <w:color w:val="000000" w:themeColor="text1"/>
          <w:sz w:val="24"/>
        </w:rPr>
        <w:t>apresenta a média do risco previsto de rebaixamento entre os clubes analisados</w:t>
      </w:r>
      <w:r w:rsidRPr="000C08D3">
        <w:rPr>
          <w:rFonts w:ascii="Arial" w:hAnsi="Arial" w:cs="Arial"/>
          <w:color w:val="000000" w:themeColor="text1"/>
          <w:sz w:val="24"/>
        </w:rPr>
        <w:t>;</w:t>
      </w:r>
    </w:p>
    <w:p w14:paraId="29DC2EA1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31580540" w14:textId="4D3E8048" w:rsidR="00E503C9" w:rsidRP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3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>Maior risco de rebaixamento:</w:t>
      </w:r>
      <w:r w:rsidRPr="000C08D3">
        <w:rPr>
          <w:rFonts w:ascii="Arial" w:hAnsi="Arial" w:cs="Arial"/>
          <w:color w:val="000000" w:themeColor="text1"/>
          <w:sz w:val="24"/>
        </w:rPr>
        <w:t xml:space="preserve"> </w:t>
      </w:r>
      <w:r w:rsidR="00196E11" w:rsidRPr="00196E11">
        <w:rPr>
          <w:rFonts w:ascii="Arial" w:hAnsi="Arial" w:cs="Arial"/>
          <w:color w:val="000000" w:themeColor="text1"/>
          <w:sz w:val="24"/>
        </w:rPr>
        <w:t>identifica o clube que apresenta o maior risco previsto de rebaixamento na temporada analisada</w:t>
      </w:r>
      <w:r w:rsidRPr="000C08D3">
        <w:rPr>
          <w:rFonts w:ascii="Arial" w:hAnsi="Arial" w:cs="Arial"/>
          <w:color w:val="000000" w:themeColor="text1"/>
          <w:sz w:val="24"/>
        </w:rPr>
        <w:t>;</w:t>
      </w:r>
    </w:p>
    <w:p w14:paraId="69A15324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1F685DDA" w14:textId="79DD800A" w:rsidR="00E503C9" w:rsidRP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4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>Menor risco de rebaixamento:</w:t>
      </w:r>
      <w:r w:rsidRPr="000C08D3">
        <w:rPr>
          <w:rFonts w:ascii="Arial" w:hAnsi="Arial" w:cs="Arial"/>
          <w:color w:val="000000" w:themeColor="text1"/>
          <w:sz w:val="24"/>
        </w:rPr>
        <w:t xml:space="preserve"> </w:t>
      </w:r>
      <w:r w:rsidR="00196E11">
        <w:rPr>
          <w:rFonts w:ascii="Arial" w:hAnsi="Arial" w:cs="Arial"/>
          <w:color w:val="000000" w:themeColor="text1"/>
          <w:sz w:val="24"/>
        </w:rPr>
        <w:t>identifica</w:t>
      </w:r>
      <w:r w:rsidR="00196E11" w:rsidRPr="00196E11">
        <w:rPr>
          <w:rFonts w:ascii="Arial" w:hAnsi="Arial" w:cs="Arial"/>
          <w:color w:val="000000" w:themeColor="text1"/>
          <w:sz w:val="24"/>
        </w:rPr>
        <w:t xml:space="preserve"> o clube que apresenta o menor risco previsto de rebaixamento</w:t>
      </w:r>
      <w:r w:rsidRPr="000C08D3">
        <w:rPr>
          <w:rFonts w:ascii="Arial" w:hAnsi="Arial" w:cs="Arial"/>
          <w:color w:val="000000" w:themeColor="text1"/>
          <w:sz w:val="24"/>
        </w:rPr>
        <w:t>;</w:t>
      </w:r>
    </w:p>
    <w:p w14:paraId="565C0B75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7268F83A" w14:textId="3EB5C015" w:rsidR="00E503C9" w:rsidRP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5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>Risco de rebaixamento por clube</w:t>
      </w:r>
      <w:r w:rsidR="000C08D3">
        <w:rPr>
          <w:rFonts w:ascii="Arial" w:hAnsi="Arial" w:cs="Arial"/>
          <w:b/>
          <w:bCs/>
          <w:color w:val="000000" w:themeColor="text1"/>
          <w:sz w:val="24"/>
        </w:rPr>
        <w:t xml:space="preserve">: </w:t>
      </w:r>
      <w:r w:rsidR="00196E11" w:rsidRPr="00196E11">
        <w:rPr>
          <w:rFonts w:ascii="Arial" w:hAnsi="Arial" w:cs="Arial"/>
          <w:color w:val="000000" w:themeColor="text1"/>
          <w:sz w:val="24"/>
        </w:rPr>
        <w:t>apresenta, por meio de um gráfico de barras, o risco previsto de cada clube, permitindo comparar os clubes entre si</w:t>
      </w:r>
      <w:r w:rsidR="00196E11">
        <w:rPr>
          <w:rFonts w:ascii="Arial" w:hAnsi="Arial" w:cs="Arial"/>
          <w:color w:val="000000" w:themeColor="text1"/>
          <w:sz w:val="24"/>
        </w:rPr>
        <w:t>;</w:t>
      </w:r>
    </w:p>
    <w:p w14:paraId="6288EF81" w14:textId="77777777" w:rsidR="00E503C9" w:rsidRPr="000C08D3" w:rsidRDefault="00E503C9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44653216" w14:textId="2079BED5" w:rsidR="000C08D3" w:rsidRDefault="00E503C9" w:rsidP="00103A0D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KPI 6 </w:t>
      </w:r>
      <w:r w:rsidR="00196E11">
        <w:rPr>
          <w:rFonts w:ascii="Arial" w:hAnsi="Arial" w:cs="Arial"/>
          <w:b/>
          <w:bCs/>
          <w:color w:val="000000" w:themeColor="text1"/>
          <w:sz w:val="24"/>
        </w:rPr>
        <w:t xml:space="preserve">- 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Risco de rebaixamento ao longo </w:t>
      </w:r>
      <w:r w:rsidR="000C08D3">
        <w:rPr>
          <w:rFonts w:ascii="Arial" w:hAnsi="Arial" w:cs="Arial"/>
          <w:b/>
          <w:bCs/>
          <w:color w:val="000000" w:themeColor="text1"/>
          <w:sz w:val="24"/>
        </w:rPr>
        <w:t>das temporadas</w:t>
      </w:r>
      <w:r w:rsidRPr="000C08D3">
        <w:rPr>
          <w:rFonts w:ascii="Arial" w:hAnsi="Arial" w:cs="Arial"/>
          <w:b/>
          <w:bCs/>
          <w:color w:val="000000" w:themeColor="text1"/>
          <w:sz w:val="24"/>
        </w:rPr>
        <w:t xml:space="preserve"> (2014 – 2025):</w:t>
      </w:r>
      <w:r w:rsidRPr="000C08D3">
        <w:rPr>
          <w:rFonts w:ascii="Arial" w:hAnsi="Arial" w:cs="Arial"/>
          <w:color w:val="000000" w:themeColor="text1"/>
          <w:sz w:val="24"/>
        </w:rPr>
        <w:t xml:space="preserve"> </w:t>
      </w:r>
      <w:r w:rsidR="00196E11" w:rsidRPr="00196E11">
        <w:rPr>
          <w:rFonts w:ascii="Arial" w:hAnsi="Arial" w:cs="Arial"/>
          <w:color w:val="000000" w:themeColor="text1"/>
          <w:sz w:val="24"/>
        </w:rPr>
        <w:t>apresenta a evolução histórica do risco previsto, permitindo observar como os clubes selecionados se comportaram ao longo das temporadas</w:t>
      </w:r>
      <w:r w:rsidRPr="000C08D3">
        <w:rPr>
          <w:rFonts w:ascii="Arial" w:hAnsi="Arial" w:cs="Arial"/>
          <w:color w:val="000000" w:themeColor="text1"/>
          <w:sz w:val="24"/>
        </w:rPr>
        <w:t>.</w:t>
      </w:r>
    </w:p>
    <w:p w14:paraId="20043841" w14:textId="77777777" w:rsidR="000C08D3" w:rsidRDefault="000C08D3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03ABC7AE" w14:textId="69C9287B" w:rsidR="00E503C9" w:rsidRPr="000C08D3" w:rsidRDefault="00196E11" w:rsidP="00103A0D">
      <w:pPr>
        <w:spacing w:after="0" w:line="360" w:lineRule="auto"/>
        <w:ind w:firstLine="360"/>
        <w:jc w:val="both"/>
        <w:rPr>
          <w:rFonts w:ascii="Arial" w:hAnsi="Arial" w:cs="Arial"/>
          <w:color w:val="000000" w:themeColor="text1"/>
          <w:sz w:val="24"/>
        </w:rPr>
      </w:pPr>
      <w:r w:rsidRPr="00196E11">
        <w:rPr>
          <w:rFonts w:ascii="Arial" w:hAnsi="Arial" w:cs="Arial"/>
          <w:color w:val="000000" w:themeColor="text1"/>
          <w:sz w:val="24"/>
        </w:rPr>
        <w:lastRenderedPageBreak/>
        <w:t xml:space="preserve">O KPI 6 possui importância especial para a análise, pois permite comparar o risco previsto em diferentes temporadas e observar a evolução do desempenho dos clubes ao longo do tempo. Os demais indicadores complementam essa análise ao apresentar uma visão geral da distribuição dos riscos e destacar os clubes com maior e menor risco. As faixas de risco utilizadas no dashboard foram definidas a partir do valor previsto pelo modelo: risco </w:t>
      </w:r>
      <w:r>
        <w:rPr>
          <w:rFonts w:ascii="Arial" w:hAnsi="Arial" w:cs="Arial"/>
          <w:color w:val="000000" w:themeColor="text1"/>
          <w:sz w:val="24"/>
        </w:rPr>
        <w:t>b</w:t>
      </w:r>
      <w:r w:rsidRPr="00196E11">
        <w:rPr>
          <w:rFonts w:ascii="Arial" w:hAnsi="Arial" w:cs="Arial"/>
          <w:color w:val="000000" w:themeColor="text1"/>
          <w:sz w:val="24"/>
        </w:rPr>
        <w:t>aixo para valores inferiores a 30%</w:t>
      </w:r>
      <w:r>
        <w:rPr>
          <w:rFonts w:ascii="Arial" w:hAnsi="Arial" w:cs="Arial"/>
          <w:color w:val="000000" w:themeColor="text1"/>
          <w:sz w:val="24"/>
        </w:rPr>
        <w:t>, médio</w:t>
      </w:r>
      <w:r w:rsidRPr="00196E11">
        <w:rPr>
          <w:rFonts w:ascii="Arial" w:hAnsi="Arial" w:cs="Arial"/>
          <w:color w:val="000000" w:themeColor="text1"/>
          <w:sz w:val="24"/>
        </w:rPr>
        <w:t xml:space="preserve"> entre 30% e 49%</w:t>
      </w:r>
      <w:r>
        <w:rPr>
          <w:rFonts w:ascii="Arial" w:hAnsi="Arial" w:cs="Arial"/>
          <w:color w:val="000000" w:themeColor="text1"/>
          <w:sz w:val="24"/>
        </w:rPr>
        <w:t>, alto</w:t>
      </w:r>
      <w:r w:rsidRPr="00196E11">
        <w:rPr>
          <w:rFonts w:ascii="Arial" w:hAnsi="Arial" w:cs="Arial"/>
          <w:color w:val="000000" w:themeColor="text1"/>
          <w:sz w:val="24"/>
        </w:rPr>
        <w:t xml:space="preserve"> entre 50% e 59% e Muito alto a partir de 60%</w:t>
      </w:r>
      <w:r w:rsidR="000C08D3">
        <w:rPr>
          <w:rFonts w:ascii="Arial" w:hAnsi="Arial" w:cs="Arial"/>
          <w:color w:val="000000" w:themeColor="text1"/>
          <w:sz w:val="24"/>
        </w:rPr>
        <w:t>.</w:t>
      </w:r>
    </w:p>
    <w:p w14:paraId="3CB4C852" w14:textId="0D343C74" w:rsidR="004D1350" w:rsidRPr="00D00D38" w:rsidRDefault="004D1350" w:rsidP="00103A0D">
      <w:pPr>
        <w:spacing w:before="720" w:after="0" w:line="36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2. </w:t>
      </w:r>
      <w:r w:rsidR="006E6815"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Arquitetura da solução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 </w:t>
      </w:r>
      <w:r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(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f</w:t>
      </w:r>
      <w:r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erramentas, pipeline com as fases, repositórios, dependências)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  <w:r w:rsidR="006E6815"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 </w:t>
      </w:r>
      <w:r w:rsidR="00132522">
        <w:rPr>
          <w:color w:val="000000" w:themeColor="text1"/>
          <w:sz w:val="24"/>
        </w:rPr>
        <w:tab/>
      </w:r>
      <w:r w:rsidR="00132522" w:rsidRPr="00F072C5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solução</w:t>
      </w:r>
      <w:r w:rsidR="00132522" w:rsidRPr="00F072C5">
        <w:rPr>
          <w:rFonts w:ascii="Arial" w:hAnsi="Arial" w:cs="Arial"/>
          <w:color w:val="000000" w:themeColor="text1"/>
          <w:sz w:val="24"/>
          <w:szCs w:val="24"/>
        </w:rPr>
        <w:t xml:space="preserve"> foi estruturada em etapas de preparação dos dados, modelagem preditiva e visualização dos resultados. Os dados utilizados no projeto foram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inicialmente</w:t>
      </w:r>
      <w:r w:rsidR="00132522" w:rsidRPr="00F072C5">
        <w:rPr>
          <w:rFonts w:ascii="Arial" w:hAnsi="Arial" w:cs="Arial"/>
          <w:color w:val="000000" w:themeColor="text1"/>
          <w:sz w:val="24"/>
          <w:szCs w:val="24"/>
        </w:rPr>
        <w:t xml:space="preserve"> analisados e preparados no Python, resultando em uma base analítica organizada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 xml:space="preserve"> em nível</w:t>
      </w:r>
      <w:r w:rsidR="00132522" w:rsidRPr="00F072C5">
        <w:rPr>
          <w:rFonts w:ascii="Arial" w:hAnsi="Arial" w:cs="Arial"/>
          <w:color w:val="000000" w:themeColor="text1"/>
          <w:sz w:val="24"/>
          <w:szCs w:val="24"/>
        </w:rPr>
        <w:t xml:space="preserve"> clube e temporada. Essa base foi utilizada como entrada para o notebook de modelagem preditiva na Fase 2.</w:t>
      </w:r>
    </w:p>
    <w:p w14:paraId="537C2402" w14:textId="3D7B065C" w:rsidR="00132522" w:rsidRPr="00F072C5" w:rsidRDefault="00132522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072C5">
        <w:rPr>
          <w:rFonts w:ascii="Arial" w:hAnsi="Arial" w:cs="Arial"/>
          <w:color w:val="000000" w:themeColor="text1"/>
          <w:sz w:val="24"/>
          <w:szCs w:val="24"/>
        </w:rPr>
        <w:tab/>
        <w:t xml:space="preserve">Na etapa de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modelagem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, foi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utilizada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 Regressão Logística para classificação do risco de rebaixamento. A avaliação foi realizada respeitando a ordem temporal de cada temporada, por meio de validação cruzada temporal com janela expansiva. Essa abordagem evita embaralhamento dos dados históricos e permite avaliar o modelo utilizando temporadas futuras em relaçao ao período utilizando para treinamento.</w:t>
      </w:r>
    </w:p>
    <w:p w14:paraId="29EB2606" w14:textId="2B1C78D2" w:rsidR="00132522" w:rsidRDefault="00132522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072C5">
        <w:rPr>
          <w:rFonts w:ascii="Arial" w:hAnsi="Arial" w:cs="Arial"/>
          <w:color w:val="000000" w:themeColor="text1"/>
          <w:sz w:val="24"/>
          <w:szCs w:val="24"/>
        </w:rPr>
        <w:tab/>
        <w:t>Após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a validação, foi construído o modelo utilizado para gerar as previsões temporais da temporada de 2025. O modelo final utiliza a posição final do clube na temporada como variável explicativa e gera uma probabilidade prevista de rebaixamento. Os resultados forma exportados para um arquivo CSV consolidado, contendo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histórico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as </w:t>
      </w:r>
      <w:r w:rsidR="00196E11">
        <w:rPr>
          <w:rFonts w:ascii="Arial" w:hAnsi="Arial" w:cs="Arial"/>
          <w:color w:val="000000" w:themeColor="text1"/>
          <w:sz w:val="24"/>
          <w:szCs w:val="24"/>
        </w:rPr>
        <w:t>previsões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>, que posteriormente é utilizado como fonte de dados no Tableau.</w:t>
      </w:r>
    </w:p>
    <w:p w14:paraId="27A91E14" w14:textId="7735EBE1" w:rsidR="00103A0D" w:rsidRDefault="00103A0D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  <w:t>Abaixo uma imagem que ilustra as etapas feitas para o projeto em Business Inteligence e Analytics.</w:t>
      </w:r>
    </w:p>
    <w:p w14:paraId="2367D87F" w14:textId="77777777" w:rsidR="00103A0D" w:rsidRDefault="00103A0D" w:rsidP="00F072C5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50210F" w14:textId="218C68F6" w:rsidR="00F072C5" w:rsidRDefault="00103A0D" w:rsidP="00103A0D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0"/>
          <w:szCs w:val="20"/>
        </w:rPr>
        <w:lastRenderedPageBreak/>
        <w:t>Imagem 1 – Etapas para projeto em Business Inteligence e Analytics</w:t>
      </w:r>
      <w:r w:rsidR="009D0651" w:rsidRPr="00F072C5">
        <w:rPr>
          <w:rFonts w:ascii="Arial" w:hAnsi="Arial" w:cs="Arial"/>
          <w:color w:val="000000" w:themeColor="text1"/>
          <w:sz w:val="24"/>
          <w:szCs w:val="24"/>
        </w:rPr>
        <w:tab/>
      </w:r>
      <w:r w:rsidR="00D00D38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01171F0" wp14:editId="2AF8E229">
            <wp:extent cx="4152900" cy="5191125"/>
            <wp:effectExtent l="0" t="0" r="0" b="9525"/>
            <wp:docPr id="18468340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857" cy="519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DA79" w14:textId="11240492" w:rsidR="00F072C5" w:rsidRPr="00103A0D" w:rsidRDefault="00103A0D" w:rsidP="00103A0D">
      <w:pPr>
        <w:spacing w:after="0" w:line="36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03A0D">
        <w:rPr>
          <w:rFonts w:ascii="Arial" w:hAnsi="Arial" w:cs="Arial"/>
          <w:color w:val="000000" w:themeColor="text1"/>
          <w:sz w:val="20"/>
          <w:szCs w:val="20"/>
        </w:rPr>
        <w:t>Fonte: elaborado pelo autor (2026).</w:t>
      </w:r>
    </w:p>
    <w:p w14:paraId="31978F74" w14:textId="29EAB29C" w:rsidR="006E6815" w:rsidRDefault="004D1350" w:rsidP="004D1350">
      <w:pPr>
        <w:spacing w:before="720" w:after="0" w:line="24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3. </w:t>
      </w:r>
      <w:r w:rsidR="006E6815">
        <w:rPr>
          <w:rFonts w:asciiTheme="minorHAnsi" w:hAnsiTheme="minorHAnsi" w:cstheme="minorHAnsi"/>
          <w:b/>
          <w:bCs/>
          <w:color w:val="4664BE"/>
          <w:sz w:val="24"/>
          <w:szCs w:val="23"/>
        </w:rPr>
        <w:t>Solução de BI</w:t>
      </w:r>
      <w:r w:rsidR="002D3273"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</w:p>
    <w:p w14:paraId="5EAFE6C5" w14:textId="77777777" w:rsidR="00F072C5" w:rsidRDefault="00F072C5" w:rsidP="00103A0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  <w:tab/>
      </w: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A solução de BI desenvolvida tem como objetivo transformar as previsões produzidas pelo modelo de classificação em informações visuais para análise do risco de rebaixamento dos clubes. O processo inicia-se com a base analítica clube-temporada, que contém informações de desempenho como vitórias, empates, derrotas, gols marcados, gols sofridos, pontos, saldo de gols e posição. A partir dessa base é realizada a modelagem preditiva utilizando Regressão Logística. O modelo foi 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avaliado por validação cruzada temporal, utilizando as temporadas anteriores para realizar previsões sobre temporadas posteriores. </w:t>
      </w:r>
    </w:p>
    <w:p w14:paraId="13AF7302" w14:textId="77777777" w:rsidR="00F072C5" w:rsidRDefault="00F072C5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Na avaliação agregada das previsões, o modelo com balanceamento das classes apresentou precisão de 0,26, recall de 0,77 e F1 de 0,39. O recall foi priorizado devido ao objetivo de utilizar o modelo como mecanismo de alerta de risco. Para a geração da previsão de 2025, o modelo final foi treinado com o histórico disponível entre 2006 e 2024. A variável utilizada no modelo final foi a posição final do clube na temporada. </w:t>
      </w:r>
    </w:p>
    <w:p w14:paraId="109D1F55" w14:textId="2567B3B9" w:rsidR="001B7499" w:rsidRDefault="00F072C5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072C5">
        <w:rPr>
          <w:rFonts w:ascii="Arial" w:hAnsi="Arial" w:cs="Arial"/>
          <w:color w:val="000000" w:themeColor="text1"/>
          <w:sz w:val="24"/>
          <w:szCs w:val="24"/>
        </w:rPr>
        <w:t xml:space="preserve">A partir dela foi calculada a probabilidade prevista de rebaixamento para os clubes da temporada de 2025. O resultado da modelagem foi exportado para o arquivo </w:t>
      </w:r>
      <w:r w:rsidRPr="00F072C5">
        <w:rPr>
          <w:rFonts w:ascii="Arial" w:hAnsi="Arial" w:cs="Arial"/>
          <w:i/>
          <w:iCs/>
          <w:color w:val="000000" w:themeColor="text1"/>
          <w:sz w:val="24"/>
          <w:szCs w:val="24"/>
        </w:rPr>
        <w:t>dashboard_tableu.csv</w:t>
      </w:r>
      <w:r w:rsidRPr="00F072C5">
        <w:rPr>
          <w:rFonts w:ascii="Arial" w:hAnsi="Arial" w:cs="Arial"/>
          <w:color w:val="000000" w:themeColor="text1"/>
          <w:sz w:val="24"/>
          <w:szCs w:val="24"/>
        </w:rPr>
        <w:t>, que contém os dados históricos e as previsões utilizadas no Tableau. No Tableau, os resultados são apresentados por meio de indicadores e gráficos que permitem identificar a distribuição do risco, os clubes com maior e menor risco e a evolução histórica das previsões.</w:t>
      </w:r>
    </w:p>
    <w:p w14:paraId="7929C72A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A solução implementada contém: </w:t>
      </w:r>
    </w:p>
    <w:p w14:paraId="41E6B402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• Classificação dos clubes por faixa de risco; </w:t>
      </w:r>
    </w:p>
    <w:p w14:paraId="41A8766C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• Média do risco de rebaixamento; </w:t>
      </w:r>
    </w:p>
    <w:p w14:paraId="3AFE2DF2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• Identificação do maior risco; </w:t>
      </w:r>
    </w:p>
    <w:p w14:paraId="5019F2CE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• Identificação do menor risco; </w:t>
      </w:r>
    </w:p>
    <w:p w14:paraId="12029148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• Gráfico de risco previsto por clube; </w:t>
      </w:r>
    </w:p>
    <w:p w14:paraId="27241C56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• Gráfico de evolução do risco ao longo das temporadas.</w:t>
      </w:r>
    </w:p>
    <w:p w14:paraId="0A923DEE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8196B65" w14:textId="2F5FD59A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 O dashboard permite, dessa forma, transformar a saída do modelo preditivo em uma ferramenta visual de apoio à análise. A solução não tem como objetivo substituir a avaliação esportiva dos clubes, mas fornecer uma indicação quantitativa baseada nos dados históricos e no modelo desenvolvido. O código-fonte, os notebooks, os dados processados e a documentação do projeto estão disponíveis no repositório GitHub. O dashboard foi desenvolvido no Tableau utilizando como fonte o arquivo consolidado de resultados produzido pela etapa de modelagem.</w:t>
      </w:r>
    </w:p>
    <w:p w14:paraId="6FF2BC4A" w14:textId="77777777" w:rsidR="007F2588" w:rsidRDefault="007F2588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60A954" w14:textId="77777777" w:rsidR="003D24A0" w:rsidRDefault="003D24A0" w:rsidP="00103A0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EF77508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lastRenderedPageBreak/>
        <w:t>Acesso ao repositório do projeto:</w:t>
      </w:r>
    </w:p>
    <w:p w14:paraId="665190F7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33447F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GITHUB. Projeto em Business Intelligence e Analytics. Disponível em:</w:t>
      </w:r>
    </w:p>
    <w:p w14:paraId="63D7A423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https://github.com/FelipePinheiro964/Projeto-Em-Business-Intelligence-e-Analytics.</w:t>
      </w:r>
    </w:p>
    <w:p w14:paraId="62C0B10C" w14:textId="736F11FD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Acesso em: </w:t>
      </w:r>
      <w:r w:rsidR="003D24A0">
        <w:rPr>
          <w:rFonts w:ascii="Arial" w:hAnsi="Arial" w:cs="Arial"/>
          <w:color w:val="000000" w:themeColor="text1"/>
          <w:sz w:val="24"/>
          <w:szCs w:val="24"/>
        </w:rPr>
        <w:t>06</w:t>
      </w: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D24A0">
        <w:rPr>
          <w:rFonts w:ascii="Arial" w:hAnsi="Arial" w:cs="Arial"/>
          <w:color w:val="000000" w:themeColor="text1"/>
          <w:sz w:val="24"/>
          <w:szCs w:val="24"/>
        </w:rPr>
        <w:t>set</w:t>
      </w:r>
      <w:r w:rsidRPr="007F2588">
        <w:rPr>
          <w:rFonts w:ascii="Arial" w:hAnsi="Arial" w:cs="Arial"/>
          <w:color w:val="000000" w:themeColor="text1"/>
          <w:sz w:val="24"/>
          <w:szCs w:val="24"/>
        </w:rPr>
        <w:t>. 2026.</w:t>
      </w:r>
    </w:p>
    <w:p w14:paraId="15550D80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AF3AFCD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Acesso ao dashboard:</w:t>
      </w:r>
    </w:p>
    <w:p w14:paraId="71AC5689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80CAC4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TABLEAU PUBLIC. Projeto em BI Analytics. Disponível em:</w:t>
      </w:r>
    </w:p>
    <w:p w14:paraId="16EFAAEE" w14:textId="77777777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>https://public.tableau.com/app/profile/felipe.pinheiro.foss./viz/Projeto-em-bi-analytics/Dashboard.</w:t>
      </w:r>
    </w:p>
    <w:p w14:paraId="72374BEA" w14:textId="3FC88C84" w:rsidR="007F2588" w:rsidRPr="007F2588" w:rsidRDefault="007F2588" w:rsidP="007F2588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Acesso em: </w:t>
      </w:r>
      <w:r w:rsidR="003D24A0">
        <w:rPr>
          <w:rFonts w:ascii="Arial" w:hAnsi="Arial" w:cs="Arial"/>
          <w:color w:val="000000" w:themeColor="text1"/>
          <w:sz w:val="24"/>
          <w:szCs w:val="24"/>
        </w:rPr>
        <w:t>06</w:t>
      </w:r>
      <w:r w:rsidRPr="007F258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D24A0">
        <w:rPr>
          <w:rFonts w:ascii="Arial" w:hAnsi="Arial" w:cs="Arial"/>
          <w:color w:val="000000" w:themeColor="text1"/>
          <w:sz w:val="24"/>
          <w:szCs w:val="24"/>
        </w:rPr>
        <w:t>set</w:t>
      </w:r>
      <w:r w:rsidRPr="007F2588">
        <w:rPr>
          <w:rFonts w:ascii="Arial" w:hAnsi="Arial" w:cs="Arial"/>
          <w:color w:val="000000" w:themeColor="text1"/>
          <w:sz w:val="24"/>
          <w:szCs w:val="24"/>
        </w:rPr>
        <w:t>. 2026.</w:t>
      </w:r>
    </w:p>
    <w:sectPr w:rsidR="007F2588" w:rsidRPr="007F2588" w:rsidSect="007A3045">
      <w:headerReference w:type="default" r:id="rId12"/>
      <w:foot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D9B0" w14:textId="77777777" w:rsidR="006A285C" w:rsidRDefault="006A285C" w:rsidP="00177382">
      <w:pPr>
        <w:spacing w:after="0" w:line="240" w:lineRule="auto"/>
      </w:pPr>
      <w:r>
        <w:separator/>
      </w:r>
    </w:p>
  </w:endnote>
  <w:endnote w:type="continuationSeparator" w:id="0">
    <w:p w14:paraId="4343DD16" w14:textId="77777777" w:rsidR="006A285C" w:rsidRDefault="006A285C" w:rsidP="00177382">
      <w:pPr>
        <w:spacing w:after="0" w:line="240" w:lineRule="auto"/>
      </w:pPr>
      <w:r>
        <w:continuationSeparator/>
      </w:r>
    </w:p>
  </w:endnote>
  <w:endnote w:type="continuationNotice" w:id="1">
    <w:p w14:paraId="217E4420" w14:textId="77777777" w:rsidR="006A285C" w:rsidRDefault="006A28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CF96" w14:textId="1FED1E86" w:rsidR="00201534" w:rsidRDefault="00201534" w:rsidP="0075283D">
    <w:pPr>
      <w:pStyle w:val="Rodap"/>
      <w:spacing w:after="240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004357E" wp14:editId="08A1800B">
              <wp:simplePos x="0" y="0"/>
              <wp:positionH relativeFrom="margin">
                <wp:posOffset>-183515</wp:posOffset>
              </wp:positionH>
              <wp:positionV relativeFrom="paragraph">
                <wp:posOffset>256540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75C65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-14.45pt;margin-top:20.2pt;width:481.9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" strokecolor="#0066b3">
              <w10:wrap anchorx="margin"/>
            </v:shape>
          </w:pict>
        </mc:Fallback>
      </mc:AlternateContent>
    </w:r>
  </w:p>
  <w:p w14:paraId="351BBCB7" w14:textId="77777777" w:rsidR="00201534" w:rsidRPr="0075283D" w:rsidRDefault="00201534" w:rsidP="00177382">
    <w:pPr>
      <w:pStyle w:val="Rodap"/>
      <w:jc w:val="center"/>
      <w:rPr>
        <w:color w:val="595959" w:themeColor="text1" w:themeTint="A6"/>
        <w:sz w:val="18"/>
      </w:rPr>
    </w:pPr>
    <w:r w:rsidRPr="0075283D">
      <w:rPr>
        <w:color w:val="595959" w:themeColor="text1" w:themeTint="A6"/>
        <w:sz w:val="18"/>
      </w:rPr>
      <w:t>Campus Central Av. Ipiranga, 6681 | CEP 90619-900 | Porto Alegre, RS – Brasil Fone: (51) 3320-3503 |</w:t>
    </w:r>
  </w:p>
  <w:p w14:paraId="5EE94D1A" w14:textId="6EA117D2" w:rsidR="00201534" w:rsidRPr="0075283D" w:rsidRDefault="00201534" w:rsidP="00177382">
    <w:pPr>
      <w:pStyle w:val="Rodap"/>
      <w:jc w:val="center"/>
      <w:rPr>
        <w:color w:val="595959" w:themeColor="text1" w:themeTint="A6"/>
        <w:sz w:val="18"/>
      </w:rPr>
    </w:pPr>
    <w:r w:rsidRPr="0075283D">
      <w:rPr>
        <w:color w:val="595959" w:themeColor="text1" w:themeTint="A6"/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5C76" w14:textId="77777777" w:rsidR="006A285C" w:rsidRDefault="006A285C" w:rsidP="00177382">
      <w:pPr>
        <w:spacing w:after="0" w:line="240" w:lineRule="auto"/>
      </w:pPr>
      <w:r>
        <w:separator/>
      </w:r>
    </w:p>
  </w:footnote>
  <w:footnote w:type="continuationSeparator" w:id="0">
    <w:p w14:paraId="0A667D77" w14:textId="77777777" w:rsidR="006A285C" w:rsidRDefault="006A285C" w:rsidP="00177382">
      <w:pPr>
        <w:spacing w:after="0" w:line="240" w:lineRule="auto"/>
      </w:pPr>
      <w:r>
        <w:continuationSeparator/>
      </w:r>
    </w:p>
  </w:footnote>
  <w:footnote w:type="continuationNotice" w:id="1">
    <w:p w14:paraId="142AEA33" w14:textId="77777777" w:rsidR="006A285C" w:rsidRDefault="006A28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201534" w:rsidRDefault="00201534" w:rsidP="00C24D78">
    <w:pPr>
      <w:pStyle w:val="Cabealho"/>
      <w:tabs>
        <w:tab w:val="clear" w:pos="4252"/>
      </w:tabs>
      <w:spacing w:after="240"/>
      <w:jc w:val="cent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1B28317" wp14:editId="5DCCDFF7">
          <wp:simplePos x="0" y="0"/>
          <wp:positionH relativeFrom="column">
            <wp:posOffset>-182245</wp:posOffset>
          </wp:positionH>
          <wp:positionV relativeFrom="paragraph">
            <wp:posOffset>-200025</wp:posOffset>
          </wp:positionV>
          <wp:extent cx="6120000" cy="788977"/>
          <wp:effectExtent l="0" t="0" r="0" b="0"/>
          <wp:wrapTopAndBottom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02755"/>
    <w:multiLevelType w:val="hybridMultilevel"/>
    <w:tmpl w:val="B9349042"/>
    <w:lvl w:ilvl="0" w:tplc="A94AE71C">
      <w:start w:val="1"/>
      <w:numFmt w:val="bullet"/>
      <w:lvlText w:val="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CE266"/>
    <w:multiLevelType w:val="hybridMultilevel"/>
    <w:tmpl w:val="57607F34"/>
    <w:lvl w:ilvl="0" w:tplc="8FC63B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b/>
      </w:rPr>
    </w:lvl>
    <w:lvl w:ilvl="1" w:tplc="7F660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8C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AE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48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341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4D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CE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F0C4138"/>
    <w:multiLevelType w:val="hybridMultilevel"/>
    <w:tmpl w:val="A56E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361266">
    <w:abstractNumId w:val="9"/>
  </w:num>
  <w:num w:numId="2" w16cid:durableId="490296437">
    <w:abstractNumId w:val="4"/>
  </w:num>
  <w:num w:numId="3" w16cid:durableId="1402487599">
    <w:abstractNumId w:val="1"/>
  </w:num>
  <w:num w:numId="4" w16cid:durableId="786239233">
    <w:abstractNumId w:val="2"/>
  </w:num>
  <w:num w:numId="5" w16cid:durableId="938560739">
    <w:abstractNumId w:val="6"/>
  </w:num>
  <w:num w:numId="6" w16cid:durableId="1925644386">
    <w:abstractNumId w:val="0"/>
  </w:num>
  <w:num w:numId="7" w16cid:durableId="24402972">
    <w:abstractNumId w:val="5"/>
  </w:num>
  <w:num w:numId="8" w16cid:durableId="1973435626">
    <w:abstractNumId w:val="7"/>
  </w:num>
  <w:num w:numId="9" w16cid:durableId="1737387406">
    <w:abstractNumId w:val="8"/>
  </w:num>
  <w:num w:numId="10" w16cid:durableId="1955676462">
    <w:abstractNumId w:val="3"/>
  </w:num>
  <w:num w:numId="11" w16cid:durableId="570428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5FAB"/>
    <w:rsid w:val="00027A9E"/>
    <w:rsid w:val="00027CDA"/>
    <w:rsid w:val="00060A24"/>
    <w:rsid w:val="000616C6"/>
    <w:rsid w:val="000807E8"/>
    <w:rsid w:val="0008335A"/>
    <w:rsid w:val="000901DD"/>
    <w:rsid w:val="00096A5F"/>
    <w:rsid w:val="000A2420"/>
    <w:rsid w:val="000B1792"/>
    <w:rsid w:val="000B46B1"/>
    <w:rsid w:val="000B7D0D"/>
    <w:rsid w:val="000C01EC"/>
    <w:rsid w:val="000C08D3"/>
    <w:rsid w:val="000D6974"/>
    <w:rsid w:val="000E14A8"/>
    <w:rsid w:val="000F0D64"/>
    <w:rsid w:val="000F22CB"/>
    <w:rsid w:val="000F271F"/>
    <w:rsid w:val="00102DB7"/>
    <w:rsid w:val="00103A0D"/>
    <w:rsid w:val="00111945"/>
    <w:rsid w:val="00132522"/>
    <w:rsid w:val="00132F84"/>
    <w:rsid w:val="00143A1A"/>
    <w:rsid w:val="0014523F"/>
    <w:rsid w:val="001506AA"/>
    <w:rsid w:val="00150BA9"/>
    <w:rsid w:val="00153695"/>
    <w:rsid w:val="00166739"/>
    <w:rsid w:val="001669F0"/>
    <w:rsid w:val="001719AB"/>
    <w:rsid w:val="00172D1F"/>
    <w:rsid w:val="00173CA6"/>
    <w:rsid w:val="00177382"/>
    <w:rsid w:val="00191B0C"/>
    <w:rsid w:val="00196E11"/>
    <w:rsid w:val="001A2AD5"/>
    <w:rsid w:val="001B7499"/>
    <w:rsid w:val="001C100D"/>
    <w:rsid w:val="001D294C"/>
    <w:rsid w:val="001D7182"/>
    <w:rsid w:val="001E1289"/>
    <w:rsid w:val="001E5FD0"/>
    <w:rsid w:val="00201534"/>
    <w:rsid w:val="0020554A"/>
    <w:rsid w:val="00205C7B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90583"/>
    <w:rsid w:val="00290D3E"/>
    <w:rsid w:val="0029243C"/>
    <w:rsid w:val="002A736B"/>
    <w:rsid w:val="002A7C90"/>
    <w:rsid w:val="002D08A5"/>
    <w:rsid w:val="002D1990"/>
    <w:rsid w:val="002D3273"/>
    <w:rsid w:val="002D39BC"/>
    <w:rsid w:val="002D6628"/>
    <w:rsid w:val="002D721A"/>
    <w:rsid w:val="002E54FE"/>
    <w:rsid w:val="002E5ECB"/>
    <w:rsid w:val="002F0236"/>
    <w:rsid w:val="002F076F"/>
    <w:rsid w:val="002F6C3B"/>
    <w:rsid w:val="00301FD5"/>
    <w:rsid w:val="0031127E"/>
    <w:rsid w:val="00324E0C"/>
    <w:rsid w:val="00327773"/>
    <w:rsid w:val="00330C9F"/>
    <w:rsid w:val="00332F85"/>
    <w:rsid w:val="003362D4"/>
    <w:rsid w:val="0033716F"/>
    <w:rsid w:val="00345887"/>
    <w:rsid w:val="00376E8F"/>
    <w:rsid w:val="00380E70"/>
    <w:rsid w:val="00384B6A"/>
    <w:rsid w:val="0038714B"/>
    <w:rsid w:val="003872C3"/>
    <w:rsid w:val="00390C60"/>
    <w:rsid w:val="00390D78"/>
    <w:rsid w:val="003A5138"/>
    <w:rsid w:val="003C2298"/>
    <w:rsid w:val="003C2B91"/>
    <w:rsid w:val="003D006E"/>
    <w:rsid w:val="003D24A0"/>
    <w:rsid w:val="003D3C5A"/>
    <w:rsid w:val="003E41F5"/>
    <w:rsid w:val="003E6431"/>
    <w:rsid w:val="003F30DD"/>
    <w:rsid w:val="0040365B"/>
    <w:rsid w:val="004042C4"/>
    <w:rsid w:val="00405F43"/>
    <w:rsid w:val="00406E59"/>
    <w:rsid w:val="00420BE2"/>
    <w:rsid w:val="00434845"/>
    <w:rsid w:val="00455107"/>
    <w:rsid w:val="004770A9"/>
    <w:rsid w:val="00484920"/>
    <w:rsid w:val="004909CA"/>
    <w:rsid w:val="004909F4"/>
    <w:rsid w:val="00490B54"/>
    <w:rsid w:val="004A5521"/>
    <w:rsid w:val="004C67B1"/>
    <w:rsid w:val="004D1350"/>
    <w:rsid w:val="004D2934"/>
    <w:rsid w:val="004E6F3E"/>
    <w:rsid w:val="004F0BE5"/>
    <w:rsid w:val="00501CC4"/>
    <w:rsid w:val="00510FCD"/>
    <w:rsid w:val="0052648E"/>
    <w:rsid w:val="00527B2A"/>
    <w:rsid w:val="00535676"/>
    <w:rsid w:val="00545AC4"/>
    <w:rsid w:val="005619B8"/>
    <w:rsid w:val="00570735"/>
    <w:rsid w:val="005746FF"/>
    <w:rsid w:val="00577FE4"/>
    <w:rsid w:val="00592EEB"/>
    <w:rsid w:val="005A1406"/>
    <w:rsid w:val="005A1F8B"/>
    <w:rsid w:val="005B0DD8"/>
    <w:rsid w:val="005B77EF"/>
    <w:rsid w:val="005C2520"/>
    <w:rsid w:val="005D159E"/>
    <w:rsid w:val="005D365B"/>
    <w:rsid w:val="005E4FC9"/>
    <w:rsid w:val="005F43BD"/>
    <w:rsid w:val="00600A9F"/>
    <w:rsid w:val="006029F2"/>
    <w:rsid w:val="00603546"/>
    <w:rsid w:val="00604746"/>
    <w:rsid w:val="006053DE"/>
    <w:rsid w:val="00610D52"/>
    <w:rsid w:val="00613D67"/>
    <w:rsid w:val="0062624E"/>
    <w:rsid w:val="00667125"/>
    <w:rsid w:val="00681C72"/>
    <w:rsid w:val="0069731F"/>
    <w:rsid w:val="006A285C"/>
    <w:rsid w:val="006B0E5A"/>
    <w:rsid w:val="006D0134"/>
    <w:rsid w:val="006D03B0"/>
    <w:rsid w:val="006D50B9"/>
    <w:rsid w:val="006D59D2"/>
    <w:rsid w:val="006E2D22"/>
    <w:rsid w:val="006E6815"/>
    <w:rsid w:val="006F15F9"/>
    <w:rsid w:val="006F65C7"/>
    <w:rsid w:val="00703661"/>
    <w:rsid w:val="00732E0E"/>
    <w:rsid w:val="007336C0"/>
    <w:rsid w:val="00751CAB"/>
    <w:rsid w:val="0075283D"/>
    <w:rsid w:val="007621C3"/>
    <w:rsid w:val="0076764F"/>
    <w:rsid w:val="007724D4"/>
    <w:rsid w:val="00781B26"/>
    <w:rsid w:val="00785D0C"/>
    <w:rsid w:val="00787B21"/>
    <w:rsid w:val="00793CAB"/>
    <w:rsid w:val="00795DF9"/>
    <w:rsid w:val="007A3045"/>
    <w:rsid w:val="007A3655"/>
    <w:rsid w:val="007A378B"/>
    <w:rsid w:val="007A64C2"/>
    <w:rsid w:val="007B6657"/>
    <w:rsid w:val="007B68FB"/>
    <w:rsid w:val="007C1F41"/>
    <w:rsid w:val="007C7D74"/>
    <w:rsid w:val="007D3B0F"/>
    <w:rsid w:val="007D569B"/>
    <w:rsid w:val="007E3CC7"/>
    <w:rsid w:val="007E5681"/>
    <w:rsid w:val="007E5B19"/>
    <w:rsid w:val="007F2588"/>
    <w:rsid w:val="00824ADF"/>
    <w:rsid w:val="008475AF"/>
    <w:rsid w:val="0085365C"/>
    <w:rsid w:val="00862631"/>
    <w:rsid w:val="0086550C"/>
    <w:rsid w:val="0087291D"/>
    <w:rsid w:val="00874965"/>
    <w:rsid w:val="00874A19"/>
    <w:rsid w:val="0087649A"/>
    <w:rsid w:val="0088463C"/>
    <w:rsid w:val="008B6FA5"/>
    <w:rsid w:val="008C5BCC"/>
    <w:rsid w:val="008D0251"/>
    <w:rsid w:val="008D146A"/>
    <w:rsid w:val="008D5E39"/>
    <w:rsid w:val="008D6F75"/>
    <w:rsid w:val="008E1EB0"/>
    <w:rsid w:val="008E1F98"/>
    <w:rsid w:val="008F259A"/>
    <w:rsid w:val="008F6266"/>
    <w:rsid w:val="0090016E"/>
    <w:rsid w:val="00904967"/>
    <w:rsid w:val="009073AE"/>
    <w:rsid w:val="009118C5"/>
    <w:rsid w:val="00915816"/>
    <w:rsid w:val="009244B7"/>
    <w:rsid w:val="00927E02"/>
    <w:rsid w:val="00935FFE"/>
    <w:rsid w:val="00937B11"/>
    <w:rsid w:val="00964640"/>
    <w:rsid w:val="00974916"/>
    <w:rsid w:val="0097772E"/>
    <w:rsid w:val="00987B5B"/>
    <w:rsid w:val="00992936"/>
    <w:rsid w:val="00994A4D"/>
    <w:rsid w:val="00996501"/>
    <w:rsid w:val="009A2470"/>
    <w:rsid w:val="009A316D"/>
    <w:rsid w:val="009B388C"/>
    <w:rsid w:val="009D0651"/>
    <w:rsid w:val="009E4611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96B"/>
    <w:rsid w:val="00AE1158"/>
    <w:rsid w:val="00AE1BB0"/>
    <w:rsid w:val="00AE4D56"/>
    <w:rsid w:val="00B035B4"/>
    <w:rsid w:val="00B12FF7"/>
    <w:rsid w:val="00B2305C"/>
    <w:rsid w:val="00B23D4A"/>
    <w:rsid w:val="00B24C95"/>
    <w:rsid w:val="00B3623C"/>
    <w:rsid w:val="00B37C56"/>
    <w:rsid w:val="00B463BB"/>
    <w:rsid w:val="00B464B9"/>
    <w:rsid w:val="00B53361"/>
    <w:rsid w:val="00B57712"/>
    <w:rsid w:val="00BC36D6"/>
    <w:rsid w:val="00BF62CF"/>
    <w:rsid w:val="00C00D94"/>
    <w:rsid w:val="00C225E1"/>
    <w:rsid w:val="00C24D78"/>
    <w:rsid w:val="00C25A7B"/>
    <w:rsid w:val="00C40628"/>
    <w:rsid w:val="00C5239A"/>
    <w:rsid w:val="00C6162E"/>
    <w:rsid w:val="00C65616"/>
    <w:rsid w:val="00C806F9"/>
    <w:rsid w:val="00C82A48"/>
    <w:rsid w:val="00C93324"/>
    <w:rsid w:val="00C93471"/>
    <w:rsid w:val="00C93C24"/>
    <w:rsid w:val="00C93C29"/>
    <w:rsid w:val="00C9440D"/>
    <w:rsid w:val="00C950F6"/>
    <w:rsid w:val="00C95ED3"/>
    <w:rsid w:val="00C96949"/>
    <w:rsid w:val="00CA075E"/>
    <w:rsid w:val="00CA1FF4"/>
    <w:rsid w:val="00CA61B1"/>
    <w:rsid w:val="00CB0D1E"/>
    <w:rsid w:val="00CB1A62"/>
    <w:rsid w:val="00CB2D81"/>
    <w:rsid w:val="00CB5247"/>
    <w:rsid w:val="00CC05D0"/>
    <w:rsid w:val="00CC46AB"/>
    <w:rsid w:val="00D00D38"/>
    <w:rsid w:val="00D02894"/>
    <w:rsid w:val="00D115D7"/>
    <w:rsid w:val="00D152ED"/>
    <w:rsid w:val="00D221F4"/>
    <w:rsid w:val="00D27B30"/>
    <w:rsid w:val="00D326C2"/>
    <w:rsid w:val="00D35E95"/>
    <w:rsid w:val="00D40271"/>
    <w:rsid w:val="00D71A02"/>
    <w:rsid w:val="00DA5E51"/>
    <w:rsid w:val="00DA6B7A"/>
    <w:rsid w:val="00DA7C89"/>
    <w:rsid w:val="00DB058D"/>
    <w:rsid w:val="00DB6704"/>
    <w:rsid w:val="00DB7578"/>
    <w:rsid w:val="00DB7E23"/>
    <w:rsid w:val="00DC4006"/>
    <w:rsid w:val="00DC696B"/>
    <w:rsid w:val="00DD1452"/>
    <w:rsid w:val="00DE468B"/>
    <w:rsid w:val="00DF1C69"/>
    <w:rsid w:val="00DF33F6"/>
    <w:rsid w:val="00DF5F93"/>
    <w:rsid w:val="00DF61C9"/>
    <w:rsid w:val="00E02AEA"/>
    <w:rsid w:val="00E04407"/>
    <w:rsid w:val="00E111F1"/>
    <w:rsid w:val="00E1193B"/>
    <w:rsid w:val="00E2425E"/>
    <w:rsid w:val="00E252D7"/>
    <w:rsid w:val="00E259A2"/>
    <w:rsid w:val="00E2629E"/>
    <w:rsid w:val="00E3003C"/>
    <w:rsid w:val="00E3535A"/>
    <w:rsid w:val="00E402F0"/>
    <w:rsid w:val="00E503C9"/>
    <w:rsid w:val="00E554CC"/>
    <w:rsid w:val="00E55E3C"/>
    <w:rsid w:val="00E56C2D"/>
    <w:rsid w:val="00E57225"/>
    <w:rsid w:val="00E710E5"/>
    <w:rsid w:val="00E73D62"/>
    <w:rsid w:val="00E77885"/>
    <w:rsid w:val="00E96C10"/>
    <w:rsid w:val="00E96EDC"/>
    <w:rsid w:val="00EB2E41"/>
    <w:rsid w:val="00EF0502"/>
    <w:rsid w:val="00EF13BB"/>
    <w:rsid w:val="00EF4D9A"/>
    <w:rsid w:val="00F00338"/>
    <w:rsid w:val="00F06FC4"/>
    <w:rsid w:val="00F072C5"/>
    <w:rsid w:val="00F26026"/>
    <w:rsid w:val="00F30428"/>
    <w:rsid w:val="00F36FD9"/>
    <w:rsid w:val="00F43143"/>
    <w:rsid w:val="00F55F7D"/>
    <w:rsid w:val="00FC1C02"/>
    <w:rsid w:val="00FD4C63"/>
    <w:rsid w:val="00FE3291"/>
    <w:rsid w:val="00FE5146"/>
    <w:rsid w:val="00FF5445"/>
    <w:rsid w:val="2BCC57A0"/>
    <w:rsid w:val="2CD47E43"/>
    <w:rsid w:val="2DC6DEC5"/>
    <w:rsid w:val="431F40F5"/>
    <w:rsid w:val="4E9B040C"/>
    <w:rsid w:val="6253E34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33539393-0EE8-4E30-B0BB-C35A6FE7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77382"/>
  </w:style>
  <w:style w:type="paragraph" w:styleId="Rodap">
    <w:name w:val="footer"/>
    <w:basedOn w:val="Normal"/>
    <w:link w:val="RodapCarte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77382"/>
  </w:style>
  <w:style w:type="table" w:styleId="TabelacomGrelha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Tipodeletrapredefinidodopargrafo"/>
    <w:rsid w:val="00EF13BB"/>
  </w:style>
  <w:style w:type="character" w:styleId="Mencionar">
    <w:name w:val="Mention"/>
    <w:basedOn w:val="Tipodeletrapredefinidodopargraf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7F258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F2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1111CE-2DDF-46E8-9D66-B3D8C921A3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5</Pages>
  <Words>941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FELIPE PINHEIRO FOSSA</cp:lastModifiedBy>
  <cp:revision>2</cp:revision>
  <dcterms:created xsi:type="dcterms:W3CDTF">2023-11-14T18:30:00Z</dcterms:created>
  <dcterms:modified xsi:type="dcterms:W3CDTF">2026-09-06T22:08:00Z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