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00"/>
        <w:jc w:val="center"/>
      </w:pPr>
      <w:r>
        <w:drawing>
          <wp:inline distT="0" distB="0" distL="0" distR="0">
            <wp:extent cx="2476500" cy="1104900"/>
            <wp:effectExtent t="0" r="0" b="0" l="0"/>
            <wp:docPr id="1" name="logo" descr="Logo Universidad de La Sabana, Facultad de Comunicación" title="Universidad de La Sab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1104900"/>
                    </a:xfrm>
                    <a:prstGeom prst="rect">
                      <a:avLst/>
                    </a:prstGeom>
                  </pic:spPr>
                </pic:pic>
              </a:graphicData>
            </a:graphic>
          </wp:inline>
        </w:drawing>
      </w:r>
    </w:p>
    <w:p>
      <w:pPr>
        <w:spacing w:after="80"/>
        <w:jc w:val="center"/>
      </w:pPr>
      <w:r>
        <w:rPr>
          <w:b/>
          <w:bCs/>
          <w:color w:val="323A4E"/>
          <w:sz w:val="28"/>
          <w:szCs w:val="28"/>
        </w:rPr>
        <w:t xml:space="preserve">ANÁLISIS DE AUDIENCIAS</w:t>
      </w:r>
    </w:p>
    <w:p>
      <w:pPr>
        <w:spacing w:after="400"/>
        <w:jc w:val="center"/>
      </w:pPr>
      <w:r>
        <w:rPr>
          <w:color w:val="5C5C5A"/>
          <w:sz w:val="24"/>
          <w:szCs w:val="24"/>
        </w:rPr>
        <w:t xml:space="preserve">Momento 2 · Audiencias poblacionales cuantitativas</w:t>
      </w:r>
    </w:p>
    <w:p>
      <w:pPr>
        <w:spacing w:after="120"/>
        <w:jc w:val="center"/>
      </w:pPr>
      <w:r>
        <w:rPr>
          <w:b/>
          <w:bCs/>
          <w:color w:val="2A78D6"/>
          <w:sz w:val="26"/>
          <w:szCs w:val="26"/>
        </w:rPr>
        <w:t xml:space="preserve">SEGUNDO PARCIAL</w:t>
      </w:r>
    </w:p>
    <w:p>
      <w:pPr>
        <w:spacing w:after="120"/>
        <w:jc w:val="center"/>
      </w:pPr>
      <w:r>
        <w:rPr>
          <w:b/>
          <w:bCs/>
          <w:color w:val="323A4E"/>
          <w:sz w:val="36"/>
          <w:szCs w:val="36"/>
        </w:rPr>
        <w:t xml:space="preserve">Segmentación multivariada a posteriori con K-means y procesamiento LLM</w:t>
      </w:r>
    </w:p>
    <w:p>
      <w:pPr>
        <w:spacing w:after="600"/>
        <w:jc w:val="center"/>
      </w:pPr>
      <w:r>
        <w:rPr>
          <w:i/>
          <w:iCs/>
          <w:sz w:val="26"/>
          <w:szCs w:val="26"/>
        </w:rPr>
        <w:t xml:space="preserve">Producto Netflix asignado: “La Primera Vez” (Netflix / Caracol Televisión)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C4CC" w:sz="4"/>
              <w:left w:val="single" w:color="BFC4CC" w:sz="4"/>
              <w:bottom w:val="single" w:color="BFC4CC" w:sz="4"/>
              <w:right w:val="single" w:color="BFC4CC" w:sz="4"/>
            </w:tcBorders>
            <w:shd w:fill="323A4E" w:color="auto" w:val="clear"/>
            <w:tcMar>
              <w:top w:type="dxa" w:w="60"/>
              <w:left w:type="dxa" w:w="90"/>
              <w:bottom w:type="dxa" w:w="60"/>
              <w:right w:type="dxa" w:w="90"/>
            </w:tcMar>
            <w:vAlign w:val="center"/>
          </w:tcPr>
          <w:p>
            <w:pPr>
              <w:spacing w:after="40" w:line="252"/>
              <w:jc w:val="left"/>
            </w:pPr>
            <w:r>
              <w:rPr>
                <w:b/>
                <w:bCs/>
                <w:color w:val="FFFFFF"/>
                <w:sz w:val="22"/>
                <w:szCs w:val="22"/>
              </w:rPr>
              <w:t xml:space="preserve">Campo</w:t>
            </w:r>
          </w:p>
        </w:tc>
        <w:tc>
          <w:tcPr>
            <w:tcW w:type="dxa" w:w="6360"/>
            <w:tcBorders>
              <w:top w:val="single" w:color="BFC4CC" w:sz="4"/>
              <w:left w:val="single" w:color="BFC4CC" w:sz="4"/>
              <w:bottom w:val="single" w:color="BFC4CC" w:sz="4"/>
              <w:right w:val="single" w:color="BFC4CC" w:sz="4"/>
            </w:tcBorders>
            <w:shd w:fill="323A4E" w:color="auto" w:val="clear"/>
            <w:tcMar>
              <w:top w:type="dxa" w:w="60"/>
              <w:left w:type="dxa" w:w="90"/>
              <w:bottom w:type="dxa" w:w="60"/>
              <w:right w:type="dxa" w:w="90"/>
            </w:tcMar>
            <w:vAlign w:val="center"/>
          </w:tcPr>
          <w:p>
            <w:pPr>
              <w:spacing w:after="40" w:line="252"/>
              <w:jc w:val="left"/>
            </w:pPr>
            <w:r>
              <w:rPr>
                <w:b/>
                <w:bCs/>
                <w:color w:val="FFFFFF"/>
                <w:sz w:val="22"/>
                <w:szCs w:val="22"/>
              </w:rPr>
              <w:t xml:space="preserve">Información</w:t>
            </w:r>
          </w:p>
        </w:tc>
      </w:tr>
      <w:tr>
        <w:tc>
          <w:tcPr>
            <w:tcW w:type="dxa" w:w="3000"/>
            <w:tcBorders>
              <w:top w:val="single" w:color="BFC4CC" w:sz="4"/>
              <w:left w:val="single" w:color="BFC4CC" w:sz="4"/>
              <w:bottom w:val="single" w:color="BFC4CC" w:sz="4"/>
              <w:right w:val="single" w:color="BFC4CC" w:sz="4"/>
            </w:tcBorders>
            <w:shd w:fill="EEF3FA" w:color="auto" w:val="clear"/>
            <w:tcMar>
              <w:top w:type="dxa" w:w="50"/>
              <w:left w:type="dxa" w:w="90"/>
              <w:bottom w:type="dxa" w:w="50"/>
              <w:right w:type="dxa" w:w="90"/>
            </w:tcMar>
          </w:tcPr>
          <w:p>
            <w:pPr>
              <w:spacing w:after="40" w:line="252"/>
              <w:jc w:val="left"/>
            </w:pPr>
            <w:r>
              <w:rPr>
                <w:b/>
                <w:bCs/>
                <w:sz w:val="22"/>
                <w:szCs w:val="22"/>
              </w:rPr>
              <w:t xml:space="preserve">Integrantes del equipo</w:t>
            </w:r>
          </w:p>
        </w:tc>
        <w:tc>
          <w:tcPr>
            <w:tcW w:type="dxa" w:w="636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22"/>
                <w:szCs w:val="22"/>
              </w:rPr>
              <w:t xml:space="preserve">Juan Sebastián Barragán</w:t>
            </w:r>
          </w:p>
          <w:p>
            <w:pPr>
              <w:spacing w:after="40" w:line="252"/>
              <w:jc w:val="left"/>
            </w:pPr>
            <w:r>
              <w:rPr>
                <w:b w:val="false"/>
                <w:bCs w:val="false"/>
                <w:sz w:val="22"/>
                <w:szCs w:val="22"/>
              </w:rPr>
              <w:t xml:space="preserve">Joshua Díaz</w:t>
            </w:r>
          </w:p>
          <w:p>
            <w:pPr>
              <w:spacing w:after="40" w:line="252"/>
              <w:jc w:val="left"/>
            </w:pPr>
            <w:r>
              <w:rPr>
                <w:b w:val="false"/>
                <w:bCs w:val="false"/>
                <w:sz w:val="22"/>
                <w:szCs w:val="22"/>
              </w:rPr>
              <w:t xml:space="preserve">Felipe Quiroga</w:t>
            </w:r>
          </w:p>
        </w:tc>
      </w:tr>
      <w:tr>
        <w:tc>
          <w:tcPr>
            <w:tcW w:type="dxa" w:w="3000"/>
            <w:tcBorders>
              <w:top w:val="single" w:color="BFC4CC" w:sz="4"/>
              <w:left w:val="single" w:color="BFC4CC" w:sz="4"/>
              <w:bottom w:val="single" w:color="BFC4CC" w:sz="4"/>
              <w:right w:val="single" w:color="BFC4CC" w:sz="4"/>
            </w:tcBorders>
            <w:shd w:fill="EEF3FA" w:color="auto" w:val="clear"/>
            <w:tcMar>
              <w:top w:type="dxa" w:w="50"/>
              <w:left w:type="dxa" w:w="90"/>
              <w:bottom w:type="dxa" w:w="50"/>
              <w:right w:type="dxa" w:w="90"/>
            </w:tcMar>
          </w:tcPr>
          <w:p>
            <w:pPr>
              <w:spacing w:after="40" w:line="252"/>
              <w:jc w:val="left"/>
            </w:pPr>
            <w:r>
              <w:rPr>
                <w:b/>
                <w:bCs/>
                <w:sz w:val="22"/>
                <w:szCs w:val="22"/>
              </w:rPr>
              <w:t xml:space="preserve">Producto Netflix asignado</w:t>
            </w:r>
          </w:p>
        </w:tc>
        <w:tc>
          <w:tcPr>
            <w:tcW w:type="dxa" w:w="636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22"/>
                <w:szCs w:val="22"/>
              </w:rPr>
              <w:t xml:space="preserve">La Primera Vez (Netflix / Caracol Televisión)</w:t>
            </w:r>
          </w:p>
        </w:tc>
      </w:tr>
      <w:tr>
        <w:tc>
          <w:tcPr>
            <w:tcW w:type="dxa" w:w="3000"/>
            <w:tcBorders>
              <w:top w:val="single" w:color="BFC4CC" w:sz="4"/>
              <w:left w:val="single" w:color="BFC4CC" w:sz="4"/>
              <w:bottom w:val="single" w:color="BFC4CC" w:sz="4"/>
              <w:right w:val="single" w:color="BFC4CC" w:sz="4"/>
            </w:tcBorders>
            <w:shd w:fill="EEF3FA" w:color="auto" w:val="clear"/>
            <w:tcMar>
              <w:top w:type="dxa" w:w="50"/>
              <w:left w:type="dxa" w:w="90"/>
              <w:bottom w:type="dxa" w:w="50"/>
              <w:right w:type="dxa" w:w="90"/>
            </w:tcMar>
          </w:tcPr>
          <w:p>
            <w:pPr>
              <w:spacing w:after="40" w:line="252"/>
              <w:jc w:val="left"/>
            </w:pPr>
            <w:r>
              <w:rPr>
                <w:b/>
                <w:bCs/>
                <w:sz w:val="22"/>
                <w:szCs w:val="22"/>
              </w:rPr>
              <w:t xml:space="preserve">Grupo</w:t>
            </w:r>
          </w:p>
        </w:tc>
        <w:tc>
          <w:tcPr>
            <w:tcW w:type="dxa" w:w="636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22"/>
                <w:szCs w:val="22"/>
              </w:rPr>
              <w:t xml:space="preserve">[completar]</w:t>
            </w:r>
          </w:p>
        </w:tc>
      </w:tr>
      <w:tr>
        <w:tc>
          <w:tcPr>
            <w:tcW w:type="dxa" w:w="3000"/>
            <w:tcBorders>
              <w:top w:val="single" w:color="BFC4CC" w:sz="4"/>
              <w:left w:val="single" w:color="BFC4CC" w:sz="4"/>
              <w:bottom w:val="single" w:color="BFC4CC" w:sz="4"/>
              <w:right w:val="single" w:color="BFC4CC" w:sz="4"/>
            </w:tcBorders>
            <w:shd w:fill="EEF3FA" w:color="auto" w:val="clear"/>
            <w:tcMar>
              <w:top w:type="dxa" w:w="50"/>
              <w:left w:type="dxa" w:w="90"/>
              <w:bottom w:type="dxa" w:w="50"/>
              <w:right w:type="dxa" w:w="90"/>
            </w:tcMar>
          </w:tcPr>
          <w:p>
            <w:pPr>
              <w:spacing w:after="40" w:line="252"/>
              <w:jc w:val="left"/>
            </w:pPr>
            <w:r>
              <w:rPr>
                <w:b/>
                <w:bCs/>
                <w:sz w:val="22"/>
                <w:szCs w:val="22"/>
              </w:rPr>
              <w:t xml:space="preserve">Fecha</w:t>
            </w:r>
          </w:p>
        </w:tc>
        <w:tc>
          <w:tcPr>
            <w:tcW w:type="dxa" w:w="636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22"/>
                <w:szCs w:val="22"/>
              </w:rPr>
              <w:t xml:space="preserve">2 de octubre de 2026</w:t>
            </w:r>
          </w:p>
        </w:tc>
      </w:tr>
    </w:tbl>
    <w:p>
      <w:pPr>
        <w:spacing w:after="60"/>
      </w:pPr>
    </w:p>
    <w:p>
      <w:pPr>
        <w:spacing w:before="400"/>
        <w:jc w:val="center"/>
      </w:pPr>
      <w:r>
        <w:rPr>
          <w:color w:val="5C5C5A"/>
          <w:sz w:val="20"/>
          <w:szCs w:val="20"/>
        </w:rPr>
        <w:t xml:space="preserve">Universidad de La Sabana · Facultad de Comunicación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3FA" w:sz="4"/>
              <w:left w:val="single" w:color="2A78D6" w:sz="24"/>
              <w:bottom w:val="single" w:color="EEF3FA" w:sz="4"/>
              <w:right w:val="single" w:color="EEF3FA" w:sz="4"/>
            </w:tcBorders>
            <w:shd w:fill="EEF3FA" w:color="auto" w:val="clear"/>
            <w:tcMar>
              <w:top w:type="dxa" w:w="120"/>
              <w:left w:type="dxa" w:w="180"/>
              <w:bottom w:type="dxa" w:w="120"/>
              <w:right w:type="dxa" w:w="180"/>
            </w:tcMar>
          </w:tcPr>
          <w:p>
            <w:pPr>
              <w:spacing w:after="80"/>
            </w:pPr>
            <w:r>
              <w:rPr>
                <w:b/>
                <w:bCs/>
                <w:color w:val="323A4E"/>
                <w:sz w:val="21"/>
                <w:szCs w:val="21"/>
              </w:rPr>
              <w:t xml:space="preserve">Cómo leer este documento</w:t>
            </w:r>
          </w:p>
          <w:p>
            <w:pPr>
              <w:spacing w:after="60" w:line="264"/>
              <w:jc w:val="left"/>
            </w:pPr>
            <w:r>
              <w:rPr>
                <w:sz w:val="20"/>
                <w:szCs w:val="20"/>
              </w:rPr>
              <w:t xml:space="preserve">El documento sigue, en orden, los nueve componentes de evaluación de la guía. Todas las cifras salen de la ejecución real en Python (pandas, scikit-learn, matplotlib) sobre el archivo entregado; los scripts y sus salidas completas están en el repositorio del equipo (carpeta </w:t>
            </w:r>
            <w:r>
              <w:rPr>
                <w:i/>
                <w:iCs/>
                <w:sz w:val="20"/>
                <w:szCs w:val="20"/>
              </w:rPr>
              <w:t xml:space="preserve">diagnostico/</w:t>
            </w:r>
            <w:r>
              <w:rPr>
                <w:sz w:val="20"/>
                <w:szCs w:val="20"/>
              </w:rPr>
              <w:t xml:space="preserve">). La transcripción íntegra de la conversación con el agente se entrega como anexo separado (memoria del proceso).</w:t>
            </w:r>
          </w:p>
          <w:p>
            <w:pPr>
              <w:spacing w:after="60" w:line="264"/>
              <w:jc w:val="left"/>
            </w:pPr>
            <w:r>
              <w:rPr>
                <w:b/>
                <w:bCs/>
                <w:sz w:val="20"/>
                <w:szCs w:val="20"/>
              </w:rPr>
              <w:t xml:space="preserve">Base utilizada.</w:t>
            </w:r>
            <w:r>
              <w:rPr>
                <w:sz w:val="20"/>
                <w:szCs w:val="20"/>
              </w:rPr>
              <w:t xml:space="preserve"> El archivo recibido es </w:t>
            </w:r>
            <w:r>
              <w:rPr>
                <w:i/>
                <w:iCs/>
                <w:sz w:val="20"/>
                <w:szCs w:val="20"/>
              </w:rPr>
              <w:t xml:space="preserve">Base_Audiencias_Digitales_Colombia_2025_V3_Segundo_Parcial.xlsx</w:t>
            </w:r>
            <w:r>
              <w:rPr>
                <w:sz w:val="20"/>
                <w:szCs w:val="20"/>
              </w:rPr>
              <w:t xml:space="preserve">: </w:t>
            </w:r>
            <w:r>
              <w:rPr>
                <w:b/>
                <w:bCs/>
                <w:sz w:val="20"/>
                <w:szCs w:val="20"/>
              </w:rPr>
              <w:t xml:space="preserve">1.000 registros y 41 variables</w:t>
            </w:r>
            <w:r>
              <w:rPr>
                <w:sz w:val="20"/>
                <w:szCs w:val="20"/>
              </w:rPr>
              <w:t xml:space="preserve"> (la guía menciona la V2 con 29 variables; la V3 añade 12 variables). Es una </w:t>
            </w:r>
            <w:r>
              <w:rPr>
                <w:b/>
                <w:bCs/>
                <w:sz w:val="20"/>
                <w:szCs w:val="20"/>
              </w:rPr>
              <w:t xml:space="preserve">base sintética</w:t>
            </w:r>
            <w:r>
              <w:rPr>
                <w:sz w:val="20"/>
                <w:szCs w:val="20"/>
              </w:rPr>
              <w:t xml:space="preserve"> de audiencia digital colombiana, no una encuesta a espectadores de </w:t>
            </w:r>
            <w:r>
              <w:rPr>
                <w:i/>
                <w:iCs/>
                <w:sz w:val="20"/>
                <w:szCs w:val="20"/>
              </w:rPr>
              <w:t xml:space="preserve">La Primera Vez</w:t>
            </w:r>
            <w:r>
              <w:rPr>
                <w:sz w:val="20"/>
                <w:szCs w:val="20"/>
              </w:rPr>
              <w:t xml:space="preserve">.</w:t>
            </w:r>
          </w:p>
          <w:p>
            <w:pPr>
              <w:spacing w:after="60" w:line="264"/>
              <w:jc w:val="left"/>
            </w:pPr>
            <w:r>
              <w:rPr>
                <w:b/>
                <w:bCs/>
                <w:sz w:val="20"/>
                <w:szCs w:val="20"/>
              </w:rPr>
              <w:t xml:space="preserve">Uso de IA.</w:t>
            </w:r>
            <w:r>
              <w:rPr>
                <w:sz w:val="20"/>
                <w:szCs w:val="20"/>
              </w:rPr>
              <w:t xml:space="preserve"> Claude (Code) ejecutó la estadística y propuso alternativas; las decisiones sustantivas (variables, número de clusters, nombres, segmento prioritario) fueron del equipo y se consignan en los recuadros «Decisión del grupo».</w:t>
            </w:r>
          </w:p>
        </w:tc>
      </w:tr>
    </w:tbl>
    <w:p>
      <w:pPr>
        <w:pStyle w:val="Heading1"/>
        <w:keepNext/>
      </w:pPr>
      <w:r>
        <w:t xml:space="preserve">1. Entendimiento de los datos</w:t>
      </w:r>
    </w:p>
    <w:p>
      <w:pPr>
        <w:spacing w:after="120" w:line="276"/>
        <w:jc w:val="both"/>
      </w:pPr>
      <w:r>
        <w:t xml:space="preserve">Antes de agrupar auditamos la base completa: tipos de variables, distribuciones, faltantes, duplicados, valores fuera de rango, formato y relaciones entre variables. Se verificó que los 41 nombres de columna coinciden exactamente con el diccionario de variables (ninguno falta ni sobra).</w:t>
      </w:r>
    </w:p>
    <w:p>
      <w:pPr>
        <w:pStyle w:val="ListParagraph"/>
        <w:numPr>
          <w:ilvl w:val="0"/>
          <w:numId w:val="2"/>
        </w:numPr>
        <w:spacing w:after="60" w:line="264"/>
      </w:pPr>
      <w:r>
        <w:rPr>
          <w:b/>
          <w:bCs/>
        </w:rPr>
        <w:t xml:space="preserve">14 variables numéricas:</w:t>
      </w:r>
      <w:r>
        <w:t xml:space="preserve"> edad, estrato (ordinal 1–6), las seis escalas Likert de Usos y Gratificaciones (ug_*), comparacion_social y nivel_fomo (Likert 1–5), horas_diarias_redes, horas_video_dia, num_redes_usadas y gasto_mensual_contenido_cop.</w:t>
      </w:r>
    </w:p>
    <w:p>
      <w:pPr>
        <w:pStyle w:val="ListParagraph"/>
        <w:numPr>
          <w:ilvl w:val="0"/>
          <w:numId w:val="2"/>
        </w:numPr>
        <w:spacing w:after="60" w:line="264"/>
      </w:pPr>
      <w:r>
        <w:rPr>
          <w:b/>
          <w:bCs/>
        </w:rPr>
        <w:t xml:space="preserve">26 variables categóricas + id:</w:t>
      </w:r>
      <w:r>
        <w:t xml:space="preserve"> demográficas (grupo_etario, genero, region, nivel_educativo), de consumo y plataforma (dispositivo, red social, plataforma de video, formato, contexto de visionado, vía de llegada, patrón de consumo, binge watching…) y motivacionales (motivo_primario, necesidad_base, gratificacion_buscada, tension_gratificacion…). Nueve de ellas son ordinales escritas como texto.</w:t>
      </w:r>
    </w:p>
    <w:p>
      <w:pPr>
        <w:pStyle w:val="Heading2"/>
        <w:keepNext/>
      </w:pPr>
      <w:r>
        <w:t xml:space="preserve">1.1 Descriptivos de las variables numéricas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60"/>
        <w:gridCol w:w="900"/>
        <w:gridCol w:w="1000"/>
        <w:gridCol w:w="960"/>
        <w:gridCol w:w="700"/>
        <w:gridCol w:w="1000"/>
        <w:gridCol w:w="1000"/>
        <w:gridCol w:w="1140"/>
      </w:tblGrid>
      <w:tr>
        <w:trPr>
          <w:tblHeader/>
        </w:trPr>
        <w:tc>
          <w:tcPr>
            <w:tcW w:type="dxa" w:w="2660"/>
            <w:tcBorders>
              <w:top w:val="single" w:color="BFC4CC" w:sz="4"/>
              <w:left w:val="single" w:color="BFC4CC" w:sz="4"/>
              <w:bottom w:val="single" w:color="BFC4CC" w:sz="4"/>
              <w:right w:val="single" w:color="BFC4CC" w:sz="4"/>
            </w:tcBorders>
            <w:shd w:fill="323A4E" w:color="auto" w:val="clear"/>
            <w:tcMar>
              <w:top w:type="dxa" w:w="60"/>
              <w:left w:type="dxa" w:w="90"/>
              <w:bottom w:type="dxa" w:w="60"/>
              <w:right w:type="dxa" w:w="90"/>
            </w:tcMar>
            <w:vAlign w:val="center"/>
          </w:tcPr>
          <w:p>
            <w:pPr>
              <w:spacing w:after="40" w:line="252"/>
              <w:jc w:val="left"/>
            </w:pPr>
            <w:r>
              <w:rPr>
                <w:b/>
                <w:bCs/>
                <w:color w:val="FFFFFF"/>
                <w:sz w:val="18"/>
                <w:szCs w:val="18"/>
              </w:rPr>
              <w:t xml:space="preserve">Variable</w:t>
            </w:r>
          </w:p>
        </w:tc>
        <w:tc>
          <w:tcPr>
            <w:tcW w:type="dxa" w:w="900"/>
            <w:tcBorders>
              <w:top w:val="single" w:color="BFC4CC" w:sz="4"/>
              <w:left w:val="single" w:color="BFC4CC" w:sz="4"/>
              <w:bottom w:val="single" w:color="BFC4CC" w:sz="4"/>
              <w:right w:val="single" w:color="BFC4CC" w:sz="4"/>
            </w:tcBorders>
            <w:shd w:fill="323A4E" w:color="auto" w:val="clear"/>
            <w:tcMar>
              <w:top w:type="dxa" w:w="60"/>
              <w:left w:type="dxa" w:w="90"/>
              <w:bottom w:type="dxa" w:w="60"/>
              <w:right w:type="dxa" w:w="90"/>
            </w:tcMar>
            <w:vAlign w:val="center"/>
          </w:tcPr>
          <w:p>
            <w:pPr>
              <w:spacing w:after="40" w:line="252"/>
              <w:jc w:val="left"/>
            </w:pPr>
            <w:r>
              <w:rPr>
                <w:b/>
                <w:bCs/>
                <w:color w:val="FFFFFF"/>
                <w:sz w:val="18"/>
                <w:szCs w:val="18"/>
              </w:rPr>
              <w:t xml:space="preserve">Media</w:t>
            </w:r>
          </w:p>
        </w:tc>
        <w:tc>
          <w:tcPr>
            <w:tcW w:type="dxa" w:w="1000"/>
            <w:tcBorders>
              <w:top w:val="single" w:color="BFC4CC" w:sz="4"/>
              <w:left w:val="single" w:color="BFC4CC" w:sz="4"/>
              <w:bottom w:val="single" w:color="BFC4CC" w:sz="4"/>
              <w:right w:val="single" w:color="BFC4CC" w:sz="4"/>
            </w:tcBorders>
            <w:shd w:fill="323A4E" w:color="auto" w:val="clear"/>
            <w:tcMar>
              <w:top w:type="dxa" w:w="60"/>
              <w:left w:type="dxa" w:w="90"/>
              <w:bottom w:type="dxa" w:w="60"/>
              <w:right w:type="dxa" w:w="90"/>
            </w:tcMar>
            <w:vAlign w:val="center"/>
          </w:tcPr>
          <w:p>
            <w:pPr>
              <w:spacing w:after="40" w:line="252"/>
              <w:jc w:val="left"/>
            </w:pPr>
            <w:r>
              <w:rPr>
                <w:b/>
                <w:bCs/>
                <w:color w:val="FFFFFF"/>
                <w:sz w:val="18"/>
                <w:szCs w:val="18"/>
              </w:rPr>
              <w:t xml:space="preserve">Mediana</w:t>
            </w:r>
          </w:p>
        </w:tc>
        <w:tc>
          <w:tcPr>
            <w:tcW w:type="dxa" w:w="960"/>
            <w:tcBorders>
              <w:top w:val="single" w:color="BFC4CC" w:sz="4"/>
              <w:left w:val="single" w:color="BFC4CC" w:sz="4"/>
              <w:bottom w:val="single" w:color="BFC4CC" w:sz="4"/>
              <w:right w:val="single" w:color="BFC4CC" w:sz="4"/>
            </w:tcBorders>
            <w:shd w:fill="323A4E" w:color="auto" w:val="clear"/>
            <w:tcMar>
              <w:top w:type="dxa" w:w="60"/>
              <w:left w:type="dxa" w:w="90"/>
              <w:bottom w:type="dxa" w:w="60"/>
              <w:right w:type="dxa" w:w="90"/>
            </w:tcMar>
            <w:vAlign w:val="center"/>
          </w:tcPr>
          <w:p>
            <w:pPr>
              <w:spacing w:after="40" w:line="252"/>
              <w:jc w:val="left"/>
            </w:pPr>
            <w:r>
              <w:rPr>
                <w:b/>
                <w:bCs/>
                <w:color w:val="FFFFFF"/>
                <w:sz w:val="18"/>
                <w:szCs w:val="18"/>
              </w:rPr>
              <w:t xml:space="preserve">Desv. est.</w:t>
            </w:r>
          </w:p>
        </w:tc>
        <w:tc>
          <w:tcPr>
            <w:tcW w:type="dxa" w:w="700"/>
            <w:tcBorders>
              <w:top w:val="single" w:color="BFC4CC" w:sz="4"/>
              <w:left w:val="single" w:color="BFC4CC" w:sz="4"/>
              <w:bottom w:val="single" w:color="BFC4CC" w:sz="4"/>
              <w:right w:val="single" w:color="BFC4CC" w:sz="4"/>
            </w:tcBorders>
            <w:shd w:fill="323A4E" w:color="auto" w:val="clear"/>
            <w:tcMar>
              <w:top w:type="dxa" w:w="60"/>
              <w:left w:type="dxa" w:w="90"/>
              <w:bottom w:type="dxa" w:w="60"/>
              <w:right w:type="dxa" w:w="90"/>
            </w:tcMar>
            <w:vAlign w:val="center"/>
          </w:tcPr>
          <w:p>
            <w:pPr>
              <w:spacing w:after="40" w:line="252"/>
              <w:jc w:val="left"/>
            </w:pPr>
            <w:r>
              <w:rPr>
                <w:b/>
                <w:bCs/>
                <w:color w:val="FFFFFF"/>
                <w:sz w:val="18"/>
                <w:szCs w:val="18"/>
              </w:rPr>
              <w:t xml:space="preserve">Mín.</w:t>
            </w:r>
          </w:p>
        </w:tc>
        <w:tc>
          <w:tcPr>
            <w:tcW w:type="dxa" w:w="1000"/>
            <w:tcBorders>
              <w:top w:val="single" w:color="BFC4CC" w:sz="4"/>
              <w:left w:val="single" w:color="BFC4CC" w:sz="4"/>
              <w:bottom w:val="single" w:color="BFC4CC" w:sz="4"/>
              <w:right w:val="single" w:color="BFC4CC" w:sz="4"/>
            </w:tcBorders>
            <w:shd w:fill="323A4E" w:color="auto" w:val="clear"/>
            <w:tcMar>
              <w:top w:type="dxa" w:w="60"/>
              <w:left w:type="dxa" w:w="90"/>
              <w:bottom w:type="dxa" w:w="60"/>
              <w:right w:type="dxa" w:w="90"/>
            </w:tcMar>
            <w:vAlign w:val="center"/>
          </w:tcPr>
          <w:p>
            <w:pPr>
              <w:spacing w:after="40" w:line="252"/>
              <w:jc w:val="left"/>
            </w:pPr>
            <w:r>
              <w:rPr>
                <w:b/>
                <w:bCs/>
                <w:color w:val="FFFFFF"/>
                <w:sz w:val="18"/>
                <w:szCs w:val="18"/>
              </w:rPr>
              <w:t xml:space="preserve">Máx.</w:t>
            </w:r>
          </w:p>
        </w:tc>
        <w:tc>
          <w:tcPr>
            <w:tcW w:type="dxa" w:w="1000"/>
            <w:tcBorders>
              <w:top w:val="single" w:color="BFC4CC" w:sz="4"/>
              <w:left w:val="single" w:color="BFC4CC" w:sz="4"/>
              <w:bottom w:val="single" w:color="BFC4CC" w:sz="4"/>
              <w:right w:val="single" w:color="BFC4CC" w:sz="4"/>
            </w:tcBorders>
            <w:shd w:fill="323A4E" w:color="auto" w:val="clear"/>
            <w:tcMar>
              <w:top w:type="dxa" w:w="60"/>
              <w:left w:type="dxa" w:w="90"/>
              <w:bottom w:type="dxa" w:w="60"/>
              <w:right w:type="dxa" w:w="90"/>
            </w:tcMar>
            <w:vAlign w:val="center"/>
          </w:tcPr>
          <w:p>
            <w:pPr>
              <w:spacing w:after="40" w:line="252"/>
              <w:jc w:val="left"/>
            </w:pPr>
            <w:r>
              <w:rPr>
                <w:b/>
                <w:bCs/>
                <w:color w:val="FFFFFF"/>
                <w:sz w:val="18"/>
                <w:szCs w:val="18"/>
              </w:rPr>
              <w:t xml:space="preserve">Rango</w:t>
            </w:r>
          </w:p>
        </w:tc>
        <w:tc>
          <w:tcPr>
            <w:tcW w:type="dxa" w:w="1140"/>
            <w:tcBorders>
              <w:top w:val="single" w:color="BFC4CC" w:sz="4"/>
              <w:left w:val="single" w:color="BFC4CC" w:sz="4"/>
              <w:bottom w:val="single" w:color="BFC4CC" w:sz="4"/>
              <w:right w:val="single" w:color="BFC4CC" w:sz="4"/>
            </w:tcBorders>
            <w:shd w:fill="323A4E" w:color="auto" w:val="clear"/>
            <w:tcMar>
              <w:top w:type="dxa" w:w="60"/>
              <w:left w:type="dxa" w:w="90"/>
              <w:bottom w:type="dxa" w:w="60"/>
              <w:right w:type="dxa" w:w="90"/>
            </w:tcMar>
            <w:vAlign w:val="center"/>
          </w:tcPr>
          <w:p>
            <w:pPr>
              <w:spacing w:after="40" w:line="252"/>
              <w:jc w:val="left"/>
            </w:pPr>
            <w:r>
              <w:rPr>
                <w:b/>
                <w:bCs/>
                <w:color w:val="FFFFFF"/>
                <w:sz w:val="18"/>
                <w:szCs w:val="18"/>
              </w:rPr>
              <w:t xml:space="preserve">Faltantes</w:t>
            </w:r>
          </w:p>
        </w:tc>
      </w:tr>
      <w:tr>
        <w:tc>
          <w:tcPr>
            <w:tcW w:type="dxa" w:w="266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bCs/>
                <w:sz w:val="18"/>
                <w:szCs w:val="18"/>
              </w:rPr>
              <w:t xml:space="preserve">edad</w:t>
            </w:r>
          </w:p>
        </w:tc>
        <w:tc>
          <w:tcPr>
            <w:tcW w:type="dxa" w:w="9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38,85</w:t>
            </w:r>
          </w:p>
        </w:tc>
        <w:tc>
          <w:tcPr>
            <w:tcW w:type="dxa" w:w="10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36</w:t>
            </w:r>
          </w:p>
        </w:tc>
        <w:tc>
          <w:tcPr>
            <w:tcW w:type="dxa" w:w="96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14,64</w:t>
            </w:r>
          </w:p>
        </w:tc>
        <w:tc>
          <w:tcPr>
            <w:tcW w:type="dxa" w:w="7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18</w:t>
            </w:r>
          </w:p>
        </w:tc>
        <w:tc>
          <w:tcPr>
            <w:tcW w:type="dxa" w:w="10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75</w:t>
            </w:r>
          </w:p>
        </w:tc>
        <w:tc>
          <w:tcPr>
            <w:tcW w:type="dxa" w:w="10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57</w:t>
            </w:r>
          </w:p>
        </w:tc>
        <w:tc>
          <w:tcPr>
            <w:tcW w:type="dxa" w:w="114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0</w:t>
            </w:r>
          </w:p>
        </w:tc>
      </w:tr>
      <w:tr>
        <w:tc>
          <w:tcPr>
            <w:tcW w:type="dxa" w:w="266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bCs/>
                <w:sz w:val="18"/>
                <w:szCs w:val="18"/>
              </w:rPr>
              <w:t xml:space="preserve">estrato</w:t>
            </w:r>
          </w:p>
        </w:tc>
        <w:tc>
          <w:tcPr>
            <w:tcW w:type="dxa" w:w="9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2,79</w:t>
            </w:r>
          </w:p>
        </w:tc>
        <w:tc>
          <w:tcPr>
            <w:tcW w:type="dxa" w:w="10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3</w:t>
            </w:r>
          </w:p>
        </w:tc>
        <w:tc>
          <w:tcPr>
            <w:tcW w:type="dxa" w:w="96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1,19</w:t>
            </w:r>
          </w:p>
        </w:tc>
        <w:tc>
          <w:tcPr>
            <w:tcW w:type="dxa" w:w="7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1</w:t>
            </w:r>
          </w:p>
        </w:tc>
        <w:tc>
          <w:tcPr>
            <w:tcW w:type="dxa" w:w="10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6</w:t>
            </w:r>
          </w:p>
        </w:tc>
        <w:tc>
          <w:tcPr>
            <w:tcW w:type="dxa" w:w="10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5</w:t>
            </w:r>
          </w:p>
        </w:tc>
        <w:tc>
          <w:tcPr>
            <w:tcW w:type="dxa" w:w="114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0</w:t>
            </w:r>
          </w:p>
        </w:tc>
      </w:tr>
      <w:tr>
        <w:tc>
          <w:tcPr>
            <w:tcW w:type="dxa" w:w="266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bCs/>
                <w:sz w:val="18"/>
                <w:szCs w:val="18"/>
              </w:rPr>
              <w:t xml:space="preserve">ug_entretenimiento</w:t>
            </w:r>
          </w:p>
        </w:tc>
        <w:tc>
          <w:tcPr>
            <w:tcW w:type="dxa" w:w="9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4,14</w:t>
            </w:r>
          </w:p>
        </w:tc>
        <w:tc>
          <w:tcPr>
            <w:tcW w:type="dxa" w:w="10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4</w:t>
            </w:r>
          </w:p>
        </w:tc>
        <w:tc>
          <w:tcPr>
            <w:tcW w:type="dxa" w:w="96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0,72</w:t>
            </w:r>
          </w:p>
        </w:tc>
        <w:tc>
          <w:tcPr>
            <w:tcW w:type="dxa" w:w="7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2</w:t>
            </w:r>
          </w:p>
        </w:tc>
        <w:tc>
          <w:tcPr>
            <w:tcW w:type="dxa" w:w="10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5</w:t>
            </w:r>
          </w:p>
        </w:tc>
        <w:tc>
          <w:tcPr>
            <w:tcW w:type="dxa" w:w="10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3</w:t>
            </w:r>
          </w:p>
        </w:tc>
        <w:tc>
          <w:tcPr>
            <w:tcW w:type="dxa" w:w="114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0</w:t>
            </w:r>
          </w:p>
        </w:tc>
      </w:tr>
      <w:tr>
        <w:tc>
          <w:tcPr>
            <w:tcW w:type="dxa" w:w="266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bCs/>
                <w:sz w:val="18"/>
                <w:szCs w:val="18"/>
              </w:rPr>
              <w:t xml:space="preserve">ug_informacion</w:t>
            </w:r>
          </w:p>
        </w:tc>
        <w:tc>
          <w:tcPr>
            <w:tcW w:type="dxa" w:w="9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3,65</w:t>
            </w:r>
          </w:p>
        </w:tc>
        <w:tc>
          <w:tcPr>
            <w:tcW w:type="dxa" w:w="10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4</w:t>
            </w:r>
          </w:p>
        </w:tc>
        <w:tc>
          <w:tcPr>
            <w:tcW w:type="dxa" w:w="96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0,95</w:t>
            </w:r>
          </w:p>
        </w:tc>
        <w:tc>
          <w:tcPr>
            <w:tcW w:type="dxa" w:w="7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1</w:t>
            </w:r>
          </w:p>
        </w:tc>
        <w:tc>
          <w:tcPr>
            <w:tcW w:type="dxa" w:w="10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5</w:t>
            </w:r>
          </w:p>
        </w:tc>
        <w:tc>
          <w:tcPr>
            <w:tcW w:type="dxa" w:w="10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4</w:t>
            </w:r>
          </w:p>
        </w:tc>
        <w:tc>
          <w:tcPr>
            <w:tcW w:type="dxa" w:w="114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0</w:t>
            </w:r>
          </w:p>
        </w:tc>
      </w:tr>
      <w:tr>
        <w:tc>
          <w:tcPr>
            <w:tcW w:type="dxa" w:w="266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bCs/>
                <w:sz w:val="18"/>
                <w:szCs w:val="18"/>
              </w:rPr>
              <w:t xml:space="preserve">ug_identidad</w:t>
            </w:r>
          </w:p>
        </w:tc>
        <w:tc>
          <w:tcPr>
            <w:tcW w:type="dxa" w:w="9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3,35</w:t>
            </w:r>
          </w:p>
        </w:tc>
        <w:tc>
          <w:tcPr>
            <w:tcW w:type="dxa" w:w="10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3</w:t>
            </w:r>
          </w:p>
        </w:tc>
        <w:tc>
          <w:tcPr>
            <w:tcW w:type="dxa" w:w="96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0,98</w:t>
            </w:r>
          </w:p>
        </w:tc>
        <w:tc>
          <w:tcPr>
            <w:tcW w:type="dxa" w:w="7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1</w:t>
            </w:r>
          </w:p>
        </w:tc>
        <w:tc>
          <w:tcPr>
            <w:tcW w:type="dxa" w:w="10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5</w:t>
            </w:r>
          </w:p>
        </w:tc>
        <w:tc>
          <w:tcPr>
            <w:tcW w:type="dxa" w:w="10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4</w:t>
            </w:r>
          </w:p>
        </w:tc>
        <w:tc>
          <w:tcPr>
            <w:tcW w:type="dxa" w:w="114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0</w:t>
            </w:r>
          </w:p>
        </w:tc>
      </w:tr>
      <w:tr>
        <w:tc>
          <w:tcPr>
            <w:tcW w:type="dxa" w:w="266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bCs/>
                <w:sz w:val="18"/>
                <w:szCs w:val="18"/>
              </w:rPr>
              <w:t xml:space="preserve">ug_interaccion_social</w:t>
            </w:r>
          </w:p>
        </w:tc>
        <w:tc>
          <w:tcPr>
            <w:tcW w:type="dxa" w:w="9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3,95</w:t>
            </w:r>
          </w:p>
        </w:tc>
        <w:tc>
          <w:tcPr>
            <w:tcW w:type="dxa" w:w="10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4</w:t>
            </w:r>
          </w:p>
        </w:tc>
        <w:tc>
          <w:tcPr>
            <w:tcW w:type="dxa" w:w="96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0,78</w:t>
            </w:r>
          </w:p>
        </w:tc>
        <w:tc>
          <w:tcPr>
            <w:tcW w:type="dxa" w:w="7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2</w:t>
            </w:r>
          </w:p>
        </w:tc>
        <w:tc>
          <w:tcPr>
            <w:tcW w:type="dxa" w:w="10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5</w:t>
            </w:r>
          </w:p>
        </w:tc>
        <w:tc>
          <w:tcPr>
            <w:tcW w:type="dxa" w:w="10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3</w:t>
            </w:r>
          </w:p>
        </w:tc>
        <w:tc>
          <w:tcPr>
            <w:tcW w:type="dxa" w:w="114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0</w:t>
            </w:r>
          </w:p>
        </w:tc>
      </w:tr>
      <w:tr>
        <w:tc>
          <w:tcPr>
            <w:tcW w:type="dxa" w:w="266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bCs/>
                <w:sz w:val="18"/>
                <w:szCs w:val="18"/>
              </w:rPr>
              <w:t xml:space="preserve">ug_evasion</w:t>
            </w:r>
          </w:p>
        </w:tc>
        <w:tc>
          <w:tcPr>
            <w:tcW w:type="dxa" w:w="9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3,56</w:t>
            </w:r>
          </w:p>
        </w:tc>
        <w:tc>
          <w:tcPr>
            <w:tcW w:type="dxa" w:w="10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4</w:t>
            </w:r>
          </w:p>
        </w:tc>
        <w:tc>
          <w:tcPr>
            <w:tcW w:type="dxa" w:w="96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0,87</w:t>
            </w:r>
          </w:p>
        </w:tc>
        <w:tc>
          <w:tcPr>
            <w:tcW w:type="dxa" w:w="7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1</w:t>
            </w:r>
          </w:p>
        </w:tc>
        <w:tc>
          <w:tcPr>
            <w:tcW w:type="dxa" w:w="10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5</w:t>
            </w:r>
          </w:p>
        </w:tc>
        <w:tc>
          <w:tcPr>
            <w:tcW w:type="dxa" w:w="10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4</w:t>
            </w:r>
          </w:p>
        </w:tc>
        <w:tc>
          <w:tcPr>
            <w:tcW w:type="dxa" w:w="114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0</w:t>
            </w:r>
          </w:p>
        </w:tc>
      </w:tr>
      <w:tr>
        <w:tc>
          <w:tcPr>
            <w:tcW w:type="dxa" w:w="266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bCs/>
                <w:sz w:val="18"/>
                <w:szCs w:val="18"/>
              </w:rPr>
              <w:t xml:space="preserve">ug_pasar_tiempo</w:t>
            </w:r>
          </w:p>
        </w:tc>
        <w:tc>
          <w:tcPr>
            <w:tcW w:type="dxa" w:w="9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3,86</w:t>
            </w:r>
          </w:p>
        </w:tc>
        <w:tc>
          <w:tcPr>
            <w:tcW w:type="dxa" w:w="10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4</w:t>
            </w:r>
          </w:p>
        </w:tc>
        <w:tc>
          <w:tcPr>
            <w:tcW w:type="dxa" w:w="96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0,80</w:t>
            </w:r>
          </w:p>
        </w:tc>
        <w:tc>
          <w:tcPr>
            <w:tcW w:type="dxa" w:w="7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1</w:t>
            </w:r>
          </w:p>
        </w:tc>
        <w:tc>
          <w:tcPr>
            <w:tcW w:type="dxa" w:w="10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5</w:t>
            </w:r>
          </w:p>
        </w:tc>
        <w:tc>
          <w:tcPr>
            <w:tcW w:type="dxa" w:w="10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4</w:t>
            </w:r>
          </w:p>
        </w:tc>
        <w:tc>
          <w:tcPr>
            <w:tcW w:type="dxa" w:w="114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0</w:t>
            </w:r>
          </w:p>
        </w:tc>
      </w:tr>
      <w:tr>
        <w:tc>
          <w:tcPr>
            <w:tcW w:type="dxa" w:w="266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bCs/>
                <w:sz w:val="18"/>
                <w:szCs w:val="18"/>
              </w:rPr>
              <w:t xml:space="preserve">horas_diarias_redes</w:t>
            </w:r>
          </w:p>
        </w:tc>
        <w:tc>
          <w:tcPr>
            <w:tcW w:type="dxa" w:w="9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3,51</w:t>
            </w:r>
          </w:p>
        </w:tc>
        <w:tc>
          <w:tcPr>
            <w:tcW w:type="dxa" w:w="10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3,5</w:t>
            </w:r>
          </w:p>
        </w:tc>
        <w:tc>
          <w:tcPr>
            <w:tcW w:type="dxa" w:w="96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1,33</w:t>
            </w:r>
          </w:p>
        </w:tc>
        <w:tc>
          <w:tcPr>
            <w:tcW w:type="dxa" w:w="7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0,3</w:t>
            </w:r>
          </w:p>
        </w:tc>
        <w:tc>
          <w:tcPr>
            <w:tcW w:type="dxa" w:w="10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7,8</w:t>
            </w:r>
          </w:p>
        </w:tc>
        <w:tc>
          <w:tcPr>
            <w:tcW w:type="dxa" w:w="10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7,5</w:t>
            </w:r>
          </w:p>
        </w:tc>
        <w:tc>
          <w:tcPr>
            <w:tcW w:type="dxa" w:w="114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0</w:t>
            </w:r>
          </w:p>
        </w:tc>
      </w:tr>
      <w:tr>
        <w:tc>
          <w:tcPr>
            <w:tcW w:type="dxa" w:w="266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bCs/>
                <w:sz w:val="18"/>
                <w:szCs w:val="18"/>
              </w:rPr>
              <w:t xml:space="preserve">num_redes_usadas</w:t>
            </w:r>
          </w:p>
        </w:tc>
        <w:tc>
          <w:tcPr>
            <w:tcW w:type="dxa" w:w="9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5,23</w:t>
            </w:r>
          </w:p>
        </w:tc>
        <w:tc>
          <w:tcPr>
            <w:tcW w:type="dxa" w:w="10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5</w:t>
            </w:r>
          </w:p>
        </w:tc>
        <w:tc>
          <w:tcPr>
            <w:tcW w:type="dxa" w:w="96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1,71</w:t>
            </w:r>
          </w:p>
        </w:tc>
        <w:tc>
          <w:tcPr>
            <w:tcW w:type="dxa" w:w="7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1</w:t>
            </w:r>
          </w:p>
        </w:tc>
        <w:tc>
          <w:tcPr>
            <w:tcW w:type="dxa" w:w="10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9</w:t>
            </w:r>
          </w:p>
        </w:tc>
        <w:tc>
          <w:tcPr>
            <w:tcW w:type="dxa" w:w="10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8</w:t>
            </w:r>
          </w:p>
        </w:tc>
        <w:tc>
          <w:tcPr>
            <w:tcW w:type="dxa" w:w="114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0</w:t>
            </w:r>
          </w:p>
        </w:tc>
      </w:tr>
      <w:tr>
        <w:tc>
          <w:tcPr>
            <w:tcW w:type="dxa" w:w="266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bCs/>
                <w:sz w:val="18"/>
                <w:szCs w:val="18"/>
              </w:rPr>
              <w:t xml:space="preserve">gasto_mensual_contenido_cop</w:t>
            </w:r>
          </w:p>
        </w:tc>
        <w:tc>
          <w:tcPr>
            <w:tcW w:type="dxa" w:w="9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21.924</w:t>
            </w:r>
          </w:p>
        </w:tc>
        <w:tc>
          <w:tcPr>
            <w:tcW w:type="dxa" w:w="10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9.565</w:t>
            </w:r>
          </w:p>
        </w:tc>
        <w:tc>
          <w:tcPr>
            <w:tcW w:type="dxa" w:w="96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27.381</w:t>
            </w:r>
          </w:p>
        </w:tc>
        <w:tc>
          <w:tcPr>
            <w:tcW w:type="dxa" w:w="7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0</w:t>
            </w:r>
          </w:p>
        </w:tc>
        <w:tc>
          <w:tcPr>
            <w:tcW w:type="dxa" w:w="10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116.524</w:t>
            </w:r>
          </w:p>
        </w:tc>
        <w:tc>
          <w:tcPr>
            <w:tcW w:type="dxa" w:w="10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116.524</w:t>
            </w:r>
          </w:p>
        </w:tc>
        <w:tc>
          <w:tcPr>
            <w:tcW w:type="dxa" w:w="114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0</w:t>
            </w:r>
          </w:p>
        </w:tc>
      </w:tr>
      <w:tr>
        <w:tc>
          <w:tcPr>
            <w:tcW w:type="dxa" w:w="266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bCs/>
                <w:sz w:val="18"/>
                <w:szCs w:val="18"/>
              </w:rPr>
              <w:t xml:space="preserve">horas_video_dia</w:t>
            </w:r>
          </w:p>
        </w:tc>
        <w:tc>
          <w:tcPr>
            <w:tcW w:type="dxa" w:w="9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2,11</w:t>
            </w:r>
          </w:p>
        </w:tc>
        <w:tc>
          <w:tcPr>
            <w:tcW w:type="dxa" w:w="10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2,0</w:t>
            </w:r>
          </w:p>
        </w:tc>
        <w:tc>
          <w:tcPr>
            <w:tcW w:type="dxa" w:w="96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1,16</w:t>
            </w:r>
          </w:p>
        </w:tc>
        <w:tc>
          <w:tcPr>
            <w:tcW w:type="dxa" w:w="7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0,2</w:t>
            </w:r>
          </w:p>
        </w:tc>
        <w:tc>
          <w:tcPr>
            <w:tcW w:type="dxa" w:w="10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6,5</w:t>
            </w:r>
          </w:p>
        </w:tc>
        <w:tc>
          <w:tcPr>
            <w:tcW w:type="dxa" w:w="10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6,3</w:t>
            </w:r>
          </w:p>
        </w:tc>
        <w:tc>
          <w:tcPr>
            <w:tcW w:type="dxa" w:w="114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0</w:t>
            </w:r>
          </w:p>
        </w:tc>
      </w:tr>
      <w:tr>
        <w:tc>
          <w:tcPr>
            <w:tcW w:type="dxa" w:w="266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bCs/>
                <w:sz w:val="18"/>
                <w:szCs w:val="18"/>
              </w:rPr>
              <w:t xml:space="preserve">comparacion_social</w:t>
            </w:r>
          </w:p>
        </w:tc>
        <w:tc>
          <w:tcPr>
            <w:tcW w:type="dxa" w:w="9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3,57</w:t>
            </w:r>
          </w:p>
        </w:tc>
        <w:tc>
          <w:tcPr>
            <w:tcW w:type="dxa" w:w="10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4</w:t>
            </w:r>
          </w:p>
        </w:tc>
        <w:tc>
          <w:tcPr>
            <w:tcW w:type="dxa" w:w="96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1,00</w:t>
            </w:r>
          </w:p>
        </w:tc>
        <w:tc>
          <w:tcPr>
            <w:tcW w:type="dxa" w:w="7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1</w:t>
            </w:r>
          </w:p>
        </w:tc>
        <w:tc>
          <w:tcPr>
            <w:tcW w:type="dxa" w:w="10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5</w:t>
            </w:r>
          </w:p>
        </w:tc>
        <w:tc>
          <w:tcPr>
            <w:tcW w:type="dxa" w:w="10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4</w:t>
            </w:r>
          </w:p>
        </w:tc>
        <w:tc>
          <w:tcPr>
            <w:tcW w:type="dxa" w:w="114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0</w:t>
            </w:r>
          </w:p>
        </w:tc>
      </w:tr>
      <w:tr>
        <w:tc>
          <w:tcPr>
            <w:tcW w:type="dxa" w:w="266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bCs/>
                <w:sz w:val="18"/>
                <w:szCs w:val="18"/>
              </w:rPr>
              <w:t xml:space="preserve">nivel_fomo</w:t>
            </w:r>
          </w:p>
        </w:tc>
        <w:tc>
          <w:tcPr>
            <w:tcW w:type="dxa" w:w="9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3,83</w:t>
            </w:r>
          </w:p>
        </w:tc>
        <w:tc>
          <w:tcPr>
            <w:tcW w:type="dxa" w:w="10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4</w:t>
            </w:r>
          </w:p>
        </w:tc>
        <w:tc>
          <w:tcPr>
            <w:tcW w:type="dxa" w:w="96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1,01</w:t>
            </w:r>
          </w:p>
        </w:tc>
        <w:tc>
          <w:tcPr>
            <w:tcW w:type="dxa" w:w="7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1</w:t>
            </w:r>
          </w:p>
        </w:tc>
        <w:tc>
          <w:tcPr>
            <w:tcW w:type="dxa" w:w="10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5</w:t>
            </w:r>
          </w:p>
        </w:tc>
        <w:tc>
          <w:tcPr>
            <w:tcW w:type="dxa" w:w="10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4</w:t>
            </w:r>
          </w:p>
        </w:tc>
        <w:tc>
          <w:tcPr>
            <w:tcW w:type="dxa" w:w="114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0</w:t>
            </w:r>
          </w:p>
        </w:tc>
      </w:tr>
    </w:tbl>
    <w:p>
      <w:pPr>
        <w:spacing w:after="200" w:before="60"/>
        <w:jc w:val="left"/>
      </w:pPr>
      <w:r>
        <w:rPr>
          <w:i/>
          <w:iCs/>
          <w:color w:val="5C5C5A"/>
          <w:sz w:val="18"/>
          <w:szCs w:val="18"/>
        </w:rPr>
        <w:t xml:space="preserve">Tabla 1. Estadísticos descriptivos (desviación estándar muestral, n−1). n = 1.000 en todas las variables.</w:t>
      </w:r>
    </w:p>
    <w:p>
      <w:pPr>
        <w:pStyle w:val="Heading2"/>
        <w:keepNext/>
      </w:pPr>
      <w:r>
        <w:t xml:space="preserve">1.2 Calidad de los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700"/>
        <w:gridCol w:w="2960"/>
      </w:tblGrid>
      <w:tr>
        <w:trPr>
          <w:tblHeader/>
        </w:trPr>
        <w:tc>
          <w:tcPr>
            <w:tcW w:type="dxa" w:w="2700"/>
            <w:tcBorders>
              <w:top w:val="single" w:color="BFC4CC" w:sz="4"/>
              <w:left w:val="single" w:color="BFC4CC" w:sz="4"/>
              <w:bottom w:val="single" w:color="BFC4CC" w:sz="4"/>
              <w:right w:val="single" w:color="BFC4CC" w:sz="4"/>
            </w:tcBorders>
            <w:shd w:fill="323A4E" w:color="auto" w:val="clear"/>
            <w:tcMar>
              <w:top w:type="dxa" w:w="60"/>
              <w:left w:type="dxa" w:w="90"/>
              <w:bottom w:type="dxa" w:w="60"/>
              <w:right w:type="dxa" w:w="90"/>
            </w:tcMar>
            <w:vAlign w:val="center"/>
          </w:tcPr>
          <w:p>
            <w:pPr>
              <w:spacing w:after="40" w:line="252"/>
              <w:jc w:val="left"/>
            </w:pPr>
            <w:r>
              <w:rPr>
                <w:b/>
                <w:bCs/>
                <w:color w:val="FFFFFF"/>
                <w:sz w:val="18"/>
                <w:szCs w:val="18"/>
              </w:rPr>
              <w:t xml:space="preserve">Chequeo</w:t>
            </w:r>
          </w:p>
        </w:tc>
        <w:tc>
          <w:tcPr>
            <w:tcW w:type="dxa" w:w="3700"/>
            <w:tcBorders>
              <w:top w:val="single" w:color="BFC4CC" w:sz="4"/>
              <w:left w:val="single" w:color="BFC4CC" w:sz="4"/>
              <w:bottom w:val="single" w:color="BFC4CC" w:sz="4"/>
              <w:right w:val="single" w:color="BFC4CC" w:sz="4"/>
            </w:tcBorders>
            <w:shd w:fill="323A4E" w:color="auto" w:val="clear"/>
            <w:tcMar>
              <w:top w:type="dxa" w:w="60"/>
              <w:left w:type="dxa" w:w="90"/>
              <w:bottom w:type="dxa" w:w="60"/>
              <w:right w:type="dxa" w:w="90"/>
            </w:tcMar>
            <w:vAlign w:val="center"/>
          </w:tcPr>
          <w:p>
            <w:pPr>
              <w:spacing w:after="40" w:line="252"/>
              <w:jc w:val="left"/>
            </w:pPr>
            <w:r>
              <w:rPr>
                <w:b/>
                <w:bCs/>
                <w:color w:val="FFFFFF"/>
                <w:sz w:val="18"/>
                <w:szCs w:val="18"/>
              </w:rPr>
              <w:t xml:space="preserve">Resultado</w:t>
            </w:r>
          </w:p>
        </w:tc>
        <w:tc>
          <w:tcPr>
            <w:tcW w:type="dxa" w:w="2960"/>
            <w:tcBorders>
              <w:top w:val="single" w:color="BFC4CC" w:sz="4"/>
              <w:left w:val="single" w:color="BFC4CC" w:sz="4"/>
              <w:bottom w:val="single" w:color="BFC4CC" w:sz="4"/>
              <w:right w:val="single" w:color="BFC4CC" w:sz="4"/>
            </w:tcBorders>
            <w:shd w:fill="323A4E" w:color="auto" w:val="clear"/>
            <w:tcMar>
              <w:top w:type="dxa" w:w="60"/>
              <w:left w:type="dxa" w:w="90"/>
              <w:bottom w:type="dxa" w:w="60"/>
              <w:right w:type="dxa" w:w="90"/>
            </w:tcMar>
            <w:vAlign w:val="center"/>
          </w:tcPr>
          <w:p>
            <w:pPr>
              <w:spacing w:after="40" w:line="252"/>
              <w:jc w:val="left"/>
            </w:pPr>
            <w:r>
              <w:rPr>
                <w:b/>
                <w:bCs/>
                <w:color w:val="FFFFFF"/>
                <w:sz w:val="18"/>
                <w:szCs w:val="18"/>
              </w:rPr>
              <w:t xml:space="preserve">Implicación para K-means</w:t>
            </w:r>
          </w:p>
        </w:tc>
      </w:tr>
      <w:tr>
        <w:tc>
          <w:tcPr>
            <w:tcW w:type="dxa" w:w="27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sz w:val="18"/>
                <w:szCs w:val="18"/>
              </w:rPr>
              <w:t xml:space="preserve">Faltantes (NaN y texto tipo «NA», «-»)</w:t>
            </w:r>
          </w:p>
        </w:tc>
        <w:tc>
          <w:tcPr>
            <w:tcW w:type="dxa" w:w="37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sz w:val="18"/>
                <w:szCs w:val="18"/>
              </w:rPr>
              <w:t xml:space="preserve">0 en las 41 variables</w:t>
            </w:r>
          </w:p>
        </w:tc>
        <w:tc>
          <w:tcPr>
            <w:tcW w:type="dxa" w:w="296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sz w:val="18"/>
                <w:szCs w:val="18"/>
              </w:rPr>
              <w:t xml:space="preserve">No se requiere imputar ni eliminar registros</w:t>
            </w:r>
          </w:p>
        </w:tc>
      </w:tr>
      <w:tr>
        <w:tc>
          <w:tcPr>
            <w:tcW w:type="dxa" w:w="27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sz w:val="18"/>
                <w:szCs w:val="18"/>
              </w:rPr>
              <w:t xml:space="preserve">Duplicados (filas, id, perfiles numéricos)</w:t>
            </w:r>
          </w:p>
        </w:tc>
        <w:tc>
          <w:tcPr>
            <w:tcW w:type="dxa" w:w="37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sz w:val="18"/>
                <w:szCs w:val="18"/>
              </w:rPr>
              <w:t xml:space="preserve">0 / 0 / 0</w:t>
            </w:r>
          </w:p>
        </w:tc>
        <w:tc>
          <w:tcPr>
            <w:tcW w:type="dxa" w:w="296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sz w:val="18"/>
                <w:szCs w:val="18"/>
              </w:rPr>
              <w:t xml:space="preserve">Ninguna</w:t>
            </w:r>
          </w:p>
        </w:tc>
      </w:tr>
      <w:tr>
        <w:tc>
          <w:tcPr>
            <w:tcW w:type="dxa" w:w="27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sz w:val="18"/>
                <w:szCs w:val="18"/>
              </w:rPr>
              <w:t xml:space="preserve">Valores fuera del rango del diccionario</w:t>
            </w:r>
          </w:p>
        </w:tc>
        <w:tc>
          <w:tcPr>
            <w:tcW w:type="dxa" w:w="37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sz w:val="18"/>
                <w:szCs w:val="18"/>
              </w:rPr>
              <w:t xml:space="preserve">0</w:t>
            </w:r>
          </w:p>
        </w:tc>
        <w:tc>
          <w:tcPr>
            <w:tcW w:type="dxa" w:w="296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sz w:val="18"/>
                <w:szCs w:val="18"/>
              </w:rPr>
              <w:t xml:space="preserve">Ninguna</w:t>
            </w:r>
          </w:p>
        </w:tc>
      </w:tr>
      <w:tr>
        <w:tc>
          <w:tcPr>
            <w:tcW w:type="dxa" w:w="27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sz w:val="18"/>
                <w:szCs w:val="18"/>
              </w:rPr>
              <w:t xml:space="preserve">Formato de categorías</w:t>
            </w:r>
          </w:p>
        </w:tc>
        <w:tc>
          <w:tcPr>
            <w:tcW w:type="dxa" w:w="37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sz w:val="18"/>
                <w:szCs w:val="18"/>
              </w:rPr>
              <w:t xml:space="preserve">Sin espacios ni mayúsculas inconsistentes; todas las categorías existen en el diccionario</w:t>
            </w:r>
          </w:p>
        </w:tc>
        <w:tc>
          <w:tcPr>
            <w:tcW w:type="dxa" w:w="296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sz w:val="18"/>
                <w:szCs w:val="18"/>
              </w:rPr>
              <w:t xml:space="preserve">Ninguna</w:t>
            </w:r>
          </w:p>
        </w:tc>
      </w:tr>
      <w:tr>
        <w:tc>
          <w:tcPr>
            <w:tcW w:type="dxa" w:w="27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sz w:val="18"/>
                <w:szCs w:val="18"/>
              </w:rPr>
              <w:t xml:space="preserve">Escalas muy distintas</w:t>
            </w:r>
          </w:p>
        </w:tc>
        <w:tc>
          <w:tcPr>
            <w:tcW w:type="dxa" w:w="37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sz w:val="18"/>
                <w:szCs w:val="18"/>
              </w:rPr>
              <w:t xml:space="preserve">DE del gasto = 27.381 frente a ≈0,7–1,0 en las Likert</w:t>
            </w:r>
          </w:p>
        </w:tc>
        <w:tc>
          <w:tcPr>
            <w:tcW w:type="dxa" w:w="296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sz w:val="18"/>
                <w:szCs w:val="18"/>
              </w:rPr>
              <w:t xml:space="preserve">Obliga a estandarizar</w:t>
            </w:r>
          </w:p>
        </w:tc>
      </w:tr>
      <w:tr>
        <w:tc>
          <w:tcPr>
            <w:tcW w:type="dxa" w:w="27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sz w:val="18"/>
                <w:szCs w:val="18"/>
              </w:rPr>
              <w:t xml:space="preserve">Gasto mensual</w:t>
            </w:r>
          </w:p>
        </w:tc>
        <w:tc>
          <w:tcPr>
            <w:tcW w:type="dxa" w:w="37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sz w:val="18"/>
                <w:szCs w:val="18"/>
              </w:rPr>
              <w:t xml:space="preserve">32,2% de ceros, 47 atípicos (IQR), asimetría 1,36</w:t>
            </w:r>
          </w:p>
        </w:tc>
        <w:tc>
          <w:tcPr>
            <w:tcW w:type="dxa" w:w="296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sz w:val="18"/>
                <w:szCs w:val="18"/>
              </w:rPr>
              <w:t xml:space="preserve">Puede formar un grupo por sí solo</w:t>
            </w:r>
          </w:p>
        </w:tc>
      </w:tr>
      <w:tr>
        <w:tc>
          <w:tcPr>
            <w:tcW w:type="dxa" w:w="27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sz w:val="18"/>
                <w:szCs w:val="18"/>
              </w:rPr>
              <w:t xml:space="preserve">Baja variabilidad</w:t>
            </w:r>
          </w:p>
        </w:tc>
        <w:tc>
          <w:tcPr>
            <w:tcW w:type="dxa" w:w="37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sz w:val="18"/>
                <w:szCs w:val="18"/>
              </w:rPr>
              <w:t xml:space="preserve">ug_entretenimiento (82,7% en 4–5) y ug_interaccion_social: nadie responde 1</w:t>
            </w:r>
          </w:p>
        </w:tc>
        <w:tc>
          <w:tcPr>
            <w:tcW w:type="dxa" w:w="296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sz w:val="18"/>
                <w:szCs w:val="18"/>
              </w:rPr>
              <w:t xml:space="preserve">Aportan poca separación</w:t>
            </w:r>
          </w:p>
        </w:tc>
      </w:tr>
      <w:tr>
        <w:tc>
          <w:tcPr>
            <w:tcW w:type="dxa" w:w="27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sz w:val="18"/>
                <w:szCs w:val="18"/>
              </w:rPr>
              <w:t xml:space="preserve">Redundancias</w:t>
            </w:r>
          </w:p>
        </w:tc>
        <w:tc>
          <w:tcPr>
            <w:tcW w:type="dxa" w:w="37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sz w:val="18"/>
                <w:szCs w:val="18"/>
              </w:rPr>
              <w:t xml:space="preserve">horas redes ↔ horas video r = 0,73; edad ↔ FOMO r = −0,64; disposicion_pago explica el 85% de la varianza del gasto</w:t>
            </w:r>
          </w:p>
        </w:tc>
        <w:tc>
          <w:tcPr>
            <w:tcW w:type="dxa" w:w="296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sz w:val="18"/>
                <w:szCs w:val="18"/>
              </w:rPr>
              <w:t xml:space="preserve">Evitar incluir pares redundantes</w:t>
            </w:r>
          </w:p>
        </w:tc>
      </w:tr>
      <w:tr>
        <w:tc>
          <w:tcPr>
            <w:tcW w:type="dxa" w:w="27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sz w:val="18"/>
                <w:szCs w:val="18"/>
              </w:rPr>
              <w:t xml:space="preserve">Contradicciones lógicas</w:t>
            </w:r>
          </w:p>
        </w:tc>
        <w:tc>
          <w:tcPr>
            <w:tcW w:type="dxa" w:w="37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sz w:val="18"/>
                <w:szCs w:val="18"/>
              </w:rPr>
              <w:t xml:space="preserve">37 registros (p. ej. «paga sin pensarlo» con gasto 0)</w:t>
            </w:r>
          </w:p>
        </w:tc>
        <w:tc>
          <w:tcPr>
            <w:tcW w:type="dxa" w:w="296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sz w:val="18"/>
                <w:szCs w:val="18"/>
              </w:rPr>
              <w:t xml:space="preserve">Afectan la descripción, no el modelo; se conservaron</w:t>
            </w:r>
          </w:p>
        </w:tc>
      </w:tr>
      <w:tr>
        <w:tc>
          <w:tcPr>
            <w:tcW w:type="dxa" w:w="27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sz w:val="18"/>
                <w:szCs w:val="18"/>
              </w:rPr>
              <w:t xml:space="preserve">Hojas con análisis previo</w:t>
            </w:r>
          </w:p>
        </w:tc>
        <w:tc>
          <w:tcPr>
            <w:tcW w:type="dxa" w:w="37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sz w:val="18"/>
                <w:szCs w:val="18"/>
              </w:rPr>
              <w:t xml:space="preserve">El archivo trae un K-means de la V2 (k = 4)</w:t>
            </w:r>
          </w:p>
        </w:tc>
        <w:tc>
          <w:tcPr>
            <w:tcW w:type="dxa" w:w="296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sz w:val="18"/>
                <w:szCs w:val="18"/>
              </w:rPr>
              <w:t xml:space="preserve">No se usó para no condicionar las decisiones</w:t>
            </w:r>
          </w:p>
        </w:tc>
      </w:tr>
    </w:tbl>
    <w:p>
      <w:pPr>
        <w:spacing w:after="200" w:before="60"/>
        <w:jc w:val="left"/>
      </w:pPr>
      <w:r>
        <w:rPr>
          <w:i/>
          <w:iCs/>
          <w:color w:val="5C5C5A"/>
          <w:sz w:val="18"/>
          <w:szCs w:val="18"/>
        </w:rPr>
        <w:t xml:space="preserve">Tabla 2. Auditoría de calidad. No se eliminó ni imputó ningún registro.</w:t>
      </w:r>
    </w:p>
    <w:p>
      <w:pPr>
        <w:pStyle w:val="Heading1"/>
        <w:keepNext/>
      </w:pPr>
      <w:r>
        <w:t xml:space="preserve">2. Variables de agrupamiento y justificación</w:t>
      </w:r>
    </w:p>
    <w:p>
      <w:pPr>
        <w:spacing w:after="120" w:line="276"/>
        <w:jc w:val="both"/>
      </w:pPr>
      <w:r>
        <w:t xml:space="preserve">Nuestro objetivo es descubrir segmentos por </w:t>
      </w:r>
      <w:r>
        <w:rPr>
          <w:b/>
          <w:bCs/>
        </w:rPr>
        <w:t xml:space="preserve">lo que la audiencia hace</w:t>
      </w:r>
      <w:r>
        <w:t xml:space="preserve"> (comportamiento digital observable) y </w:t>
      </w:r>
      <w:r>
        <w:rPr>
          <w:b/>
          <w:bCs/>
        </w:rPr>
        <w:t xml:space="preserve">por qué lo hace</w:t>
      </w:r>
      <w:r>
        <w:t xml:space="preserve"> (motivaciones según la teoría de Usos y Gratificaciones). Por eso combinamos variables de conducta con las seis escalas U&amp;G. Antes de decidir revisamos correlaciones (Pearson y Spearman) y multicolinealidad (VIF) entre todas las numéricas.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1900"/>
        <w:gridCol w:w="3260"/>
      </w:tblGrid>
      <w:tr>
        <w:trPr>
          <w:tblHeader/>
        </w:trPr>
        <w:tc>
          <w:tcPr>
            <w:tcW w:type="dxa" w:w="2500"/>
            <w:tcBorders>
              <w:top w:val="single" w:color="BFC4CC" w:sz="4"/>
              <w:left w:val="single" w:color="BFC4CC" w:sz="4"/>
              <w:bottom w:val="single" w:color="BFC4CC" w:sz="4"/>
              <w:right w:val="single" w:color="BFC4CC" w:sz="4"/>
            </w:tcBorders>
            <w:shd w:fill="323A4E" w:color="auto" w:val="clear"/>
            <w:tcMar>
              <w:top w:type="dxa" w:w="60"/>
              <w:left w:type="dxa" w:w="90"/>
              <w:bottom w:type="dxa" w:w="60"/>
              <w:right w:type="dxa" w:w="90"/>
            </w:tcMar>
            <w:vAlign w:val="center"/>
          </w:tcPr>
          <w:p>
            <w:pPr>
              <w:spacing w:after="40" w:line="252"/>
              <w:jc w:val="left"/>
            </w:pPr>
            <w:r>
              <w:rPr>
                <w:b/>
                <w:bCs/>
                <w:color w:val="FFFFFF"/>
                <w:sz w:val="18"/>
                <w:szCs w:val="18"/>
              </w:rPr>
              <w:t xml:space="preserve">Variable</w:t>
            </w:r>
          </w:p>
        </w:tc>
        <w:tc>
          <w:tcPr>
            <w:tcW w:type="dxa" w:w="1700"/>
            <w:tcBorders>
              <w:top w:val="single" w:color="BFC4CC" w:sz="4"/>
              <w:left w:val="single" w:color="BFC4CC" w:sz="4"/>
              <w:bottom w:val="single" w:color="BFC4CC" w:sz="4"/>
              <w:right w:val="single" w:color="BFC4CC" w:sz="4"/>
            </w:tcBorders>
            <w:shd w:fill="323A4E" w:color="auto" w:val="clear"/>
            <w:tcMar>
              <w:top w:type="dxa" w:w="60"/>
              <w:left w:type="dxa" w:w="90"/>
              <w:bottom w:type="dxa" w:w="60"/>
              <w:right w:type="dxa" w:w="90"/>
            </w:tcMar>
            <w:vAlign w:val="center"/>
          </w:tcPr>
          <w:p>
            <w:pPr>
              <w:spacing w:after="40" w:line="252"/>
              <w:jc w:val="left"/>
            </w:pPr>
            <w:r>
              <w:rPr>
                <w:b/>
                <w:bCs/>
                <w:color w:val="FFFFFF"/>
                <w:sz w:val="18"/>
                <w:szCs w:val="18"/>
              </w:rPr>
              <w:t xml:space="preserve">Dimensión</w:t>
            </w:r>
          </w:p>
        </w:tc>
        <w:tc>
          <w:tcPr>
            <w:tcW w:type="dxa" w:w="1900"/>
            <w:tcBorders>
              <w:top w:val="single" w:color="BFC4CC" w:sz="4"/>
              <w:left w:val="single" w:color="BFC4CC" w:sz="4"/>
              <w:bottom w:val="single" w:color="BFC4CC" w:sz="4"/>
              <w:right w:val="single" w:color="BFC4CC" w:sz="4"/>
            </w:tcBorders>
            <w:shd w:fill="323A4E" w:color="auto" w:val="clear"/>
            <w:tcMar>
              <w:top w:type="dxa" w:w="60"/>
              <w:left w:type="dxa" w:w="90"/>
              <w:bottom w:type="dxa" w:w="60"/>
              <w:right w:type="dxa" w:w="90"/>
            </w:tcMar>
            <w:vAlign w:val="center"/>
          </w:tcPr>
          <w:p>
            <w:pPr>
              <w:spacing w:after="40" w:line="252"/>
              <w:jc w:val="left"/>
            </w:pPr>
            <w:r>
              <w:rPr>
                <w:b/>
                <w:bCs/>
                <w:color w:val="FFFFFF"/>
                <w:sz w:val="18"/>
                <w:szCs w:val="18"/>
              </w:rPr>
              <w:t xml:space="preserve">Qué mide</w:t>
            </w:r>
          </w:p>
        </w:tc>
        <w:tc>
          <w:tcPr>
            <w:tcW w:type="dxa" w:w="3260"/>
            <w:tcBorders>
              <w:top w:val="single" w:color="BFC4CC" w:sz="4"/>
              <w:left w:val="single" w:color="BFC4CC" w:sz="4"/>
              <w:bottom w:val="single" w:color="BFC4CC" w:sz="4"/>
              <w:right w:val="single" w:color="BFC4CC" w:sz="4"/>
            </w:tcBorders>
            <w:shd w:fill="323A4E" w:color="auto" w:val="clear"/>
            <w:tcMar>
              <w:top w:type="dxa" w:w="60"/>
              <w:left w:type="dxa" w:w="90"/>
              <w:bottom w:type="dxa" w:w="60"/>
              <w:right w:type="dxa" w:w="90"/>
            </w:tcMar>
            <w:vAlign w:val="center"/>
          </w:tcPr>
          <w:p>
            <w:pPr>
              <w:spacing w:after="40" w:line="252"/>
              <w:jc w:val="left"/>
            </w:pPr>
            <w:r>
              <w:rPr>
                <w:b/>
                <w:bCs/>
                <w:color w:val="FFFFFF"/>
                <w:sz w:val="18"/>
                <w:szCs w:val="18"/>
              </w:rPr>
              <w:t xml:space="preserve">Por qué entra al K-means</w:t>
            </w:r>
          </w:p>
        </w:tc>
      </w:tr>
      <w:tr>
        <w:tc>
          <w:tcPr>
            <w:tcW w:type="dxa" w:w="25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bCs/>
                <w:sz w:val="18"/>
                <w:szCs w:val="18"/>
              </w:rPr>
              <w:t xml:space="preserve">horas_diarias_redes</w:t>
            </w:r>
          </w:p>
        </w:tc>
        <w:tc>
          <w:tcPr>
            <w:tcW w:type="dxa" w:w="17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8"/>
                <w:szCs w:val="18"/>
              </w:rPr>
              <w:t xml:space="preserve">Conducta · intensidad</w:t>
            </w:r>
          </w:p>
        </w:tc>
        <w:tc>
          <w:tcPr>
            <w:tcW w:type="dxa" w:w="19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8"/>
                <w:szCs w:val="18"/>
              </w:rPr>
              <w:t xml:space="preserve">Horas/día en redes</w:t>
            </w:r>
          </w:p>
        </w:tc>
        <w:tc>
          <w:tcPr>
            <w:tcW w:type="dxa" w:w="326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8"/>
                <w:szCs w:val="18"/>
              </w:rPr>
              <w:t xml:space="preserve">Principal medida de intensidad; distribución limpia (CV 0,38)</w:t>
            </w:r>
          </w:p>
        </w:tc>
      </w:tr>
      <w:tr>
        <w:tc>
          <w:tcPr>
            <w:tcW w:type="dxa" w:w="25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bCs/>
                <w:sz w:val="18"/>
                <w:szCs w:val="18"/>
              </w:rPr>
              <w:t xml:space="preserve">num_redes_usadas</w:t>
            </w:r>
          </w:p>
        </w:tc>
        <w:tc>
          <w:tcPr>
            <w:tcW w:type="dxa" w:w="17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8"/>
                <w:szCs w:val="18"/>
              </w:rPr>
              <w:t xml:space="preserve">Conducta · amplitud</w:t>
            </w:r>
          </w:p>
        </w:tc>
        <w:tc>
          <w:tcPr>
            <w:tcW w:type="dxa" w:w="19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8"/>
                <w:szCs w:val="18"/>
              </w:rPr>
              <w:t xml:space="preserve">Redes usadas al mes</w:t>
            </w:r>
          </w:p>
        </w:tc>
        <w:tc>
          <w:tcPr>
            <w:tcW w:type="dxa" w:w="326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8"/>
                <w:szCs w:val="18"/>
              </w:rPr>
              <w:t xml:space="preserve">Mide diversificación, distinta de la intensidad (r = 0,18 con horas)</w:t>
            </w:r>
          </w:p>
        </w:tc>
      </w:tr>
      <w:tr>
        <w:tc>
          <w:tcPr>
            <w:tcW w:type="dxa" w:w="25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bCs/>
                <w:sz w:val="18"/>
                <w:szCs w:val="18"/>
              </w:rPr>
              <w:t xml:space="preserve">gasto_mensual_contenido_cop</w:t>
            </w:r>
          </w:p>
        </w:tc>
        <w:tc>
          <w:tcPr>
            <w:tcW w:type="dxa" w:w="17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8"/>
                <w:szCs w:val="18"/>
              </w:rPr>
              <w:t xml:space="preserve">Conducta · monetización</w:t>
            </w:r>
          </w:p>
        </w:tc>
        <w:tc>
          <w:tcPr>
            <w:tcW w:type="dxa" w:w="19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8"/>
                <w:szCs w:val="18"/>
              </w:rPr>
              <w:t xml:space="preserve">COP/mes en contenido</w:t>
            </w:r>
          </w:p>
        </w:tc>
        <w:tc>
          <w:tcPr>
            <w:tcW w:type="dxa" w:w="326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8"/>
                <w:szCs w:val="18"/>
              </w:rPr>
              <w:t xml:space="preserve">Única medida de pago; casi independiente del resto (r ≈ 0)</w:t>
            </w:r>
          </w:p>
        </w:tc>
      </w:tr>
      <w:tr>
        <w:tc>
          <w:tcPr>
            <w:tcW w:type="dxa" w:w="25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bCs/>
                <w:sz w:val="18"/>
                <w:szCs w:val="18"/>
              </w:rPr>
              <w:t xml:space="preserve">ug_entretenimiento</w:t>
            </w:r>
          </w:p>
        </w:tc>
        <w:tc>
          <w:tcPr>
            <w:tcW w:type="dxa" w:w="17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8"/>
                <w:szCs w:val="18"/>
              </w:rPr>
              <w:t xml:space="preserve">U&amp;G</w:t>
            </w:r>
          </w:p>
        </w:tc>
        <w:tc>
          <w:tcPr>
            <w:tcW w:type="dxa" w:w="19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8"/>
                <w:szCs w:val="18"/>
              </w:rPr>
              <w:t xml:space="preserve">Diversión</w:t>
            </w:r>
          </w:p>
        </w:tc>
        <w:tc>
          <w:tcPr>
            <w:tcW w:type="dxa" w:w="326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8"/>
                <w:szCs w:val="18"/>
              </w:rPr>
              <w:t xml:space="preserve">Dimensión central del marco U&amp;G (baja variabilidad, se acepta por coherencia teórica)</w:t>
            </w:r>
          </w:p>
        </w:tc>
      </w:tr>
      <w:tr>
        <w:tc>
          <w:tcPr>
            <w:tcW w:type="dxa" w:w="25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bCs/>
                <w:sz w:val="18"/>
                <w:szCs w:val="18"/>
              </w:rPr>
              <w:t xml:space="preserve">ug_informacion</w:t>
            </w:r>
          </w:p>
        </w:tc>
        <w:tc>
          <w:tcPr>
            <w:tcW w:type="dxa" w:w="17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8"/>
                <w:szCs w:val="18"/>
              </w:rPr>
              <w:t xml:space="preserve">U&amp;G</w:t>
            </w:r>
          </w:p>
        </w:tc>
        <w:tc>
          <w:tcPr>
            <w:tcW w:type="dxa" w:w="19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8"/>
                <w:szCs w:val="18"/>
              </w:rPr>
              <w:t xml:space="preserve">Información / vigilancia</w:t>
            </w:r>
          </w:p>
        </w:tc>
        <w:tc>
          <w:tcPr>
            <w:tcW w:type="dxa" w:w="326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8"/>
                <w:szCs w:val="18"/>
              </w:rPr>
              <w:t xml:space="preserve">Buena dispersión; dimensión independiente</w:t>
            </w:r>
          </w:p>
        </w:tc>
      </w:tr>
      <w:tr>
        <w:tc>
          <w:tcPr>
            <w:tcW w:type="dxa" w:w="25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bCs/>
                <w:sz w:val="18"/>
                <w:szCs w:val="18"/>
              </w:rPr>
              <w:t xml:space="preserve">ug_identidad</w:t>
            </w:r>
          </w:p>
        </w:tc>
        <w:tc>
          <w:tcPr>
            <w:tcW w:type="dxa" w:w="17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8"/>
                <w:szCs w:val="18"/>
              </w:rPr>
              <w:t xml:space="preserve">U&amp;G</w:t>
            </w:r>
          </w:p>
        </w:tc>
        <w:tc>
          <w:tcPr>
            <w:tcW w:type="dxa" w:w="19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8"/>
                <w:szCs w:val="18"/>
              </w:rPr>
              <w:t xml:space="preserve">Identidad / autoexpresión</w:t>
            </w:r>
          </w:p>
        </w:tc>
        <w:tc>
          <w:tcPr>
            <w:tcW w:type="dxa" w:w="326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8"/>
                <w:szCs w:val="18"/>
              </w:rPr>
              <w:t xml:space="preserve">La escala más dispersa (DE 0,98)</w:t>
            </w:r>
          </w:p>
        </w:tc>
      </w:tr>
      <w:tr>
        <w:tc>
          <w:tcPr>
            <w:tcW w:type="dxa" w:w="25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bCs/>
                <w:sz w:val="18"/>
                <w:szCs w:val="18"/>
              </w:rPr>
              <w:t xml:space="preserve">ug_interaccion_social</w:t>
            </w:r>
          </w:p>
        </w:tc>
        <w:tc>
          <w:tcPr>
            <w:tcW w:type="dxa" w:w="17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8"/>
                <w:szCs w:val="18"/>
              </w:rPr>
              <w:t xml:space="preserve">U&amp;G</w:t>
            </w:r>
          </w:p>
        </w:tc>
        <w:tc>
          <w:tcPr>
            <w:tcW w:type="dxa" w:w="19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8"/>
                <w:szCs w:val="18"/>
              </w:rPr>
              <w:t xml:space="preserve">Integración social</w:t>
            </w:r>
          </w:p>
        </w:tc>
        <w:tc>
          <w:tcPr>
            <w:tcW w:type="dxa" w:w="326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8"/>
                <w:szCs w:val="18"/>
              </w:rPr>
              <w:t xml:space="preserve">Dimensión U&amp;G necesaria (usa niveles 2–5)</w:t>
            </w:r>
          </w:p>
        </w:tc>
      </w:tr>
      <w:tr>
        <w:tc>
          <w:tcPr>
            <w:tcW w:type="dxa" w:w="25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bCs/>
                <w:sz w:val="18"/>
                <w:szCs w:val="18"/>
              </w:rPr>
              <w:t xml:space="preserve">ug_evasion</w:t>
            </w:r>
          </w:p>
        </w:tc>
        <w:tc>
          <w:tcPr>
            <w:tcW w:type="dxa" w:w="17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8"/>
                <w:szCs w:val="18"/>
              </w:rPr>
              <w:t xml:space="preserve">U&amp;G</w:t>
            </w:r>
          </w:p>
        </w:tc>
        <w:tc>
          <w:tcPr>
            <w:tcW w:type="dxa" w:w="19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8"/>
                <w:szCs w:val="18"/>
              </w:rPr>
              <w:t xml:space="preserve">Evasión / escape</w:t>
            </w:r>
          </w:p>
        </w:tc>
        <w:tc>
          <w:tcPr>
            <w:tcW w:type="dxa" w:w="326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8"/>
                <w:szCs w:val="18"/>
              </w:rPr>
              <w:t xml:space="preserve">Buena dispersión; independiente</w:t>
            </w:r>
          </w:p>
        </w:tc>
      </w:tr>
      <w:tr>
        <w:tc>
          <w:tcPr>
            <w:tcW w:type="dxa" w:w="25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bCs/>
                <w:sz w:val="18"/>
                <w:szCs w:val="18"/>
              </w:rPr>
              <w:t xml:space="preserve">ug_pasar_tiempo</w:t>
            </w:r>
          </w:p>
        </w:tc>
        <w:tc>
          <w:tcPr>
            <w:tcW w:type="dxa" w:w="17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8"/>
                <w:szCs w:val="18"/>
              </w:rPr>
              <w:t xml:space="preserve">U&amp;G</w:t>
            </w:r>
          </w:p>
        </w:tc>
        <w:tc>
          <w:tcPr>
            <w:tcW w:type="dxa" w:w="19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8"/>
                <w:szCs w:val="18"/>
              </w:rPr>
              <w:t xml:space="preserve">Hábito / pasatiempo</w:t>
            </w:r>
          </w:p>
        </w:tc>
        <w:tc>
          <w:tcPr>
            <w:tcW w:type="dxa" w:w="326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8"/>
                <w:szCs w:val="18"/>
              </w:rPr>
              <w:t xml:space="preserve">Dimensión de hábito; dispersión aceptable</w:t>
            </w:r>
          </w:p>
        </w:tc>
      </w:tr>
    </w:tbl>
    <w:p>
      <w:pPr>
        <w:spacing w:after="200" w:before="60"/>
        <w:jc w:val="left"/>
      </w:pPr>
      <w:r>
        <w:rPr>
          <w:i/>
          <w:iCs/>
          <w:color w:val="5C5C5A"/>
          <w:sz w:val="18"/>
          <w:szCs w:val="18"/>
        </w:rPr>
        <w:t xml:space="preserve">Tabla 3. Las 9 variables seleccionadas. Las seis ug_* son casi independientes entre sí (|r| ≤ 0,11) y respecto de la conducta (|r| ≤ 0,18): cada una aporta información propia. VIF de las 9 variables: 1,01–1,09.</w:t>
      </w:r>
    </w:p>
    <w:p>
      <w:pPr>
        <w:pStyle w:val="Heading3"/>
        <w:keepNext/>
      </w:pPr>
      <w:r>
        <w:t xml:space="preserve">Variables numéricas excluidas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C4CC" w:sz="4"/>
              <w:left w:val="single" w:color="BFC4CC" w:sz="4"/>
              <w:bottom w:val="single" w:color="BFC4CC" w:sz="4"/>
              <w:right w:val="single" w:color="BFC4CC" w:sz="4"/>
            </w:tcBorders>
            <w:shd w:fill="323A4E" w:color="auto" w:val="clear"/>
            <w:tcMar>
              <w:top w:type="dxa" w:w="60"/>
              <w:left w:type="dxa" w:w="90"/>
              <w:bottom w:type="dxa" w:w="60"/>
              <w:right w:type="dxa" w:w="90"/>
            </w:tcMar>
            <w:vAlign w:val="center"/>
          </w:tcPr>
          <w:p>
            <w:pPr>
              <w:spacing w:after="40" w:line="252"/>
              <w:jc w:val="left"/>
            </w:pPr>
            <w:r>
              <w:rPr>
                <w:b/>
                <w:bCs/>
                <w:color w:val="FFFFFF"/>
                <w:sz w:val="18"/>
                <w:szCs w:val="18"/>
              </w:rPr>
              <w:t xml:space="preserve">Variable</w:t>
            </w:r>
          </w:p>
        </w:tc>
        <w:tc>
          <w:tcPr>
            <w:tcW w:type="dxa" w:w="6360"/>
            <w:tcBorders>
              <w:top w:val="single" w:color="BFC4CC" w:sz="4"/>
              <w:left w:val="single" w:color="BFC4CC" w:sz="4"/>
              <w:bottom w:val="single" w:color="BFC4CC" w:sz="4"/>
              <w:right w:val="single" w:color="BFC4CC" w:sz="4"/>
            </w:tcBorders>
            <w:shd w:fill="323A4E" w:color="auto" w:val="clear"/>
            <w:tcMar>
              <w:top w:type="dxa" w:w="60"/>
              <w:left w:type="dxa" w:w="90"/>
              <w:bottom w:type="dxa" w:w="60"/>
              <w:right w:type="dxa" w:w="90"/>
            </w:tcMar>
            <w:vAlign w:val="center"/>
          </w:tcPr>
          <w:p>
            <w:pPr>
              <w:spacing w:after="40" w:line="252"/>
              <w:jc w:val="left"/>
            </w:pPr>
            <w:r>
              <w:rPr>
                <w:b/>
                <w:bCs/>
                <w:color w:val="FFFFFF"/>
                <w:sz w:val="18"/>
                <w:szCs w:val="18"/>
              </w:rPr>
              <w:t xml:space="preserve">Motivo de exclusión</w:t>
            </w:r>
          </w:p>
        </w:tc>
      </w:tr>
      <w:tr>
        <w:tc>
          <w:tcPr>
            <w:tcW w:type="dxa" w:w="30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bCs/>
                <w:sz w:val="18"/>
                <w:szCs w:val="18"/>
              </w:rPr>
              <w:t xml:space="preserve">horas_video_dia</w:t>
            </w:r>
          </w:p>
        </w:tc>
        <w:tc>
          <w:tcPr>
            <w:tcW w:type="dxa" w:w="636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8"/>
                <w:szCs w:val="18"/>
              </w:rPr>
              <w:t xml:space="preserve">Mide la misma «intensidad de pantalla» que horas_diarias_redes (r = 0,73; R² = 0,54). Incluir ambas daba doble peso a la intensidad (VIF 2,2 → 1,08 al retirarla). Se usa como descriptor.</w:t>
            </w:r>
          </w:p>
        </w:tc>
      </w:tr>
      <w:tr>
        <w:tc>
          <w:tcPr>
            <w:tcW w:type="dxa" w:w="30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bCs/>
                <w:sz w:val="18"/>
                <w:szCs w:val="18"/>
              </w:rPr>
              <w:t xml:space="preserve">comparacion_social, nivel_fomo</w:t>
            </w:r>
          </w:p>
        </w:tc>
        <w:tc>
          <w:tcPr>
            <w:tcW w:type="dxa" w:w="636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8"/>
                <w:szCs w:val="18"/>
              </w:rPr>
              <w:t xml:space="preserve">No son escalas U&amp;G y funcionan como proxy de la edad (r = −0,56 y −0,64; el grupo etario explica el 42% de la varianza del FOMO). Incluirlas metería la edad «por la puerta de atrás». Se usan como descriptores.</w:t>
            </w:r>
          </w:p>
        </w:tc>
      </w:tr>
      <w:tr>
        <w:tc>
          <w:tcPr>
            <w:tcW w:type="dxa" w:w="30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bCs/>
                <w:sz w:val="18"/>
                <w:szCs w:val="18"/>
              </w:rPr>
              <w:t xml:space="preserve">edad, estrato (y género, nivel educativo, región)</w:t>
            </w:r>
          </w:p>
        </w:tc>
        <w:tc>
          <w:tcPr>
            <w:tcW w:type="dxa" w:w="636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8"/>
                <w:szCs w:val="18"/>
              </w:rPr>
              <w:t xml:space="preserve">Son demográficas: si entran, los grupos reflejarían las categorías introducidas y no patrones emergentes (segmentación a priori disfrazada).</w:t>
            </w:r>
          </w:p>
        </w:tc>
      </w:tr>
      <w:tr>
        <w:tc>
          <w:tcPr>
            <w:tcW w:type="dxa" w:w="30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bCs/>
                <w:sz w:val="18"/>
                <w:szCs w:val="18"/>
              </w:rPr>
              <w:t xml:space="preserve">Todas las categóricas (motivo_primario, necesidad_base, gratificacion_buscada, plataforma, vía de llegada…)</w:t>
            </w:r>
          </w:p>
        </w:tc>
        <w:tc>
          <w:tcPr>
            <w:tcW w:type="dxa" w:w="636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8"/>
                <w:szCs w:val="18"/>
              </w:rPr>
              <w:t xml:space="preserve">Nominales: K-means trabaja con distancias euclidianas y no puede tratarlas. Se reservan para el enriquecimiento.</w:t>
            </w:r>
          </w:p>
        </w:tc>
      </w:tr>
    </w:tbl>
    <w:p>
      <w:pPr>
        <w:spacing w:after="200" w:before="60"/>
        <w:jc w:val="left"/>
      </w:pPr>
      <w:r>
        <w:rPr>
          <w:i/>
          <w:iCs/>
          <w:color w:val="5C5C5A"/>
          <w:sz w:val="18"/>
          <w:szCs w:val="18"/>
        </w:rPr>
        <w:t xml:space="preserve">Tabla 4. Variables excluidas del agrupamiento y su uso posterior.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3FA" w:sz="4"/>
              <w:left w:val="single" w:color="2A78D6" w:sz="24"/>
              <w:bottom w:val="single" w:color="EEF3FA" w:sz="4"/>
              <w:right w:val="single" w:color="EEF3FA" w:sz="4"/>
            </w:tcBorders>
            <w:shd w:fill="EEF3FA" w:color="auto" w:val="clear"/>
            <w:tcMar>
              <w:top w:type="dxa" w:w="120"/>
              <w:left w:type="dxa" w:w="180"/>
              <w:bottom w:type="dxa" w:w="120"/>
              <w:right w:type="dxa" w:w="180"/>
            </w:tcMar>
          </w:tcPr>
          <w:p>
            <w:pPr>
              <w:spacing w:after="80"/>
            </w:pPr>
            <w:r>
              <w:rPr>
                <w:b/>
                <w:bCs/>
                <w:color w:val="323A4E"/>
                <w:sz w:val="21"/>
                <w:szCs w:val="21"/>
              </w:rPr>
              <w:t xml:space="preserve">Decisión del grupo · Paso 2</w:t>
            </w:r>
          </w:p>
          <w:p>
            <w:pPr>
              <w:spacing w:after="60" w:line="264"/>
              <w:jc w:val="left"/>
            </w:pPr>
            <w:r>
              <w:rPr>
                <w:sz w:val="20"/>
                <w:szCs w:val="20"/>
              </w:rPr>
              <w:t xml:space="preserve">Elegimos </w:t>
            </w:r>
            <w:r>
              <w:rPr>
                <w:b/>
                <w:bCs/>
                <w:sz w:val="20"/>
                <w:szCs w:val="20"/>
              </w:rPr>
              <w:t xml:space="preserve">9 variables</w:t>
            </w:r>
            <w:r>
              <w:rPr>
                <w:sz w:val="20"/>
                <w:szCs w:val="20"/>
              </w:rPr>
              <w:t xml:space="preserve">: tres de comportamiento (horas_diarias_redes, num_redes_usadas, gasto_mensual_contenido_cop) y las seis escalas ug_*. El agente propuso dos opciones (10 variables con horas_video_dia o 9 sin ella); escogimos la de 9 porque horas_video_dia repetía la intensidad de uso (r = 0,73) y el hábito audiovisual lo podemos describir después con binge_watching y patron_consumo. Así el modelo captura qué hace la audiencia (intensidad, amplitud, pago) y por qué lo hace (las seis gratificaciones U&amp;G), sin variables demográficas.</w:t>
            </w:r>
          </w:p>
        </w:tc>
      </w:tr>
    </w:tbl>
    <w:p>
      <w:pPr>
        <w:pStyle w:val="Heading1"/>
        <w:keepNext/>
      </w:pPr>
      <w:r>
        <w:t xml:space="preserve">3. Resultado del agrupamiento</w:t>
      </w:r>
    </w:p>
    <w:p>
      <w:pPr>
        <w:pStyle w:val="Heading2"/>
        <w:keepNext/>
      </w:pPr>
      <w:r>
        <w:t xml:space="preserve">3.1 Estandarización</w:t>
      </w:r>
    </w:p>
    <w:p>
      <w:pPr>
        <w:spacing w:after="120" w:line="276"/>
        <w:jc w:val="both"/>
      </w:pPr>
      <w:r>
        <w:t xml:space="preserve">K-means agrupa por distancia euclidiana. Sin estandarizar, el gasto (desviación de ≈27.000 pesos) aplastaría a las escalas Likert (desviación ≈0,7–1): una diferencia de mil pesos pesaría miles de veces más que pasar de 1 a 5 en una gratificación. Con </w:t>
      </w:r>
      <w:r>
        <w:rPr>
          <w:b/>
          <w:bCs/>
        </w:rPr>
        <w:t xml:space="preserve">StandardScaler</w:t>
      </w:r>
      <w:r>
        <w:t xml:space="preserve"> cada variable se transforma en z = (x − media) / desviación, de modo que todas quedan con media 0 y desviación 1 y aportan lo mismo a la distancia.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500"/>
        <w:gridCol w:w="1500"/>
        <w:gridCol w:w="1500"/>
        <w:gridCol w:w="1500"/>
      </w:tblGrid>
      <w:tr>
        <w:trPr>
          <w:tblHeader/>
        </w:trPr>
        <w:tc>
          <w:tcPr>
            <w:tcW w:type="dxa" w:w="3360"/>
            <w:tcBorders>
              <w:top w:val="single" w:color="BFC4CC" w:sz="4"/>
              <w:left w:val="single" w:color="BFC4CC" w:sz="4"/>
              <w:bottom w:val="single" w:color="BFC4CC" w:sz="4"/>
              <w:right w:val="single" w:color="BFC4CC" w:sz="4"/>
            </w:tcBorders>
            <w:shd w:fill="323A4E" w:color="auto" w:val="clear"/>
            <w:tcMar>
              <w:top w:type="dxa" w:w="60"/>
              <w:left w:type="dxa" w:w="90"/>
              <w:bottom w:type="dxa" w:w="60"/>
              <w:right w:type="dxa" w:w="90"/>
            </w:tcMar>
            <w:vAlign w:val="center"/>
          </w:tcPr>
          <w:p>
            <w:pPr>
              <w:spacing w:after="40" w:line="252"/>
              <w:jc w:val="left"/>
            </w:pPr>
            <w:r>
              <w:rPr>
                <w:b/>
                <w:bCs/>
                <w:color w:val="FFFFFF"/>
                <w:sz w:val="18"/>
                <w:szCs w:val="18"/>
              </w:rPr>
              <w:t xml:space="preserve">Variable</w:t>
            </w:r>
          </w:p>
        </w:tc>
        <w:tc>
          <w:tcPr>
            <w:tcW w:type="dxa" w:w="1500"/>
            <w:tcBorders>
              <w:top w:val="single" w:color="BFC4CC" w:sz="4"/>
              <w:left w:val="single" w:color="BFC4CC" w:sz="4"/>
              <w:bottom w:val="single" w:color="BFC4CC" w:sz="4"/>
              <w:right w:val="single" w:color="BFC4CC" w:sz="4"/>
            </w:tcBorders>
            <w:shd w:fill="323A4E" w:color="auto" w:val="clear"/>
            <w:tcMar>
              <w:top w:type="dxa" w:w="60"/>
              <w:left w:type="dxa" w:w="90"/>
              <w:bottom w:type="dxa" w:w="60"/>
              <w:right w:type="dxa" w:w="90"/>
            </w:tcMar>
            <w:vAlign w:val="center"/>
          </w:tcPr>
          <w:p>
            <w:pPr>
              <w:spacing w:after="40" w:line="252"/>
              <w:jc w:val="left"/>
            </w:pPr>
            <w:r>
              <w:rPr>
                <w:b/>
                <w:bCs/>
                <w:color w:val="FFFFFF"/>
                <w:sz w:val="18"/>
                <w:szCs w:val="18"/>
              </w:rPr>
              <w:t xml:space="preserve">Media antes</w:t>
            </w:r>
          </w:p>
        </w:tc>
        <w:tc>
          <w:tcPr>
            <w:tcW w:type="dxa" w:w="1500"/>
            <w:tcBorders>
              <w:top w:val="single" w:color="BFC4CC" w:sz="4"/>
              <w:left w:val="single" w:color="BFC4CC" w:sz="4"/>
              <w:bottom w:val="single" w:color="BFC4CC" w:sz="4"/>
              <w:right w:val="single" w:color="BFC4CC" w:sz="4"/>
            </w:tcBorders>
            <w:shd w:fill="323A4E" w:color="auto" w:val="clear"/>
            <w:tcMar>
              <w:top w:type="dxa" w:w="60"/>
              <w:left w:type="dxa" w:w="90"/>
              <w:bottom w:type="dxa" w:w="60"/>
              <w:right w:type="dxa" w:w="90"/>
            </w:tcMar>
            <w:vAlign w:val="center"/>
          </w:tcPr>
          <w:p>
            <w:pPr>
              <w:spacing w:after="40" w:line="252"/>
              <w:jc w:val="left"/>
            </w:pPr>
            <w:r>
              <w:rPr>
                <w:b/>
                <w:bCs/>
                <w:color w:val="FFFFFF"/>
                <w:sz w:val="18"/>
                <w:szCs w:val="18"/>
              </w:rPr>
              <w:t xml:space="preserve">DE antes</w:t>
            </w:r>
          </w:p>
        </w:tc>
        <w:tc>
          <w:tcPr>
            <w:tcW w:type="dxa" w:w="1500"/>
            <w:tcBorders>
              <w:top w:val="single" w:color="BFC4CC" w:sz="4"/>
              <w:left w:val="single" w:color="BFC4CC" w:sz="4"/>
              <w:bottom w:val="single" w:color="BFC4CC" w:sz="4"/>
              <w:right w:val="single" w:color="BFC4CC" w:sz="4"/>
            </w:tcBorders>
            <w:shd w:fill="323A4E" w:color="auto" w:val="clear"/>
            <w:tcMar>
              <w:top w:type="dxa" w:w="60"/>
              <w:left w:type="dxa" w:w="90"/>
              <w:bottom w:type="dxa" w:w="60"/>
              <w:right w:type="dxa" w:w="90"/>
            </w:tcMar>
            <w:vAlign w:val="center"/>
          </w:tcPr>
          <w:p>
            <w:pPr>
              <w:spacing w:after="40" w:line="252"/>
              <w:jc w:val="left"/>
            </w:pPr>
            <w:r>
              <w:rPr>
                <w:b/>
                <w:bCs/>
                <w:color w:val="FFFFFF"/>
                <w:sz w:val="18"/>
                <w:szCs w:val="18"/>
              </w:rPr>
              <w:t xml:space="preserve">Media después</w:t>
            </w:r>
          </w:p>
        </w:tc>
        <w:tc>
          <w:tcPr>
            <w:tcW w:type="dxa" w:w="1500"/>
            <w:tcBorders>
              <w:top w:val="single" w:color="BFC4CC" w:sz="4"/>
              <w:left w:val="single" w:color="BFC4CC" w:sz="4"/>
              <w:bottom w:val="single" w:color="BFC4CC" w:sz="4"/>
              <w:right w:val="single" w:color="BFC4CC" w:sz="4"/>
            </w:tcBorders>
            <w:shd w:fill="323A4E" w:color="auto" w:val="clear"/>
            <w:tcMar>
              <w:top w:type="dxa" w:w="60"/>
              <w:left w:type="dxa" w:w="90"/>
              <w:bottom w:type="dxa" w:w="60"/>
              <w:right w:type="dxa" w:w="90"/>
            </w:tcMar>
            <w:vAlign w:val="center"/>
          </w:tcPr>
          <w:p>
            <w:pPr>
              <w:spacing w:after="40" w:line="252"/>
              <w:jc w:val="left"/>
            </w:pPr>
            <w:r>
              <w:rPr>
                <w:b/>
                <w:bCs/>
                <w:color w:val="FFFFFF"/>
                <w:sz w:val="18"/>
                <w:szCs w:val="18"/>
              </w:rPr>
              <w:t xml:space="preserve">DE después</w:t>
            </w:r>
          </w:p>
        </w:tc>
      </w:tr>
      <w:tr>
        <w:tc>
          <w:tcPr>
            <w:tcW w:type="dxa" w:w="336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bCs/>
                <w:sz w:val="18"/>
                <w:szCs w:val="18"/>
              </w:rPr>
              <w:t xml:space="preserve">horas_diarias_redes</w:t>
            </w:r>
          </w:p>
        </w:tc>
        <w:tc>
          <w:tcPr>
            <w:tcW w:type="dxa" w:w="15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3,505</w:t>
            </w:r>
          </w:p>
        </w:tc>
        <w:tc>
          <w:tcPr>
            <w:tcW w:type="dxa" w:w="15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1,332</w:t>
            </w:r>
          </w:p>
        </w:tc>
        <w:tc>
          <w:tcPr>
            <w:tcW w:type="dxa" w:w="15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0,000</w:t>
            </w:r>
          </w:p>
        </w:tc>
        <w:tc>
          <w:tcPr>
            <w:tcW w:type="dxa" w:w="15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1,000</w:t>
            </w:r>
          </w:p>
        </w:tc>
      </w:tr>
      <w:tr>
        <w:tc>
          <w:tcPr>
            <w:tcW w:type="dxa" w:w="336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bCs/>
                <w:sz w:val="18"/>
                <w:szCs w:val="18"/>
              </w:rPr>
              <w:t xml:space="preserve">num_redes_usadas</w:t>
            </w:r>
          </w:p>
        </w:tc>
        <w:tc>
          <w:tcPr>
            <w:tcW w:type="dxa" w:w="15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5,229</w:t>
            </w:r>
          </w:p>
        </w:tc>
        <w:tc>
          <w:tcPr>
            <w:tcW w:type="dxa" w:w="15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1,711</w:t>
            </w:r>
          </w:p>
        </w:tc>
        <w:tc>
          <w:tcPr>
            <w:tcW w:type="dxa" w:w="15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0,000</w:t>
            </w:r>
          </w:p>
        </w:tc>
        <w:tc>
          <w:tcPr>
            <w:tcW w:type="dxa" w:w="15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1,000</w:t>
            </w:r>
          </w:p>
        </w:tc>
      </w:tr>
      <w:tr>
        <w:tc>
          <w:tcPr>
            <w:tcW w:type="dxa" w:w="336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bCs/>
                <w:sz w:val="18"/>
                <w:szCs w:val="18"/>
              </w:rPr>
              <w:t xml:space="preserve">gasto_mensual_contenido_cop</w:t>
            </w:r>
          </w:p>
        </w:tc>
        <w:tc>
          <w:tcPr>
            <w:tcW w:type="dxa" w:w="15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21.924,28</w:t>
            </w:r>
          </w:p>
        </w:tc>
        <w:tc>
          <w:tcPr>
            <w:tcW w:type="dxa" w:w="15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27.367,55</w:t>
            </w:r>
          </w:p>
        </w:tc>
        <w:tc>
          <w:tcPr>
            <w:tcW w:type="dxa" w:w="15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0,000</w:t>
            </w:r>
          </w:p>
        </w:tc>
        <w:tc>
          <w:tcPr>
            <w:tcW w:type="dxa" w:w="15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1,000</w:t>
            </w:r>
          </w:p>
        </w:tc>
      </w:tr>
      <w:tr>
        <w:tc>
          <w:tcPr>
            <w:tcW w:type="dxa" w:w="336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bCs/>
                <w:sz w:val="18"/>
                <w:szCs w:val="18"/>
              </w:rPr>
              <w:t xml:space="preserve">ug_entretenimiento</w:t>
            </w:r>
          </w:p>
        </w:tc>
        <w:tc>
          <w:tcPr>
            <w:tcW w:type="dxa" w:w="15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4,137</w:t>
            </w:r>
          </w:p>
        </w:tc>
        <w:tc>
          <w:tcPr>
            <w:tcW w:type="dxa" w:w="15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0,718</w:t>
            </w:r>
          </w:p>
        </w:tc>
        <w:tc>
          <w:tcPr>
            <w:tcW w:type="dxa" w:w="15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0,000</w:t>
            </w:r>
          </w:p>
        </w:tc>
        <w:tc>
          <w:tcPr>
            <w:tcW w:type="dxa" w:w="15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1,000</w:t>
            </w:r>
          </w:p>
        </w:tc>
      </w:tr>
      <w:tr>
        <w:tc>
          <w:tcPr>
            <w:tcW w:type="dxa" w:w="336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bCs/>
                <w:sz w:val="18"/>
                <w:szCs w:val="18"/>
              </w:rPr>
              <w:t xml:space="preserve">ug_informacion</w:t>
            </w:r>
          </w:p>
        </w:tc>
        <w:tc>
          <w:tcPr>
            <w:tcW w:type="dxa" w:w="15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3,648</w:t>
            </w:r>
          </w:p>
        </w:tc>
        <w:tc>
          <w:tcPr>
            <w:tcW w:type="dxa" w:w="15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0,948</w:t>
            </w:r>
          </w:p>
        </w:tc>
        <w:tc>
          <w:tcPr>
            <w:tcW w:type="dxa" w:w="15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0,000</w:t>
            </w:r>
          </w:p>
        </w:tc>
        <w:tc>
          <w:tcPr>
            <w:tcW w:type="dxa" w:w="15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1,000</w:t>
            </w:r>
          </w:p>
        </w:tc>
      </w:tr>
      <w:tr>
        <w:tc>
          <w:tcPr>
            <w:tcW w:type="dxa" w:w="336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bCs/>
                <w:sz w:val="18"/>
                <w:szCs w:val="18"/>
              </w:rPr>
              <w:t xml:space="preserve">ug_identidad</w:t>
            </w:r>
          </w:p>
        </w:tc>
        <w:tc>
          <w:tcPr>
            <w:tcW w:type="dxa" w:w="15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3,352</w:t>
            </w:r>
          </w:p>
        </w:tc>
        <w:tc>
          <w:tcPr>
            <w:tcW w:type="dxa" w:w="15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0,980</w:t>
            </w:r>
          </w:p>
        </w:tc>
        <w:tc>
          <w:tcPr>
            <w:tcW w:type="dxa" w:w="15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0,000</w:t>
            </w:r>
          </w:p>
        </w:tc>
        <w:tc>
          <w:tcPr>
            <w:tcW w:type="dxa" w:w="15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1,000</w:t>
            </w:r>
          </w:p>
        </w:tc>
      </w:tr>
      <w:tr>
        <w:tc>
          <w:tcPr>
            <w:tcW w:type="dxa" w:w="336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bCs/>
                <w:sz w:val="18"/>
                <w:szCs w:val="18"/>
              </w:rPr>
              <w:t xml:space="preserve">ug_interaccion_social</w:t>
            </w:r>
          </w:p>
        </w:tc>
        <w:tc>
          <w:tcPr>
            <w:tcW w:type="dxa" w:w="15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3,947</w:t>
            </w:r>
          </w:p>
        </w:tc>
        <w:tc>
          <w:tcPr>
            <w:tcW w:type="dxa" w:w="15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0,782</w:t>
            </w:r>
          </w:p>
        </w:tc>
        <w:tc>
          <w:tcPr>
            <w:tcW w:type="dxa" w:w="15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0,000</w:t>
            </w:r>
          </w:p>
        </w:tc>
        <w:tc>
          <w:tcPr>
            <w:tcW w:type="dxa" w:w="15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1,000</w:t>
            </w:r>
          </w:p>
        </w:tc>
      </w:tr>
      <w:tr>
        <w:tc>
          <w:tcPr>
            <w:tcW w:type="dxa" w:w="336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bCs/>
                <w:sz w:val="18"/>
                <w:szCs w:val="18"/>
              </w:rPr>
              <w:t xml:space="preserve">ug_evasion</w:t>
            </w:r>
          </w:p>
        </w:tc>
        <w:tc>
          <w:tcPr>
            <w:tcW w:type="dxa" w:w="15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3,561</w:t>
            </w:r>
          </w:p>
        </w:tc>
        <w:tc>
          <w:tcPr>
            <w:tcW w:type="dxa" w:w="15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0,866</w:t>
            </w:r>
          </w:p>
        </w:tc>
        <w:tc>
          <w:tcPr>
            <w:tcW w:type="dxa" w:w="15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0,000</w:t>
            </w:r>
          </w:p>
        </w:tc>
        <w:tc>
          <w:tcPr>
            <w:tcW w:type="dxa" w:w="15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1,000</w:t>
            </w:r>
          </w:p>
        </w:tc>
      </w:tr>
      <w:tr>
        <w:tc>
          <w:tcPr>
            <w:tcW w:type="dxa" w:w="336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bCs/>
                <w:sz w:val="18"/>
                <w:szCs w:val="18"/>
              </w:rPr>
              <w:t xml:space="preserve">ug_pasar_tiempo</w:t>
            </w:r>
          </w:p>
        </w:tc>
        <w:tc>
          <w:tcPr>
            <w:tcW w:type="dxa" w:w="15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3,864</w:t>
            </w:r>
          </w:p>
        </w:tc>
        <w:tc>
          <w:tcPr>
            <w:tcW w:type="dxa" w:w="15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0,798</w:t>
            </w:r>
          </w:p>
        </w:tc>
        <w:tc>
          <w:tcPr>
            <w:tcW w:type="dxa" w:w="15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0,000</w:t>
            </w:r>
          </w:p>
        </w:tc>
        <w:tc>
          <w:tcPr>
            <w:tcW w:type="dxa" w:w="15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1,000</w:t>
            </w:r>
          </w:p>
        </w:tc>
      </w:tr>
    </w:tbl>
    <w:p>
      <w:pPr>
        <w:spacing w:after="200" w:before="60"/>
        <w:jc w:val="left"/>
      </w:pPr>
      <w:r>
        <w:rPr>
          <w:i/>
          <w:iCs/>
          <w:color w:val="5C5C5A"/>
          <w:sz w:val="18"/>
          <w:szCs w:val="18"/>
        </w:rPr>
        <w:t xml:space="preserve">Tabla 5. Antes y después de estandarizar (StandardScaler usa la desviación poblacional, n).</w:t>
      </w:r>
    </w:p>
    <w:p>
      <w:pPr>
        <w:pStyle w:val="Heading2"/>
        <w:keepNext/>
      </w:pPr>
      <w:r>
        <w:t xml:space="preserve">3.2 Configuración y primera ejecución (k = 4)</w:t>
      </w:r>
    </w:p>
    <w:p>
      <w:pPr>
        <w:spacing w:after="120" w:line="276"/>
        <w:jc w:val="both"/>
      </w:pPr>
      <w:r>
        <w:t xml:space="preserve">Modelo: </w:t>
      </w:r>
      <w:r>
        <w:rPr>
          <w:b/>
          <w:bCs/>
        </w:rPr>
        <w:t xml:space="preserve">KMeans(n_clusters = k, init = "k-means++", n_init = 10, random_state = 42)</w:t>
      </w:r>
      <w:r>
        <w:t xml:space="preserve">. Con k = 4 como punto de partida se obtuvieron grupos de 26,0%, 33,1%, 25,7% y 15,2%, una inercia de 6.960,91 y una </w:t>
      </w:r>
      <w:r>
        <w:rPr>
          <w:b/>
          <w:bCs/>
        </w:rPr>
        <w:t xml:space="preserve">silueta de 0,097</w:t>
      </w:r>
      <w:r>
        <w:t xml:space="preserve">. Además, al cambiar la semilla la partición cambiaba bastante (índice de Rand ajustado, ARI, entre 0,43 y 0,87), lo que indicaba que k = 4 no era estable. Por eso evaluamos un rango de k.</w:t>
      </w:r>
    </w:p>
    <w:p>
      <w:pPr>
        <w:pStyle w:val="Heading2"/>
        <w:keepNext/>
      </w:pPr>
      <w:r>
        <w:t xml:space="preserve">3.3 Evaluación de k (de 2 a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150"/>
        <w:gridCol w:w="1150"/>
        <w:gridCol w:w="900"/>
        <w:gridCol w:w="1150"/>
        <w:gridCol w:w="1050"/>
        <w:gridCol w:w="1260"/>
        <w:gridCol w:w="2200"/>
      </w:tblGrid>
      <w:tr>
        <w:trPr>
          <w:tblHeader/>
        </w:trPr>
        <w:tc>
          <w:tcPr>
            <w:tcW w:type="dxa" w:w="500"/>
            <w:tcBorders>
              <w:top w:val="single" w:color="BFC4CC" w:sz="4"/>
              <w:left w:val="single" w:color="BFC4CC" w:sz="4"/>
              <w:bottom w:val="single" w:color="BFC4CC" w:sz="4"/>
              <w:right w:val="single" w:color="BFC4CC" w:sz="4"/>
            </w:tcBorders>
            <w:shd w:fill="323A4E" w:color="auto" w:val="clear"/>
            <w:tcMar>
              <w:top w:type="dxa" w:w="60"/>
              <w:left w:type="dxa" w:w="90"/>
              <w:bottom w:type="dxa" w:w="60"/>
              <w:right w:type="dxa" w:w="90"/>
            </w:tcMar>
            <w:vAlign w:val="center"/>
          </w:tcPr>
          <w:p>
            <w:pPr>
              <w:spacing w:after="40" w:line="252"/>
              <w:jc w:val="left"/>
            </w:pPr>
            <w:r>
              <w:rPr>
                <w:b/>
                <w:bCs/>
                <w:color w:val="FFFFFF"/>
                <w:sz w:val="17"/>
                <w:szCs w:val="17"/>
              </w:rPr>
              <w:t xml:space="preserve">k</w:t>
            </w:r>
          </w:p>
        </w:tc>
        <w:tc>
          <w:tcPr>
            <w:tcW w:type="dxa" w:w="1150"/>
            <w:tcBorders>
              <w:top w:val="single" w:color="BFC4CC" w:sz="4"/>
              <w:left w:val="single" w:color="BFC4CC" w:sz="4"/>
              <w:bottom w:val="single" w:color="BFC4CC" w:sz="4"/>
              <w:right w:val="single" w:color="BFC4CC" w:sz="4"/>
            </w:tcBorders>
            <w:shd w:fill="323A4E" w:color="auto" w:val="clear"/>
            <w:tcMar>
              <w:top w:type="dxa" w:w="60"/>
              <w:left w:type="dxa" w:w="90"/>
              <w:bottom w:type="dxa" w:w="60"/>
              <w:right w:type="dxa" w:w="90"/>
            </w:tcMar>
            <w:vAlign w:val="center"/>
          </w:tcPr>
          <w:p>
            <w:pPr>
              <w:spacing w:after="40" w:line="252"/>
              <w:jc w:val="left"/>
            </w:pPr>
            <w:r>
              <w:rPr>
                <w:b/>
                <w:bCs/>
                <w:color w:val="FFFFFF"/>
                <w:sz w:val="17"/>
                <w:szCs w:val="17"/>
              </w:rPr>
              <w:t xml:space="preserve">Inercia (WSS)</w:t>
            </w:r>
          </w:p>
        </w:tc>
        <w:tc>
          <w:tcPr>
            <w:tcW w:type="dxa" w:w="1150"/>
            <w:tcBorders>
              <w:top w:val="single" w:color="BFC4CC" w:sz="4"/>
              <w:left w:val="single" w:color="BFC4CC" w:sz="4"/>
              <w:bottom w:val="single" w:color="BFC4CC" w:sz="4"/>
              <w:right w:val="single" w:color="BFC4CC" w:sz="4"/>
            </w:tcBorders>
            <w:shd w:fill="323A4E" w:color="auto" w:val="clear"/>
            <w:tcMar>
              <w:top w:type="dxa" w:w="60"/>
              <w:left w:type="dxa" w:w="90"/>
              <w:bottom w:type="dxa" w:w="60"/>
              <w:right w:type="dxa" w:w="90"/>
            </w:tcMar>
            <w:vAlign w:val="center"/>
          </w:tcPr>
          <w:p>
            <w:pPr>
              <w:spacing w:after="40" w:line="252"/>
              <w:jc w:val="left"/>
            </w:pPr>
            <w:r>
              <w:rPr>
                <w:b/>
                <w:bCs/>
                <w:color w:val="FFFFFF"/>
                <w:sz w:val="17"/>
                <w:szCs w:val="17"/>
              </w:rPr>
              <w:t xml:space="preserve">Reducción vs. k−1</w:t>
            </w:r>
          </w:p>
        </w:tc>
        <w:tc>
          <w:tcPr>
            <w:tcW w:type="dxa" w:w="900"/>
            <w:tcBorders>
              <w:top w:val="single" w:color="BFC4CC" w:sz="4"/>
              <w:left w:val="single" w:color="BFC4CC" w:sz="4"/>
              <w:bottom w:val="single" w:color="BFC4CC" w:sz="4"/>
              <w:right w:val="single" w:color="BFC4CC" w:sz="4"/>
            </w:tcBorders>
            <w:shd w:fill="323A4E" w:color="auto" w:val="clear"/>
            <w:tcMar>
              <w:top w:type="dxa" w:w="60"/>
              <w:left w:type="dxa" w:w="90"/>
              <w:bottom w:type="dxa" w:w="60"/>
              <w:right w:type="dxa" w:w="90"/>
            </w:tcMar>
            <w:vAlign w:val="center"/>
          </w:tcPr>
          <w:p>
            <w:pPr>
              <w:spacing w:after="40" w:line="252"/>
              <w:jc w:val="left"/>
            </w:pPr>
            <w:r>
              <w:rPr>
                <w:b/>
                <w:bCs/>
                <w:color w:val="FFFFFF"/>
                <w:sz w:val="17"/>
                <w:szCs w:val="17"/>
              </w:rPr>
              <w:t xml:space="preserve">Silueta</w:t>
            </w:r>
          </w:p>
        </w:tc>
        <w:tc>
          <w:tcPr>
            <w:tcW w:type="dxa" w:w="1150"/>
            <w:tcBorders>
              <w:top w:val="single" w:color="BFC4CC" w:sz="4"/>
              <w:left w:val="single" w:color="BFC4CC" w:sz="4"/>
              <w:bottom w:val="single" w:color="BFC4CC" w:sz="4"/>
              <w:right w:val="single" w:color="BFC4CC" w:sz="4"/>
            </w:tcBorders>
            <w:shd w:fill="323A4E" w:color="auto" w:val="clear"/>
            <w:tcMar>
              <w:top w:type="dxa" w:w="60"/>
              <w:left w:type="dxa" w:w="90"/>
              <w:bottom w:type="dxa" w:w="60"/>
              <w:right w:type="dxa" w:w="90"/>
            </w:tcMar>
            <w:vAlign w:val="center"/>
          </w:tcPr>
          <w:p>
            <w:pPr>
              <w:spacing w:after="40" w:line="252"/>
              <w:jc w:val="left"/>
            </w:pPr>
            <w:r>
              <w:rPr>
                <w:b/>
                <w:bCs/>
                <w:color w:val="FFFFFF"/>
                <w:sz w:val="17"/>
                <w:szCs w:val="17"/>
              </w:rPr>
              <w:t xml:space="preserve">Calinski-Harabasz</w:t>
            </w:r>
          </w:p>
        </w:tc>
        <w:tc>
          <w:tcPr>
            <w:tcW w:type="dxa" w:w="1050"/>
            <w:tcBorders>
              <w:top w:val="single" w:color="BFC4CC" w:sz="4"/>
              <w:left w:val="single" w:color="BFC4CC" w:sz="4"/>
              <w:bottom w:val="single" w:color="BFC4CC" w:sz="4"/>
              <w:right w:val="single" w:color="BFC4CC" w:sz="4"/>
            </w:tcBorders>
            <w:shd w:fill="323A4E" w:color="auto" w:val="clear"/>
            <w:tcMar>
              <w:top w:type="dxa" w:w="60"/>
              <w:left w:type="dxa" w:w="90"/>
              <w:bottom w:type="dxa" w:w="60"/>
              <w:right w:type="dxa" w:w="90"/>
            </w:tcMar>
            <w:vAlign w:val="center"/>
          </w:tcPr>
          <w:p>
            <w:pPr>
              <w:spacing w:after="40" w:line="252"/>
              <w:jc w:val="left"/>
            </w:pPr>
            <w:r>
              <w:rPr>
                <w:b/>
                <w:bCs/>
                <w:color w:val="FFFFFF"/>
                <w:sz w:val="17"/>
                <w:szCs w:val="17"/>
              </w:rPr>
              <w:t xml:space="preserve">Davies-Bouldin</w:t>
            </w:r>
          </w:p>
        </w:tc>
        <w:tc>
          <w:tcPr>
            <w:tcW w:type="dxa" w:w="1260"/>
            <w:tcBorders>
              <w:top w:val="single" w:color="BFC4CC" w:sz="4"/>
              <w:left w:val="single" w:color="BFC4CC" w:sz="4"/>
              <w:bottom w:val="single" w:color="BFC4CC" w:sz="4"/>
              <w:right w:val="single" w:color="BFC4CC" w:sz="4"/>
            </w:tcBorders>
            <w:shd w:fill="323A4E" w:color="auto" w:val="clear"/>
            <w:tcMar>
              <w:top w:type="dxa" w:w="60"/>
              <w:left w:type="dxa" w:w="90"/>
              <w:bottom w:type="dxa" w:w="60"/>
              <w:right w:type="dxa" w:w="90"/>
            </w:tcMar>
            <w:vAlign w:val="center"/>
          </w:tcPr>
          <w:p>
            <w:pPr>
              <w:spacing w:after="40" w:line="252"/>
              <w:jc w:val="left"/>
            </w:pPr>
            <w:r>
              <w:rPr>
                <w:b/>
                <w:bCs/>
                <w:color w:val="FFFFFF"/>
                <w:sz w:val="17"/>
                <w:szCs w:val="17"/>
              </w:rPr>
              <w:t xml:space="preserve">ARI medio entre semillas</w:t>
            </w:r>
          </w:p>
        </w:tc>
        <w:tc>
          <w:tcPr>
            <w:tcW w:type="dxa" w:w="2200"/>
            <w:tcBorders>
              <w:top w:val="single" w:color="BFC4CC" w:sz="4"/>
              <w:left w:val="single" w:color="BFC4CC" w:sz="4"/>
              <w:bottom w:val="single" w:color="BFC4CC" w:sz="4"/>
              <w:right w:val="single" w:color="BFC4CC" w:sz="4"/>
            </w:tcBorders>
            <w:shd w:fill="323A4E" w:color="auto" w:val="clear"/>
            <w:tcMar>
              <w:top w:type="dxa" w:w="60"/>
              <w:left w:type="dxa" w:w="90"/>
              <w:bottom w:type="dxa" w:w="60"/>
              <w:right w:type="dxa" w:w="90"/>
            </w:tcMar>
            <w:vAlign w:val="center"/>
          </w:tcPr>
          <w:p>
            <w:pPr>
              <w:spacing w:after="40" w:line="252"/>
              <w:jc w:val="left"/>
            </w:pPr>
            <w:r>
              <w:rPr>
                <w:b/>
                <w:bCs/>
                <w:color w:val="FFFFFF"/>
                <w:sz w:val="17"/>
                <w:szCs w:val="17"/>
              </w:rPr>
              <w:t xml:space="preserve">Tamaños (%)</w:t>
            </w:r>
          </w:p>
        </w:tc>
      </w:tr>
      <w:tr>
        <w:tc>
          <w:tcPr>
            <w:tcW w:type="dxa" w:w="5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sz w:val="17"/>
                <w:szCs w:val="17"/>
              </w:rPr>
              <w:t xml:space="preserve">2</w:t>
            </w:r>
          </w:p>
        </w:tc>
        <w:tc>
          <w:tcPr>
            <w:tcW w:type="dxa" w:w="115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sz w:val="17"/>
                <w:szCs w:val="17"/>
              </w:rPr>
              <w:t xml:space="preserve">7.954</w:t>
            </w:r>
          </w:p>
        </w:tc>
        <w:tc>
          <w:tcPr>
            <w:tcW w:type="dxa" w:w="115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sz w:val="17"/>
                <w:szCs w:val="17"/>
              </w:rPr>
              <w:t xml:space="preserve">—</w:t>
            </w:r>
          </w:p>
        </w:tc>
        <w:tc>
          <w:tcPr>
            <w:tcW w:type="dxa" w:w="9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sz w:val="17"/>
                <w:szCs w:val="17"/>
              </w:rPr>
              <w:t xml:space="preserve">0,1105</w:t>
            </w:r>
          </w:p>
        </w:tc>
        <w:tc>
          <w:tcPr>
            <w:tcW w:type="dxa" w:w="115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sz w:val="17"/>
                <w:szCs w:val="17"/>
              </w:rPr>
              <w:t xml:space="preserve">131,2</w:t>
            </w:r>
          </w:p>
        </w:tc>
        <w:tc>
          <w:tcPr>
            <w:tcW w:type="dxa" w:w="105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sz w:val="17"/>
                <w:szCs w:val="17"/>
              </w:rPr>
              <w:t xml:space="preserve">2,69</w:t>
            </w:r>
          </w:p>
        </w:tc>
        <w:tc>
          <w:tcPr>
            <w:tcW w:type="dxa" w:w="126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sz w:val="17"/>
                <w:szCs w:val="17"/>
              </w:rPr>
              <w:t xml:space="preserve">0,97</w:t>
            </w:r>
          </w:p>
        </w:tc>
        <w:tc>
          <w:tcPr>
            <w:tcW w:type="dxa" w:w="22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sz w:val="17"/>
                <w:szCs w:val="17"/>
              </w:rPr>
              <w:t xml:space="preserve">49,6 / 50,4</w:t>
            </w:r>
          </w:p>
        </w:tc>
      </w:tr>
      <w:tr>
        <w:tc>
          <w:tcPr>
            <w:tcW w:type="dxa" w:w="5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sz w:val="17"/>
                <w:szCs w:val="17"/>
              </w:rPr>
              <w:t xml:space="preserve">3</w:t>
            </w:r>
          </w:p>
        </w:tc>
        <w:tc>
          <w:tcPr>
            <w:tcW w:type="dxa" w:w="115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sz w:val="17"/>
                <w:szCs w:val="17"/>
              </w:rPr>
              <w:t xml:space="preserve">7.361</w:t>
            </w:r>
          </w:p>
        </w:tc>
        <w:tc>
          <w:tcPr>
            <w:tcW w:type="dxa" w:w="115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sz w:val="17"/>
                <w:szCs w:val="17"/>
              </w:rPr>
              <w:t xml:space="preserve">7,5%</w:t>
            </w:r>
          </w:p>
        </w:tc>
        <w:tc>
          <w:tcPr>
            <w:tcW w:type="dxa" w:w="9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sz w:val="17"/>
                <w:szCs w:val="17"/>
              </w:rPr>
              <w:t xml:space="preserve">0,1115</w:t>
            </w:r>
          </w:p>
        </w:tc>
        <w:tc>
          <w:tcPr>
            <w:tcW w:type="dxa" w:w="115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sz w:val="17"/>
                <w:szCs w:val="17"/>
              </w:rPr>
              <w:t xml:space="preserve">111,0</w:t>
            </w:r>
          </w:p>
        </w:tc>
        <w:tc>
          <w:tcPr>
            <w:tcW w:type="dxa" w:w="105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sz w:val="17"/>
                <w:szCs w:val="17"/>
              </w:rPr>
              <w:t xml:space="preserve">2,40</w:t>
            </w:r>
          </w:p>
        </w:tc>
        <w:tc>
          <w:tcPr>
            <w:tcW w:type="dxa" w:w="126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sz w:val="17"/>
                <w:szCs w:val="17"/>
              </w:rPr>
              <w:t xml:space="preserve">0,95</w:t>
            </w:r>
          </w:p>
        </w:tc>
        <w:tc>
          <w:tcPr>
            <w:tcW w:type="dxa" w:w="22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sz w:val="17"/>
                <w:szCs w:val="17"/>
              </w:rPr>
              <w:t xml:space="preserve">41,5 / 41,1 / 17,4</w:t>
            </w:r>
          </w:p>
        </w:tc>
      </w:tr>
      <w:tr>
        <w:tc>
          <w:tcPr>
            <w:tcW w:type="dxa" w:w="5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sz w:val="17"/>
                <w:szCs w:val="17"/>
              </w:rPr>
              <w:t xml:space="preserve">4</w:t>
            </w:r>
          </w:p>
        </w:tc>
        <w:tc>
          <w:tcPr>
            <w:tcW w:type="dxa" w:w="115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sz w:val="17"/>
                <w:szCs w:val="17"/>
              </w:rPr>
              <w:t xml:space="preserve">6.961</w:t>
            </w:r>
          </w:p>
        </w:tc>
        <w:tc>
          <w:tcPr>
            <w:tcW w:type="dxa" w:w="115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sz w:val="17"/>
                <w:szCs w:val="17"/>
              </w:rPr>
              <w:t xml:space="preserve">5,4%</w:t>
            </w:r>
          </w:p>
        </w:tc>
        <w:tc>
          <w:tcPr>
            <w:tcW w:type="dxa" w:w="9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sz w:val="17"/>
                <w:szCs w:val="17"/>
              </w:rPr>
              <w:t xml:space="preserve">0,0971</w:t>
            </w:r>
          </w:p>
        </w:tc>
        <w:tc>
          <w:tcPr>
            <w:tcW w:type="dxa" w:w="115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sz w:val="17"/>
                <w:szCs w:val="17"/>
              </w:rPr>
              <w:t xml:space="preserve">97,3</w:t>
            </w:r>
          </w:p>
        </w:tc>
        <w:tc>
          <w:tcPr>
            <w:tcW w:type="dxa" w:w="105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sz w:val="17"/>
                <w:szCs w:val="17"/>
              </w:rPr>
              <w:t xml:space="preserve">2,38</w:t>
            </w:r>
          </w:p>
        </w:tc>
        <w:tc>
          <w:tcPr>
            <w:tcW w:type="dxa" w:w="126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sz w:val="17"/>
                <w:szCs w:val="17"/>
              </w:rPr>
              <w:t xml:space="preserve">0,58</w:t>
            </w:r>
          </w:p>
        </w:tc>
        <w:tc>
          <w:tcPr>
            <w:tcW w:type="dxa" w:w="22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sz w:val="17"/>
                <w:szCs w:val="17"/>
              </w:rPr>
              <w:t xml:space="preserve">26,0 / 33,1 / 25,7 / 15,2</w:t>
            </w:r>
          </w:p>
        </w:tc>
      </w:tr>
      <w:tr>
        <w:tc>
          <w:tcPr>
            <w:tcW w:type="dxa" w:w="5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sz w:val="17"/>
                <w:szCs w:val="17"/>
              </w:rPr>
              <w:t xml:space="preserve">5</w:t>
            </w:r>
          </w:p>
        </w:tc>
        <w:tc>
          <w:tcPr>
            <w:tcW w:type="dxa" w:w="115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sz w:val="17"/>
                <w:szCs w:val="17"/>
              </w:rPr>
              <w:t xml:space="preserve">6.623</w:t>
            </w:r>
          </w:p>
        </w:tc>
        <w:tc>
          <w:tcPr>
            <w:tcW w:type="dxa" w:w="115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sz w:val="17"/>
                <w:szCs w:val="17"/>
              </w:rPr>
              <w:t xml:space="preserve">4,8%</w:t>
            </w:r>
          </w:p>
        </w:tc>
        <w:tc>
          <w:tcPr>
            <w:tcW w:type="dxa" w:w="9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sz w:val="17"/>
                <w:szCs w:val="17"/>
              </w:rPr>
              <w:t xml:space="preserve">0,0952</w:t>
            </w:r>
          </w:p>
        </w:tc>
        <w:tc>
          <w:tcPr>
            <w:tcW w:type="dxa" w:w="115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sz w:val="17"/>
                <w:szCs w:val="17"/>
              </w:rPr>
              <w:t xml:space="preserve">89,3</w:t>
            </w:r>
          </w:p>
        </w:tc>
        <w:tc>
          <w:tcPr>
            <w:tcW w:type="dxa" w:w="105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sz w:val="17"/>
                <w:szCs w:val="17"/>
              </w:rPr>
              <w:t xml:space="preserve">2,21</w:t>
            </w:r>
          </w:p>
        </w:tc>
        <w:tc>
          <w:tcPr>
            <w:tcW w:type="dxa" w:w="126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sz w:val="17"/>
                <w:szCs w:val="17"/>
              </w:rPr>
              <w:t xml:space="preserve">0,64</w:t>
            </w:r>
          </w:p>
        </w:tc>
        <w:tc>
          <w:tcPr>
            <w:tcW w:type="dxa" w:w="22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sz w:val="17"/>
                <w:szCs w:val="17"/>
              </w:rPr>
              <w:t xml:space="preserve">19,7 / 27,1 / 17,1 / 21,5 / 14,6</w:t>
            </w:r>
          </w:p>
        </w:tc>
      </w:tr>
      <w:tr>
        <w:tc>
          <w:tcPr>
            <w:tcW w:type="dxa" w:w="5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sz w:val="17"/>
                <w:szCs w:val="17"/>
              </w:rPr>
              <w:t xml:space="preserve">6</w:t>
            </w:r>
          </w:p>
        </w:tc>
        <w:tc>
          <w:tcPr>
            <w:tcW w:type="dxa" w:w="115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sz w:val="17"/>
                <w:szCs w:val="17"/>
              </w:rPr>
              <w:t xml:space="preserve">6.372</w:t>
            </w:r>
          </w:p>
        </w:tc>
        <w:tc>
          <w:tcPr>
            <w:tcW w:type="dxa" w:w="115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sz w:val="17"/>
                <w:szCs w:val="17"/>
              </w:rPr>
              <w:t xml:space="preserve">3,8%</w:t>
            </w:r>
          </w:p>
        </w:tc>
        <w:tc>
          <w:tcPr>
            <w:tcW w:type="dxa" w:w="9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sz w:val="17"/>
                <w:szCs w:val="17"/>
              </w:rPr>
              <w:t xml:space="preserve">0,0889</w:t>
            </w:r>
          </w:p>
        </w:tc>
        <w:tc>
          <w:tcPr>
            <w:tcW w:type="dxa" w:w="115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sz w:val="17"/>
                <w:szCs w:val="17"/>
              </w:rPr>
              <w:t xml:space="preserve">82,0</w:t>
            </w:r>
          </w:p>
        </w:tc>
        <w:tc>
          <w:tcPr>
            <w:tcW w:type="dxa" w:w="105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sz w:val="17"/>
                <w:szCs w:val="17"/>
              </w:rPr>
              <w:t xml:space="preserve">2,29</w:t>
            </w:r>
          </w:p>
        </w:tc>
        <w:tc>
          <w:tcPr>
            <w:tcW w:type="dxa" w:w="126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sz w:val="17"/>
                <w:szCs w:val="17"/>
              </w:rPr>
              <w:t xml:space="preserve">0,61</w:t>
            </w:r>
          </w:p>
        </w:tc>
        <w:tc>
          <w:tcPr>
            <w:tcW w:type="dxa" w:w="22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sz w:val="17"/>
                <w:szCs w:val="17"/>
              </w:rPr>
              <w:t xml:space="preserve">18,6 / 16,2 / 14,8 / 20,2 / 13,8 / 16,4</w:t>
            </w:r>
          </w:p>
        </w:tc>
      </w:tr>
      <w:tr>
        <w:tc>
          <w:tcPr>
            <w:tcW w:type="dxa" w:w="5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sz w:val="17"/>
                <w:szCs w:val="17"/>
              </w:rPr>
              <w:t xml:space="preserve">7</w:t>
            </w:r>
          </w:p>
        </w:tc>
        <w:tc>
          <w:tcPr>
            <w:tcW w:type="dxa" w:w="115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sz w:val="17"/>
                <w:szCs w:val="17"/>
              </w:rPr>
              <w:t xml:space="preserve">6.138</w:t>
            </w:r>
          </w:p>
        </w:tc>
        <w:tc>
          <w:tcPr>
            <w:tcW w:type="dxa" w:w="115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sz w:val="17"/>
                <w:szCs w:val="17"/>
              </w:rPr>
              <w:t xml:space="preserve">3,7%</w:t>
            </w:r>
          </w:p>
        </w:tc>
        <w:tc>
          <w:tcPr>
            <w:tcW w:type="dxa" w:w="9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sz w:val="17"/>
                <w:szCs w:val="17"/>
              </w:rPr>
              <w:t xml:space="preserve">0,0890</w:t>
            </w:r>
          </w:p>
        </w:tc>
        <w:tc>
          <w:tcPr>
            <w:tcW w:type="dxa" w:w="115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sz w:val="17"/>
                <w:szCs w:val="17"/>
              </w:rPr>
              <w:t xml:space="preserve">77,2</w:t>
            </w:r>
          </w:p>
        </w:tc>
        <w:tc>
          <w:tcPr>
            <w:tcW w:type="dxa" w:w="105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sz w:val="17"/>
                <w:szCs w:val="17"/>
              </w:rPr>
              <w:t xml:space="preserve">2,17</w:t>
            </w:r>
          </w:p>
        </w:tc>
        <w:tc>
          <w:tcPr>
            <w:tcW w:type="dxa" w:w="126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sz w:val="17"/>
                <w:szCs w:val="17"/>
              </w:rPr>
              <w:t xml:space="preserve">0,58</w:t>
            </w:r>
          </w:p>
        </w:tc>
        <w:tc>
          <w:tcPr>
            <w:tcW w:type="dxa" w:w="22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sz w:val="17"/>
                <w:szCs w:val="17"/>
              </w:rPr>
              <w:t xml:space="preserve">—</w:t>
            </w:r>
          </w:p>
        </w:tc>
      </w:tr>
      <w:tr>
        <w:tc>
          <w:tcPr>
            <w:tcW w:type="dxa" w:w="5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sz w:val="17"/>
                <w:szCs w:val="17"/>
              </w:rPr>
              <w:t xml:space="preserve">8</w:t>
            </w:r>
          </w:p>
        </w:tc>
        <w:tc>
          <w:tcPr>
            <w:tcW w:type="dxa" w:w="115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sz w:val="17"/>
                <w:szCs w:val="17"/>
              </w:rPr>
              <w:t xml:space="preserve">5.972</w:t>
            </w:r>
          </w:p>
        </w:tc>
        <w:tc>
          <w:tcPr>
            <w:tcW w:type="dxa" w:w="115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sz w:val="17"/>
                <w:szCs w:val="17"/>
              </w:rPr>
              <w:t xml:space="preserve">2,7%</w:t>
            </w:r>
          </w:p>
        </w:tc>
        <w:tc>
          <w:tcPr>
            <w:tcW w:type="dxa" w:w="9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sz w:val="17"/>
                <w:szCs w:val="17"/>
              </w:rPr>
              <w:t xml:space="preserve">0,0883</w:t>
            </w:r>
          </w:p>
        </w:tc>
        <w:tc>
          <w:tcPr>
            <w:tcW w:type="dxa" w:w="115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sz w:val="17"/>
                <w:szCs w:val="17"/>
              </w:rPr>
              <w:t xml:space="preserve">71,8</w:t>
            </w:r>
          </w:p>
        </w:tc>
        <w:tc>
          <w:tcPr>
            <w:tcW w:type="dxa" w:w="105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sz w:val="17"/>
                <w:szCs w:val="17"/>
              </w:rPr>
              <w:t xml:space="preserve">2,10</w:t>
            </w:r>
          </w:p>
        </w:tc>
        <w:tc>
          <w:tcPr>
            <w:tcW w:type="dxa" w:w="126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sz w:val="17"/>
                <w:szCs w:val="17"/>
              </w:rPr>
              <w:t xml:space="preserve">0,40</w:t>
            </w:r>
          </w:p>
        </w:tc>
        <w:tc>
          <w:tcPr>
            <w:tcW w:type="dxa" w:w="22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sz w:val="17"/>
                <w:szCs w:val="17"/>
              </w:rPr>
              <w:t xml:space="preserve">—</w:t>
            </w:r>
          </w:p>
        </w:tc>
      </w:tr>
    </w:tbl>
    <w:p>
      <w:pPr>
        <w:spacing w:after="200" w:before="60"/>
        <w:jc w:val="left"/>
      </w:pPr>
      <w:r>
        <w:rPr>
          <w:i/>
          <w:iCs/>
          <w:color w:val="5C5C5A"/>
          <w:sz w:val="18"/>
          <w:szCs w:val="18"/>
        </w:rPr>
        <w:t xml:space="preserve">Tabla 6. Métricas por k. ARI = coincidencia de la partición con otras 5 semillas (1 = idéntica).</w:t>
      </w:r>
    </w:p>
    <w:p>
      <w:pPr>
        <w:spacing w:after="40" w:before="120"/>
        <w:jc w:val="center"/>
      </w:pPr>
      <w:r>
        <w:drawing>
          <wp:inline distT="0" distB="0" distL="0" distR="0">
            <wp:extent cx="3619500" cy="2209800"/>
            <wp:effectExtent t="0" r="0" b="0" l="0"/>
            <wp:docPr id="2" name="paso4_codo.png" descr="paso4_codo.png" title="paso4_co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2209800"/>
                    </a:xfrm>
                    <a:prstGeom prst="rect">
                      <a:avLst/>
                    </a:prstGeom>
                  </pic:spPr>
                </pic:pic>
              </a:graphicData>
            </a:graphic>
          </wp:inline>
        </w:drawing>
      </w:r>
    </w:p>
    <w:p>
      <w:pPr>
        <w:spacing w:after="200" w:before="60"/>
        <w:jc w:val="left"/>
      </w:pPr>
      <w:r>
        <w:rPr>
          <w:i/>
          <w:iCs/>
          <w:color w:val="5C5C5A"/>
          <w:sz w:val="18"/>
          <w:szCs w:val="18"/>
        </w:rPr>
        <w:t xml:space="preserve">Figura 1. Método del codo. La curva desciende de forma casi lineal: no hay un codo nítido. El mayor cambio de pendiente está en k = 3 (pasar de 2 a 3 reduce la inercia un 7,5%; desde ahí cada cluster adicional aporta 5,4% o menos). El criterio kneedle marca k = 5, prácticamente empatado con k = 4.</w:t>
      </w:r>
    </w:p>
    <w:p>
      <w:pPr>
        <w:spacing w:after="40" w:before="120"/>
        <w:jc w:val="center"/>
      </w:pPr>
      <w:r>
        <w:drawing>
          <wp:inline distT="0" distB="0" distL="0" distR="0">
            <wp:extent cx="3619500" cy="2209800"/>
            <wp:effectExtent t="0" r="0" b="0" l="0"/>
            <wp:docPr id="3" name="paso4_silueta.png" descr="paso4_silueta.png" title="paso4_silue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2209800"/>
                    </a:xfrm>
                    <a:prstGeom prst="rect">
                      <a:avLst/>
                    </a:prstGeom>
                  </pic:spPr>
                </pic:pic>
              </a:graphicData>
            </a:graphic>
          </wp:inline>
        </w:drawing>
      </w:r>
    </w:p>
    <w:p>
      <w:pPr>
        <w:spacing w:after="200" w:before="60"/>
        <w:jc w:val="left"/>
      </w:pPr>
      <w:r>
        <w:rPr>
          <w:i/>
          <w:iCs/>
          <w:color w:val="5C5C5A"/>
          <w:sz w:val="18"/>
          <w:szCs w:val="18"/>
        </w:rPr>
        <w:t xml:space="preserve">Figura 2. Silueta promedio por k con las referencias de Kaufman y Rousseeuw (1990). El máximo está en k = 3 (0,1115). Todos los valores están en la banda «&lt; 0,25, estructura débil», habitual con escalas actitudinales poco correlacionadas: los segmentos son divisiones útiles de un continuo, no grupos naturalmente separados.</w:t>
      </w:r>
    </w:p>
    <w:p>
      <w:pPr>
        <w:spacing w:after="40" w:before="120"/>
        <w:jc w:val="center"/>
      </w:pPr>
      <w:r>
        <w:drawing>
          <wp:inline distT="0" distB="0" distL="0" distR="0">
            <wp:extent cx="4381500" cy="2590800"/>
            <wp:effectExtent t="0" r="0" b="0" l="0"/>
            <wp:docPr id="4" name="paso_k3_pca.png" descr="paso_k3_pca.png" title="paso_k3_p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590800"/>
                    </a:xfrm>
                    <a:prstGeom prst="rect">
                      <a:avLst/>
                    </a:prstGeom>
                  </pic:spPr>
                </pic:pic>
              </a:graphicData>
            </a:graphic>
          </wp:inline>
        </w:drawing>
      </w:r>
    </w:p>
    <w:p>
      <w:pPr>
        <w:spacing w:after="200" w:before="60"/>
        <w:jc w:val="left"/>
      </w:pPr>
      <w:r>
        <w:rPr>
          <w:i/>
          <w:iCs/>
          <w:color w:val="5C5C5A"/>
          <w:sz w:val="18"/>
          <w:szCs w:val="18"/>
        </w:rPr>
        <w:t xml:space="preserve">Figura 3. Dispersión PCA del modelo final (k = 3). Componente 1: 17,5% de la varianza (pesan número de redes, horas en redes y, en sentido contrario, ug_informacion). Componente 2: 11,8% (pesan gasto y, en sentido contrario, ug_evasion). Acumulada: 29,2%. Es una proyección de 9 dimensiones a 2: el solapamiento visible no representa toda la separación del espacio original.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3FA" w:sz="4"/>
              <w:left w:val="single" w:color="2A78D6" w:sz="24"/>
              <w:bottom w:val="single" w:color="EEF3FA" w:sz="4"/>
              <w:right w:val="single" w:color="EEF3FA" w:sz="4"/>
            </w:tcBorders>
            <w:shd w:fill="EEF3FA" w:color="auto" w:val="clear"/>
            <w:tcMar>
              <w:top w:type="dxa" w:w="120"/>
              <w:left w:type="dxa" w:w="180"/>
              <w:bottom w:type="dxa" w:w="120"/>
              <w:right w:type="dxa" w:w="180"/>
            </w:tcMar>
          </w:tcPr>
          <w:p>
            <w:pPr>
              <w:spacing w:after="80"/>
            </w:pPr>
            <w:r>
              <w:rPr>
                <w:b/>
                <w:bCs/>
                <w:color w:val="323A4E"/>
                <w:sz w:val="21"/>
                <w:szCs w:val="21"/>
              </w:rPr>
              <w:t xml:space="preserve">Decisión del grupo · Paso 4: k = 3</w:t>
            </w:r>
          </w:p>
          <w:p>
            <w:pPr>
              <w:spacing w:after="60" w:line="264"/>
              <w:jc w:val="left"/>
            </w:pPr>
            <w:r>
              <w:rPr>
                <w:sz w:val="20"/>
                <w:szCs w:val="20"/>
              </w:rPr>
              <w:t xml:space="preserve">Elegimos </w:t>
            </w:r>
            <w:r>
              <w:rPr>
                <w:b/>
                <w:bCs/>
                <w:sz w:val="20"/>
                <w:szCs w:val="20"/>
              </w:rPr>
              <w:t xml:space="preserve">k = 3</w:t>
            </w:r>
            <w:r>
              <w:rPr>
                <w:sz w:val="20"/>
                <w:szCs w:val="20"/>
              </w:rPr>
              <w:t xml:space="preserve"> combinando tres criterios: (1) es el </w:t>
            </w:r>
            <w:r>
              <w:rPr>
                <w:b/>
                <w:bCs/>
                <w:sz w:val="20"/>
                <w:szCs w:val="20"/>
              </w:rPr>
              <w:t xml:space="preserve">mayor quiebre del codo</w:t>
            </w:r>
            <w:r>
              <w:rPr>
                <w:sz w:val="20"/>
                <w:szCs w:val="20"/>
              </w:rPr>
              <w:t xml:space="preserve">; (2) tiene la </w:t>
            </w:r>
            <w:r>
              <w:rPr>
                <w:b/>
                <w:bCs/>
                <w:sz w:val="20"/>
                <w:szCs w:val="20"/>
              </w:rPr>
              <w:t xml:space="preserve">silueta más alta</w:t>
            </w:r>
            <w:r>
              <w:rPr>
                <w:sz w:val="20"/>
                <w:szCs w:val="20"/>
              </w:rPr>
              <w:t xml:space="preserve"> del rango evaluado (0,1115), y (3) es la solución </w:t>
            </w:r>
            <w:r>
              <w:rPr>
                <w:b/>
                <w:bCs/>
                <w:sz w:val="20"/>
                <w:szCs w:val="20"/>
              </w:rPr>
              <w:t xml:space="preserve">más estable</w:t>
            </w:r>
            <w:r>
              <w:rPr>
                <w:sz w:val="20"/>
                <w:szCs w:val="20"/>
              </w:rPr>
              <w:t xml:space="preserve"> (ARI 0,95 frente a ≈0,6 para k ≥ 4: con otra semilla, alrededor del 40% de la estructura de k = 4 cambiaba). Además, los tres grupos se pueden nombrar y son accionables para </w:t>
            </w:r>
            <w:r>
              <w:rPr>
                <w:i/>
                <w:iCs/>
                <w:sz w:val="20"/>
                <w:szCs w:val="20"/>
              </w:rPr>
              <w:t xml:space="preserve">La Primera Vez</w:t>
            </w:r>
            <w:r>
              <w:rPr>
                <w:sz w:val="20"/>
                <w:szCs w:val="20"/>
              </w:rPr>
              <w:t xml:space="preserve">: dos coinciden con los User Personas del Momento 1 y el tercero (los que pagan) es estratégico para Netflix. Reconocemos que la estructura es débil (silueta &lt; 0,25) y lo tratamos en las limitaciones.</w:t>
            </w:r>
          </w:p>
        </w:tc>
      </w:tr>
    </w:tbl>
    <w:p>
      <w:pPr>
        <w:pStyle w:val="Heading1"/>
        <w:keepNext/>
      </w:pPr>
      <w:r>
        <w:t xml:space="preserve">4. Perfil y enriquecimiento de los segmentos</w:t>
      </w:r>
    </w:p>
    <w:p>
      <w:pPr>
        <w:pStyle w:val="Heading2"/>
        <w:keepNext/>
      </w:pPr>
      <w:r>
        <w:t xml:space="preserve">4.1 Perfil numérico (variables del agrupamiento)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650"/>
        <w:gridCol w:w="1650"/>
        <w:gridCol w:w="1650"/>
        <w:gridCol w:w="1510"/>
      </w:tblGrid>
      <w:tr>
        <w:trPr>
          <w:tblHeader/>
        </w:trPr>
        <w:tc>
          <w:tcPr>
            <w:tcW w:type="dxa" w:w="2900"/>
            <w:tcBorders>
              <w:top w:val="single" w:color="BFC4CC" w:sz="4"/>
              <w:left w:val="single" w:color="BFC4CC" w:sz="4"/>
              <w:bottom w:val="single" w:color="BFC4CC" w:sz="4"/>
              <w:right w:val="single" w:color="BFC4CC" w:sz="4"/>
            </w:tcBorders>
            <w:shd w:fill="323A4E" w:color="auto" w:val="clear"/>
            <w:tcMar>
              <w:top w:type="dxa" w:w="60"/>
              <w:left w:type="dxa" w:w="90"/>
              <w:bottom w:type="dxa" w:w="60"/>
              <w:right w:type="dxa" w:w="90"/>
            </w:tcMar>
            <w:vAlign w:val="center"/>
          </w:tcPr>
          <w:p>
            <w:pPr>
              <w:spacing w:after="40" w:line="252"/>
              <w:jc w:val="left"/>
            </w:pPr>
            <w:r>
              <w:rPr>
                <w:b/>
                <w:bCs/>
                <w:color w:val="FFFFFF"/>
                <w:sz w:val="18"/>
                <w:szCs w:val="18"/>
              </w:rPr>
              <w:t xml:space="preserve">Variable</w:t>
            </w:r>
          </w:p>
        </w:tc>
        <w:tc>
          <w:tcPr>
            <w:tcW w:type="dxa" w:w="1650"/>
            <w:tcBorders>
              <w:top w:val="single" w:color="BFC4CC" w:sz="4"/>
              <w:left w:val="single" w:color="BFC4CC" w:sz="4"/>
              <w:bottom w:val="single" w:color="BFC4CC" w:sz="4"/>
              <w:right w:val="single" w:color="BFC4CC" w:sz="4"/>
            </w:tcBorders>
            <w:shd w:fill="323A4E" w:color="auto" w:val="clear"/>
            <w:tcMar>
              <w:top w:type="dxa" w:w="60"/>
              <w:left w:type="dxa" w:w="90"/>
              <w:bottom w:type="dxa" w:w="60"/>
              <w:right w:type="dxa" w:w="90"/>
            </w:tcMar>
            <w:vAlign w:val="center"/>
          </w:tcPr>
          <w:p>
            <w:pPr>
              <w:spacing w:after="40" w:line="252"/>
              <w:jc w:val="left"/>
            </w:pPr>
            <w:r>
              <w:rPr>
                <w:b/>
                <w:bCs/>
                <w:color w:val="FFFFFF"/>
                <w:sz w:val="18"/>
                <w:szCs w:val="18"/>
              </w:rPr>
              <w:t xml:space="preserve">C0 (n = 415)</w:t>
            </w:r>
          </w:p>
        </w:tc>
        <w:tc>
          <w:tcPr>
            <w:tcW w:type="dxa" w:w="1650"/>
            <w:tcBorders>
              <w:top w:val="single" w:color="BFC4CC" w:sz="4"/>
              <w:left w:val="single" w:color="BFC4CC" w:sz="4"/>
              <w:bottom w:val="single" w:color="BFC4CC" w:sz="4"/>
              <w:right w:val="single" w:color="BFC4CC" w:sz="4"/>
            </w:tcBorders>
            <w:shd w:fill="323A4E" w:color="auto" w:val="clear"/>
            <w:tcMar>
              <w:top w:type="dxa" w:w="60"/>
              <w:left w:type="dxa" w:w="90"/>
              <w:bottom w:type="dxa" w:w="60"/>
              <w:right w:type="dxa" w:w="90"/>
            </w:tcMar>
            <w:vAlign w:val="center"/>
          </w:tcPr>
          <w:p>
            <w:pPr>
              <w:spacing w:after="40" w:line="252"/>
              <w:jc w:val="left"/>
            </w:pPr>
            <w:r>
              <w:rPr>
                <w:b/>
                <w:bCs/>
                <w:color w:val="FFFFFF"/>
                <w:sz w:val="18"/>
                <w:szCs w:val="18"/>
              </w:rPr>
              <w:t xml:space="preserve">C1 (n = 411)</w:t>
            </w:r>
          </w:p>
        </w:tc>
        <w:tc>
          <w:tcPr>
            <w:tcW w:type="dxa" w:w="1650"/>
            <w:tcBorders>
              <w:top w:val="single" w:color="BFC4CC" w:sz="4"/>
              <w:left w:val="single" w:color="BFC4CC" w:sz="4"/>
              <w:bottom w:val="single" w:color="BFC4CC" w:sz="4"/>
              <w:right w:val="single" w:color="BFC4CC" w:sz="4"/>
            </w:tcBorders>
            <w:shd w:fill="323A4E" w:color="auto" w:val="clear"/>
            <w:tcMar>
              <w:top w:type="dxa" w:w="60"/>
              <w:left w:type="dxa" w:w="90"/>
              <w:bottom w:type="dxa" w:w="60"/>
              <w:right w:type="dxa" w:w="90"/>
            </w:tcMar>
            <w:vAlign w:val="center"/>
          </w:tcPr>
          <w:p>
            <w:pPr>
              <w:spacing w:after="40" w:line="252"/>
              <w:jc w:val="left"/>
            </w:pPr>
            <w:r>
              <w:rPr>
                <w:b/>
                <w:bCs/>
                <w:color w:val="FFFFFF"/>
                <w:sz w:val="18"/>
                <w:szCs w:val="18"/>
              </w:rPr>
              <w:t xml:space="preserve">C2 (n = 174)</w:t>
            </w:r>
          </w:p>
        </w:tc>
        <w:tc>
          <w:tcPr>
            <w:tcW w:type="dxa" w:w="1510"/>
            <w:tcBorders>
              <w:top w:val="single" w:color="BFC4CC" w:sz="4"/>
              <w:left w:val="single" w:color="BFC4CC" w:sz="4"/>
              <w:bottom w:val="single" w:color="BFC4CC" w:sz="4"/>
              <w:right w:val="single" w:color="BFC4CC" w:sz="4"/>
            </w:tcBorders>
            <w:shd w:fill="323A4E" w:color="auto" w:val="clear"/>
            <w:tcMar>
              <w:top w:type="dxa" w:w="60"/>
              <w:left w:type="dxa" w:w="90"/>
              <w:bottom w:type="dxa" w:w="60"/>
              <w:right w:type="dxa" w:w="90"/>
            </w:tcMar>
            <w:vAlign w:val="center"/>
          </w:tcPr>
          <w:p>
            <w:pPr>
              <w:spacing w:after="40" w:line="252"/>
              <w:jc w:val="left"/>
            </w:pPr>
            <w:r>
              <w:rPr>
                <w:b/>
                <w:bCs/>
                <w:color w:val="FFFFFF"/>
                <w:sz w:val="18"/>
                <w:szCs w:val="18"/>
              </w:rPr>
              <w:t xml:space="preserve">Media general</w:t>
            </w:r>
          </w:p>
        </w:tc>
      </w:tr>
      <w:tr>
        <w:tc>
          <w:tcPr>
            <w:tcW w:type="dxa" w:w="29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bCs/>
                <w:sz w:val="18"/>
                <w:szCs w:val="18"/>
              </w:rPr>
              <w:t xml:space="preserve">horas_diarias_redes</w:t>
            </w:r>
          </w:p>
        </w:tc>
        <w:tc>
          <w:tcPr>
            <w:tcW w:type="dxa" w:w="165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4,22</w:t>
            </w:r>
            <w:r>
              <w:rPr>
                <w:b w:val="false"/>
                <w:bCs w:val="false"/>
                <w:sz w:val="18"/>
                <w:szCs w:val="18"/>
              </w:rPr>
              <w:t xml:space="preserve"> (+20%)</w:t>
            </w:r>
          </w:p>
        </w:tc>
        <w:tc>
          <w:tcPr>
            <w:tcW w:type="dxa" w:w="165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2,80 (−20%)</w:t>
            </w:r>
          </w:p>
        </w:tc>
        <w:tc>
          <w:tcPr>
            <w:tcW w:type="dxa" w:w="165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3,46 (−1%)</w:t>
            </w:r>
          </w:p>
        </w:tc>
        <w:tc>
          <w:tcPr>
            <w:tcW w:type="dxa" w:w="151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3,51</w:t>
            </w:r>
          </w:p>
        </w:tc>
      </w:tr>
      <w:tr>
        <w:tc>
          <w:tcPr>
            <w:tcW w:type="dxa" w:w="29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bCs/>
                <w:sz w:val="18"/>
                <w:szCs w:val="18"/>
              </w:rPr>
              <w:t xml:space="preserve">num_redes_usadas</w:t>
            </w:r>
          </w:p>
        </w:tc>
        <w:tc>
          <w:tcPr>
            <w:tcW w:type="dxa" w:w="165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6,05</w:t>
            </w:r>
            <w:r>
              <w:rPr>
                <w:b w:val="false"/>
                <w:bCs w:val="false"/>
                <w:sz w:val="18"/>
                <w:szCs w:val="18"/>
              </w:rPr>
              <w:t xml:space="preserve"> (+16%)</w:t>
            </w:r>
          </w:p>
        </w:tc>
        <w:tc>
          <w:tcPr>
            <w:tcW w:type="dxa" w:w="165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4,37 (−16%)</w:t>
            </w:r>
          </w:p>
        </w:tc>
        <w:tc>
          <w:tcPr>
            <w:tcW w:type="dxa" w:w="165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5,30 (+1%)</w:t>
            </w:r>
          </w:p>
        </w:tc>
        <w:tc>
          <w:tcPr>
            <w:tcW w:type="dxa" w:w="151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5,23</w:t>
            </w:r>
          </w:p>
        </w:tc>
      </w:tr>
      <w:tr>
        <w:tc>
          <w:tcPr>
            <w:tcW w:type="dxa" w:w="29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bCs/>
                <w:sz w:val="18"/>
                <w:szCs w:val="18"/>
              </w:rPr>
              <w:t xml:space="preserve">gasto_mensual_contenido_cop</w:t>
            </w:r>
          </w:p>
        </w:tc>
        <w:tc>
          <w:tcPr>
            <w:tcW w:type="dxa" w:w="165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11.426 (−48%)</w:t>
            </w:r>
          </w:p>
        </w:tc>
        <w:tc>
          <w:tcPr>
            <w:tcW w:type="dxa" w:w="165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11.123 (−49%)</w:t>
            </w:r>
          </w:p>
        </w:tc>
        <w:tc>
          <w:tcPr>
            <w:tcW w:type="dxa" w:w="165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72.476 (+231%)</w:t>
            </w:r>
          </w:p>
        </w:tc>
        <w:tc>
          <w:tcPr>
            <w:tcW w:type="dxa" w:w="151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21.924</w:t>
            </w:r>
          </w:p>
        </w:tc>
      </w:tr>
      <w:tr>
        <w:tc>
          <w:tcPr>
            <w:tcW w:type="dxa" w:w="29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bCs/>
                <w:sz w:val="18"/>
                <w:szCs w:val="18"/>
              </w:rPr>
              <w:t xml:space="preserve">ug_entretenimiento</w:t>
            </w:r>
          </w:p>
        </w:tc>
        <w:tc>
          <w:tcPr>
            <w:tcW w:type="dxa" w:w="165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4,27</w:t>
            </w:r>
            <w:r>
              <w:rPr>
                <w:b w:val="false"/>
                <w:bCs w:val="false"/>
                <w:sz w:val="18"/>
                <w:szCs w:val="18"/>
              </w:rPr>
              <w:t xml:space="preserve"> (+3%)</w:t>
            </w:r>
          </w:p>
        </w:tc>
        <w:tc>
          <w:tcPr>
            <w:tcW w:type="dxa" w:w="165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4,01 (−3%)</w:t>
            </w:r>
          </w:p>
        </w:tc>
        <w:tc>
          <w:tcPr>
            <w:tcW w:type="dxa" w:w="165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4,12 (0%)</w:t>
            </w:r>
          </w:p>
        </w:tc>
        <w:tc>
          <w:tcPr>
            <w:tcW w:type="dxa" w:w="151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4,14</w:t>
            </w:r>
          </w:p>
        </w:tc>
      </w:tr>
      <w:tr>
        <w:tc>
          <w:tcPr>
            <w:tcW w:type="dxa" w:w="29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bCs/>
                <w:sz w:val="18"/>
                <w:szCs w:val="18"/>
              </w:rPr>
              <w:t xml:space="preserve">ug_informacion</w:t>
            </w:r>
          </w:p>
        </w:tc>
        <w:tc>
          <w:tcPr>
            <w:tcW w:type="dxa" w:w="165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3,21 (−12%)</w:t>
            </w:r>
          </w:p>
        </w:tc>
        <w:tc>
          <w:tcPr>
            <w:tcW w:type="dxa" w:w="165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4,05</w:t>
            </w:r>
            <w:r>
              <w:rPr>
                <w:b w:val="false"/>
                <w:bCs w:val="false"/>
                <w:sz w:val="18"/>
                <w:szCs w:val="18"/>
              </w:rPr>
              <w:t xml:space="preserve"> (+11%)</w:t>
            </w:r>
          </w:p>
        </w:tc>
        <w:tc>
          <w:tcPr>
            <w:tcW w:type="dxa" w:w="165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3,74 (+3%)</w:t>
            </w:r>
          </w:p>
        </w:tc>
        <w:tc>
          <w:tcPr>
            <w:tcW w:type="dxa" w:w="151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3,65</w:t>
            </w:r>
          </w:p>
        </w:tc>
      </w:tr>
      <w:tr>
        <w:tc>
          <w:tcPr>
            <w:tcW w:type="dxa" w:w="29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bCs/>
                <w:sz w:val="18"/>
                <w:szCs w:val="18"/>
              </w:rPr>
              <w:t xml:space="preserve">ug_identidad</w:t>
            </w:r>
          </w:p>
        </w:tc>
        <w:tc>
          <w:tcPr>
            <w:tcW w:type="dxa" w:w="165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3,71</w:t>
            </w:r>
            <w:r>
              <w:rPr>
                <w:b w:val="false"/>
                <w:bCs w:val="false"/>
                <w:sz w:val="18"/>
                <w:szCs w:val="18"/>
              </w:rPr>
              <w:t xml:space="preserve"> (+11%)</w:t>
            </w:r>
          </w:p>
        </w:tc>
        <w:tc>
          <w:tcPr>
            <w:tcW w:type="dxa" w:w="165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3,00 (−10%)</w:t>
            </w:r>
          </w:p>
        </w:tc>
        <w:tc>
          <w:tcPr>
            <w:tcW w:type="dxa" w:w="165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3,33 (−1%)</w:t>
            </w:r>
          </w:p>
        </w:tc>
        <w:tc>
          <w:tcPr>
            <w:tcW w:type="dxa" w:w="151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3,35</w:t>
            </w:r>
          </w:p>
        </w:tc>
      </w:tr>
      <w:tr>
        <w:tc>
          <w:tcPr>
            <w:tcW w:type="dxa" w:w="29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bCs/>
                <w:sz w:val="18"/>
                <w:szCs w:val="18"/>
              </w:rPr>
              <w:t xml:space="preserve">ug_interaccion_social</w:t>
            </w:r>
          </w:p>
        </w:tc>
        <w:tc>
          <w:tcPr>
            <w:tcW w:type="dxa" w:w="165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4,14</w:t>
            </w:r>
            <w:r>
              <w:rPr>
                <w:b w:val="false"/>
                <w:bCs w:val="false"/>
                <w:sz w:val="18"/>
                <w:szCs w:val="18"/>
              </w:rPr>
              <w:t xml:space="preserve"> (+5%)</w:t>
            </w:r>
          </w:p>
        </w:tc>
        <w:tc>
          <w:tcPr>
            <w:tcW w:type="dxa" w:w="165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3,75 (−5%)</w:t>
            </w:r>
          </w:p>
        </w:tc>
        <w:tc>
          <w:tcPr>
            <w:tcW w:type="dxa" w:w="165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3,95 (0%)</w:t>
            </w:r>
          </w:p>
        </w:tc>
        <w:tc>
          <w:tcPr>
            <w:tcW w:type="dxa" w:w="151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3,95</w:t>
            </w:r>
          </w:p>
        </w:tc>
      </w:tr>
      <w:tr>
        <w:tc>
          <w:tcPr>
            <w:tcW w:type="dxa" w:w="29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bCs/>
                <w:sz w:val="18"/>
                <w:szCs w:val="18"/>
              </w:rPr>
              <w:t xml:space="preserve">ug_evasion</w:t>
            </w:r>
          </w:p>
        </w:tc>
        <w:tc>
          <w:tcPr>
            <w:tcW w:type="dxa" w:w="165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3,80</w:t>
            </w:r>
            <w:r>
              <w:rPr>
                <w:b w:val="false"/>
                <w:bCs w:val="false"/>
                <w:sz w:val="18"/>
                <w:szCs w:val="18"/>
              </w:rPr>
              <w:t xml:space="preserve"> (+7%)</w:t>
            </w:r>
          </w:p>
        </w:tc>
        <w:tc>
          <w:tcPr>
            <w:tcW w:type="dxa" w:w="165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3,41 (−4%)</w:t>
            </w:r>
          </w:p>
        </w:tc>
        <w:tc>
          <w:tcPr>
            <w:tcW w:type="dxa" w:w="165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3,36 (−6%)</w:t>
            </w:r>
          </w:p>
        </w:tc>
        <w:tc>
          <w:tcPr>
            <w:tcW w:type="dxa" w:w="151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3,56</w:t>
            </w:r>
          </w:p>
        </w:tc>
      </w:tr>
      <w:tr>
        <w:tc>
          <w:tcPr>
            <w:tcW w:type="dxa" w:w="29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bCs/>
                <w:sz w:val="18"/>
                <w:szCs w:val="18"/>
              </w:rPr>
              <w:t xml:space="preserve">ug_pasar_tiempo</w:t>
            </w:r>
          </w:p>
        </w:tc>
        <w:tc>
          <w:tcPr>
            <w:tcW w:type="dxa" w:w="165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4,11</w:t>
            </w:r>
            <w:r>
              <w:rPr>
                <w:b w:val="false"/>
                <w:bCs w:val="false"/>
                <w:sz w:val="18"/>
                <w:szCs w:val="18"/>
              </w:rPr>
              <w:t xml:space="preserve"> (+6%)</w:t>
            </w:r>
          </w:p>
        </w:tc>
        <w:tc>
          <w:tcPr>
            <w:tcW w:type="dxa" w:w="165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3,61 (−7%)</w:t>
            </w:r>
          </w:p>
        </w:tc>
        <w:tc>
          <w:tcPr>
            <w:tcW w:type="dxa" w:w="165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3,88 (0%)</w:t>
            </w:r>
          </w:p>
        </w:tc>
        <w:tc>
          <w:tcPr>
            <w:tcW w:type="dxa" w:w="151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3,86</w:t>
            </w:r>
          </w:p>
        </w:tc>
      </w:tr>
      <w:tr>
        <w:tc>
          <w:tcPr>
            <w:tcW w:type="dxa" w:w="29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bCs/>
                <w:i/>
                <w:iCs/>
                <w:sz w:val="18"/>
                <w:szCs w:val="18"/>
              </w:rPr>
              <w:t xml:space="preserve">Descriptores (no entraron al modelo)</w:t>
            </w:r>
          </w:p>
        </w:tc>
        <w:tc>
          <w:tcPr>
            <w:tcW w:type="dxa" w:w="165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p>
        </w:tc>
        <w:tc>
          <w:tcPr>
            <w:tcW w:type="dxa" w:w="165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p>
        </w:tc>
        <w:tc>
          <w:tcPr>
            <w:tcW w:type="dxa" w:w="165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p>
        </w:tc>
        <w:tc>
          <w:tcPr>
            <w:tcW w:type="dxa" w:w="151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p>
        </w:tc>
      </w:tr>
      <w:tr>
        <w:tc>
          <w:tcPr>
            <w:tcW w:type="dxa" w:w="29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bCs/>
                <w:sz w:val="18"/>
                <w:szCs w:val="18"/>
              </w:rPr>
              <w:t xml:space="preserve">horas_video_dia</w:t>
            </w:r>
          </w:p>
        </w:tc>
        <w:tc>
          <w:tcPr>
            <w:tcW w:type="dxa" w:w="165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2,64</w:t>
            </w:r>
          </w:p>
        </w:tc>
        <w:tc>
          <w:tcPr>
            <w:tcW w:type="dxa" w:w="165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1,60</w:t>
            </w:r>
          </w:p>
        </w:tc>
        <w:tc>
          <w:tcPr>
            <w:tcW w:type="dxa" w:w="165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2,06</w:t>
            </w:r>
          </w:p>
        </w:tc>
        <w:tc>
          <w:tcPr>
            <w:tcW w:type="dxa" w:w="151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2,11</w:t>
            </w:r>
          </w:p>
        </w:tc>
      </w:tr>
      <w:tr>
        <w:tc>
          <w:tcPr>
            <w:tcW w:type="dxa" w:w="29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bCs/>
                <w:sz w:val="18"/>
                <w:szCs w:val="18"/>
              </w:rPr>
              <w:t xml:space="preserve">edad (media)</w:t>
            </w:r>
          </w:p>
        </w:tc>
        <w:tc>
          <w:tcPr>
            <w:tcW w:type="dxa" w:w="165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29,7</w:t>
            </w:r>
          </w:p>
        </w:tc>
        <w:tc>
          <w:tcPr>
            <w:tcW w:type="dxa" w:w="165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47,8</w:t>
            </w:r>
          </w:p>
        </w:tc>
        <w:tc>
          <w:tcPr>
            <w:tcW w:type="dxa" w:w="165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39,5</w:t>
            </w:r>
          </w:p>
        </w:tc>
        <w:tc>
          <w:tcPr>
            <w:tcW w:type="dxa" w:w="151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38,8</w:t>
            </w:r>
          </w:p>
        </w:tc>
      </w:tr>
      <w:tr>
        <w:tc>
          <w:tcPr>
            <w:tcW w:type="dxa" w:w="29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bCs/>
                <w:sz w:val="18"/>
                <w:szCs w:val="18"/>
              </w:rPr>
              <w:t xml:space="preserve">estrato (media)</w:t>
            </w:r>
          </w:p>
        </w:tc>
        <w:tc>
          <w:tcPr>
            <w:tcW w:type="dxa" w:w="165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2,55</w:t>
            </w:r>
          </w:p>
        </w:tc>
        <w:tc>
          <w:tcPr>
            <w:tcW w:type="dxa" w:w="165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2,57</w:t>
            </w:r>
          </w:p>
        </w:tc>
        <w:tc>
          <w:tcPr>
            <w:tcW w:type="dxa" w:w="165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3,85</w:t>
            </w:r>
          </w:p>
        </w:tc>
        <w:tc>
          <w:tcPr>
            <w:tcW w:type="dxa" w:w="151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right"/>
            </w:pPr>
            <w:r>
              <w:rPr>
                <w:b w:val="false"/>
                <w:bCs w:val="false"/>
                <w:sz w:val="18"/>
                <w:szCs w:val="18"/>
              </w:rPr>
              <w:t xml:space="preserve">2,79</w:t>
            </w:r>
          </w:p>
        </w:tc>
      </w:tr>
      <w:tr>
        <w:tc>
          <w:tcPr>
            <w:tcW w:type="dxa" w:w="29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bCs/>
                <w:sz w:val="18"/>
                <w:szCs w:val="18"/>
              </w:rPr>
              <w:t xml:space="preserve">nivel_fomo / comparacion_social</w:t>
            </w:r>
          </w:p>
        </w:tc>
        <w:tc>
          <w:tcPr>
            <w:tcW w:type="dxa" w:w="165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4,38 / 4,02</w:t>
            </w:r>
          </w:p>
        </w:tc>
        <w:tc>
          <w:tcPr>
            <w:tcW w:type="dxa" w:w="165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3,31 / 3,15</w:t>
            </w:r>
          </w:p>
        </w:tc>
        <w:tc>
          <w:tcPr>
            <w:tcW w:type="dxa" w:w="165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3,75 / 3,48</w:t>
            </w:r>
          </w:p>
        </w:tc>
        <w:tc>
          <w:tcPr>
            <w:tcW w:type="dxa" w:w="151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right"/>
            </w:pPr>
            <w:r>
              <w:rPr>
                <w:b w:val="false"/>
                <w:bCs w:val="false"/>
                <w:sz w:val="18"/>
                <w:szCs w:val="18"/>
              </w:rPr>
              <w:t xml:space="preserve">3,83 / 3,57</w:t>
            </w:r>
          </w:p>
        </w:tc>
      </w:tr>
    </w:tbl>
    <w:p>
      <w:pPr>
        <w:spacing w:after="200" w:before="60"/>
        <w:jc w:val="left"/>
      </w:pPr>
      <w:r>
        <w:rPr>
          <w:i/>
          <w:iCs/>
          <w:color w:val="5C5C5A"/>
          <w:sz w:val="18"/>
          <w:szCs w:val="18"/>
        </w:rPr>
        <w:t xml:space="preserve">Tabla 7. Promedios por cluster y diferencia porcentual frente a la media general. En negrita, el valor más alto de cada variable.</w:t>
      </w:r>
    </w:p>
    <w:p>
      <w:pPr>
        <w:pStyle w:val="Heading2"/>
        <w:keepNext/>
      </w:pPr>
      <w:r>
        <w:t xml:space="preserve">4.2 Enriquecimiento con variables categóricas</w:t>
      </w:r>
    </w:p>
    <w:p>
      <w:pPr>
        <w:spacing w:after="120" w:line="276"/>
        <w:jc w:val="both"/>
      </w:pPr>
      <w:r>
        <w:t xml:space="preserve">Cruzamos cada cluster con las variables categóricas que no entraron al modelo. Se muestra la categoría dominante y, entre paréntesis, el </w:t>
      </w:r>
      <w:r>
        <w:rPr>
          <w:b/>
          <w:bCs/>
        </w:rPr>
        <w:t xml:space="preserve">índice</w:t>
      </w:r>
      <w:r>
        <w:t xml:space="preserve"> frente al total de la base (100 = promedio; 150 = 1,5 veces más frecuente) o el </w:t>
      </w:r>
      <w:r>
        <w:rPr>
          <w:b/>
          <w:bCs/>
        </w:rPr>
        <w:t xml:space="preserve">lift</w:t>
      </w:r>
      <w:r>
        <w:t xml:space="preserve"> frente al cluster más parecido.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rPr>
          <w:tblHeader/>
        </w:trPr>
        <w:tc>
          <w:tcPr>
            <w:tcW w:type="dxa" w:w="2160"/>
            <w:tcBorders>
              <w:top w:val="single" w:color="BFC4CC" w:sz="4"/>
              <w:left w:val="single" w:color="BFC4CC" w:sz="4"/>
              <w:bottom w:val="single" w:color="BFC4CC" w:sz="4"/>
              <w:right w:val="single" w:color="BFC4CC" w:sz="4"/>
            </w:tcBorders>
            <w:shd w:fill="323A4E" w:color="auto" w:val="clear"/>
            <w:tcMar>
              <w:top w:type="dxa" w:w="60"/>
              <w:left w:type="dxa" w:w="90"/>
              <w:bottom w:type="dxa" w:w="60"/>
              <w:right w:type="dxa" w:w="90"/>
            </w:tcMar>
            <w:vAlign w:val="center"/>
          </w:tcPr>
          <w:p>
            <w:pPr>
              <w:spacing w:after="40" w:line="252"/>
              <w:jc w:val="left"/>
            </w:pPr>
            <w:r>
              <w:rPr>
                <w:b/>
                <w:bCs/>
                <w:color w:val="FFFFFF"/>
                <w:sz w:val="17"/>
                <w:szCs w:val="17"/>
              </w:rPr>
              <w:t xml:space="preserve">Variable</w:t>
            </w:r>
          </w:p>
        </w:tc>
        <w:tc>
          <w:tcPr>
            <w:tcW w:type="dxa" w:w="2400"/>
            <w:tcBorders>
              <w:top w:val="single" w:color="BFC4CC" w:sz="4"/>
              <w:left w:val="single" w:color="BFC4CC" w:sz="4"/>
              <w:bottom w:val="single" w:color="BFC4CC" w:sz="4"/>
              <w:right w:val="single" w:color="BFC4CC" w:sz="4"/>
            </w:tcBorders>
            <w:shd w:fill="323A4E" w:color="auto" w:val="clear"/>
            <w:tcMar>
              <w:top w:type="dxa" w:w="60"/>
              <w:left w:type="dxa" w:w="90"/>
              <w:bottom w:type="dxa" w:w="60"/>
              <w:right w:type="dxa" w:w="90"/>
            </w:tcMar>
            <w:vAlign w:val="center"/>
          </w:tcPr>
          <w:p>
            <w:pPr>
              <w:spacing w:after="40" w:line="252"/>
              <w:jc w:val="left"/>
            </w:pPr>
            <w:r>
              <w:rPr>
                <w:b/>
                <w:bCs/>
                <w:color w:val="FFFFFF"/>
                <w:sz w:val="17"/>
                <w:szCs w:val="17"/>
              </w:rPr>
              <w:t xml:space="preserve">C0</w:t>
            </w:r>
          </w:p>
        </w:tc>
        <w:tc>
          <w:tcPr>
            <w:tcW w:type="dxa" w:w="2400"/>
            <w:tcBorders>
              <w:top w:val="single" w:color="BFC4CC" w:sz="4"/>
              <w:left w:val="single" w:color="BFC4CC" w:sz="4"/>
              <w:bottom w:val="single" w:color="BFC4CC" w:sz="4"/>
              <w:right w:val="single" w:color="BFC4CC" w:sz="4"/>
            </w:tcBorders>
            <w:shd w:fill="323A4E" w:color="auto" w:val="clear"/>
            <w:tcMar>
              <w:top w:type="dxa" w:w="60"/>
              <w:left w:type="dxa" w:w="90"/>
              <w:bottom w:type="dxa" w:w="60"/>
              <w:right w:type="dxa" w:w="90"/>
            </w:tcMar>
            <w:vAlign w:val="center"/>
          </w:tcPr>
          <w:p>
            <w:pPr>
              <w:spacing w:after="40" w:line="252"/>
              <w:jc w:val="left"/>
            </w:pPr>
            <w:r>
              <w:rPr>
                <w:b/>
                <w:bCs/>
                <w:color w:val="FFFFFF"/>
                <w:sz w:val="17"/>
                <w:szCs w:val="17"/>
              </w:rPr>
              <w:t xml:space="preserve">C1</w:t>
            </w:r>
          </w:p>
        </w:tc>
        <w:tc>
          <w:tcPr>
            <w:tcW w:type="dxa" w:w="2400"/>
            <w:tcBorders>
              <w:top w:val="single" w:color="BFC4CC" w:sz="4"/>
              <w:left w:val="single" w:color="BFC4CC" w:sz="4"/>
              <w:bottom w:val="single" w:color="BFC4CC" w:sz="4"/>
              <w:right w:val="single" w:color="BFC4CC" w:sz="4"/>
            </w:tcBorders>
            <w:shd w:fill="323A4E" w:color="auto" w:val="clear"/>
            <w:tcMar>
              <w:top w:type="dxa" w:w="60"/>
              <w:left w:type="dxa" w:w="90"/>
              <w:bottom w:type="dxa" w:w="60"/>
              <w:right w:type="dxa" w:w="90"/>
            </w:tcMar>
            <w:vAlign w:val="center"/>
          </w:tcPr>
          <w:p>
            <w:pPr>
              <w:spacing w:after="40" w:line="252"/>
              <w:jc w:val="left"/>
            </w:pPr>
            <w:r>
              <w:rPr>
                <w:b/>
                <w:bCs/>
                <w:color w:val="FFFFFF"/>
                <w:sz w:val="17"/>
                <w:szCs w:val="17"/>
              </w:rPr>
              <w:t xml:space="preserve">C2</w:t>
            </w:r>
          </w:p>
        </w:tc>
      </w:tr>
      <w:tr>
        <w:tc>
          <w:tcPr>
            <w:tcW w:type="dxa" w:w="216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bCs/>
                <w:sz w:val="17"/>
                <w:szCs w:val="17"/>
              </w:rPr>
              <w:t xml:space="preserve">motivo_primario</w:t>
            </w:r>
          </w:p>
        </w:tc>
        <w:tc>
          <w:tcPr>
            <w:tcW w:type="dxa" w:w="24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7"/>
                <w:szCs w:val="17"/>
              </w:rPr>
              <w:t xml:space="preserve">Hábito y pasatiempo 21,9%; identidad (lift 1,34)</w:t>
            </w:r>
          </w:p>
        </w:tc>
        <w:tc>
          <w:tcPr>
            <w:tcW w:type="dxa" w:w="24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7"/>
                <w:szCs w:val="17"/>
              </w:rPr>
              <w:t xml:space="preserve">Información 22,6%</w:t>
            </w:r>
            <w:r>
              <w:rPr>
                <w:b w:val="false"/>
                <w:bCs w:val="false"/>
                <w:sz w:val="17"/>
                <w:szCs w:val="17"/>
              </w:rPr>
              <w:t xml:space="preserve"> (lift 1,46)</w:t>
            </w:r>
          </w:p>
        </w:tc>
        <w:tc>
          <w:tcPr>
            <w:tcW w:type="dxa" w:w="24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7"/>
                <w:szCs w:val="17"/>
              </w:rPr>
              <w:t xml:space="preserve">Interacción social 23,6%</w:t>
            </w:r>
          </w:p>
        </w:tc>
      </w:tr>
      <w:tr>
        <w:tc>
          <w:tcPr>
            <w:tcW w:type="dxa" w:w="216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bCs/>
                <w:sz w:val="17"/>
                <w:szCs w:val="17"/>
              </w:rPr>
              <w:t xml:space="preserve">necesidad_base</w:t>
            </w:r>
          </w:p>
        </w:tc>
        <w:tc>
          <w:tcPr>
            <w:tcW w:type="dxa" w:w="24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7"/>
                <w:szCs w:val="17"/>
              </w:rPr>
              <w:t xml:space="preserve">Distracción y placer 24,1%</w:t>
            </w:r>
          </w:p>
        </w:tc>
        <w:tc>
          <w:tcPr>
            <w:tcW w:type="dxa" w:w="24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7"/>
                <w:szCs w:val="17"/>
              </w:rPr>
              <w:t xml:space="preserve">Distracción 21,2%; </w:t>
            </w:r>
            <w:r>
              <w:rPr>
                <w:b w:val="false"/>
                <w:bCs w:val="false"/>
                <w:sz w:val="17"/>
                <w:szCs w:val="17"/>
              </w:rPr>
              <w:t xml:space="preserve">curiosidad 17,5%</w:t>
            </w:r>
            <w:r>
              <w:rPr>
                <w:b w:val="false"/>
                <w:bCs w:val="false"/>
                <w:sz w:val="17"/>
                <w:szCs w:val="17"/>
              </w:rPr>
              <w:t xml:space="preserve"> (124)</w:t>
            </w:r>
          </w:p>
        </w:tc>
        <w:tc>
          <w:tcPr>
            <w:tcW w:type="dxa" w:w="24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7"/>
                <w:szCs w:val="17"/>
              </w:rPr>
              <w:t xml:space="preserve">Distracción 20,7%; pertenencia 16,7%</w:t>
            </w:r>
          </w:p>
        </w:tc>
      </w:tr>
      <w:tr>
        <w:tc>
          <w:tcPr>
            <w:tcW w:type="dxa" w:w="216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bCs/>
                <w:sz w:val="17"/>
                <w:szCs w:val="17"/>
              </w:rPr>
              <w:t xml:space="preserve">gratificacion_buscada</w:t>
            </w:r>
          </w:p>
        </w:tc>
        <w:tc>
          <w:tcPr>
            <w:tcW w:type="dxa" w:w="24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7"/>
                <w:szCs w:val="17"/>
              </w:rPr>
              <w:t xml:space="preserve">Relajación 19,3% (113); expresar quién soy (135)</w:t>
            </w:r>
          </w:p>
        </w:tc>
        <w:tc>
          <w:tcPr>
            <w:tcW w:type="dxa" w:w="24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7"/>
                <w:szCs w:val="17"/>
              </w:rPr>
              <w:t xml:space="preserve">Relajación 15,8%; </w:t>
            </w:r>
            <w:r>
              <w:rPr>
                <w:b w:val="false"/>
                <w:bCs w:val="false"/>
                <w:sz w:val="17"/>
                <w:szCs w:val="17"/>
              </w:rPr>
              <w:t xml:space="preserve">estar al día</w:t>
            </w:r>
            <w:r>
              <w:rPr>
                <w:b w:val="false"/>
                <w:bCs w:val="false"/>
                <w:sz w:val="17"/>
                <w:szCs w:val="17"/>
              </w:rPr>
              <w:t xml:space="preserve"> (lift 1,60)</w:t>
            </w:r>
          </w:p>
        </w:tc>
        <w:tc>
          <w:tcPr>
            <w:tcW w:type="dxa" w:w="24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7"/>
                <w:szCs w:val="17"/>
              </w:rPr>
              <w:t xml:space="preserve">Relajación 14,4%; sentirse acompañado (144)</w:t>
            </w:r>
          </w:p>
        </w:tc>
      </w:tr>
      <w:tr>
        <w:tc>
          <w:tcPr>
            <w:tcW w:type="dxa" w:w="216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bCs/>
                <w:sz w:val="17"/>
                <w:szCs w:val="17"/>
              </w:rPr>
              <w:t xml:space="preserve">Gratificación obtenida (tension_gratificacion)</w:t>
            </w:r>
          </w:p>
        </w:tc>
        <w:tc>
          <w:tcPr>
            <w:tcW w:type="dxa" w:w="24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7"/>
                <w:szCs w:val="17"/>
              </w:rPr>
              <w:t xml:space="preserve">Satisf. parcial 24,6%; indiferencia 15,4%</w:t>
            </w:r>
          </w:p>
        </w:tc>
        <w:tc>
          <w:tcPr>
            <w:tcW w:type="dxa" w:w="24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7"/>
                <w:szCs w:val="17"/>
              </w:rPr>
              <w:t xml:space="preserve">Satisf. plena 22,9%; descubrimiento positivo 15,8%</w:t>
            </w:r>
          </w:p>
        </w:tc>
        <w:tc>
          <w:tcPr>
            <w:tcW w:type="dxa" w:w="24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7"/>
                <w:szCs w:val="17"/>
              </w:rPr>
              <w:t xml:space="preserve">Satisfacción plena 31,0%</w:t>
            </w:r>
            <w:r>
              <w:rPr>
                <w:b w:val="false"/>
                <w:bCs w:val="false"/>
                <w:sz w:val="17"/>
                <w:szCs w:val="17"/>
              </w:rPr>
              <w:t xml:space="preserve">; indiferencia 7,5%</w:t>
            </w:r>
          </w:p>
        </w:tc>
      </w:tr>
      <w:tr>
        <w:tc>
          <w:tcPr>
            <w:tcW w:type="dxa" w:w="216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bCs/>
                <w:sz w:val="17"/>
                <w:szCs w:val="17"/>
              </w:rPr>
              <w:t xml:space="preserve">genero</w:t>
            </w:r>
          </w:p>
        </w:tc>
        <w:tc>
          <w:tcPr>
            <w:tcW w:type="dxa" w:w="24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7"/>
                <w:szCs w:val="17"/>
              </w:rPr>
              <w:t xml:space="preserve">F 52,3% · M 47,0%</w:t>
            </w:r>
          </w:p>
        </w:tc>
        <w:tc>
          <w:tcPr>
            <w:tcW w:type="dxa" w:w="24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7"/>
                <w:szCs w:val="17"/>
              </w:rPr>
              <w:t xml:space="preserve">F 49,1% · M 50,1%</w:t>
            </w:r>
          </w:p>
        </w:tc>
        <w:tc>
          <w:tcPr>
            <w:tcW w:type="dxa" w:w="24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7"/>
                <w:szCs w:val="17"/>
              </w:rPr>
              <w:t xml:space="preserve">F 49,4% · M 50,0%</w:t>
            </w:r>
          </w:p>
        </w:tc>
      </w:tr>
      <w:tr>
        <w:tc>
          <w:tcPr>
            <w:tcW w:type="dxa" w:w="216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bCs/>
                <w:sz w:val="17"/>
                <w:szCs w:val="17"/>
              </w:rPr>
              <w:t xml:space="preserve">Edad (rangos)</w:t>
            </w:r>
          </w:p>
        </w:tc>
        <w:tc>
          <w:tcPr>
            <w:tcW w:type="dxa" w:w="24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7"/>
                <w:szCs w:val="17"/>
              </w:rPr>
              <w:t xml:space="preserve">18–24: 35,2% (lift 2,19)</w:t>
            </w:r>
            <w:r>
              <w:rPr>
                <w:b w:val="false"/>
                <w:bCs w:val="false"/>
                <w:sz w:val="17"/>
                <w:szCs w:val="17"/>
              </w:rPr>
              <w:t xml:space="preserve">; 25–39: 50,4%</w:t>
            </w:r>
          </w:p>
        </w:tc>
        <w:tc>
          <w:tcPr>
            <w:tcW w:type="dxa" w:w="24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7"/>
                <w:szCs w:val="17"/>
              </w:rPr>
              <w:t xml:space="preserve">40–55: 40,4%; 56+: 30,9% (lift 2,15)</w:t>
            </w:r>
          </w:p>
        </w:tc>
        <w:tc>
          <w:tcPr>
            <w:tcW w:type="dxa" w:w="24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7"/>
                <w:szCs w:val="17"/>
              </w:rPr>
              <w:t xml:space="preserve">25–39: 37,4%; 40–55: 32,2%</w:t>
            </w:r>
          </w:p>
        </w:tc>
      </w:tr>
      <w:tr>
        <w:tc>
          <w:tcPr>
            <w:tcW w:type="dxa" w:w="216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bCs/>
                <w:sz w:val="17"/>
                <w:szCs w:val="17"/>
              </w:rPr>
              <w:t xml:space="preserve">nivel_educativo</w:t>
            </w:r>
          </w:p>
        </w:tc>
        <w:tc>
          <w:tcPr>
            <w:tcW w:type="dxa" w:w="24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7"/>
                <w:szCs w:val="17"/>
              </w:rPr>
              <w:t xml:space="preserve">Secundaria 32,5%; técnico 32,3%</w:t>
            </w:r>
          </w:p>
        </w:tc>
        <w:tc>
          <w:tcPr>
            <w:tcW w:type="dxa" w:w="24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7"/>
                <w:szCs w:val="17"/>
              </w:rPr>
              <w:t xml:space="preserve">Secundaria 32,8%; técnico 29,0%</w:t>
            </w:r>
          </w:p>
        </w:tc>
        <w:tc>
          <w:tcPr>
            <w:tcW w:type="dxa" w:w="24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7"/>
                <w:szCs w:val="17"/>
              </w:rPr>
              <w:t xml:space="preserve">Universitario 31,0%; </w:t>
            </w:r>
            <w:r>
              <w:rPr>
                <w:b w:val="false"/>
                <w:bCs w:val="false"/>
                <w:sz w:val="17"/>
                <w:szCs w:val="17"/>
              </w:rPr>
              <w:t xml:space="preserve">posgrado 24,1% (lift 4,01)</w:t>
            </w:r>
          </w:p>
        </w:tc>
      </w:tr>
      <w:tr>
        <w:tc>
          <w:tcPr>
            <w:tcW w:type="dxa" w:w="216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bCs/>
                <w:sz w:val="17"/>
                <w:szCs w:val="17"/>
              </w:rPr>
              <w:t xml:space="preserve">estrato</w:t>
            </w:r>
          </w:p>
        </w:tc>
        <w:tc>
          <w:tcPr>
            <w:tcW w:type="dxa" w:w="24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7"/>
                <w:szCs w:val="17"/>
              </w:rPr>
              <w:t xml:space="preserve">Bajo (1–2) 49,2%</w:t>
            </w:r>
          </w:p>
        </w:tc>
        <w:tc>
          <w:tcPr>
            <w:tcW w:type="dxa" w:w="24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7"/>
                <w:szCs w:val="17"/>
              </w:rPr>
              <w:t xml:space="preserve">Bajo (1–2) 49,9%</w:t>
            </w:r>
          </w:p>
        </w:tc>
        <w:tc>
          <w:tcPr>
            <w:tcW w:type="dxa" w:w="24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7"/>
                <w:szCs w:val="17"/>
              </w:rPr>
              <w:t xml:space="preserve">Alto (4–6) 54,0%</w:t>
            </w:r>
          </w:p>
        </w:tc>
      </w:tr>
      <w:tr>
        <w:tc>
          <w:tcPr>
            <w:tcW w:type="dxa" w:w="216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bCs/>
                <w:sz w:val="17"/>
                <w:szCs w:val="17"/>
              </w:rPr>
              <w:t xml:space="preserve">plataforma_video_principal</w:t>
            </w:r>
          </w:p>
        </w:tc>
        <w:tc>
          <w:tcPr>
            <w:tcW w:type="dxa" w:w="24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7"/>
                <w:szCs w:val="17"/>
              </w:rPr>
              <w:t xml:space="preserve">YouTube 27,0%; Netflix 25,8%; </w:t>
            </w:r>
            <w:r>
              <w:rPr>
                <w:b w:val="false"/>
                <w:bCs w:val="false"/>
                <w:sz w:val="17"/>
                <w:szCs w:val="17"/>
              </w:rPr>
              <w:t xml:space="preserve">TikTok 24,6% (lift 1,58)</w:t>
            </w:r>
          </w:p>
        </w:tc>
        <w:tc>
          <w:tcPr>
            <w:tcW w:type="dxa" w:w="24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7"/>
                <w:szCs w:val="17"/>
              </w:rPr>
              <w:t xml:space="preserve">YouTube 30,9%; Netflix 17,8%; </w:t>
            </w:r>
            <w:r>
              <w:rPr>
                <w:b w:val="false"/>
                <w:bCs w:val="false"/>
                <w:sz w:val="17"/>
                <w:szCs w:val="17"/>
              </w:rPr>
              <w:t xml:space="preserve">ninguna 14,1% (lift 2,23)</w:t>
            </w:r>
          </w:p>
        </w:tc>
        <w:tc>
          <w:tcPr>
            <w:tcW w:type="dxa" w:w="24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7"/>
                <w:szCs w:val="17"/>
              </w:rPr>
              <w:t xml:space="preserve">YouTube 28,7%; </w:t>
            </w:r>
            <w:r>
              <w:rPr>
                <w:b w:val="false"/>
                <w:bCs w:val="false"/>
                <w:sz w:val="17"/>
                <w:szCs w:val="17"/>
              </w:rPr>
              <w:t xml:space="preserve">Netflix 27,0%</w:t>
            </w:r>
          </w:p>
        </w:tc>
      </w:tr>
      <w:tr>
        <w:tc>
          <w:tcPr>
            <w:tcW w:type="dxa" w:w="216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bCs/>
                <w:sz w:val="17"/>
                <w:szCs w:val="17"/>
              </w:rPr>
              <w:t xml:space="preserve">dispositivo_principal</w:t>
            </w:r>
          </w:p>
        </w:tc>
        <w:tc>
          <w:tcPr>
            <w:tcW w:type="dxa" w:w="24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7"/>
                <w:szCs w:val="17"/>
              </w:rPr>
              <w:t xml:space="preserve">Smartphone 82,9%</w:t>
            </w:r>
          </w:p>
        </w:tc>
        <w:tc>
          <w:tcPr>
            <w:tcW w:type="dxa" w:w="24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7"/>
                <w:szCs w:val="17"/>
              </w:rPr>
              <w:t xml:space="preserve">Smartphone 74,7%; Smart TV (116); tablet (134)</w:t>
            </w:r>
          </w:p>
        </w:tc>
        <w:tc>
          <w:tcPr>
            <w:tcW w:type="dxa" w:w="24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7"/>
                <w:szCs w:val="17"/>
              </w:rPr>
              <w:t xml:space="preserve">Smartphone 77,6%</w:t>
            </w:r>
          </w:p>
        </w:tc>
      </w:tr>
      <w:tr>
        <w:tc>
          <w:tcPr>
            <w:tcW w:type="dxa" w:w="216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bCs/>
                <w:sz w:val="17"/>
                <w:szCs w:val="17"/>
              </w:rPr>
              <w:t xml:space="preserve">categoria_contenido</w:t>
            </w:r>
          </w:p>
        </w:tc>
        <w:tc>
          <w:tcPr>
            <w:tcW w:type="dxa" w:w="24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7"/>
                <w:szCs w:val="17"/>
              </w:rPr>
              <w:t xml:space="preserve">Música 19,0%; humor 17,1%</w:t>
            </w:r>
          </w:p>
        </w:tc>
        <w:tc>
          <w:tcPr>
            <w:tcW w:type="dxa" w:w="24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7"/>
                <w:szCs w:val="17"/>
              </w:rPr>
              <w:t xml:space="preserve">Música 18,0%; deportes (119); noticias (122)</w:t>
            </w:r>
          </w:p>
        </w:tc>
        <w:tc>
          <w:tcPr>
            <w:tcW w:type="dxa" w:w="24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7"/>
                <w:szCs w:val="17"/>
              </w:rPr>
              <w:t xml:space="preserve">Humor 15,5%; gastronomía 14,4%</w:t>
            </w:r>
          </w:p>
        </w:tc>
      </w:tr>
      <w:tr>
        <w:tc>
          <w:tcPr>
            <w:tcW w:type="dxa" w:w="216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bCs/>
                <w:sz w:val="17"/>
                <w:szCs w:val="17"/>
              </w:rPr>
              <w:t xml:space="preserve">contexto_visionado</w:t>
            </w:r>
          </w:p>
        </w:tc>
        <w:tc>
          <w:tcPr>
            <w:tcW w:type="dxa" w:w="24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7"/>
                <w:szCs w:val="17"/>
              </w:rPr>
              <w:t xml:space="preserve">Solo/a en smartphone 31,1%</w:t>
            </w:r>
            <w:r>
              <w:rPr>
                <w:b w:val="false"/>
                <w:bCs w:val="false"/>
                <w:sz w:val="17"/>
                <w:szCs w:val="17"/>
              </w:rPr>
              <w:t xml:space="preserve"> (117)</w:t>
            </w:r>
          </w:p>
        </w:tc>
        <w:tc>
          <w:tcPr>
            <w:tcW w:type="dxa" w:w="24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7"/>
                <w:szCs w:val="17"/>
              </w:rPr>
              <w:t xml:space="preserve">En familia, TV compartida 35,0%</w:t>
            </w:r>
            <w:r>
              <w:rPr>
                <w:b w:val="false"/>
                <w:bCs w:val="false"/>
                <w:sz w:val="17"/>
                <w:szCs w:val="17"/>
              </w:rPr>
              <w:t xml:space="preserve"> (116)</w:t>
            </w:r>
          </w:p>
        </w:tc>
        <w:tc>
          <w:tcPr>
            <w:tcW w:type="dxa" w:w="24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7"/>
                <w:szCs w:val="17"/>
              </w:rPr>
              <w:t xml:space="preserve">En familia 29,3%; solo/a en computador (lift 1,52)</w:t>
            </w:r>
          </w:p>
        </w:tc>
      </w:tr>
      <w:tr>
        <w:tc>
          <w:tcPr>
            <w:tcW w:type="dxa" w:w="216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bCs/>
                <w:sz w:val="17"/>
                <w:szCs w:val="17"/>
              </w:rPr>
              <w:t xml:space="preserve">binge_watching / patrón</w:t>
            </w:r>
          </w:p>
        </w:tc>
        <w:tc>
          <w:tcPr>
            <w:tcW w:type="dxa" w:w="24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7"/>
                <w:szCs w:val="17"/>
              </w:rPr>
              <w:t xml:space="preserve">Maratón frecuente 24,1%</w:t>
            </w:r>
            <w:r>
              <w:rPr>
                <w:b w:val="false"/>
                <w:bCs w:val="false"/>
                <w:sz w:val="17"/>
                <w:szCs w:val="17"/>
              </w:rPr>
              <w:t xml:space="preserve"> (lift 1,32); madrugada (lift 1,45)</w:t>
            </w:r>
          </w:p>
        </w:tc>
        <w:tc>
          <w:tcPr>
            <w:tcW w:type="dxa" w:w="24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7"/>
                <w:szCs w:val="17"/>
              </w:rPr>
              <w:t xml:space="preserve">Un episodio por sesión 27,7%; fragmentado 20,0%</w:t>
            </w:r>
          </w:p>
        </w:tc>
        <w:tc>
          <w:tcPr>
            <w:tcW w:type="dxa" w:w="24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7"/>
                <w:szCs w:val="17"/>
              </w:rPr>
              <w:t xml:space="preserve">Un episodio por sesión 28,7%; maratón de fin de semana</w:t>
            </w:r>
          </w:p>
        </w:tc>
      </w:tr>
      <w:tr>
        <w:tc>
          <w:tcPr>
            <w:tcW w:type="dxa" w:w="216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bCs/>
                <w:sz w:val="17"/>
                <w:szCs w:val="17"/>
              </w:rPr>
              <w:t xml:space="preserve">via_llegada</w:t>
            </w:r>
          </w:p>
        </w:tc>
        <w:tc>
          <w:tcPr>
            <w:tcW w:type="dxa" w:w="24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7"/>
                <w:szCs w:val="17"/>
              </w:rPr>
              <w:t xml:space="preserve">Algoritmo 28,9%</w:t>
            </w:r>
            <w:r>
              <w:rPr>
                <w:b w:val="false"/>
                <w:bCs w:val="false"/>
                <w:sz w:val="17"/>
                <w:szCs w:val="17"/>
              </w:rPr>
              <w:t xml:space="preserve"> (lift 1,32); redes sociales 19,3%</w:t>
            </w:r>
          </w:p>
        </w:tc>
        <w:tc>
          <w:tcPr>
            <w:tcW w:type="dxa" w:w="24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7"/>
                <w:szCs w:val="17"/>
              </w:rPr>
              <w:t xml:space="preserve">Recomendación amigos/familia 24,3%; medios (128)</w:t>
            </w:r>
          </w:p>
        </w:tc>
        <w:tc>
          <w:tcPr>
            <w:tcW w:type="dxa" w:w="24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7"/>
                <w:szCs w:val="17"/>
              </w:rPr>
              <w:t xml:space="preserve">Recomendación 27,0%; búsqueda activa (116)</w:t>
            </w:r>
          </w:p>
        </w:tc>
      </w:tr>
      <w:tr>
        <w:tc>
          <w:tcPr>
            <w:tcW w:type="dxa" w:w="216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bCs/>
                <w:sz w:val="17"/>
                <w:szCs w:val="17"/>
              </w:rPr>
              <w:t xml:space="preserve">Otros rasgos exclusivos</w:t>
            </w:r>
          </w:p>
        </w:tc>
        <w:tc>
          <w:tcPr>
            <w:tcW w:type="dxa" w:w="24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7"/>
                <w:szCs w:val="17"/>
              </w:rPr>
              <w:t xml:space="preserve">Creador activo 55,7%; comunidad activa 64,6%</w:t>
            </w:r>
          </w:p>
        </w:tc>
        <w:tc>
          <w:tcPr>
            <w:tcW w:type="dxa" w:w="24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7"/>
                <w:szCs w:val="17"/>
              </w:rPr>
              <w:t xml:space="preserve">TV abierta como fuente principal 29,9% (lift 1,93); consumidor pasivo 40,4%</w:t>
            </w:r>
          </w:p>
        </w:tc>
        <w:tc>
          <w:tcPr>
            <w:tcW w:type="dxa" w:w="24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7"/>
                <w:szCs w:val="17"/>
              </w:rPr>
              <w:t xml:space="preserve">Disposición a pagar alta 92% (lift 14,7)</w:t>
            </w:r>
          </w:p>
        </w:tc>
      </w:tr>
    </w:tbl>
    <w:p>
      <w:pPr>
        <w:spacing w:after="200" w:before="60"/>
        <w:jc w:val="left"/>
      </w:pPr>
      <w:r>
        <w:rPr>
          <w:i/>
          <w:iCs/>
          <w:color w:val="5C5C5A"/>
          <w:sz w:val="18"/>
          <w:szCs w:val="18"/>
        </w:rPr>
        <w:t xml:space="preserve">Tabla 8. Distribución categórica predominante por cluster. Fuerza de asociación con el cluster (V de Cramer): disposición a pagar 0,58; grupo etario 0,43; genera_contenido 0,33; género 0,02 (sin diferencias).</w:t>
      </w:r>
    </w:p>
    <w:p>
      <w:pPr>
        <w:pStyle w:val="Heading2"/>
        <w:keepNext/>
      </w:pPr>
      <w:r>
        <w:t xml:space="preserve">4.3 Descripción integrada de cada segmento</w:t>
      </w:r>
    </w:p>
    <w:p>
      <w:pPr>
        <w:spacing w:after="120" w:line="276"/>
        <w:jc w:val="both"/>
      </w:pPr>
      <w:r>
        <w:rPr>
          <w:b/>
          <w:bCs/>
        </w:rPr>
        <w:t xml:space="preserve">Cluster 0 (41,5%).</w:t>
      </w:r>
      <w:r>
        <w:t xml:space="preserve"> Es el más intensivo (4,2 h/día en redes, 6 redes) y el más alto en evasión, pasar el tiempo, identidad e interacción social, con la menor motivación informativa. Aunque la edad no entró al modelo, concentra al 75% de todas las personas de 18–24 años de la base. Ve solo en el celular, maratonea, llega por el algoritmo y las redes, y es el más activo creando contenido y en comunidades.</w:t>
      </w:r>
    </w:p>
    <w:p>
      <w:pPr>
        <w:spacing w:after="120" w:line="276"/>
        <w:jc w:val="both"/>
      </w:pPr>
      <w:r>
        <w:rPr>
          <w:b/>
          <w:bCs/>
        </w:rPr>
        <w:t xml:space="preserve">Cluster 1 (41,1%).</w:t>
      </w:r>
      <w:r>
        <w:t xml:space="preserve"> Es el menos intensivo (2,8 h/día) y el único donde gana la motivación informativa. Concentra al 61% de las mujeres de 40–55 años de la base. Ve acompañado en la TV de la sala, a un episodio por sesión o de forma fragmentada; para un 30% la TV abierta sigue siendo su fuente principal y es pasivo en lo digital.</w:t>
      </w:r>
    </w:p>
    <w:p>
      <w:pPr>
        <w:spacing w:after="120" w:line="276"/>
        <w:jc w:val="both"/>
      </w:pPr>
      <w:r>
        <w:rPr>
          <w:b/>
          <w:bCs/>
        </w:rPr>
        <w:t xml:space="preserve">Cluster 2 (17,4%).</w:t>
      </w:r>
      <w:r>
        <w:t xml:space="preserve"> Se define por el pago (72.476 COP/mes, 6,5 veces los otros) y el estrato alto; sus gratificaciones están en la media. Usa más Netflix, elige con intención (búsqueda activa, recomendación) y es el más satisfecho (31% de satisfacción plena).</w:t>
      </w:r>
    </w:p>
    <w:p>
      <w:pPr>
        <w:pStyle w:val="Heading3"/>
        <w:keepNext/>
      </w:pPr>
      <w:r>
        <w:t xml:space="preserve">Cruces de retención (proxy, porque la base no mide abandono)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2100"/>
        <w:gridCol w:w="2660"/>
      </w:tblGrid>
      <w:tr>
        <w:trPr>
          <w:tblHeader/>
        </w:trPr>
        <w:tc>
          <w:tcPr>
            <w:tcW w:type="dxa" w:w="2500"/>
            <w:tcBorders>
              <w:top w:val="single" w:color="BFC4CC" w:sz="4"/>
              <w:left w:val="single" w:color="BFC4CC" w:sz="4"/>
              <w:bottom w:val="single" w:color="BFC4CC" w:sz="4"/>
              <w:right w:val="single" w:color="BFC4CC" w:sz="4"/>
            </w:tcBorders>
            <w:shd w:fill="323A4E" w:color="auto" w:val="clear"/>
            <w:tcMar>
              <w:top w:type="dxa" w:w="60"/>
              <w:left w:type="dxa" w:w="90"/>
              <w:bottom w:type="dxa" w:w="60"/>
              <w:right w:type="dxa" w:w="90"/>
            </w:tcMar>
            <w:vAlign w:val="center"/>
          </w:tcPr>
          <w:p>
            <w:pPr>
              <w:spacing w:after="40" w:line="252"/>
              <w:jc w:val="left"/>
            </w:pPr>
            <w:r>
              <w:rPr>
                <w:b/>
                <w:bCs/>
                <w:color w:val="FFFFFF"/>
                <w:sz w:val="17"/>
                <w:szCs w:val="17"/>
              </w:rPr>
              <w:t xml:space="preserve">Combinación</w:t>
            </w:r>
          </w:p>
        </w:tc>
        <w:tc>
          <w:tcPr>
            <w:tcW w:type="dxa" w:w="2100"/>
            <w:tcBorders>
              <w:top w:val="single" w:color="BFC4CC" w:sz="4"/>
              <w:left w:val="single" w:color="BFC4CC" w:sz="4"/>
              <w:bottom w:val="single" w:color="BFC4CC" w:sz="4"/>
              <w:right w:val="single" w:color="BFC4CC" w:sz="4"/>
            </w:tcBorders>
            <w:shd w:fill="323A4E" w:color="auto" w:val="clear"/>
            <w:tcMar>
              <w:top w:type="dxa" w:w="60"/>
              <w:left w:type="dxa" w:w="90"/>
              <w:bottom w:type="dxa" w:w="60"/>
              <w:right w:type="dxa" w:w="90"/>
            </w:tcMar>
            <w:vAlign w:val="center"/>
          </w:tcPr>
          <w:p>
            <w:pPr>
              <w:spacing w:after="40" w:line="252"/>
              <w:jc w:val="left"/>
            </w:pPr>
            <w:r>
              <w:rPr>
                <w:b/>
                <w:bCs/>
                <w:color w:val="FFFFFF"/>
                <w:sz w:val="17"/>
                <w:szCs w:val="17"/>
              </w:rPr>
              <w:t xml:space="preserve">C0: indiferencia / positivo*</w:t>
            </w:r>
          </w:p>
        </w:tc>
        <w:tc>
          <w:tcPr>
            <w:tcW w:type="dxa" w:w="2100"/>
            <w:tcBorders>
              <w:top w:val="single" w:color="BFC4CC" w:sz="4"/>
              <w:left w:val="single" w:color="BFC4CC" w:sz="4"/>
              <w:bottom w:val="single" w:color="BFC4CC" w:sz="4"/>
              <w:right w:val="single" w:color="BFC4CC" w:sz="4"/>
            </w:tcBorders>
            <w:shd w:fill="323A4E" w:color="auto" w:val="clear"/>
            <w:tcMar>
              <w:top w:type="dxa" w:w="60"/>
              <w:left w:type="dxa" w:w="90"/>
              <w:bottom w:type="dxa" w:w="60"/>
              <w:right w:type="dxa" w:w="90"/>
            </w:tcMar>
            <w:vAlign w:val="center"/>
          </w:tcPr>
          <w:p>
            <w:pPr>
              <w:spacing w:after="40" w:line="252"/>
              <w:jc w:val="left"/>
            </w:pPr>
            <w:r>
              <w:rPr>
                <w:b/>
                <w:bCs/>
                <w:color w:val="FFFFFF"/>
                <w:sz w:val="17"/>
                <w:szCs w:val="17"/>
              </w:rPr>
              <w:t xml:space="preserve">C1: indiferencia / positivo*</w:t>
            </w:r>
          </w:p>
        </w:tc>
        <w:tc>
          <w:tcPr>
            <w:tcW w:type="dxa" w:w="2660"/>
            <w:tcBorders>
              <w:top w:val="single" w:color="BFC4CC" w:sz="4"/>
              <w:left w:val="single" w:color="BFC4CC" w:sz="4"/>
              <w:bottom w:val="single" w:color="BFC4CC" w:sz="4"/>
              <w:right w:val="single" w:color="BFC4CC" w:sz="4"/>
            </w:tcBorders>
            <w:shd w:fill="323A4E" w:color="auto" w:val="clear"/>
            <w:tcMar>
              <w:top w:type="dxa" w:w="60"/>
              <w:left w:type="dxa" w:w="90"/>
              <w:bottom w:type="dxa" w:w="60"/>
              <w:right w:type="dxa" w:w="90"/>
            </w:tcMar>
            <w:vAlign w:val="center"/>
          </w:tcPr>
          <w:p>
            <w:pPr>
              <w:spacing w:after="40" w:line="252"/>
              <w:jc w:val="left"/>
            </w:pPr>
            <w:r>
              <w:rPr>
                <w:b/>
                <w:bCs/>
                <w:color w:val="FFFFFF"/>
                <w:sz w:val="17"/>
                <w:szCs w:val="17"/>
              </w:rPr>
              <w:t xml:space="preserve">Lectura</w:t>
            </w:r>
          </w:p>
        </w:tc>
      </w:tr>
      <w:tr>
        <w:tc>
          <w:tcPr>
            <w:tcW w:type="dxa" w:w="25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sz w:val="17"/>
                <w:szCs w:val="17"/>
              </w:rPr>
              <w:t xml:space="preserve">Ve solo/a + llega por algoritmo</w:t>
            </w:r>
          </w:p>
        </w:tc>
        <w:tc>
          <w:tcPr>
            <w:tcW w:type="dxa" w:w="21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sz w:val="17"/>
                <w:szCs w:val="17"/>
              </w:rPr>
              <w:t xml:space="preserve">23,7% / 32,2%</w:t>
            </w:r>
          </w:p>
        </w:tc>
        <w:tc>
          <w:tcPr>
            <w:tcW w:type="dxa" w:w="21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sz w:val="17"/>
                <w:szCs w:val="17"/>
              </w:rPr>
              <w:t xml:space="preserve">29,7% / 21,6%</w:t>
            </w:r>
          </w:p>
        </w:tc>
        <w:tc>
          <w:tcPr>
            <w:tcW w:type="dxa" w:w="266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sz w:val="17"/>
                <w:szCs w:val="17"/>
              </w:rPr>
              <w:t xml:space="preserve">Patrón de riesgo en ambos (base total: indiferencia 14,0%)</w:t>
            </w:r>
          </w:p>
        </w:tc>
      </w:tr>
      <w:tr>
        <w:tc>
          <w:tcPr>
            <w:tcW w:type="dxa" w:w="25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sz w:val="17"/>
                <w:szCs w:val="17"/>
              </w:rPr>
              <w:t xml:space="preserve">Ve solo/a + recomendación social</w:t>
            </w:r>
          </w:p>
        </w:tc>
        <w:tc>
          <w:tcPr>
            <w:tcW w:type="dxa" w:w="21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sz w:val="17"/>
                <w:szCs w:val="17"/>
              </w:rPr>
              <w:t xml:space="preserve">12,5% / 39,1%</w:t>
            </w:r>
          </w:p>
        </w:tc>
        <w:tc>
          <w:tcPr>
            <w:tcW w:type="dxa" w:w="21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sz w:val="17"/>
                <w:szCs w:val="17"/>
              </w:rPr>
              <w:t xml:space="preserve">13,2% / 45,3%</w:t>
            </w:r>
          </w:p>
        </w:tc>
        <w:tc>
          <w:tcPr>
            <w:tcW w:type="dxa" w:w="266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sz w:val="17"/>
                <w:szCs w:val="17"/>
              </w:rPr>
              <w:t xml:space="preserve">La recomendación humana protege</w:t>
            </w:r>
          </w:p>
        </w:tc>
      </w:tr>
      <w:tr>
        <w:tc>
          <w:tcPr>
            <w:tcW w:type="dxa" w:w="25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sz w:val="17"/>
                <w:szCs w:val="17"/>
              </w:rPr>
              <w:t xml:space="preserve">Acompañado/a + algoritmo</w:t>
            </w:r>
          </w:p>
        </w:tc>
        <w:tc>
          <w:tcPr>
            <w:tcW w:type="dxa" w:w="21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sz w:val="17"/>
                <w:szCs w:val="17"/>
              </w:rPr>
              <w:t xml:space="preserve">15,3% / 36,2%</w:t>
            </w:r>
          </w:p>
        </w:tc>
        <w:tc>
          <w:tcPr>
            <w:tcW w:type="dxa" w:w="21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sz w:val="17"/>
                <w:szCs w:val="17"/>
              </w:rPr>
              <w:t xml:space="preserve">11,1% / 39,6%</w:t>
            </w:r>
          </w:p>
        </w:tc>
        <w:tc>
          <w:tcPr>
            <w:tcW w:type="dxa" w:w="266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sz w:val="17"/>
                <w:szCs w:val="17"/>
              </w:rPr>
              <w:t xml:space="preserve">En C1, la compañía compensa al algoritmo</w:t>
            </w:r>
          </w:p>
        </w:tc>
      </w:tr>
      <w:tr>
        <w:tc>
          <w:tcPr>
            <w:tcW w:type="dxa" w:w="25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sz w:val="17"/>
                <w:szCs w:val="17"/>
              </w:rPr>
              <w:t xml:space="preserve">Acompañado/a + búsqueda activa</w:t>
            </w:r>
          </w:p>
        </w:tc>
        <w:tc>
          <w:tcPr>
            <w:tcW w:type="dxa" w:w="21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sz w:val="17"/>
                <w:szCs w:val="17"/>
              </w:rPr>
              <w:t xml:space="preserve">7,4% / 33,3%</w:t>
            </w:r>
          </w:p>
        </w:tc>
        <w:tc>
          <w:tcPr>
            <w:tcW w:type="dxa" w:w="21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sz w:val="17"/>
                <w:szCs w:val="17"/>
              </w:rPr>
              <w:t xml:space="preserve">9,3% / </w:t>
            </w:r>
            <w:r>
              <w:rPr>
                <w:sz w:val="17"/>
                <w:szCs w:val="17"/>
              </w:rPr>
              <w:t xml:space="preserve">46,6%</w:t>
            </w:r>
          </w:p>
        </w:tc>
        <w:tc>
          <w:tcPr>
            <w:tcW w:type="dxa" w:w="266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sz w:val="17"/>
                <w:szCs w:val="17"/>
              </w:rPr>
              <w:t xml:space="preserve">Mejor combinación de C1</w:t>
            </w:r>
          </w:p>
        </w:tc>
      </w:tr>
    </w:tbl>
    <w:p>
      <w:pPr>
        <w:spacing w:after="200" w:before="60"/>
        <w:jc w:val="left"/>
      </w:pPr>
      <w:r>
        <w:rPr>
          <w:i/>
          <w:iCs/>
          <w:color w:val="5C5C5A"/>
          <w:sz w:val="18"/>
          <w:szCs w:val="18"/>
        </w:rPr>
        <w:t xml:space="preserve">Tabla 9. *Positivo = descubrimiento positivo + satisfacción plena (base total: 38,4%).</w:t>
      </w:r>
    </w:p>
    <w:p>
      <w:pPr>
        <w:pStyle w:val="Heading1"/>
        <w:keepNext/>
      </w:pPr>
      <w:r>
        <w:t xml:space="preserve">5. Nombres y validación de los segmentos</w:t>
      </w:r>
    </w:p>
    <w:p>
      <w:pPr>
        <w:spacing w:after="120" w:line="276"/>
        <w:jc w:val="both"/>
      </w:pPr>
      <w:r>
        <w:t xml:space="preserve">Cada nombre sigue la fórmula </w:t>
      </w:r>
      <w:r>
        <w:rPr>
          <w:b/>
          <w:bCs/>
        </w:rPr>
        <w:t xml:space="preserve">[comportamiento distintivo] + [motivación principal]</w:t>
      </w:r>
      <w:r>
        <w:t xml:space="preserve">, tomando el rasgo con mayor lift frente a los otros clusters y la gratificación relativamente más alta. Los nombres son neutros en género porque los tres clusters son 50/50.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00"/>
        <w:gridCol w:w="2730"/>
        <w:gridCol w:w="2730"/>
      </w:tblGrid>
      <w:tr>
        <w:trPr>
          <w:tblHeader/>
        </w:trPr>
        <w:tc>
          <w:tcPr>
            <w:tcW w:type="dxa" w:w="1200"/>
            <w:tcBorders>
              <w:top w:val="single" w:color="BFC4CC" w:sz="4"/>
              <w:left w:val="single" w:color="BFC4CC" w:sz="4"/>
              <w:bottom w:val="single" w:color="BFC4CC" w:sz="4"/>
              <w:right w:val="single" w:color="BFC4CC" w:sz="4"/>
            </w:tcBorders>
            <w:shd w:fill="323A4E" w:color="auto" w:val="clear"/>
            <w:tcMar>
              <w:top w:type="dxa" w:w="60"/>
              <w:left w:type="dxa" w:w="90"/>
              <w:bottom w:type="dxa" w:w="60"/>
              <w:right w:type="dxa" w:w="90"/>
            </w:tcMar>
            <w:vAlign w:val="center"/>
          </w:tcPr>
          <w:p>
            <w:pPr>
              <w:spacing w:after="40" w:line="252"/>
              <w:jc w:val="left"/>
            </w:pPr>
            <w:r>
              <w:rPr>
                <w:b/>
                <w:bCs/>
                <w:color w:val="FFFFFF"/>
                <w:sz w:val="18"/>
                <w:szCs w:val="18"/>
              </w:rPr>
              <w:t xml:space="preserve">Cluster</w:t>
            </w:r>
          </w:p>
        </w:tc>
        <w:tc>
          <w:tcPr>
            <w:tcW w:type="dxa" w:w="2700"/>
            <w:tcBorders>
              <w:top w:val="single" w:color="BFC4CC" w:sz="4"/>
              <w:left w:val="single" w:color="BFC4CC" w:sz="4"/>
              <w:bottom w:val="single" w:color="BFC4CC" w:sz="4"/>
              <w:right w:val="single" w:color="BFC4CC" w:sz="4"/>
            </w:tcBorders>
            <w:shd w:fill="323A4E" w:color="auto" w:val="clear"/>
            <w:tcMar>
              <w:top w:type="dxa" w:w="60"/>
              <w:left w:type="dxa" w:w="90"/>
              <w:bottom w:type="dxa" w:w="60"/>
              <w:right w:type="dxa" w:w="90"/>
            </w:tcMar>
            <w:vAlign w:val="center"/>
          </w:tcPr>
          <w:p>
            <w:pPr>
              <w:spacing w:after="40" w:line="252"/>
              <w:jc w:val="left"/>
            </w:pPr>
            <w:r>
              <w:rPr>
                <w:b/>
                <w:bCs/>
                <w:color w:val="FFFFFF"/>
                <w:sz w:val="18"/>
                <w:szCs w:val="18"/>
              </w:rPr>
              <w:t xml:space="preserve">Nombre</w:t>
            </w:r>
          </w:p>
        </w:tc>
        <w:tc>
          <w:tcPr>
            <w:tcW w:type="dxa" w:w="2730"/>
            <w:tcBorders>
              <w:top w:val="single" w:color="BFC4CC" w:sz="4"/>
              <w:left w:val="single" w:color="BFC4CC" w:sz="4"/>
              <w:bottom w:val="single" w:color="BFC4CC" w:sz="4"/>
              <w:right w:val="single" w:color="BFC4CC" w:sz="4"/>
            </w:tcBorders>
            <w:shd w:fill="323A4E" w:color="auto" w:val="clear"/>
            <w:tcMar>
              <w:top w:type="dxa" w:w="60"/>
              <w:left w:type="dxa" w:w="90"/>
              <w:bottom w:type="dxa" w:w="60"/>
              <w:right w:type="dxa" w:w="90"/>
            </w:tcMar>
            <w:vAlign w:val="center"/>
          </w:tcPr>
          <w:p>
            <w:pPr>
              <w:spacing w:after="40" w:line="252"/>
              <w:jc w:val="left"/>
            </w:pPr>
            <w:r>
              <w:rPr>
                <w:b/>
                <w:bCs/>
                <w:color w:val="FFFFFF"/>
                <w:sz w:val="18"/>
                <w:szCs w:val="18"/>
              </w:rPr>
              <w:t xml:space="preserve">Comportamiento distintivo</w:t>
            </w:r>
          </w:p>
        </w:tc>
        <w:tc>
          <w:tcPr>
            <w:tcW w:type="dxa" w:w="2730"/>
            <w:tcBorders>
              <w:top w:val="single" w:color="BFC4CC" w:sz="4"/>
              <w:left w:val="single" w:color="BFC4CC" w:sz="4"/>
              <w:bottom w:val="single" w:color="BFC4CC" w:sz="4"/>
              <w:right w:val="single" w:color="BFC4CC" w:sz="4"/>
            </w:tcBorders>
            <w:shd w:fill="323A4E" w:color="auto" w:val="clear"/>
            <w:tcMar>
              <w:top w:type="dxa" w:w="60"/>
              <w:left w:type="dxa" w:w="90"/>
              <w:bottom w:type="dxa" w:w="60"/>
              <w:right w:type="dxa" w:w="90"/>
            </w:tcMar>
            <w:vAlign w:val="center"/>
          </w:tcPr>
          <w:p>
            <w:pPr>
              <w:spacing w:after="40" w:line="252"/>
              <w:jc w:val="left"/>
            </w:pPr>
            <w:r>
              <w:rPr>
                <w:b/>
                <w:bCs/>
                <w:color w:val="FFFFFF"/>
                <w:sz w:val="18"/>
                <w:szCs w:val="18"/>
              </w:rPr>
              <w:t xml:space="preserve">Motivación principal</w:t>
            </w:r>
          </w:p>
        </w:tc>
      </w:tr>
      <w:tr>
        <w:tc>
          <w:tcPr>
            <w:tcW w:type="dxa" w:w="12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sz w:val="18"/>
                <w:szCs w:val="18"/>
              </w:rPr>
              <w:t xml:space="preserve">C0 (41,5%)</w:t>
            </w:r>
          </w:p>
        </w:tc>
        <w:tc>
          <w:tcPr>
            <w:tcW w:type="dxa" w:w="27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sz w:val="18"/>
                <w:szCs w:val="18"/>
              </w:rPr>
              <w:t xml:space="preserve">Maratonistas móviles que buscan desconexión</w:t>
            </w:r>
          </w:p>
        </w:tc>
        <w:tc>
          <w:tcPr>
            <w:tcW w:type="dxa" w:w="273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sz w:val="18"/>
                <w:szCs w:val="18"/>
              </w:rPr>
              <w:t xml:space="preserve">Maratón individual en smartphone; descubre por algoritmo y redes</w:t>
            </w:r>
          </w:p>
        </w:tc>
        <w:tc>
          <w:tcPr>
            <w:tcW w:type="dxa" w:w="273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sz w:val="18"/>
                <w:szCs w:val="18"/>
              </w:rPr>
              <w:t xml:space="preserve">Desconectarse de la rutina (evasión, pasatiempo) con autoexpresión</w:t>
            </w:r>
          </w:p>
        </w:tc>
      </w:tr>
      <w:tr>
        <w:tc>
          <w:tcPr>
            <w:tcW w:type="dxa" w:w="12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sz w:val="18"/>
                <w:szCs w:val="18"/>
              </w:rPr>
              <w:t xml:space="preserve">C1 (41,1%)</w:t>
            </w:r>
          </w:p>
        </w:tc>
        <w:tc>
          <w:tcPr>
            <w:tcW w:type="dxa" w:w="27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sz w:val="18"/>
                <w:szCs w:val="18"/>
              </w:rPr>
              <w:t xml:space="preserve">Espectadores acompañados en TV que buscan memoria y contexto de época</w:t>
            </w:r>
          </w:p>
        </w:tc>
        <w:tc>
          <w:tcPr>
            <w:tcW w:type="dxa" w:w="273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sz w:val="18"/>
                <w:szCs w:val="18"/>
              </w:rPr>
              <w:t xml:space="preserve">Consumo acompañado y pausado en pantalla compartida; TV tradicional como puerta de entrada</w:t>
            </w:r>
          </w:p>
        </w:tc>
        <w:tc>
          <w:tcPr>
            <w:tcW w:type="dxa" w:w="273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sz w:val="18"/>
                <w:szCs w:val="18"/>
              </w:rPr>
              <w:t xml:space="preserve">Memoria (nostalgia) + contexto del país (información)</w:t>
            </w:r>
          </w:p>
        </w:tc>
      </w:tr>
      <w:tr>
        <w:tc>
          <w:tcPr>
            <w:tcW w:type="dxa" w:w="12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sz w:val="18"/>
                <w:szCs w:val="18"/>
              </w:rPr>
              <w:t xml:space="preserve">C2 (17,4%)</w:t>
            </w:r>
          </w:p>
        </w:tc>
        <w:tc>
          <w:tcPr>
            <w:tcW w:type="dxa" w:w="27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sz w:val="18"/>
                <w:szCs w:val="18"/>
              </w:rPr>
              <w:t xml:space="preserve">Suscriptores selectivos que buscan calidad que justifique su pago</w:t>
            </w:r>
          </w:p>
        </w:tc>
        <w:tc>
          <w:tcPr>
            <w:tcW w:type="dxa" w:w="273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sz w:val="18"/>
                <w:szCs w:val="18"/>
              </w:rPr>
              <w:t xml:space="preserve">Paga suscripción y elige con intención (búsqueda, recomendación)</w:t>
            </w:r>
          </w:p>
        </w:tc>
        <w:tc>
          <w:tcPr>
            <w:tcW w:type="dxa" w:w="273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sz w:val="18"/>
                <w:szCs w:val="18"/>
              </w:rPr>
              <w:t xml:space="preserve">Calidad que justifique el pago (inferida de pago alto, exigencia de diseño y satisfacción plena)</w:t>
            </w:r>
          </w:p>
        </w:tc>
      </w:tr>
    </w:tbl>
    <w:p>
      <w:pPr>
        <w:spacing w:after="200" w:before="60"/>
        <w:jc w:val="left"/>
      </w:pPr>
      <w:r>
        <w:rPr>
          <w:i/>
          <w:iCs/>
          <w:color w:val="5C5C5A"/>
          <w:sz w:val="18"/>
          <w:szCs w:val="18"/>
        </w:rPr>
        <w:t xml:space="preserve">Tabla 10. Nombres de los segmentos.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600"/>
        <w:gridCol w:w="1600"/>
        <w:gridCol w:w="1600"/>
        <w:gridCol w:w="2260"/>
      </w:tblGrid>
      <w:tr>
        <w:trPr>
          <w:tblHeader/>
        </w:trPr>
        <w:tc>
          <w:tcPr>
            <w:tcW w:type="dxa" w:w="2300"/>
            <w:tcBorders>
              <w:top w:val="single" w:color="BFC4CC" w:sz="4"/>
              <w:left w:val="single" w:color="BFC4CC" w:sz="4"/>
              <w:bottom w:val="single" w:color="BFC4CC" w:sz="4"/>
              <w:right w:val="single" w:color="BFC4CC" w:sz="4"/>
            </w:tcBorders>
            <w:shd w:fill="323A4E" w:color="auto" w:val="clear"/>
            <w:tcMar>
              <w:top w:type="dxa" w:w="60"/>
              <w:left w:type="dxa" w:w="90"/>
              <w:bottom w:type="dxa" w:w="60"/>
              <w:right w:type="dxa" w:w="90"/>
            </w:tcMar>
            <w:vAlign w:val="center"/>
          </w:tcPr>
          <w:p>
            <w:pPr>
              <w:spacing w:after="40" w:line="252"/>
              <w:jc w:val="left"/>
            </w:pPr>
            <w:r>
              <w:rPr>
                <w:b/>
                <w:bCs/>
                <w:color w:val="FFFFFF"/>
                <w:sz w:val="17"/>
                <w:szCs w:val="17"/>
              </w:rPr>
              <w:t xml:space="preserve">Criterio de validación</w:t>
            </w:r>
          </w:p>
        </w:tc>
        <w:tc>
          <w:tcPr>
            <w:tcW w:type="dxa" w:w="1600"/>
            <w:tcBorders>
              <w:top w:val="single" w:color="BFC4CC" w:sz="4"/>
              <w:left w:val="single" w:color="BFC4CC" w:sz="4"/>
              <w:bottom w:val="single" w:color="BFC4CC" w:sz="4"/>
              <w:right w:val="single" w:color="BFC4CC" w:sz="4"/>
            </w:tcBorders>
            <w:shd w:fill="323A4E" w:color="auto" w:val="clear"/>
            <w:tcMar>
              <w:top w:type="dxa" w:w="60"/>
              <w:left w:type="dxa" w:w="90"/>
              <w:bottom w:type="dxa" w:w="60"/>
              <w:right w:type="dxa" w:w="90"/>
            </w:tcMar>
            <w:vAlign w:val="center"/>
          </w:tcPr>
          <w:p>
            <w:pPr>
              <w:spacing w:after="40" w:line="252"/>
              <w:jc w:val="left"/>
            </w:pPr>
            <w:r>
              <w:rPr>
                <w:b/>
                <w:bCs/>
                <w:color w:val="FFFFFF"/>
                <w:sz w:val="17"/>
                <w:szCs w:val="17"/>
              </w:rPr>
              <w:t xml:space="preserve">C0</w:t>
            </w:r>
          </w:p>
        </w:tc>
        <w:tc>
          <w:tcPr>
            <w:tcW w:type="dxa" w:w="1600"/>
            <w:tcBorders>
              <w:top w:val="single" w:color="BFC4CC" w:sz="4"/>
              <w:left w:val="single" w:color="BFC4CC" w:sz="4"/>
              <w:bottom w:val="single" w:color="BFC4CC" w:sz="4"/>
              <w:right w:val="single" w:color="BFC4CC" w:sz="4"/>
            </w:tcBorders>
            <w:shd w:fill="323A4E" w:color="auto" w:val="clear"/>
            <w:tcMar>
              <w:top w:type="dxa" w:w="60"/>
              <w:left w:type="dxa" w:w="90"/>
              <w:bottom w:type="dxa" w:w="60"/>
              <w:right w:type="dxa" w:w="90"/>
            </w:tcMar>
            <w:vAlign w:val="center"/>
          </w:tcPr>
          <w:p>
            <w:pPr>
              <w:spacing w:after="40" w:line="252"/>
              <w:jc w:val="left"/>
            </w:pPr>
            <w:r>
              <w:rPr>
                <w:b/>
                <w:bCs/>
                <w:color w:val="FFFFFF"/>
                <w:sz w:val="17"/>
                <w:szCs w:val="17"/>
              </w:rPr>
              <w:t xml:space="preserve">C1</w:t>
            </w:r>
          </w:p>
        </w:tc>
        <w:tc>
          <w:tcPr>
            <w:tcW w:type="dxa" w:w="1600"/>
            <w:tcBorders>
              <w:top w:val="single" w:color="BFC4CC" w:sz="4"/>
              <w:left w:val="single" w:color="BFC4CC" w:sz="4"/>
              <w:bottom w:val="single" w:color="BFC4CC" w:sz="4"/>
              <w:right w:val="single" w:color="BFC4CC" w:sz="4"/>
            </w:tcBorders>
            <w:shd w:fill="323A4E" w:color="auto" w:val="clear"/>
            <w:tcMar>
              <w:top w:type="dxa" w:w="60"/>
              <w:left w:type="dxa" w:w="90"/>
              <w:bottom w:type="dxa" w:w="60"/>
              <w:right w:type="dxa" w:w="90"/>
            </w:tcMar>
            <w:vAlign w:val="center"/>
          </w:tcPr>
          <w:p>
            <w:pPr>
              <w:spacing w:after="40" w:line="252"/>
              <w:jc w:val="left"/>
            </w:pPr>
            <w:r>
              <w:rPr>
                <w:b/>
                <w:bCs/>
                <w:color w:val="FFFFFF"/>
                <w:sz w:val="17"/>
                <w:szCs w:val="17"/>
              </w:rPr>
              <w:t xml:space="preserve">C2</w:t>
            </w:r>
          </w:p>
        </w:tc>
        <w:tc>
          <w:tcPr>
            <w:tcW w:type="dxa" w:w="2260"/>
            <w:tcBorders>
              <w:top w:val="single" w:color="BFC4CC" w:sz="4"/>
              <w:left w:val="single" w:color="BFC4CC" w:sz="4"/>
              <w:bottom w:val="single" w:color="BFC4CC" w:sz="4"/>
              <w:right w:val="single" w:color="BFC4CC" w:sz="4"/>
            </w:tcBorders>
            <w:shd w:fill="323A4E" w:color="auto" w:val="clear"/>
            <w:tcMar>
              <w:top w:type="dxa" w:w="60"/>
              <w:left w:type="dxa" w:w="90"/>
              <w:bottom w:type="dxa" w:w="60"/>
              <w:right w:type="dxa" w:w="90"/>
            </w:tcMar>
            <w:vAlign w:val="center"/>
          </w:tcPr>
          <w:p>
            <w:pPr>
              <w:spacing w:after="40" w:line="252"/>
              <w:jc w:val="left"/>
            </w:pPr>
            <w:r>
              <w:rPr>
                <w:b/>
                <w:bCs/>
                <w:color w:val="FFFFFF"/>
                <w:sz w:val="17"/>
                <w:szCs w:val="17"/>
              </w:rPr>
              <w:t xml:space="preserve">Evaluación</w:t>
            </w:r>
          </w:p>
        </w:tc>
      </w:tr>
      <w:tr>
        <w:tc>
          <w:tcPr>
            <w:tcW w:type="dxa" w:w="23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bCs/>
                <w:sz w:val="17"/>
                <w:szCs w:val="17"/>
              </w:rPr>
              <w:t xml:space="preserve">Tamaño</w:t>
            </w:r>
          </w:p>
        </w:tc>
        <w:tc>
          <w:tcPr>
            <w:tcW w:type="dxa" w:w="16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7"/>
                <w:szCs w:val="17"/>
              </w:rPr>
              <w:t xml:space="preserve">415 (41,5%)</w:t>
            </w:r>
          </w:p>
        </w:tc>
        <w:tc>
          <w:tcPr>
            <w:tcW w:type="dxa" w:w="16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7"/>
                <w:szCs w:val="17"/>
              </w:rPr>
              <w:t xml:space="preserve">411 (41,1%)</w:t>
            </w:r>
          </w:p>
        </w:tc>
        <w:tc>
          <w:tcPr>
            <w:tcW w:type="dxa" w:w="16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7"/>
                <w:szCs w:val="17"/>
              </w:rPr>
              <w:t xml:space="preserve">174 (17,4%)</w:t>
            </w:r>
          </w:p>
        </w:tc>
        <w:tc>
          <w:tcPr>
            <w:tcW w:type="dxa" w:w="226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7"/>
                <w:szCs w:val="17"/>
              </w:rPr>
              <w:t xml:space="preserve">Los tres son suficientes para ser accionables</w:t>
            </w:r>
          </w:p>
        </w:tc>
      </w:tr>
      <w:tr>
        <w:tc>
          <w:tcPr>
            <w:tcW w:type="dxa" w:w="23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bCs/>
                <w:sz w:val="17"/>
                <w:szCs w:val="17"/>
              </w:rPr>
              <w:t xml:space="preserve">Silueta media del cluster</w:t>
            </w:r>
          </w:p>
        </w:tc>
        <w:tc>
          <w:tcPr>
            <w:tcW w:type="dxa" w:w="16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7"/>
                <w:szCs w:val="17"/>
              </w:rPr>
              <w:t xml:space="preserve">0,131</w:t>
            </w:r>
          </w:p>
        </w:tc>
        <w:tc>
          <w:tcPr>
            <w:tcW w:type="dxa" w:w="16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7"/>
                <w:szCs w:val="17"/>
              </w:rPr>
              <w:t xml:space="preserve">0,101</w:t>
            </w:r>
          </w:p>
        </w:tc>
        <w:tc>
          <w:tcPr>
            <w:tcW w:type="dxa" w:w="16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7"/>
                <w:szCs w:val="17"/>
              </w:rPr>
              <w:t xml:space="preserve">0,091</w:t>
            </w:r>
          </w:p>
        </w:tc>
        <w:tc>
          <w:tcPr>
            <w:tcW w:type="dxa" w:w="226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7"/>
                <w:szCs w:val="17"/>
              </w:rPr>
              <w:t xml:space="preserve">Débil en los tres; C0 es el más cohesionado</w:t>
            </w:r>
          </w:p>
        </w:tc>
      </w:tr>
      <w:tr>
        <w:tc>
          <w:tcPr>
            <w:tcW w:type="dxa" w:w="23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bCs/>
                <w:sz w:val="17"/>
                <w:szCs w:val="17"/>
              </w:rPr>
              <w:t xml:space="preserve">% registros con silueta negativa</w:t>
            </w:r>
          </w:p>
        </w:tc>
        <w:tc>
          <w:tcPr>
            <w:tcW w:type="dxa" w:w="16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7"/>
                <w:szCs w:val="17"/>
              </w:rPr>
              <w:t xml:space="preserve">0,0%</w:t>
            </w:r>
          </w:p>
        </w:tc>
        <w:tc>
          <w:tcPr>
            <w:tcW w:type="dxa" w:w="16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7"/>
                <w:szCs w:val="17"/>
              </w:rPr>
              <w:t xml:space="preserve">5,8%</w:t>
            </w:r>
          </w:p>
        </w:tc>
        <w:tc>
          <w:tcPr>
            <w:tcW w:type="dxa" w:w="16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7"/>
                <w:szCs w:val="17"/>
              </w:rPr>
              <w:t xml:space="preserve">9,8%</w:t>
            </w:r>
          </w:p>
        </w:tc>
        <w:tc>
          <w:tcPr>
            <w:tcW w:type="dxa" w:w="226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7"/>
                <w:szCs w:val="17"/>
              </w:rPr>
              <w:t xml:space="preserve">Pocos registros mal asignados</w:t>
            </w:r>
          </w:p>
        </w:tc>
      </w:tr>
      <w:tr>
        <w:tc>
          <w:tcPr>
            <w:tcW w:type="dxa" w:w="23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bCs/>
                <w:sz w:val="17"/>
                <w:szCs w:val="17"/>
              </w:rPr>
              <w:t xml:space="preserve">Estabilidad (ARI entre semillas)</w:t>
            </w:r>
          </w:p>
        </w:tc>
        <w:tc>
          <w:tcPr>
            <w:tcW w:type="dxa" w:w="16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7"/>
                <w:szCs w:val="17"/>
              </w:rPr>
              <w:t xml:space="preserve">0,95 (global)</w:t>
            </w:r>
          </w:p>
        </w:tc>
        <w:tc>
          <w:tcPr>
            <w:tcW w:type="dxa" w:w="16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p>
        </w:tc>
        <w:tc>
          <w:tcPr>
            <w:tcW w:type="dxa" w:w="16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p>
        </w:tc>
        <w:tc>
          <w:tcPr>
            <w:tcW w:type="dxa" w:w="226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7"/>
                <w:szCs w:val="17"/>
              </w:rPr>
              <w:t xml:space="preserve">Partición robusta frente a la inicialización</w:t>
            </w:r>
          </w:p>
        </w:tc>
      </w:tr>
      <w:tr>
        <w:tc>
          <w:tcPr>
            <w:tcW w:type="dxa" w:w="23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bCs/>
                <w:sz w:val="17"/>
                <w:szCs w:val="17"/>
              </w:rPr>
              <w:t xml:space="preserve">Sentido teórico U&amp;G</w:t>
            </w:r>
          </w:p>
        </w:tc>
        <w:tc>
          <w:tcPr>
            <w:tcW w:type="dxa" w:w="16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7"/>
                <w:szCs w:val="17"/>
              </w:rPr>
              <w:t xml:space="preserve">Evasión, identidad, pasatiempo</w:t>
            </w:r>
          </w:p>
        </w:tc>
        <w:tc>
          <w:tcPr>
            <w:tcW w:type="dxa" w:w="16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7"/>
                <w:szCs w:val="17"/>
              </w:rPr>
              <w:t xml:space="preserve">Información, curiosidad</w:t>
            </w:r>
          </w:p>
        </w:tc>
        <w:tc>
          <w:tcPr>
            <w:tcW w:type="dxa" w:w="16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7"/>
                <w:szCs w:val="17"/>
              </w:rPr>
              <w:t xml:space="preserve">Sin gratificación distintiva</w:t>
            </w:r>
          </w:p>
        </w:tc>
        <w:tc>
          <w:tcPr>
            <w:tcW w:type="dxa" w:w="226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7"/>
                <w:szCs w:val="17"/>
              </w:rPr>
              <w:t xml:space="preserve">C0 y C1 tienen perfil U&amp;G claro; C2 se define por conducta de pago</w:t>
            </w:r>
          </w:p>
        </w:tc>
      </w:tr>
      <w:tr>
        <w:tc>
          <w:tcPr>
            <w:tcW w:type="dxa" w:w="23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bCs/>
                <w:sz w:val="17"/>
                <w:szCs w:val="17"/>
              </w:rPr>
              <w:t xml:space="preserve">Diferenciación descriptiva</w:t>
            </w:r>
          </w:p>
        </w:tc>
        <w:tc>
          <w:tcPr>
            <w:tcW w:type="dxa" w:w="16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7"/>
                <w:szCs w:val="17"/>
              </w:rPr>
              <w:t xml:space="preserve">18–24 (lift 2,19), TikTok, algoritmo</w:t>
            </w:r>
          </w:p>
        </w:tc>
        <w:tc>
          <w:tcPr>
            <w:tcW w:type="dxa" w:w="16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7"/>
                <w:szCs w:val="17"/>
              </w:rPr>
              <w:t xml:space="preserve">56+ (lift 2,15), TV abierta, familia</w:t>
            </w:r>
          </w:p>
        </w:tc>
        <w:tc>
          <w:tcPr>
            <w:tcW w:type="dxa" w:w="16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7"/>
                <w:szCs w:val="17"/>
              </w:rPr>
              <w:t xml:space="preserve">Estrato 5 (lift 6,26), posgrado</w:t>
            </w:r>
          </w:p>
        </w:tc>
        <w:tc>
          <w:tcPr>
            <w:tcW w:type="dxa" w:w="226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7"/>
                <w:szCs w:val="17"/>
              </w:rPr>
              <w:t xml:space="preserve">Perfiles claramente distintos</w:t>
            </w:r>
          </w:p>
        </w:tc>
      </w:tr>
    </w:tbl>
    <w:p>
      <w:pPr>
        <w:spacing w:after="200" w:before="60"/>
        <w:jc w:val="left"/>
      </w:pPr>
      <w:r>
        <w:rPr>
          <w:i/>
          <w:iCs/>
          <w:color w:val="5C5C5A"/>
          <w:sz w:val="18"/>
          <w:szCs w:val="18"/>
        </w:rPr>
        <w:t xml:space="preserve">Tabla 11. Validación. Silueta global k = 3: 0,1115; inercia: 7.360,67.</w:t>
      </w:r>
    </w:p>
    <w:p>
      <w:pPr>
        <w:spacing w:after="120" w:line="276"/>
        <w:jc w:val="both"/>
      </w:pPr>
      <w:r>
        <w:rPr>
          <w:b/>
          <w:bCs/>
        </w:rPr>
        <w:t xml:space="preserve">Evaluación.</w:t>
      </w:r>
      <w:r>
        <w:t xml:space="preserve"> Los segmentos son </w:t>
      </w:r>
      <w:r>
        <w:rPr>
          <w:b/>
          <w:bCs/>
        </w:rPr>
        <w:t xml:space="preserve">interpretables</w:t>
      </w:r>
      <w:r>
        <w:t xml:space="preserve"> (se pueden nombrar desde U&amp;G), </w:t>
      </w:r>
      <w:r>
        <w:rPr>
          <w:b/>
          <w:bCs/>
        </w:rPr>
        <w:t xml:space="preserve">diferenciados</w:t>
      </w:r>
      <w:r>
        <w:t xml:space="preserve"> (la edad, el pago y el comportamiento digital los separan aunque no entraron al modelo) y </w:t>
      </w:r>
      <w:r>
        <w:rPr>
          <w:b/>
          <w:bCs/>
        </w:rPr>
        <w:t xml:space="preserve">accionables</w:t>
      </w:r>
      <w:r>
        <w:t xml:space="preserve"> (cada uno tiene canales de acceso distintos). Su principal debilidad es estadística: la estructura es débil (silueta &lt; 0,25) y la base es sintética, por lo que los segmentos deben leerse como hipótesis de trabajo verosímiles.</w:t>
      </w:r>
    </w:p>
    <w:p>
      <w:pPr>
        <w:pStyle w:val="Heading1"/>
        <w:keepNext/>
      </w:pPr>
      <w:r>
        <w:t xml:space="preserve">6. User Personas y Mapas de Empatía</w:t>
      </w:r>
    </w:p>
    <w:p>
      <w:pPr>
        <w:spacing w:after="120" w:line="276"/>
        <w:jc w:val="both"/>
      </w:pPr>
      <w:r>
        <w:t xml:space="preserve">Un User Persona y un Mapa de Empatía por cluster, construidos con los valores dominantes de cada segmento. Donde existe evidencia del Momento 1 (14 entrevistas) se cita con su código (E1…E14). El Cluster 2 no tiene ninguna entrevista: su ficha se apoya solo en los datos y su cita es una síntesis, no un testimonio.</w:t>
      </w:r>
    </w:p>
    <w:p>
      <w:pPr>
        <w:pStyle w:val="Heading2"/>
        <w:keepNext/>
      </w:pPr>
      <w:r>
        <w:t xml:space="preserve">6.1 Cluster 0 · User Persona: DANIEL, «Maratonista móvil que busca desconexión»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C4CC" w:sz="4"/>
              <w:left w:val="single" w:color="BFC4CC" w:sz="4"/>
              <w:bottom w:val="single" w:color="BFC4CC" w:sz="4"/>
              <w:right w:val="single" w:color="BFC4CC" w:sz="4"/>
            </w:tcBorders>
            <w:shd w:fill="323A4E" w:color="auto" w:val="clear"/>
            <w:tcMar>
              <w:top w:type="dxa" w:w="60"/>
              <w:left w:type="dxa" w:w="90"/>
              <w:bottom w:type="dxa" w:w="60"/>
              <w:right w:type="dxa" w:w="90"/>
            </w:tcMar>
            <w:vAlign w:val="center"/>
          </w:tcPr>
          <w:p>
            <w:pPr>
              <w:spacing w:after="40" w:line="252"/>
              <w:jc w:val="left"/>
            </w:pPr>
            <w:r>
              <w:rPr>
                <w:b/>
                <w:bCs/>
                <w:color w:val="FFFFFF"/>
                <w:sz w:val="18"/>
                <w:szCs w:val="18"/>
              </w:rPr>
              <w:t xml:space="preserve">Campo</w:t>
            </w:r>
          </w:p>
        </w:tc>
        <w:tc>
          <w:tcPr>
            <w:tcW w:type="dxa" w:w="7060"/>
            <w:tcBorders>
              <w:top w:val="single" w:color="BFC4CC" w:sz="4"/>
              <w:left w:val="single" w:color="BFC4CC" w:sz="4"/>
              <w:bottom w:val="single" w:color="BFC4CC" w:sz="4"/>
              <w:right w:val="single" w:color="BFC4CC" w:sz="4"/>
            </w:tcBorders>
            <w:shd w:fill="323A4E" w:color="auto" w:val="clear"/>
            <w:tcMar>
              <w:top w:type="dxa" w:w="60"/>
              <w:left w:type="dxa" w:w="90"/>
              <w:bottom w:type="dxa" w:w="60"/>
              <w:right w:type="dxa" w:w="90"/>
            </w:tcMar>
            <w:vAlign w:val="center"/>
          </w:tcPr>
          <w:p>
            <w:pPr>
              <w:spacing w:after="40" w:line="252"/>
              <w:jc w:val="left"/>
            </w:pPr>
            <w:r>
              <w:rPr>
                <w:b/>
                <w:bCs/>
                <w:color w:val="FFFFFF"/>
                <w:sz w:val="18"/>
                <w:szCs w:val="18"/>
              </w:rPr>
              <w:t xml:space="preserve">Contenido</w:t>
            </w:r>
          </w:p>
        </w:tc>
      </w:tr>
      <w:tr>
        <w:tc>
          <w:tcPr>
            <w:tcW w:type="dxa" w:w="2300"/>
            <w:tcBorders>
              <w:top w:val="single" w:color="BFC4CC" w:sz="4"/>
              <w:left w:val="single" w:color="BFC4CC" w:sz="4"/>
              <w:bottom w:val="single" w:color="BFC4CC" w:sz="4"/>
              <w:right w:val="single" w:color="BFC4CC" w:sz="4"/>
            </w:tcBorders>
            <w:shd w:fill="EEF3FA" w:color="auto" w:val="clear"/>
            <w:tcMar>
              <w:top w:type="dxa" w:w="50"/>
              <w:left w:type="dxa" w:w="90"/>
              <w:bottom w:type="dxa" w:w="50"/>
              <w:right w:type="dxa" w:w="90"/>
            </w:tcMar>
          </w:tcPr>
          <w:p>
            <w:pPr>
              <w:spacing w:after="40" w:line="252"/>
              <w:jc w:val="left"/>
            </w:pPr>
            <w:r>
              <w:rPr>
                <w:b/>
                <w:bCs/>
                <w:sz w:val="18"/>
                <w:szCs w:val="18"/>
              </w:rPr>
              <w:t xml:space="preserve">Perfil sociodemográfico</w:t>
            </w:r>
          </w:p>
        </w:tc>
        <w:tc>
          <w:tcPr>
            <w:tcW w:type="dxa" w:w="706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8"/>
                <w:szCs w:val="18"/>
              </w:rPr>
              <w:t xml:space="preserve">Daniel, 21 años</w:t>
            </w:r>
            <w:r>
              <w:rPr>
                <w:b w:val="false"/>
                <w:bCs w:val="false"/>
                <w:sz w:val="18"/>
                <w:szCs w:val="18"/>
              </w:rPr>
              <w:t xml:space="preserve">, Bogotá (urbano). Rango del cluster: 18–39 años = 85,6% (franja exclusiva: 18–24); mediana 28.</w:t>
            </w:r>
          </w:p>
          <w:p>
            <w:pPr>
              <w:spacing w:after="40" w:line="252"/>
              <w:jc w:val="left"/>
            </w:pPr>
            <w:r>
              <w:rPr>
                <w:b w:val="false"/>
                <w:bCs w:val="false"/>
                <w:sz w:val="18"/>
                <w:szCs w:val="18"/>
              </w:rPr>
              <w:t xml:space="preserve">Estrato medio-bajo (3: 36,4%; 2: 31,6%). Estudiante universitario o joven en etapa laboral inicial (M1: Simón, E11; Jorge, E4). En el cluster predominan secundaria y técnico; el 79% vive fuera de Bogotá.</w:t>
            </w:r>
          </w:p>
        </w:tc>
      </w:tr>
      <w:tr>
        <w:tc>
          <w:tcPr>
            <w:tcW w:type="dxa" w:w="2300"/>
            <w:tcBorders>
              <w:top w:val="single" w:color="BFC4CC" w:sz="4"/>
              <w:left w:val="single" w:color="BFC4CC" w:sz="4"/>
              <w:bottom w:val="single" w:color="BFC4CC" w:sz="4"/>
              <w:right w:val="single" w:color="BFC4CC" w:sz="4"/>
            </w:tcBorders>
            <w:shd w:fill="EEF3FA" w:color="auto" w:val="clear"/>
            <w:tcMar>
              <w:top w:type="dxa" w:w="50"/>
              <w:left w:type="dxa" w:w="90"/>
              <w:bottom w:type="dxa" w:w="50"/>
              <w:right w:type="dxa" w:w="90"/>
            </w:tcMar>
          </w:tcPr>
          <w:p>
            <w:pPr>
              <w:spacing w:after="40" w:line="252"/>
              <w:jc w:val="left"/>
            </w:pPr>
            <w:r>
              <w:rPr>
                <w:b/>
                <w:bCs/>
                <w:sz w:val="18"/>
                <w:szCs w:val="18"/>
              </w:rPr>
              <w:t xml:space="preserve">Necesidad base</w:t>
            </w:r>
          </w:p>
        </w:tc>
        <w:tc>
          <w:tcPr>
            <w:tcW w:type="dxa" w:w="706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8"/>
                <w:szCs w:val="18"/>
              </w:rPr>
              <w:t xml:space="preserve">Distracción y placer (24,1%); descanso emocional (20,2%).</w:t>
            </w:r>
          </w:p>
        </w:tc>
      </w:tr>
      <w:tr>
        <w:tc>
          <w:tcPr>
            <w:tcW w:type="dxa" w:w="2300"/>
            <w:tcBorders>
              <w:top w:val="single" w:color="BFC4CC" w:sz="4"/>
              <w:left w:val="single" w:color="BFC4CC" w:sz="4"/>
              <w:bottom w:val="single" w:color="BFC4CC" w:sz="4"/>
              <w:right w:val="single" w:color="BFC4CC" w:sz="4"/>
            </w:tcBorders>
            <w:shd w:fill="EEF3FA" w:color="auto" w:val="clear"/>
            <w:tcMar>
              <w:top w:type="dxa" w:w="50"/>
              <w:left w:type="dxa" w:w="90"/>
              <w:bottom w:type="dxa" w:w="50"/>
              <w:right w:type="dxa" w:w="90"/>
            </w:tcMar>
          </w:tcPr>
          <w:p>
            <w:pPr>
              <w:spacing w:after="40" w:line="252"/>
              <w:jc w:val="left"/>
            </w:pPr>
            <w:r>
              <w:rPr>
                <w:b/>
                <w:bCs/>
                <w:sz w:val="18"/>
                <w:szCs w:val="18"/>
              </w:rPr>
              <w:t xml:space="preserve">Motivo primario / secundario</w:t>
            </w:r>
          </w:p>
        </w:tc>
        <w:tc>
          <w:tcPr>
            <w:tcW w:type="dxa" w:w="706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8"/>
                <w:szCs w:val="18"/>
              </w:rPr>
              <w:t xml:space="preserve">Hábito y pasatiempo, evasión (ug_evasion 3,80; ug_pasar_tiempo 4,11, los más altos) / identidad y autoexpresión (lift 1,34) e interacción social.</w:t>
            </w:r>
          </w:p>
        </w:tc>
      </w:tr>
      <w:tr>
        <w:tc>
          <w:tcPr>
            <w:tcW w:type="dxa" w:w="2300"/>
            <w:tcBorders>
              <w:top w:val="single" w:color="BFC4CC" w:sz="4"/>
              <w:left w:val="single" w:color="BFC4CC" w:sz="4"/>
              <w:bottom w:val="single" w:color="BFC4CC" w:sz="4"/>
              <w:right w:val="single" w:color="BFC4CC" w:sz="4"/>
            </w:tcBorders>
            <w:shd w:fill="EEF3FA" w:color="auto" w:val="clear"/>
            <w:tcMar>
              <w:top w:type="dxa" w:w="50"/>
              <w:left w:type="dxa" w:w="90"/>
              <w:bottom w:type="dxa" w:w="50"/>
              <w:right w:type="dxa" w:w="90"/>
            </w:tcMar>
          </w:tcPr>
          <w:p>
            <w:pPr>
              <w:spacing w:after="40" w:line="252"/>
              <w:jc w:val="left"/>
            </w:pPr>
            <w:r>
              <w:rPr>
                <w:b/>
                <w:bCs/>
                <w:sz w:val="18"/>
                <w:szCs w:val="18"/>
              </w:rPr>
              <w:t xml:space="preserve">Gratificación buscada vs. obtenida</w:t>
            </w:r>
          </w:p>
        </w:tc>
        <w:tc>
          <w:tcPr>
            <w:tcW w:type="dxa" w:w="706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8"/>
                <w:szCs w:val="18"/>
              </w:rPr>
              <w:t xml:space="preserve">Busca relajación y llenar el tiempo libre. Obtiene eso </w:t>
            </w:r>
            <w:r>
              <w:rPr>
                <w:b w:val="false"/>
                <w:bCs w:val="false"/>
                <w:sz w:val="18"/>
                <w:szCs w:val="18"/>
              </w:rPr>
              <w:t xml:space="preserve">y además un aprendizaje histórico que no buscaba</w:t>
            </w:r>
            <w:r>
              <w:rPr>
                <w:b w:val="false"/>
                <w:bCs w:val="false"/>
                <w:sz w:val="18"/>
                <w:szCs w:val="18"/>
              </w:rPr>
              <w:t xml:space="preserve">: la gratificación obtenida supera a la buscada. El descubrimiento positivo llega a 21,9% cuando ve la serie recomendada por otros.</w:t>
            </w:r>
          </w:p>
        </w:tc>
      </w:tr>
      <w:tr>
        <w:tc>
          <w:tcPr>
            <w:tcW w:type="dxa" w:w="2300"/>
            <w:tcBorders>
              <w:top w:val="single" w:color="BFC4CC" w:sz="4"/>
              <w:left w:val="single" w:color="BFC4CC" w:sz="4"/>
              <w:bottom w:val="single" w:color="BFC4CC" w:sz="4"/>
              <w:right w:val="single" w:color="BFC4CC" w:sz="4"/>
            </w:tcBorders>
            <w:shd w:fill="EEF3FA" w:color="auto" w:val="clear"/>
            <w:tcMar>
              <w:top w:type="dxa" w:w="50"/>
              <w:left w:type="dxa" w:w="90"/>
              <w:bottom w:type="dxa" w:w="50"/>
              <w:right w:type="dxa" w:w="90"/>
            </w:tcMar>
          </w:tcPr>
          <w:p>
            <w:pPr>
              <w:spacing w:after="40" w:line="252"/>
              <w:jc w:val="left"/>
            </w:pPr>
            <w:r>
              <w:rPr>
                <w:b/>
                <w:bCs/>
                <w:sz w:val="18"/>
                <w:szCs w:val="18"/>
              </w:rPr>
              <w:t xml:space="preserve">Comportamiento</w:t>
            </w:r>
          </w:p>
        </w:tc>
        <w:tc>
          <w:tcPr>
            <w:tcW w:type="dxa" w:w="706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8"/>
                <w:szCs w:val="18"/>
              </w:rPr>
              <w:t xml:space="preserve">4,2 h/día en redes, 6 redes, 2,6 h/día de video. Ve </w:t>
            </w:r>
            <w:r>
              <w:rPr>
                <w:b w:val="false"/>
                <w:bCs w:val="false"/>
                <w:sz w:val="18"/>
                <w:szCs w:val="18"/>
              </w:rPr>
              <w:t xml:space="preserve">solo en el smartphone</w:t>
            </w:r>
            <w:r>
              <w:rPr>
                <w:b w:val="false"/>
                <w:bCs w:val="false"/>
                <w:sz w:val="18"/>
                <w:szCs w:val="18"/>
              </w:rPr>
              <w:t xml:space="preserve"> (31,1%), de noche (56,9%) y madrugada; </w:t>
            </w:r>
            <w:r>
              <w:rPr>
                <w:b w:val="false"/>
                <w:bCs w:val="false"/>
                <w:sz w:val="18"/>
                <w:szCs w:val="18"/>
              </w:rPr>
              <w:t xml:space="preserve">maratonea</w:t>
            </w:r>
            <w:r>
              <w:rPr>
                <w:b w:val="false"/>
                <w:bCs w:val="false"/>
                <w:sz w:val="18"/>
                <w:szCs w:val="18"/>
              </w:rPr>
              <w:t xml:space="preserve"> (maratón frecuente 24,1%). Gasto medio 11.426 COP/mes (38,6% gasta 0); sensibilidad al precio alta (52,3%).</w:t>
            </w:r>
          </w:p>
        </w:tc>
      </w:tr>
      <w:tr>
        <w:tc>
          <w:tcPr>
            <w:tcW w:type="dxa" w:w="2300"/>
            <w:tcBorders>
              <w:top w:val="single" w:color="BFC4CC" w:sz="4"/>
              <w:left w:val="single" w:color="BFC4CC" w:sz="4"/>
              <w:bottom w:val="single" w:color="BFC4CC" w:sz="4"/>
              <w:right w:val="single" w:color="BFC4CC" w:sz="4"/>
            </w:tcBorders>
            <w:shd w:fill="EEF3FA" w:color="auto" w:val="clear"/>
            <w:tcMar>
              <w:top w:type="dxa" w:w="50"/>
              <w:left w:type="dxa" w:w="90"/>
              <w:bottom w:type="dxa" w:w="50"/>
              <w:right w:type="dxa" w:w="90"/>
            </w:tcMar>
          </w:tcPr>
          <w:p>
            <w:pPr>
              <w:spacing w:after="40" w:line="252"/>
              <w:jc w:val="left"/>
            </w:pPr>
            <w:r>
              <w:rPr>
                <w:b/>
                <w:bCs/>
                <w:sz w:val="18"/>
                <w:szCs w:val="18"/>
              </w:rPr>
              <w:t xml:space="preserve">Plataformas y dispositivos</w:t>
            </w:r>
          </w:p>
        </w:tc>
        <w:tc>
          <w:tcPr>
            <w:tcW w:type="dxa" w:w="706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8"/>
                <w:szCs w:val="18"/>
              </w:rPr>
              <w:t xml:space="preserve">Smartphone 82,9%. YouTube 27,0%, Netflix 25,8%, TikTok 24,6%. Redes: Instagram y WhatsApp. Formato: video corto.</w:t>
            </w:r>
          </w:p>
        </w:tc>
      </w:tr>
      <w:tr>
        <w:tc>
          <w:tcPr>
            <w:tcW w:type="dxa" w:w="2300"/>
            <w:tcBorders>
              <w:top w:val="single" w:color="BFC4CC" w:sz="4"/>
              <w:left w:val="single" w:color="BFC4CC" w:sz="4"/>
              <w:bottom w:val="single" w:color="BFC4CC" w:sz="4"/>
              <w:right w:val="single" w:color="BFC4CC" w:sz="4"/>
            </w:tcBorders>
            <w:shd w:fill="EEF3FA" w:color="auto" w:val="clear"/>
            <w:tcMar>
              <w:top w:type="dxa" w:w="50"/>
              <w:left w:type="dxa" w:w="90"/>
              <w:bottom w:type="dxa" w:w="50"/>
              <w:right w:type="dxa" w:w="90"/>
            </w:tcMar>
          </w:tcPr>
          <w:p>
            <w:pPr>
              <w:spacing w:after="40" w:line="252"/>
              <w:jc w:val="left"/>
            </w:pPr>
            <w:r>
              <w:rPr>
                <w:b/>
                <w:bCs/>
                <w:sz w:val="18"/>
                <w:szCs w:val="18"/>
              </w:rPr>
              <w:t xml:space="preserve">Vía de descubrimiento</w:t>
            </w:r>
          </w:p>
        </w:tc>
        <w:tc>
          <w:tcPr>
            <w:tcW w:type="dxa" w:w="706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8"/>
                <w:szCs w:val="18"/>
              </w:rPr>
              <w:t xml:space="preserve">Algoritmo y top de Netflix (28,9%), redes sociales (19,3%), amigos (20,2%). M1: Top (E4), video previo (E9), miniatura y amigo (E11).</w:t>
            </w:r>
          </w:p>
        </w:tc>
      </w:tr>
      <w:tr>
        <w:tc>
          <w:tcPr>
            <w:tcW w:type="dxa" w:w="2300"/>
            <w:tcBorders>
              <w:top w:val="single" w:color="BFC4CC" w:sz="4"/>
              <w:left w:val="single" w:color="BFC4CC" w:sz="4"/>
              <w:bottom w:val="single" w:color="BFC4CC" w:sz="4"/>
              <w:right w:val="single" w:color="BFC4CC" w:sz="4"/>
            </w:tcBorders>
            <w:shd w:fill="EEF3FA" w:color="auto" w:val="clear"/>
            <w:tcMar>
              <w:top w:type="dxa" w:w="50"/>
              <w:left w:type="dxa" w:w="90"/>
              <w:bottom w:type="dxa" w:w="50"/>
              <w:right w:type="dxa" w:w="90"/>
            </w:tcMar>
          </w:tcPr>
          <w:p>
            <w:pPr>
              <w:spacing w:after="40" w:line="252"/>
              <w:jc w:val="left"/>
            </w:pPr>
            <w:r>
              <w:rPr>
                <w:b/>
                <w:bCs/>
                <w:sz w:val="18"/>
                <w:szCs w:val="18"/>
              </w:rPr>
              <w:t xml:space="preserve">Frustración / riesgo</w:t>
            </w:r>
          </w:p>
        </w:tc>
        <w:tc>
          <w:tcPr>
            <w:tcW w:type="dxa" w:w="706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8"/>
                <w:szCs w:val="18"/>
              </w:rPr>
              <w:t xml:space="preserve">Tramas románticas que «se repiten mucho» (M1: E9). Es el cluster más vulnerable: riesgo alto de desplazamiento 45,3%; ver solo tras llegar por el algoritmo duplica la indiferencia (23,7%). Los dos abandonos del M1 (E4, E9) tienen este patrón.</w:t>
            </w:r>
          </w:p>
        </w:tc>
      </w:tr>
      <w:tr>
        <w:tc>
          <w:tcPr>
            <w:tcW w:type="dxa" w:w="2300"/>
            <w:tcBorders>
              <w:top w:val="single" w:color="BFC4CC" w:sz="4"/>
              <w:left w:val="single" w:color="BFC4CC" w:sz="4"/>
              <w:bottom w:val="single" w:color="BFC4CC" w:sz="4"/>
              <w:right w:val="single" w:color="BFC4CC" w:sz="4"/>
            </w:tcBorders>
            <w:shd w:fill="EEF3FA" w:color="auto" w:val="clear"/>
            <w:tcMar>
              <w:top w:type="dxa" w:w="50"/>
              <w:left w:type="dxa" w:w="90"/>
              <w:bottom w:type="dxa" w:w="50"/>
              <w:right w:type="dxa" w:w="90"/>
            </w:tcMar>
          </w:tcPr>
          <w:p>
            <w:pPr>
              <w:spacing w:after="40" w:line="252"/>
              <w:jc w:val="left"/>
            </w:pPr>
            <w:r>
              <w:rPr>
                <w:b/>
                <w:bCs/>
                <w:sz w:val="18"/>
                <w:szCs w:val="18"/>
              </w:rPr>
              <w:t xml:space="preserve">Cita</w:t>
            </w:r>
          </w:p>
        </w:tc>
        <w:tc>
          <w:tcPr>
            <w:tcW w:type="dxa" w:w="706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8"/>
                <w:szCs w:val="18"/>
              </w:rPr>
              <w:t xml:space="preserve">«La vi más también como para distraerme, pero no pensé que fuera a darme un poco de contexto histórico colombiano.» — Simón (E11)</w:t>
            </w:r>
          </w:p>
        </w:tc>
      </w:tr>
    </w:tbl>
    <w:p>
      <w:pPr>
        <w:pStyle w:val="Heading3"/>
        <w:keepNext/>
      </w:pPr>
      <w:r>
        <w:t xml:space="preserve">Mapa de Empatía · Daniel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C4CC" w:sz="4"/>
              <w:left w:val="single" w:color="BFC4CC" w:sz="4"/>
              <w:bottom w:val="single" w:color="BFC4CC" w:sz="4"/>
              <w:right w:val="single" w:color="BFC4CC" w:sz="4"/>
            </w:tcBorders>
            <w:shd w:fill="323A4E" w:color="auto" w:val="clear"/>
            <w:tcMar>
              <w:top w:type="dxa" w:w="60"/>
              <w:left w:type="dxa" w:w="90"/>
              <w:bottom w:type="dxa" w:w="60"/>
              <w:right w:type="dxa" w:w="90"/>
            </w:tcMar>
            <w:vAlign w:val="center"/>
          </w:tcPr>
          <w:p>
            <w:pPr>
              <w:spacing w:after="40" w:line="252"/>
              <w:jc w:val="left"/>
            </w:pPr>
            <w:r>
              <w:rPr>
                <w:b/>
                <w:bCs/>
                <w:color w:val="FFFFFF"/>
                <w:sz w:val="18"/>
                <w:szCs w:val="18"/>
              </w:rPr>
              <w:t xml:space="preserve">Campo</w:t>
            </w:r>
          </w:p>
        </w:tc>
        <w:tc>
          <w:tcPr>
            <w:tcW w:type="dxa" w:w="7360"/>
            <w:tcBorders>
              <w:top w:val="single" w:color="BFC4CC" w:sz="4"/>
              <w:left w:val="single" w:color="BFC4CC" w:sz="4"/>
              <w:bottom w:val="single" w:color="BFC4CC" w:sz="4"/>
              <w:right w:val="single" w:color="BFC4CC" w:sz="4"/>
            </w:tcBorders>
            <w:shd w:fill="323A4E" w:color="auto" w:val="clear"/>
            <w:tcMar>
              <w:top w:type="dxa" w:w="60"/>
              <w:left w:type="dxa" w:w="90"/>
              <w:bottom w:type="dxa" w:w="60"/>
              <w:right w:type="dxa" w:w="90"/>
            </w:tcMar>
            <w:vAlign w:val="center"/>
          </w:tcPr>
          <w:p>
            <w:pPr>
              <w:spacing w:after="40" w:line="252"/>
              <w:jc w:val="left"/>
            </w:pPr>
            <w:r>
              <w:rPr>
                <w:b/>
                <w:bCs/>
                <w:color w:val="FFFFFF"/>
                <w:sz w:val="18"/>
                <w:szCs w:val="18"/>
              </w:rPr>
              <w:t xml:space="preserve">Contenido (variables de la base + evidencia M1)</w:t>
            </w:r>
          </w:p>
        </w:tc>
      </w:tr>
      <w:tr>
        <w:tc>
          <w:tcPr>
            <w:tcW w:type="dxa" w:w="2000"/>
            <w:tcBorders>
              <w:top w:val="single" w:color="BFC4CC" w:sz="4"/>
              <w:left w:val="single" w:color="BFC4CC" w:sz="4"/>
              <w:bottom w:val="single" w:color="BFC4CC" w:sz="4"/>
              <w:right w:val="single" w:color="BFC4CC" w:sz="4"/>
            </w:tcBorders>
            <w:shd w:fill="EEF3FA" w:color="auto" w:val="clear"/>
            <w:tcMar>
              <w:top w:type="dxa" w:w="50"/>
              <w:left w:type="dxa" w:w="90"/>
              <w:bottom w:type="dxa" w:w="50"/>
              <w:right w:type="dxa" w:w="90"/>
            </w:tcMar>
          </w:tcPr>
          <w:p>
            <w:pPr>
              <w:spacing w:after="40" w:line="252"/>
              <w:jc w:val="left"/>
            </w:pPr>
            <w:r>
              <w:rPr>
                <w:b/>
                <w:bCs/>
                <w:sz w:val="18"/>
                <w:szCs w:val="18"/>
              </w:rPr>
              <w:t xml:space="preserve">Dice</w:t>
            </w:r>
          </w:p>
        </w:tc>
        <w:tc>
          <w:tcPr>
            <w:tcW w:type="dxa" w:w="736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8"/>
                <w:szCs w:val="18"/>
              </w:rPr>
              <w:t xml:space="preserve">«Solo quería distraerme» (E1, E3, E9). Netflix y TikTok como plataformas; música y humor como contenidos; ve «solo, en el celular».</w:t>
            </w:r>
          </w:p>
        </w:tc>
      </w:tr>
      <w:tr>
        <w:tc>
          <w:tcPr>
            <w:tcW w:type="dxa" w:w="2000"/>
            <w:tcBorders>
              <w:top w:val="single" w:color="BFC4CC" w:sz="4"/>
              <w:left w:val="single" w:color="BFC4CC" w:sz="4"/>
              <w:bottom w:val="single" w:color="BFC4CC" w:sz="4"/>
              <w:right w:val="single" w:color="BFC4CC" w:sz="4"/>
            </w:tcBorders>
            <w:shd w:fill="EEF3FA" w:color="auto" w:val="clear"/>
            <w:tcMar>
              <w:top w:type="dxa" w:w="50"/>
              <w:left w:type="dxa" w:w="90"/>
              <w:bottom w:type="dxa" w:w="50"/>
              <w:right w:type="dxa" w:w="90"/>
            </w:tcMar>
          </w:tcPr>
          <w:p>
            <w:pPr>
              <w:spacing w:after="40" w:line="252"/>
              <w:jc w:val="left"/>
            </w:pPr>
            <w:r>
              <w:rPr>
                <w:b/>
                <w:bCs/>
                <w:sz w:val="18"/>
                <w:szCs w:val="18"/>
              </w:rPr>
              <w:t xml:space="preserve">Piensa y siente</w:t>
            </w:r>
          </w:p>
        </w:tc>
        <w:tc>
          <w:tcPr>
            <w:tcW w:type="dxa" w:w="736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8"/>
                <w:szCs w:val="18"/>
              </w:rPr>
              <w:t xml:space="preserve">Quiere desconectarse y expresarse (identidad, lift 1,34). FOMO alto (4,38) y comparación social alta (4,02), los máximos de la base. Siente sorpresa cuando la serie le enseña algo: «me sirvió para entender mucho una época» (E1).</w:t>
            </w:r>
          </w:p>
        </w:tc>
      </w:tr>
      <w:tr>
        <w:tc>
          <w:tcPr>
            <w:tcW w:type="dxa" w:w="2000"/>
            <w:tcBorders>
              <w:top w:val="single" w:color="BFC4CC" w:sz="4"/>
              <w:left w:val="single" w:color="BFC4CC" w:sz="4"/>
              <w:bottom w:val="single" w:color="BFC4CC" w:sz="4"/>
              <w:right w:val="single" w:color="BFC4CC" w:sz="4"/>
            </w:tcBorders>
            <w:shd w:fill="EEF3FA" w:color="auto" w:val="clear"/>
            <w:tcMar>
              <w:top w:type="dxa" w:w="50"/>
              <w:left w:type="dxa" w:w="90"/>
              <w:bottom w:type="dxa" w:w="50"/>
              <w:right w:type="dxa" w:w="90"/>
            </w:tcMar>
          </w:tcPr>
          <w:p>
            <w:pPr>
              <w:spacing w:after="40" w:line="252"/>
              <w:jc w:val="left"/>
            </w:pPr>
            <w:r>
              <w:rPr>
                <w:b/>
                <w:bCs/>
                <w:sz w:val="18"/>
                <w:szCs w:val="18"/>
              </w:rPr>
              <w:t xml:space="preserve">Hace</w:t>
            </w:r>
          </w:p>
        </w:tc>
        <w:tc>
          <w:tcPr>
            <w:tcW w:type="dxa" w:w="736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8"/>
                <w:szCs w:val="18"/>
              </w:rPr>
              <w:t xml:space="preserve">4,2 h/día en redes; maratón frecuente; patrón de maratón 25,1%. Crea contenido (activo 55,7%). Recomienda la serie a familia y amigos (E1).</w:t>
            </w:r>
          </w:p>
        </w:tc>
      </w:tr>
      <w:tr>
        <w:tc>
          <w:tcPr>
            <w:tcW w:type="dxa" w:w="2000"/>
            <w:tcBorders>
              <w:top w:val="single" w:color="BFC4CC" w:sz="4"/>
              <w:left w:val="single" w:color="BFC4CC" w:sz="4"/>
              <w:bottom w:val="single" w:color="BFC4CC" w:sz="4"/>
              <w:right w:val="single" w:color="BFC4CC" w:sz="4"/>
            </w:tcBorders>
            <w:shd w:fill="EEF3FA" w:color="auto" w:val="clear"/>
            <w:tcMar>
              <w:top w:type="dxa" w:w="50"/>
              <w:left w:type="dxa" w:w="90"/>
              <w:bottom w:type="dxa" w:w="50"/>
              <w:right w:type="dxa" w:w="90"/>
            </w:tcMar>
          </w:tcPr>
          <w:p>
            <w:pPr>
              <w:spacing w:after="40" w:line="252"/>
              <w:jc w:val="left"/>
            </w:pPr>
            <w:r>
              <w:rPr>
                <w:b/>
                <w:bCs/>
                <w:sz w:val="18"/>
                <w:szCs w:val="18"/>
              </w:rPr>
              <w:t xml:space="preserve">Oye</w:t>
            </w:r>
          </w:p>
        </w:tc>
        <w:tc>
          <w:tcPr>
            <w:tcW w:type="dxa" w:w="736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8"/>
                <w:szCs w:val="18"/>
              </w:rPr>
              <w:t xml:space="preserve">Amigos (E7, E11), creadores con los que tiene vínculo fuerte (47,7%) y sus comunidades en línea (64,6% activas). Le llega por el algoritmo y las redes.</w:t>
            </w:r>
          </w:p>
        </w:tc>
      </w:tr>
      <w:tr>
        <w:tc>
          <w:tcPr>
            <w:tcW w:type="dxa" w:w="2000"/>
            <w:tcBorders>
              <w:top w:val="single" w:color="BFC4CC" w:sz="4"/>
              <w:left w:val="single" w:color="BFC4CC" w:sz="4"/>
              <w:bottom w:val="single" w:color="BFC4CC" w:sz="4"/>
              <w:right w:val="single" w:color="BFC4CC" w:sz="4"/>
            </w:tcBorders>
            <w:shd w:fill="EEF3FA" w:color="auto" w:val="clear"/>
            <w:tcMar>
              <w:top w:type="dxa" w:w="50"/>
              <w:left w:type="dxa" w:w="90"/>
              <w:bottom w:type="dxa" w:w="50"/>
              <w:right w:type="dxa" w:w="90"/>
            </w:tcMar>
          </w:tcPr>
          <w:p>
            <w:pPr>
              <w:spacing w:after="40" w:line="252"/>
              <w:jc w:val="left"/>
            </w:pPr>
            <w:r>
              <w:rPr>
                <w:b/>
                <w:bCs/>
                <w:sz w:val="18"/>
                <w:szCs w:val="18"/>
              </w:rPr>
              <w:t xml:space="preserve">Dolores</w:t>
            </w:r>
          </w:p>
        </w:tc>
        <w:tc>
          <w:tcPr>
            <w:tcW w:type="dxa" w:w="736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8"/>
                <w:szCs w:val="18"/>
              </w:rPr>
              <w:t xml:space="preserve">Riesgo alto de gratificación desplazada (45,3%): termina haciendo algo distinto a lo planeado. Sensibilidad al precio alta. Repetición romántica (E9). Consumo aislado sin validación social.</w:t>
            </w:r>
          </w:p>
        </w:tc>
      </w:tr>
      <w:tr>
        <w:tc>
          <w:tcPr>
            <w:tcW w:type="dxa" w:w="2000"/>
            <w:tcBorders>
              <w:top w:val="single" w:color="BFC4CC" w:sz="4"/>
              <w:left w:val="single" w:color="BFC4CC" w:sz="4"/>
              <w:bottom w:val="single" w:color="BFC4CC" w:sz="4"/>
              <w:right w:val="single" w:color="BFC4CC" w:sz="4"/>
            </w:tcBorders>
            <w:shd w:fill="EEF3FA" w:color="auto" w:val="clear"/>
            <w:tcMar>
              <w:top w:type="dxa" w:w="50"/>
              <w:left w:type="dxa" w:w="90"/>
              <w:bottom w:type="dxa" w:w="50"/>
              <w:right w:type="dxa" w:w="90"/>
            </w:tcMar>
          </w:tcPr>
          <w:p>
            <w:pPr>
              <w:spacing w:after="40" w:line="252"/>
              <w:jc w:val="left"/>
            </w:pPr>
            <w:r>
              <w:rPr>
                <w:b/>
                <w:bCs/>
                <w:sz w:val="18"/>
                <w:szCs w:val="18"/>
              </w:rPr>
              <w:t xml:space="preserve">Ganancias</w:t>
            </w:r>
          </w:p>
        </w:tc>
        <w:tc>
          <w:tcPr>
            <w:tcW w:type="dxa" w:w="736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8"/>
                <w:szCs w:val="18"/>
              </w:rPr>
              <w:t xml:space="preserve">Desconexión, relajación y un aprendizaje no esperado sobre la Colombia de los 70; temas para conversar.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F3F1" w:sz="4"/>
              <w:left w:val="single" w:color="2A78D6" w:sz="24"/>
              <w:bottom w:val="single" w:color="F3F3F1" w:sz="4"/>
              <w:right w:val="single" w:color="F3F3F1" w:sz="4"/>
            </w:tcBorders>
            <w:shd w:fill="F3F3F1" w:color="auto" w:val="clear"/>
            <w:tcMar>
              <w:top w:type="dxa" w:w="120"/>
              <w:left w:type="dxa" w:w="180"/>
              <w:bottom w:type="dxa" w:w="120"/>
              <w:right w:type="dxa" w:w="180"/>
            </w:tcMar>
          </w:tcPr>
          <w:p>
            <w:pPr>
              <w:spacing w:after="80"/>
            </w:pPr>
            <w:r>
              <w:rPr>
                <w:b/>
                <w:bCs/>
                <w:color w:val="323A4E"/>
                <w:sz w:val="21"/>
                <w:szCs w:val="21"/>
              </w:rPr>
              <w:t xml:space="preserve">Tensión entre lo que dice y lo que siente</w:t>
            </w:r>
          </w:p>
          <w:p>
            <w:pPr>
              <w:spacing w:after="60" w:line="264"/>
              <w:jc w:val="left"/>
            </w:pPr>
            <w:r>
              <w:rPr>
                <w:sz w:val="20"/>
                <w:szCs w:val="20"/>
              </w:rPr>
              <w:t xml:space="preserve">Dice que solo busca entretenerse, pero lo que más valora es aprender sin esfuerzo y tener algo que compartir. El aprendizaje funciona como premio inesperado, no como promesa.</w:t>
            </w:r>
          </w:p>
        </w:tc>
      </w:tr>
    </w:tbl>
    <w:p>
      <w:pPr>
        <w:pStyle w:val="Heading2"/>
        <w:keepNext/>
      </w:pPr>
      <w:r>
        <w:t xml:space="preserve">6.2 Cluster 1 · User Persona: LAURA, «Espectadora acompañada en TV que busca memoria y contexto»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C4CC" w:sz="4"/>
              <w:left w:val="single" w:color="BFC4CC" w:sz="4"/>
              <w:bottom w:val="single" w:color="BFC4CC" w:sz="4"/>
              <w:right w:val="single" w:color="BFC4CC" w:sz="4"/>
            </w:tcBorders>
            <w:shd w:fill="323A4E" w:color="auto" w:val="clear"/>
            <w:tcMar>
              <w:top w:type="dxa" w:w="60"/>
              <w:left w:type="dxa" w:w="90"/>
              <w:bottom w:type="dxa" w:w="60"/>
              <w:right w:type="dxa" w:w="90"/>
            </w:tcMar>
            <w:vAlign w:val="center"/>
          </w:tcPr>
          <w:p>
            <w:pPr>
              <w:spacing w:after="40" w:line="252"/>
              <w:jc w:val="left"/>
            </w:pPr>
            <w:r>
              <w:rPr>
                <w:b/>
                <w:bCs/>
                <w:color w:val="FFFFFF"/>
                <w:sz w:val="18"/>
                <w:szCs w:val="18"/>
              </w:rPr>
              <w:t xml:space="preserve">Campo</w:t>
            </w:r>
          </w:p>
        </w:tc>
        <w:tc>
          <w:tcPr>
            <w:tcW w:type="dxa" w:w="7060"/>
            <w:tcBorders>
              <w:top w:val="single" w:color="BFC4CC" w:sz="4"/>
              <w:left w:val="single" w:color="BFC4CC" w:sz="4"/>
              <w:bottom w:val="single" w:color="BFC4CC" w:sz="4"/>
              <w:right w:val="single" w:color="BFC4CC" w:sz="4"/>
            </w:tcBorders>
            <w:shd w:fill="323A4E" w:color="auto" w:val="clear"/>
            <w:tcMar>
              <w:top w:type="dxa" w:w="60"/>
              <w:left w:type="dxa" w:w="90"/>
              <w:bottom w:type="dxa" w:w="60"/>
              <w:right w:type="dxa" w:w="90"/>
            </w:tcMar>
            <w:vAlign w:val="center"/>
          </w:tcPr>
          <w:p>
            <w:pPr>
              <w:spacing w:after="40" w:line="252"/>
              <w:jc w:val="left"/>
            </w:pPr>
            <w:r>
              <w:rPr>
                <w:b/>
                <w:bCs/>
                <w:color w:val="FFFFFF"/>
                <w:sz w:val="18"/>
                <w:szCs w:val="18"/>
              </w:rPr>
              <w:t xml:space="preserve">Contenido</w:t>
            </w:r>
          </w:p>
        </w:tc>
      </w:tr>
      <w:tr>
        <w:tc>
          <w:tcPr>
            <w:tcW w:type="dxa" w:w="2300"/>
            <w:tcBorders>
              <w:top w:val="single" w:color="BFC4CC" w:sz="4"/>
              <w:left w:val="single" w:color="BFC4CC" w:sz="4"/>
              <w:bottom w:val="single" w:color="BFC4CC" w:sz="4"/>
              <w:right w:val="single" w:color="BFC4CC" w:sz="4"/>
            </w:tcBorders>
            <w:shd w:fill="EEF3FA" w:color="auto" w:val="clear"/>
            <w:tcMar>
              <w:top w:type="dxa" w:w="50"/>
              <w:left w:type="dxa" w:w="90"/>
              <w:bottom w:type="dxa" w:w="50"/>
              <w:right w:type="dxa" w:w="90"/>
            </w:tcMar>
          </w:tcPr>
          <w:p>
            <w:pPr>
              <w:spacing w:after="40" w:line="252"/>
              <w:jc w:val="left"/>
            </w:pPr>
            <w:r>
              <w:rPr>
                <w:b/>
                <w:bCs/>
                <w:sz w:val="18"/>
                <w:szCs w:val="18"/>
              </w:rPr>
              <w:t xml:space="preserve">Perfil sociodemográfico</w:t>
            </w:r>
          </w:p>
        </w:tc>
        <w:tc>
          <w:tcPr>
            <w:tcW w:type="dxa" w:w="706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8"/>
                <w:szCs w:val="18"/>
              </w:rPr>
              <w:t xml:space="preserve">Laura, 49 años</w:t>
            </w:r>
            <w:r>
              <w:rPr>
                <w:b w:val="false"/>
                <w:bCs w:val="false"/>
                <w:sz w:val="18"/>
                <w:szCs w:val="18"/>
              </w:rPr>
              <w:t xml:space="preserve">, Bogotá (urbano). Rango del cluster: 40 años o más = 71,3% (56+: lift 2,15); mediana 47.</w:t>
            </w:r>
          </w:p>
          <w:p>
            <w:pPr>
              <w:spacing w:after="40" w:line="252"/>
              <w:jc w:val="left"/>
            </w:pPr>
            <w:r>
              <w:rPr>
                <w:b w:val="false"/>
                <w:bCs w:val="false"/>
                <w:sz w:val="18"/>
                <w:szCs w:val="18"/>
              </w:rPr>
              <w:t xml:space="preserve">Estrato medio-bajo (2: 36,0%; 3: 35,8%). Profesional activa, casada y con hijos (M1: E13 abogada, E14 epidemióloga). En el cluster predominan secundaria y técnico: la profesional es un subgrupo.</w:t>
            </w:r>
          </w:p>
        </w:tc>
      </w:tr>
      <w:tr>
        <w:tc>
          <w:tcPr>
            <w:tcW w:type="dxa" w:w="2300"/>
            <w:tcBorders>
              <w:top w:val="single" w:color="BFC4CC" w:sz="4"/>
              <w:left w:val="single" w:color="BFC4CC" w:sz="4"/>
              <w:bottom w:val="single" w:color="BFC4CC" w:sz="4"/>
              <w:right w:val="single" w:color="BFC4CC" w:sz="4"/>
            </w:tcBorders>
            <w:shd w:fill="EEF3FA" w:color="auto" w:val="clear"/>
            <w:tcMar>
              <w:top w:type="dxa" w:w="50"/>
              <w:left w:type="dxa" w:w="90"/>
              <w:bottom w:type="dxa" w:w="50"/>
              <w:right w:type="dxa" w:w="90"/>
            </w:tcMar>
          </w:tcPr>
          <w:p>
            <w:pPr>
              <w:spacing w:after="40" w:line="252"/>
              <w:jc w:val="left"/>
            </w:pPr>
            <w:r>
              <w:rPr>
                <w:b/>
                <w:bCs/>
                <w:sz w:val="18"/>
                <w:szCs w:val="18"/>
              </w:rPr>
              <w:t xml:space="preserve">Necesidad base</w:t>
            </w:r>
          </w:p>
        </w:tc>
        <w:tc>
          <w:tcPr>
            <w:tcW w:type="dxa" w:w="706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8"/>
                <w:szCs w:val="18"/>
              </w:rPr>
              <w:t xml:space="preserve">Distracción y placer (21,2%) y </w:t>
            </w:r>
            <w:r>
              <w:rPr>
                <w:b w:val="false"/>
                <w:bCs w:val="false"/>
                <w:sz w:val="18"/>
                <w:szCs w:val="18"/>
              </w:rPr>
              <w:t xml:space="preserve">curiosidad</w:t>
            </w:r>
            <w:r>
              <w:rPr>
                <w:b w:val="false"/>
                <w:bCs w:val="false"/>
                <w:sz w:val="18"/>
                <w:szCs w:val="18"/>
              </w:rPr>
              <w:t xml:space="preserve"> (17,5%, índice 124).</w:t>
            </w:r>
          </w:p>
        </w:tc>
      </w:tr>
      <w:tr>
        <w:tc>
          <w:tcPr>
            <w:tcW w:type="dxa" w:w="2300"/>
            <w:tcBorders>
              <w:top w:val="single" w:color="BFC4CC" w:sz="4"/>
              <w:left w:val="single" w:color="BFC4CC" w:sz="4"/>
              <w:bottom w:val="single" w:color="BFC4CC" w:sz="4"/>
              <w:right w:val="single" w:color="BFC4CC" w:sz="4"/>
            </w:tcBorders>
            <w:shd w:fill="EEF3FA" w:color="auto" w:val="clear"/>
            <w:tcMar>
              <w:top w:type="dxa" w:w="50"/>
              <w:left w:type="dxa" w:w="90"/>
              <w:bottom w:type="dxa" w:w="50"/>
              <w:right w:type="dxa" w:w="90"/>
            </w:tcMar>
          </w:tcPr>
          <w:p>
            <w:pPr>
              <w:spacing w:after="40" w:line="252"/>
              <w:jc w:val="left"/>
            </w:pPr>
            <w:r>
              <w:rPr>
                <w:b/>
                <w:bCs/>
                <w:sz w:val="18"/>
                <w:szCs w:val="18"/>
              </w:rPr>
              <w:t xml:space="preserve">Motivo primario / secundario</w:t>
            </w:r>
          </w:p>
        </w:tc>
        <w:tc>
          <w:tcPr>
            <w:tcW w:type="dxa" w:w="706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8"/>
                <w:szCs w:val="18"/>
              </w:rPr>
              <w:t xml:space="preserve">Información</w:t>
            </w:r>
            <w:r>
              <w:rPr>
                <w:b w:val="false"/>
                <w:bCs w:val="false"/>
                <w:sz w:val="18"/>
                <w:szCs w:val="18"/>
              </w:rPr>
              <w:t xml:space="preserve"> (22,6%; ug_informacion 4,05, el único cluster donde gana), que en el M1 se expresa como nostalgia y contexto de época / entretenimiento (20,4%).</w:t>
            </w:r>
          </w:p>
        </w:tc>
      </w:tr>
      <w:tr>
        <w:tc>
          <w:tcPr>
            <w:tcW w:type="dxa" w:w="2300"/>
            <w:tcBorders>
              <w:top w:val="single" w:color="BFC4CC" w:sz="4"/>
              <w:left w:val="single" w:color="BFC4CC" w:sz="4"/>
              <w:bottom w:val="single" w:color="BFC4CC" w:sz="4"/>
              <w:right w:val="single" w:color="BFC4CC" w:sz="4"/>
            </w:tcBorders>
            <w:shd w:fill="EEF3FA" w:color="auto" w:val="clear"/>
            <w:tcMar>
              <w:top w:type="dxa" w:w="50"/>
              <w:left w:type="dxa" w:w="90"/>
              <w:bottom w:type="dxa" w:w="50"/>
              <w:right w:type="dxa" w:w="90"/>
            </w:tcMar>
          </w:tcPr>
          <w:p>
            <w:pPr>
              <w:spacing w:after="40" w:line="252"/>
              <w:jc w:val="left"/>
            </w:pPr>
            <w:r>
              <w:rPr>
                <w:b/>
                <w:bCs/>
                <w:sz w:val="18"/>
                <w:szCs w:val="18"/>
              </w:rPr>
              <w:t xml:space="preserve">Gratificación buscada vs. obtenida</w:t>
            </w:r>
          </w:p>
        </w:tc>
        <w:tc>
          <w:tcPr>
            <w:tcW w:type="dxa" w:w="706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8"/>
                <w:szCs w:val="18"/>
              </w:rPr>
              <w:t xml:space="preserve">Busca relajación y estar al día (lift 1,60); M1: desconectarse, acompañarse y recordar (E13). Obtiene lo que busca </w:t>
            </w:r>
            <w:r>
              <w:rPr>
                <w:b w:val="false"/>
                <w:bCs w:val="false"/>
                <w:sz w:val="18"/>
                <w:szCs w:val="18"/>
              </w:rPr>
              <w:t xml:space="preserve">más una gratificación emocional</w:t>
            </w:r>
            <w:r>
              <w:rPr>
                <w:b w:val="false"/>
                <w:bCs w:val="false"/>
                <w:sz w:val="18"/>
                <w:szCs w:val="18"/>
              </w:rPr>
              <w:t xml:space="preserve">: nostalgia positiva y memoria compartida. Es el cluster con más descubrimiento positivo (15,8%).</w:t>
            </w:r>
          </w:p>
        </w:tc>
      </w:tr>
      <w:tr>
        <w:tc>
          <w:tcPr>
            <w:tcW w:type="dxa" w:w="2300"/>
            <w:tcBorders>
              <w:top w:val="single" w:color="BFC4CC" w:sz="4"/>
              <w:left w:val="single" w:color="BFC4CC" w:sz="4"/>
              <w:bottom w:val="single" w:color="BFC4CC" w:sz="4"/>
              <w:right w:val="single" w:color="BFC4CC" w:sz="4"/>
            </w:tcBorders>
            <w:shd w:fill="EEF3FA" w:color="auto" w:val="clear"/>
            <w:tcMar>
              <w:top w:type="dxa" w:w="50"/>
              <w:left w:type="dxa" w:w="90"/>
              <w:bottom w:type="dxa" w:w="50"/>
              <w:right w:type="dxa" w:w="90"/>
            </w:tcMar>
          </w:tcPr>
          <w:p>
            <w:pPr>
              <w:spacing w:after="40" w:line="252"/>
              <w:jc w:val="left"/>
            </w:pPr>
            <w:r>
              <w:rPr>
                <w:b/>
                <w:bCs/>
                <w:sz w:val="18"/>
                <w:szCs w:val="18"/>
              </w:rPr>
              <w:t xml:space="preserve">Comportamiento</w:t>
            </w:r>
          </w:p>
        </w:tc>
        <w:tc>
          <w:tcPr>
            <w:tcW w:type="dxa" w:w="706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8"/>
                <w:szCs w:val="18"/>
              </w:rPr>
              <w:t xml:space="preserve">2,8 h/día en redes; 1,6 h/día de video. Ve </w:t>
            </w:r>
            <w:r>
              <w:rPr>
                <w:b w:val="false"/>
                <w:bCs w:val="false"/>
                <w:sz w:val="18"/>
                <w:szCs w:val="18"/>
              </w:rPr>
              <w:t xml:space="preserve">acompañada</w:t>
            </w:r>
            <w:r>
              <w:rPr>
                <w:b w:val="false"/>
                <w:bCs w:val="false"/>
                <w:sz w:val="18"/>
                <w:szCs w:val="18"/>
              </w:rPr>
              <w:t xml:space="preserve"> (56,9%; en familia en TV 35,0%), a un episodio por sesión (27,7%) o fragmentado (20,0%), de noche y en la mañana.</w:t>
            </w:r>
          </w:p>
        </w:tc>
      </w:tr>
      <w:tr>
        <w:tc>
          <w:tcPr>
            <w:tcW w:type="dxa" w:w="2300"/>
            <w:tcBorders>
              <w:top w:val="single" w:color="BFC4CC" w:sz="4"/>
              <w:left w:val="single" w:color="BFC4CC" w:sz="4"/>
              <w:bottom w:val="single" w:color="BFC4CC" w:sz="4"/>
              <w:right w:val="single" w:color="BFC4CC" w:sz="4"/>
            </w:tcBorders>
            <w:shd w:fill="EEF3FA" w:color="auto" w:val="clear"/>
            <w:tcMar>
              <w:top w:type="dxa" w:w="50"/>
              <w:left w:type="dxa" w:w="90"/>
              <w:bottom w:type="dxa" w:w="50"/>
              <w:right w:type="dxa" w:w="90"/>
            </w:tcMar>
          </w:tcPr>
          <w:p>
            <w:pPr>
              <w:spacing w:after="40" w:line="252"/>
              <w:jc w:val="left"/>
            </w:pPr>
            <w:r>
              <w:rPr>
                <w:b/>
                <w:bCs/>
                <w:sz w:val="18"/>
                <w:szCs w:val="18"/>
              </w:rPr>
              <w:t xml:space="preserve">Plataformas y dispositivos</w:t>
            </w:r>
          </w:p>
        </w:tc>
        <w:tc>
          <w:tcPr>
            <w:tcW w:type="dxa" w:w="706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8"/>
                <w:szCs w:val="18"/>
              </w:rPr>
              <w:t xml:space="preserve">Smartphone 74,7%, más Smart TV y tablet que el resto. YouTube 30,9%, Netflix 17,8%; 14,1% sin plataforma de video. Para el 29,9% la TV abierta es la fuente principal. Redes: WhatsApp y Facebook.</w:t>
            </w:r>
          </w:p>
        </w:tc>
      </w:tr>
      <w:tr>
        <w:tc>
          <w:tcPr>
            <w:tcW w:type="dxa" w:w="2300"/>
            <w:tcBorders>
              <w:top w:val="single" w:color="BFC4CC" w:sz="4"/>
              <w:left w:val="single" w:color="BFC4CC" w:sz="4"/>
              <w:bottom w:val="single" w:color="BFC4CC" w:sz="4"/>
              <w:right w:val="single" w:color="BFC4CC" w:sz="4"/>
            </w:tcBorders>
            <w:shd w:fill="EEF3FA" w:color="auto" w:val="clear"/>
            <w:tcMar>
              <w:top w:type="dxa" w:w="50"/>
              <w:left w:type="dxa" w:w="90"/>
              <w:bottom w:type="dxa" w:w="50"/>
              <w:right w:type="dxa" w:w="90"/>
            </w:tcMar>
          </w:tcPr>
          <w:p>
            <w:pPr>
              <w:spacing w:after="40" w:line="252"/>
              <w:jc w:val="left"/>
            </w:pPr>
            <w:r>
              <w:rPr>
                <w:b/>
                <w:bCs/>
                <w:sz w:val="18"/>
                <w:szCs w:val="18"/>
              </w:rPr>
              <w:t xml:space="preserve">Vía de descubrimiento</w:t>
            </w:r>
          </w:p>
        </w:tc>
        <w:tc>
          <w:tcPr>
            <w:tcW w:type="dxa" w:w="706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8"/>
                <w:szCs w:val="18"/>
              </w:rPr>
              <w:t xml:space="preserve">Recomendación de amigos o familia (24,3%), medios, búsqueda. M1: Su hija se la recomienda (E14); la encuentra en la pantalla de inicio (E13).</w:t>
            </w:r>
          </w:p>
        </w:tc>
      </w:tr>
      <w:tr>
        <w:tc>
          <w:tcPr>
            <w:tcW w:type="dxa" w:w="2300"/>
            <w:tcBorders>
              <w:top w:val="single" w:color="BFC4CC" w:sz="4"/>
              <w:left w:val="single" w:color="BFC4CC" w:sz="4"/>
              <w:bottom w:val="single" w:color="BFC4CC" w:sz="4"/>
              <w:right w:val="single" w:color="BFC4CC" w:sz="4"/>
            </w:tcBorders>
            <w:shd w:fill="EEF3FA" w:color="auto" w:val="clear"/>
            <w:tcMar>
              <w:top w:type="dxa" w:w="50"/>
              <w:left w:type="dxa" w:w="90"/>
              <w:bottom w:type="dxa" w:w="50"/>
              <w:right w:type="dxa" w:w="90"/>
            </w:tcMar>
          </w:tcPr>
          <w:p>
            <w:pPr>
              <w:spacing w:after="40" w:line="252"/>
              <w:jc w:val="left"/>
            </w:pPr>
            <w:r>
              <w:rPr>
                <w:b/>
                <w:bCs/>
                <w:sz w:val="18"/>
                <w:szCs w:val="18"/>
              </w:rPr>
              <w:t xml:space="preserve">Frustración / riesgo</w:t>
            </w:r>
          </w:p>
        </w:tc>
        <w:tc>
          <w:tcPr>
            <w:tcW w:type="dxa" w:w="706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8"/>
                <w:szCs w:val="18"/>
              </w:rPr>
              <w:t xml:space="preserve">Falta de tiempo: pausa y retoma (E14). Bajo riesgo (desplazamiento 29,9%, el menor). Excepción: si ve sola y llegó por el algoritmo, la indiferencia sube a 29,7%.</w:t>
            </w:r>
          </w:p>
        </w:tc>
      </w:tr>
      <w:tr>
        <w:tc>
          <w:tcPr>
            <w:tcW w:type="dxa" w:w="2300"/>
            <w:tcBorders>
              <w:top w:val="single" w:color="BFC4CC" w:sz="4"/>
              <w:left w:val="single" w:color="BFC4CC" w:sz="4"/>
              <w:bottom w:val="single" w:color="BFC4CC" w:sz="4"/>
              <w:right w:val="single" w:color="BFC4CC" w:sz="4"/>
            </w:tcBorders>
            <w:shd w:fill="EEF3FA" w:color="auto" w:val="clear"/>
            <w:tcMar>
              <w:top w:type="dxa" w:w="50"/>
              <w:left w:type="dxa" w:w="90"/>
              <w:bottom w:type="dxa" w:w="50"/>
              <w:right w:type="dxa" w:w="90"/>
            </w:tcMar>
          </w:tcPr>
          <w:p>
            <w:pPr>
              <w:spacing w:after="40" w:line="252"/>
              <w:jc w:val="left"/>
            </w:pPr>
            <w:r>
              <w:rPr>
                <w:b/>
                <w:bCs/>
                <w:sz w:val="18"/>
                <w:szCs w:val="18"/>
              </w:rPr>
              <w:t xml:space="preserve">Cita</w:t>
            </w:r>
          </w:p>
        </w:tc>
        <w:tc>
          <w:tcPr>
            <w:tcW w:type="dxa" w:w="706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8"/>
                <w:szCs w:val="18"/>
              </w:rPr>
              <w:t xml:space="preserve">«Me gustó verla pues para recordar, para recordar esa época y tener un poquito como esa experiencia, volver a vivir las cosas.» — Sandra (E14)</w:t>
            </w:r>
          </w:p>
        </w:tc>
      </w:tr>
    </w:tbl>
    <w:p>
      <w:pPr>
        <w:pStyle w:val="Heading3"/>
        <w:keepNext/>
      </w:pPr>
      <w:r>
        <w:t xml:space="preserve">Mapa de Empatía · Laura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C4CC" w:sz="4"/>
              <w:left w:val="single" w:color="BFC4CC" w:sz="4"/>
              <w:bottom w:val="single" w:color="BFC4CC" w:sz="4"/>
              <w:right w:val="single" w:color="BFC4CC" w:sz="4"/>
            </w:tcBorders>
            <w:shd w:fill="323A4E" w:color="auto" w:val="clear"/>
            <w:tcMar>
              <w:top w:type="dxa" w:w="60"/>
              <w:left w:type="dxa" w:w="90"/>
              <w:bottom w:type="dxa" w:w="60"/>
              <w:right w:type="dxa" w:w="90"/>
            </w:tcMar>
            <w:vAlign w:val="center"/>
          </w:tcPr>
          <w:p>
            <w:pPr>
              <w:spacing w:after="40" w:line="252"/>
              <w:jc w:val="left"/>
            </w:pPr>
            <w:r>
              <w:rPr>
                <w:b/>
                <w:bCs/>
                <w:color w:val="FFFFFF"/>
                <w:sz w:val="18"/>
                <w:szCs w:val="18"/>
              </w:rPr>
              <w:t xml:space="preserve">Campo</w:t>
            </w:r>
          </w:p>
        </w:tc>
        <w:tc>
          <w:tcPr>
            <w:tcW w:type="dxa" w:w="7360"/>
            <w:tcBorders>
              <w:top w:val="single" w:color="BFC4CC" w:sz="4"/>
              <w:left w:val="single" w:color="BFC4CC" w:sz="4"/>
              <w:bottom w:val="single" w:color="BFC4CC" w:sz="4"/>
              <w:right w:val="single" w:color="BFC4CC" w:sz="4"/>
            </w:tcBorders>
            <w:shd w:fill="323A4E" w:color="auto" w:val="clear"/>
            <w:tcMar>
              <w:top w:type="dxa" w:w="60"/>
              <w:left w:type="dxa" w:w="90"/>
              <w:bottom w:type="dxa" w:w="60"/>
              <w:right w:type="dxa" w:w="90"/>
            </w:tcMar>
            <w:vAlign w:val="center"/>
          </w:tcPr>
          <w:p>
            <w:pPr>
              <w:spacing w:after="40" w:line="252"/>
              <w:jc w:val="left"/>
            </w:pPr>
            <w:r>
              <w:rPr>
                <w:b/>
                <w:bCs/>
                <w:color w:val="FFFFFF"/>
                <w:sz w:val="18"/>
                <w:szCs w:val="18"/>
              </w:rPr>
              <w:t xml:space="preserve">Contenido (variables de la base + evidencia M1)</w:t>
            </w:r>
          </w:p>
        </w:tc>
      </w:tr>
      <w:tr>
        <w:tc>
          <w:tcPr>
            <w:tcW w:type="dxa" w:w="2000"/>
            <w:tcBorders>
              <w:top w:val="single" w:color="BFC4CC" w:sz="4"/>
              <w:left w:val="single" w:color="BFC4CC" w:sz="4"/>
              <w:bottom w:val="single" w:color="BFC4CC" w:sz="4"/>
              <w:right w:val="single" w:color="BFC4CC" w:sz="4"/>
            </w:tcBorders>
            <w:shd w:fill="EEF3FA" w:color="auto" w:val="clear"/>
            <w:tcMar>
              <w:top w:type="dxa" w:w="50"/>
              <w:left w:type="dxa" w:w="90"/>
              <w:bottom w:type="dxa" w:w="50"/>
              <w:right w:type="dxa" w:w="90"/>
            </w:tcMar>
          </w:tcPr>
          <w:p>
            <w:pPr>
              <w:spacing w:after="40" w:line="252"/>
              <w:jc w:val="left"/>
            </w:pPr>
            <w:r>
              <w:rPr>
                <w:b/>
                <w:bCs/>
                <w:sz w:val="18"/>
                <w:szCs w:val="18"/>
              </w:rPr>
              <w:t xml:space="preserve">Dice</w:t>
            </w:r>
          </w:p>
        </w:tc>
        <w:tc>
          <w:tcPr>
            <w:tcW w:type="dxa" w:w="736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8"/>
                <w:szCs w:val="18"/>
              </w:rPr>
              <w:t xml:space="preserve">«La veo con mi esposo» (E13). YouTube y Netflix; música, deportes y noticias; ve en familia, en la TV de la sala.</w:t>
            </w:r>
          </w:p>
        </w:tc>
      </w:tr>
      <w:tr>
        <w:tc>
          <w:tcPr>
            <w:tcW w:type="dxa" w:w="2000"/>
            <w:tcBorders>
              <w:top w:val="single" w:color="BFC4CC" w:sz="4"/>
              <w:left w:val="single" w:color="BFC4CC" w:sz="4"/>
              <w:bottom w:val="single" w:color="BFC4CC" w:sz="4"/>
              <w:right w:val="single" w:color="BFC4CC" w:sz="4"/>
            </w:tcBorders>
            <w:shd w:fill="EEF3FA" w:color="auto" w:val="clear"/>
            <w:tcMar>
              <w:top w:type="dxa" w:w="50"/>
              <w:left w:type="dxa" w:w="90"/>
              <w:bottom w:type="dxa" w:w="50"/>
              <w:right w:type="dxa" w:w="90"/>
            </w:tcMar>
          </w:tcPr>
          <w:p>
            <w:pPr>
              <w:spacing w:after="40" w:line="252"/>
              <w:jc w:val="left"/>
            </w:pPr>
            <w:r>
              <w:rPr>
                <w:b/>
                <w:bCs/>
                <w:sz w:val="18"/>
                <w:szCs w:val="18"/>
              </w:rPr>
              <w:t xml:space="preserve">Piensa y siente</w:t>
            </w:r>
          </w:p>
        </w:tc>
        <w:tc>
          <w:tcPr>
            <w:tcW w:type="dxa" w:w="736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8"/>
                <w:szCs w:val="18"/>
              </w:rPr>
              <w:t xml:space="preserve">Quiere una pausa emocional y volver a su juventud (E13, E14); curiosidad por el país y la literatura (E14). FOMO (3,31) y comparación social (3,15) bajos.</w:t>
            </w:r>
          </w:p>
        </w:tc>
      </w:tr>
      <w:tr>
        <w:tc>
          <w:tcPr>
            <w:tcW w:type="dxa" w:w="2000"/>
            <w:tcBorders>
              <w:top w:val="single" w:color="BFC4CC" w:sz="4"/>
              <w:left w:val="single" w:color="BFC4CC" w:sz="4"/>
              <w:bottom w:val="single" w:color="BFC4CC" w:sz="4"/>
              <w:right w:val="single" w:color="BFC4CC" w:sz="4"/>
            </w:tcBorders>
            <w:shd w:fill="EEF3FA" w:color="auto" w:val="clear"/>
            <w:tcMar>
              <w:top w:type="dxa" w:w="50"/>
              <w:left w:type="dxa" w:w="90"/>
              <w:bottom w:type="dxa" w:w="50"/>
              <w:right w:type="dxa" w:w="90"/>
            </w:tcMar>
          </w:tcPr>
          <w:p>
            <w:pPr>
              <w:spacing w:after="40" w:line="252"/>
              <w:jc w:val="left"/>
            </w:pPr>
            <w:r>
              <w:rPr>
                <w:b/>
                <w:bCs/>
                <w:sz w:val="18"/>
                <w:szCs w:val="18"/>
              </w:rPr>
              <w:t xml:space="preserve">Hace</w:t>
            </w:r>
          </w:p>
        </w:tc>
        <w:tc>
          <w:tcPr>
            <w:tcW w:type="dxa" w:w="736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8"/>
                <w:szCs w:val="18"/>
              </w:rPr>
              <w:t xml:space="preserve">Poco tiempo en redes (2,8 h); maratón rara u ocasional; un episodio por sesión. Consumidora pasiva en lo digital (40,4%). Conversa la serie en casa: «recordamos nuestros tiempos» (E13).</w:t>
            </w:r>
          </w:p>
        </w:tc>
      </w:tr>
      <w:tr>
        <w:tc>
          <w:tcPr>
            <w:tcW w:type="dxa" w:w="2000"/>
            <w:tcBorders>
              <w:top w:val="single" w:color="BFC4CC" w:sz="4"/>
              <w:left w:val="single" w:color="BFC4CC" w:sz="4"/>
              <w:bottom w:val="single" w:color="BFC4CC" w:sz="4"/>
              <w:right w:val="single" w:color="BFC4CC" w:sz="4"/>
            </w:tcBorders>
            <w:shd w:fill="EEF3FA" w:color="auto" w:val="clear"/>
            <w:tcMar>
              <w:top w:type="dxa" w:w="50"/>
              <w:left w:type="dxa" w:w="90"/>
              <w:bottom w:type="dxa" w:w="50"/>
              <w:right w:type="dxa" w:w="90"/>
            </w:tcMar>
          </w:tcPr>
          <w:p>
            <w:pPr>
              <w:spacing w:after="40" w:line="252"/>
              <w:jc w:val="left"/>
            </w:pPr>
            <w:r>
              <w:rPr>
                <w:b/>
                <w:bCs/>
                <w:sz w:val="18"/>
                <w:szCs w:val="18"/>
              </w:rPr>
              <w:t xml:space="preserve">Oye</w:t>
            </w:r>
          </w:p>
        </w:tc>
        <w:tc>
          <w:tcPr>
            <w:tcW w:type="dxa" w:w="736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8"/>
                <w:szCs w:val="18"/>
              </w:rPr>
              <w:t xml:space="preserve">A sus hijas (E14), al esposo y a compañeros de trabajo; medios y prensa. Vínculo débil o nulo con creadores (55,7%); 19,2% sin comunidades en línea.</w:t>
            </w:r>
          </w:p>
        </w:tc>
      </w:tr>
      <w:tr>
        <w:tc>
          <w:tcPr>
            <w:tcW w:type="dxa" w:w="2000"/>
            <w:tcBorders>
              <w:top w:val="single" w:color="BFC4CC" w:sz="4"/>
              <w:left w:val="single" w:color="BFC4CC" w:sz="4"/>
              <w:bottom w:val="single" w:color="BFC4CC" w:sz="4"/>
              <w:right w:val="single" w:color="BFC4CC" w:sz="4"/>
            </w:tcBorders>
            <w:shd w:fill="EEF3FA" w:color="auto" w:val="clear"/>
            <w:tcMar>
              <w:top w:type="dxa" w:w="50"/>
              <w:left w:type="dxa" w:w="90"/>
              <w:bottom w:type="dxa" w:w="50"/>
              <w:right w:type="dxa" w:w="90"/>
            </w:tcMar>
          </w:tcPr>
          <w:p>
            <w:pPr>
              <w:spacing w:after="40" w:line="252"/>
              <w:jc w:val="left"/>
            </w:pPr>
            <w:r>
              <w:rPr>
                <w:b/>
                <w:bCs/>
                <w:sz w:val="18"/>
                <w:szCs w:val="18"/>
              </w:rPr>
              <w:t xml:space="preserve">Dolores</w:t>
            </w:r>
          </w:p>
        </w:tc>
        <w:tc>
          <w:tcPr>
            <w:tcW w:type="dxa" w:w="736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8"/>
                <w:szCs w:val="18"/>
              </w:rPr>
              <w:t xml:space="preserve">Tiempo disponible. Bajo riesgo de desplazamiento (29,9%) y sensibilidad al precio media-alta (48,7%). Los mensajes solo digitales no la alcanzan.</w:t>
            </w:r>
          </w:p>
        </w:tc>
      </w:tr>
      <w:tr>
        <w:tc>
          <w:tcPr>
            <w:tcW w:type="dxa" w:w="2000"/>
            <w:tcBorders>
              <w:top w:val="single" w:color="BFC4CC" w:sz="4"/>
              <w:left w:val="single" w:color="BFC4CC" w:sz="4"/>
              <w:bottom w:val="single" w:color="BFC4CC" w:sz="4"/>
              <w:right w:val="single" w:color="BFC4CC" w:sz="4"/>
            </w:tcBorders>
            <w:shd w:fill="EEF3FA" w:color="auto" w:val="clear"/>
            <w:tcMar>
              <w:top w:type="dxa" w:w="50"/>
              <w:left w:type="dxa" w:w="90"/>
              <w:bottom w:type="dxa" w:w="50"/>
              <w:right w:type="dxa" w:w="90"/>
            </w:tcMar>
          </w:tcPr>
          <w:p>
            <w:pPr>
              <w:spacing w:after="40" w:line="252"/>
              <w:jc w:val="left"/>
            </w:pPr>
            <w:r>
              <w:rPr>
                <w:b/>
                <w:bCs/>
                <w:sz w:val="18"/>
                <w:szCs w:val="18"/>
              </w:rPr>
              <w:t xml:space="preserve">Ganancias</w:t>
            </w:r>
          </w:p>
        </w:tc>
        <w:tc>
          <w:tcPr>
            <w:tcW w:type="dxa" w:w="736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8"/>
                <w:szCs w:val="18"/>
              </w:rPr>
              <w:t xml:space="preserve">Nostalgia positiva, bienestar («feliz… un poco hasta más joven», E13), memoria compartida y contexto histórico.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F3F1" w:sz="4"/>
              <w:left w:val="single" w:color="2A78D6" w:sz="24"/>
              <w:bottom w:val="single" w:color="F3F3F1" w:sz="4"/>
              <w:right w:val="single" w:color="F3F3F1" w:sz="4"/>
            </w:tcBorders>
            <w:shd w:fill="F3F3F1" w:color="auto" w:val="clear"/>
            <w:tcMar>
              <w:top w:type="dxa" w:w="120"/>
              <w:left w:type="dxa" w:w="180"/>
              <w:bottom w:type="dxa" w:w="120"/>
              <w:right w:type="dxa" w:w="180"/>
            </w:tcMar>
          </w:tcPr>
          <w:p>
            <w:pPr>
              <w:spacing w:after="80"/>
            </w:pPr>
            <w:r>
              <w:rPr>
                <w:b/>
                <w:bCs/>
                <w:color w:val="323A4E"/>
                <w:sz w:val="21"/>
                <w:szCs w:val="21"/>
              </w:rPr>
              <w:t xml:space="preserve">Tensión entre lo que dice y lo que siente</w:t>
            </w:r>
          </w:p>
          <w:p>
            <w:pPr>
              <w:spacing w:after="60" w:line="264"/>
              <w:jc w:val="left"/>
            </w:pPr>
            <w:r>
              <w:rPr>
                <w:sz w:val="20"/>
                <w:szCs w:val="20"/>
              </w:rPr>
              <w:t xml:space="preserve">Dice que busca desconectarse del presente, pero lo que siente es la necesidad de volver al pasado acompañada y entender su época.</w:t>
            </w:r>
          </w:p>
        </w:tc>
      </w:tr>
    </w:tbl>
    <w:p>
      <w:pPr>
        <w:pStyle w:val="Heading2"/>
        <w:keepNext/>
      </w:pPr>
      <w:r>
        <w:t xml:space="preserve">6.3 Cluster 2 · User Persona: ANDRÉS, «Suscriptor selectivo que busca calidad que justifique su pago»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C4CC" w:sz="4"/>
              <w:left w:val="single" w:color="BFC4CC" w:sz="4"/>
              <w:bottom w:val="single" w:color="BFC4CC" w:sz="4"/>
              <w:right w:val="single" w:color="BFC4CC" w:sz="4"/>
            </w:tcBorders>
            <w:shd w:fill="323A4E" w:color="auto" w:val="clear"/>
            <w:tcMar>
              <w:top w:type="dxa" w:w="60"/>
              <w:left w:type="dxa" w:w="90"/>
              <w:bottom w:type="dxa" w:w="60"/>
              <w:right w:type="dxa" w:w="90"/>
            </w:tcMar>
            <w:vAlign w:val="center"/>
          </w:tcPr>
          <w:p>
            <w:pPr>
              <w:spacing w:after="40" w:line="252"/>
              <w:jc w:val="left"/>
            </w:pPr>
            <w:r>
              <w:rPr>
                <w:b/>
                <w:bCs/>
                <w:color w:val="FFFFFF"/>
                <w:sz w:val="18"/>
                <w:szCs w:val="18"/>
              </w:rPr>
              <w:t xml:space="preserve">Campo</w:t>
            </w:r>
          </w:p>
        </w:tc>
        <w:tc>
          <w:tcPr>
            <w:tcW w:type="dxa" w:w="7060"/>
            <w:tcBorders>
              <w:top w:val="single" w:color="BFC4CC" w:sz="4"/>
              <w:left w:val="single" w:color="BFC4CC" w:sz="4"/>
              <w:bottom w:val="single" w:color="BFC4CC" w:sz="4"/>
              <w:right w:val="single" w:color="BFC4CC" w:sz="4"/>
            </w:tcBorders>
            <w:shd w:fill="323A4E" w:color="auto" w:val="clear"/>
            <w:tcMar>
              <w:top w:type="dxa" w:w="60"/>
              <w:left w:type="dxa" w:w="90"/>
              <w:bottom w:type="dxa" w:w="60"/>
              <w:right w:type="dxa" w:w="90"/>
            </w:tcMar>
            <w:vAlign w:val="center"/>
          </w:tcPr>
          <w:p>
            <w:pPr>
              <w:spacing w:after="40" w:line="252"/>
              <w:jc w:val="left"/>
            </w:pPr>
            <w:r>
              <w:rPr>
                <w:b/>
                <w:bCs/>
                <w:color w:val="FFFFFF"/>
                <w:sz w:val="18"/>
                <w:szCs w:val="18"/>
              </w:rPr>
              <w:t xml:space="preserve">Contenido</w:t>
            </w:r>
          </w:p>
        </w:tc>
      </w:tr>
      <w:tr>
        <w:tc>
          <w:tcPr>
            <w:tcW w:type="dxa" w:w="2300"/>
            <w:tcBorders>
              <w:top w:val="single" w:color="BFC4CC" w:sz="4"/>
              <w:left w:val="single" w:color="BFC4CC" w:sz="4"/>
              <w:bottom w:val="single" w:color="BFC4CC" w:sz="4"/>
              <w:right w:val="single" w:color="BFC4CC" w:sz="4"/>
            </w:tcBorders>
            <w:shd w:fill="EEF3FA" w:color="auto" w:val="clear"/>
            <w:tcMar>
              <w:top w:type="dxa" w:w="50"/>
              <w:left w:type="dxa" w:w="90"/>
              <w:bottom w:type="dxa" w:w="50"/>
              <w:right w:type="dxa" w:w="90"/>
            </w:tcMar>
          </w:tcPr>
          <w:p>
            <w:pPr>
              <w:spacing w:after="40" w:line="252"/>
              <w:jc w:val="left"/>
            </w:pPr>
            <w:r>
              <w:rPr>
                <w:b/>
                <w:bCs/>
                <w:sz w:val="18"/>
                <w:szCs w:val="18"/>
              </w:rPr>
              <w:t xml:space="preserve">Perfil sociodemográfico</w:t>
            </w:r>
          </w:p>
        </w:tc>
        <w:tc>
          <w:tcPr>
            <w:tcW w:type="dxa" w:w="706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8"/>
                <w:szCs w:val="18"/>
              </w:rPr>
              <w:t xml:space="preserve">Andrés, 38 años</w:t>
            </w:r>
            <w:r>
              <w:rPr>
                <w:b w:val="false"/>
                <w:bCs w:val="false"/>
                <w:sz w:val="18"/>
                <w:szCs w:val="18"/>
              </w:rPr>
              <w:t xml:space="preserve"> (mediana del cluster); edades mezcladas (25–39: 37,4%; 40–55: 32,2%). Urbano (Bogotá 20,7%, Antioquia 17,8%).</w:t>
            </w:r>
          </w:p>
          <w:p>
            <w:pPr>
              <w:spacing w:after="40" w:line="252"/>
              <w:jc w:val="left"/>
            </w:pPr>
            <w:r>
              <w:rPr>
                <w:b w:val="false"/>
                <w:bCs w:val="false"/>
                <w:sz w:val="18"/>
                <w:szCs w:val="18"/>
              </w:rPr>
              <w:t xml:space="preserve">Estrato alto</w:t>
            </w:r>
            <w:r>
              <w:rPr>
                <w:b w:val="false"/>
                <w:bCs w:val="false"/>
                <w:sz w:val="18"/>
                <w:szCs w:val="18"/>
              </w:rPr>
              <w:t xml:space="preserve"> (4–6 = 54,0%). Profesional con posgrado (posgrado 24,1%, lift 4,01; la ocupación no se mide). Género del persona arbitrario: el cluster es 50/50.</w:t>
            </w:r>
          </w:p>
        </w:tc>
      </w:tr>
      <w:tr>
        <w:tc>
          <w:tcPr>
            <w:tcW w:type="dxa" w:w="2300"/>
            <w:tcBorders>
              <w:top w:val="single" w:color="BFC4CC" w:sz="4"/>
              <w:left w:val="single" w:color="BFC4CC" w:sz="4"/>
              <w:bottom w:val="single" w:color="BFC4CC" w:sz="4"/>
              <w:right w:val="single" w:color="BFC4CC" w:sz="4"/>
            </w:tcBorders>
            <w:shd w:fill="EEF3FA" w:color="auto" w:val="clear"/>
            <w:tcMar>
              <w:top w:type="dxa" w:w="50"/>
              <w:left w:type="dxa" w:w="90"/>
              <w:bottom w:type="dxa" w:w="50"/>
              <w:right w:type="dxa" w:w="90"/>
            </w:tcMar>
          </w:tcPr>
          <w:p>
            <w:pPr>
              <w:spacing w:after="40" w:line="252"/>
              <w:jc w:val="left"/>
            </w:pPr>
            <w:r>
              <w:rPr>
                <w:b/>
                <w:bCs/>
                <w:sz w:val="18"/>
                <w:szCs w:val="18"/>
              </w:rPr>
              <w:t xml:space="preserve">Necesidad base</w:t>
            </w:r>
          </w:p>
        </w:tc>
        <w:tc>
          <w:tcPr>
            <w:tcW w:type="dxa" w:w="706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8"/>
                <w:szCs w:val="18"/>
              </w:rPr>
              <w:t xml:space="preserve">Distracción (20,7%), descanso emocional (18,4%) y pertenencia (16,7%).</w:t>
            </w:r>
          </w:p>
        </w:tc>
      </w:tr>
      <w:tr>
        <w:tc>
          <w:tcPr>
            <w:tcW w:type="dxa" w:w="2300"/>
            <w:tcBorders>
              <w:top w:val="single" w:color="BFC4CC" w:sz="4"/>
              <w:left w:val="single" w:color="BFC4CC" w:sz="4"/>
              <w:bottom w:val="single" w:color="BFC4CC" w:sz="4"/>
              <w:right w:val="single" w:color="BFC4CC" w:sz="4"/>
            </w:tcBorders>
            <w:shd w:fill="EEF3FA" w:color="auto" w:val="clear"/>
            <w:tcMar>
              <w:top w:type="dxa" w:w="50"/>
              <w:left w:type="dxa" w:w="90"/>
              <w:bottom w:type="dxa" w:w="50"/>
              <w:right w:type="dxa" w:w="90"/>
            </w:tcMar>
          </w:tcPr>
          <w:p>
            <w:pPr>
              <w:spacing w:after="40" w:line="252"/>
              <w:jc w:val="left"/>
            </w:pPr>
            <w:r>
              <w:rPr>
                <w:b/>
                <w:bCs/>
                <w:sz w:val="18"/>
                <w:szCs w:val="18"/>
              </w:rPr>
              <w:t xml:space="preserve">Motivo primario / secundario</w:t>
            </w:r>
          </w:p>
        </w:tc>
        <w:tc>
          <w:tcPr>
            <w:tcW w:type="dxa" w:w="706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8"/>
                <w:szCs w:val="18"/>
              </w:rPr>
              <w:t xml:space="preserve">Interacción social (23,6%) / entretenimiento (19,0%). Sus seis gratificaciones U&amp;G están en la media.</w:t>
            </w:r>
          </w:p>
        </w:tc>
      </w:tr>
      <w:tr>
        <w:tc>
          <w:tcPr>
            <w:tcW w:type="dxa" w:w="2300"/>
            <w:tcBorders>
              <w:top w:val="single" w:color="BFC4CC" w:sz="4"/>
              <w:left w:val="single" w:color="BFC4CC" w:sz="4"/>
              <w:bottom w:val="single" w:color="BFC4CC" w:sz="4"/>
              <w:right w:val="single" w:color="BFC4CC" w:sz="4"/>
            </w:tcBorders>
            <w:shd w:fill="EEF3FA" w:color="auto" w:val="clear"/>
            <w:tcMar>
              <w:top w:type="dxa" w:w="50"/>
              <w:left w:type="dxa" w:w="90"/>
              <w:bottom w:type="dxa" w:w="50"/>
              <w:right w:type="dxa" w:w="90"/>
            </w:tcMar>
          </w:tcPr>
          <w:p>
            <w:pPr>
              <w:spacing w:after="40" w:line="252"/>
              <w:jc w:val="left"/>
            </w:pPr>
            <w:r>
              <w:rPr>
                <w:b/>
                <w:bCs/>
                <w:sz w:val="18"/>
                <w:szCs w:val="18"/>
              </w:rPr>
              <w:t xml:space="preserve">Gratificación buscada vs. obtenida</w:t>
            </w:r>
          </w:p>
        </w:tc>
        <w:tc>
          <w:tcPr>
            <w:tcW w:type="dxa" w:w="706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8"/>
                <w:szCs w:val="18"/>
              </w:rPr>
              <w:t xml:space="preserve">Busca relajación, compartir experiencias y sentirse acompañado (índice 144). Obtiene exactamente lo que busca: </w:t>
            </w:r>
            <w:r>
              <w:rPr>
                <w:b w:val="false"/>
                <w:bCs w:val="false"/>
                <w:sz w:val="18"/>
                <w:szCs w:val="18"/>
              </w:rPr>
              <w:t xml:space="preserve">satisfacción plena 31,0%</w:t>
            </w:r>
            <w:r>
              <w:rPr>
                <w:b w:val="false"/>
                <w:bCs w:val="false"/>
                <w:sz w:val="18"/>
                <w:szCs w:val="18"/>
              </w:rPr>
              <w:t xml:space="preserve"> (la más alta), sin sorpresa marcada.</w:t>
            </w:r>
          </w:p>
        </w:tc>
      </w:tr>
      <w:tr>
        <w:tc>
          <w:tcPr>
            <w:tcW w:type="dxa" w:w="2300"/>
            <w:tcBorders>
              <w:top w:val="single" w:color="BFC4CC" w:sz="4"/>
              <w:left w:val="single" w:color="BFC4CC" w:sz="4"/>
              <w:bottom w:val="single" w:color="BFC4CC" w:sz="4"/>
              <w:right w:val="single" w:color="BFC4CC" w:sz="4"/>
            </w:tcBorders>
            <w:shd w:fill="EEF3FA" w:color="auto" w:val="clear"/>
            <w:tcMar>
              <w:top w:type="dxa" w:w="50"/>
              <w:left w:type="dxa" w:w="90"/>
              <w:bottom w:type="dxa" w:w="50"/>
              <w:right w:type="dxa" w:w="90"/>
            </w:tcMar>
          </w:tcPr>
          <w:p>
            <w:pPr>
              <w:spacing w:after="40" w:line="252"/>
              <w:jc w:val="left"/>
            </w:pPr>
            <w:r>
              <w:rPr>
                <w:b/>
                <w:bCs/>
                <w:sz w:val="18"/>
                <w:szCs w:val="18"/>
              </w:rPr>
              <w:t xml:space="preserve">Comportamiento</w:t>
            </w:r>
          </w:p>
        </w:tc>
        <w:tc>
          <w:tcPr>
            <w:tcW w:type="dxa" w:w="706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8"/>
                <w:szCs w:val="18"/>
              </w:rPr>
              <w:t xml:space="preserve">3,5 h/día en redes; </w:t>
            </w:r>
            <w:r>
              <w:rPr>
                <w:b w:val="false"/>
                <w:bCs w:val="false"/>
                <w:sz w:val="18"/>
                <w:szCs w:val="18"/>
              </w:rPr>
              <w:t xml:space="preserve">gasto 72.476 COP/mes</w:t>
            </w:r>
            <w:r>
              <w:rPr>
                <w:b w:val="false"/>
                <w:bCs w:val="false"/>
                <w:sz w:val="18"/>
                <w:szCs w:val="18"/>
              </w:rPr>
              <w:t xml:space="preserve">; 92% con disposición a pagar alta; 51% «paga sin pensarlo». Un episodio por sesión (28,7%); a veces solo en computador.</w:t>
            </w:r>
          </w:p>
        </w:tc>
      </w:tr>
      <w:tr>
        <w:tc>
          <w:tcPr>
            <w:tcW w:type="dxa" w:w="2300"/>
            <w:tcBorders>
              <w:top w:val="single" w:color="BFC4CC" w:sz="4"/>
              <w:left w:val="single" w:color="BFC4CC" w:sz="4"/>
              <w:bottom w:val="single" w:color="BFC4CC" w:sz="4"/>
              <w:right w:val="single" w:color="BFC4CC" w:sz="4"/>
            </w:tcBorders>
            <w:shd w:fill="EEF3FA" w:color="auto" w:val="clear"/>
            <w:tcMar>
              <w:top w:type="dxa" w:w="50"/>
              <w:left w:type="dxa" w:w="90"/>
              <w:bottom w:type="dxa" w:w="50"/>
              <w:right w:type="dxa" w:w="90"/>
            </w:tcMar>
          </w:tcPr>
          <w:p>
            <w:pPr>
              <w:spacing w:after="40" w:line="252"/>
              <w:jc w:val="left"/>
            </w:pPr>
            <w:r>
              <w:rPr>
                <w:b/>
                <w:bCs/>
                <w:sz w:val="18"/>
                <w:szCs w:val="18"/>
              </w:rPr>
              <w:t xml:space="preserve">Plataformas y dispositivos</w:t>
            </w:r>
          </w:p>
        </w:tc>
        <w:tc>
          <w:tcPr>
            <w:tcW w:type="dxa" w:w="706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8"/>
                <w:szCs w:val="18"/>
              </w:rPr>
              <w:t xml:space="preserve">Smartphone 77,6%, Smart TV 9,8%, computador 9,2%. </w:t>
            </w:r>
            <w:r>
              <w:rPr>
                <w:b w:val="false"/>
                <w:bCs w:val="false"/>
                <w:sz w:val="18"/>
                <w:szCs w:val="18"/>
              </w:rPr>
              <w:t xml:space="preserve">Netflix 27,0%</w:t>
            </w:r>
            <w:r>
              <w:rPr>
                <w:b w:val="false"/>
                <w:bCs w:val="false"/>
                <w:sz w:val="18"/>
                <w:szCs w:val="18"/>
              </w:rPr>
              <w:t xml:space="preserve"> (el más alto), YouTube 28,7%, Disney+ y Prime por encima de la media. Escucha podcasts (índice 129).</w:t>
            </w:r>
          </w:p>
        </w:tc>
      </w:tr>
      <w:tr>
        <w:tc>
          <w:tcPr>
            <w:tcW w:type="dxa" w:w="2300"/>
            <w:tcBorders>
              <w:top w:val="single" w:color="BFC4CC" w:sz="4"/>
              <w:left w:val="single" w:color="BFC4CC" w:sz="4"/>
              <w:bottom w:val="single" w:color="BFC4CC" w:sz="4"/>
              <w:right w:val="single" w:color="BFC4CC" w:sz="4"/>
            </w:tcBorders>
            <w:shd w:fill="EEF3FA" w:color="auto" w:val="clear"/>
            <w:tcMar>
              <w:top w:type="dxa" w:w="50"/>
              <w:left w:type="dxa" w:w="90"/>
              <w:bottom w:type="dxa" w:w="50"/>
              <w:right w:type="dxa" w:w="90"/>
            </w:tcMar>
          </w:tcPr>
          <w:p>
            <w:pPr>
              <w:spacing w:after="40" w:line="252"/>
              <w:jc w:val="left"/>
            </w:pPr>
            <w:r>
              <w:rPr>
                <w:b/>
                <w:bCs/>
                <w:sz w:val="18"/>
                <w:szCs w:val="18"/>
              </w:rPr>
              <w:t xml:space="preserve">Vía de descubrimiento</w:t>
            </w:r>
          </w:p>
        </w:tc>
        <w:tc>
          <w:tcPr>
            <w:tcW w:type="dxa" w:w="706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8"/>
                <w:szCs w:val="18"/>
              </w:rPr>
              <w:t xml:space="preserve">Recomendación de amigos o familia (27,0%), búsqueda activa (17,8%), publicidad digital.</w:t>
            </w:r>
          </w:p>
        </w:tc>
      </w:tr>
      <w:tr>
        <w:tc>
          <w:tcPr>
            <w:tcW w:type="dxa" w:w="2300"/>
            <w:tcBorders>
              <w:top w:val="single" w:color="BFC4CC" w:sz="4"/>
              <w:left w:val="single" w:color="BFC4CC" w:sz="4"/>
              <w:bottom w:val="single" w:color="BFC4CC" w:sz="4"/>
              <w:right w:val="single" w:color="BFC4CC" w:sz="4"/>
            </w:tcBorders>
            <w:shd w:fill="EEF3FA" w:color="auto" w:val="clear"/>
            <w:tcMar>
              <w:top w:type="dxa" w:w="50"/>
              <w:left w:type="dxa" w:w="90"/>
              <w:bottom w:type="dxa" w:w="50"/>
              <w:right w:type="dxa" w:w="90"/>
            </w:tcMar>
          </w:tcPr>
          <w:p>
            <w:pPr>
              <w:spacing w:after="40" w:line="252"/>
              <w:jc w:val="left"/>
            </w:pPr>
            <w:r>
              <w:rPr>
                <w:b/>
                <w:bCs/>
                <w:sz w:val="18"/>
                <w:szCs w:val="18"/>
              </w:rPr>
              <w:t xml:space="preserve">Frustración / riesgo</w:t>
            </w:r>
          </w:p>
        </w:tc>
        <w:tc>
          <w:tcPr>
            <w:tcW w:type="dxa" w:w="706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8"/>
                <w:szCs w:val="18"/>
              </w:rPr>
              <w:t xml:space="preserve">Riesgo bajo (frustración 20,7%, la menor). Su punto de quiebre sería la calidad: para el 21,3% el diseño es determinante para elegir o abandonar.</w:t>
            </w:r>
          </w:p>
        </w:tc>
      </w:tr>
      <w:tr>
        <w:tc>
          <w:tcPr>
            <w:tcW w:type="dxa" w:w="2300"/>
            <w:tcBorders>
              <w:top w:val="single" w:color="BFC4CC" w:sz="4"/>
              <w:left w:val="single" w:color="BFC4CC" w:sz="4"/>
              <w:bottom w:val="single" w:color="BFC4CC" w:sz="4"/>
              <w:right w:val="single" w:color="BFC4CC" w:sz="4"/>
            </w:tcBorders>
            <w:shd w:fill="EEF3FA" w:color="auto" w:val="clear"/>
            <w:tcMar>
              <w:top w:type="dxa" w:w="50"/>
              <w:left w:type="dxa" w:w="90"/>
              <w:bottom w:type="dxa" w:w="50"/>
              <w:right w:type="dxa" w:w="90"/>
            </w:tcMar>
          </w:tcPr>
          <w:p>
            <w:pPr>
              <w:spacing w:after="40" w:line="252"/>
              <w:jc w:val="left"/>
            </w:pPr>
            <w:r>
              <w:rPr>
                <w:b/>
                <w:bCs/>
                <w:sz w:val="18"/>
                <w:szCs w:val="18"/>
              </w:rPr>
              <w:t xml:space="preserve">Cita (síntesis, no testimonio)</w:t>
            </w:r>
          </w:p>
        </w:tc>
        <w:tc>
          <w:tcPr>
            <w:tcW w:type="dxa" w:w="706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8"/>
                <w:szCs w:val="18"/>
              </w:rPr>
              <w:t xml:space="preserve">«Pago porque espero contenido bien hecho. Si alguien de confianza me la recomienda y la producción está a la altura, la veo con calma, un capítulo a la vez.»</w:t>
            </w:r>
          </w:p>
        </w:tc>
      </w:tr>
    </w:tbl>
    <w:p>
      <w:pPr>
        <w:pStyle w:val="Heading3"/>
        <w:keepNext/>
      </w:pPr>
      <w:r>
        <w:t xml:space="preserve">Mapa de Empatía · Andrés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C4CC" w:sz="4"/>
              <w:left w:val="single" w:color="BFC4CC" w:sz="4"/>
              <w:bottom w:val="single" w:color="BFC4CC" w:sz="4"/>
              <w:right w:val="single" w:color="BFC4CC" w:sz="4"/>
            </w:tcBorders>
            <w:shd w:fill="323A4E" w:color="auto" w:val="clear"/>
            <w:tcMar>
              <w:top w:type="dxa" w:w="60"/>
              <w:left w:type="dxa" w:w="90"/>
              <w:bottom w:type="dxa" w:w="60"/>
              <w:right w:type="dxa" w:w="90"/>
            </w:tcMar>
            <w:vAlign w:val="center"/>
          </w:tcPr>
          <w:p>
            <w:pPr>
              <w:spacing w:after="40" w:line="252"/>
              <w:jc w:val="left"/>
            </w:pPr>
            <w:r>
              <w:rPr>
                <w:b/>
                <w:bCs/>
                <w:color w:val="FFFFFF"/>
                <w:sz w:val="18"/>
                <w:szCs w:val="18"/>
              </w:rPr>
              <w:t xml:space="preserve">Campo</w:t>
            </w:r>
          </w:p>
        </w:tc>
        <w:tc>
          <w:tcPr>
            <w:tcW w:type="dxa" w:w="7360"/>
            <w:tcBorders>
              <w:top w:val="single" w:color="BFC4CC" w:sz="4"/>
              <w:left w:val="single" w:color="BFC4CC" w:sz="4"/>
              <w:bottom w:val="single" w:color="BFC4CC" w:sz="4"/>
              <w:right w:val="single" w:color="BFC4CC" w:sz="4"/>
            </w:tcBorders>
            <w:shd w:fill="323A4E" w:color="auto" w:val="clear"/>
            <w:tcMar>
              <w:top w:type="dxa" w:w="60"/>
              <w:left w:type="dxa" w:w="90"/>
              <w:bottom w:type="dxa" w:w="60"/>
              <w:right w:type="dxa" w:w="90"/>
            </w:tcMar>
            <w:vAlign w:val="center"/>
          </w:tcPr>
          <w:p>
            <w:pPr>
              <w:spacing w:after="40" w:line="252"/>
              <w:jc w:val="left"/>
            </w:pPr>
            <w:r>
              <w:rPr>
                <w:b/>
                <w:bCs/>
                <w:color w:val="FFFFFF"/>
                <w:sz w:val="18"/>
                <w:szCs w:val="18"/>
              </w:rPr>
              <w:t xml:space="preserve">Contenido (variables de la base + evidencia M1)</w:t>
            </w:r>
          </w:p>
        </w:tc>
      </w:tr>
      <w:tr>
        <w:tc>
          <w:tcPr>
            <w:tcW w:type="dxa" w:w="2000"/>
            <w:tcBorders>
              <w:top w:val="single" w:color="BFC4CC" w:sz="4"/>
              <w:left w:val="single" w:color="BFC4CC" w:sz="4"/>
              <w:bottom w:val="single" w:color="BFC4CC" w:sz="4"/>
              <w:right w:val="single" w:color="BFC4CC" w:sz="4"/>
            </w:tcBorders>
            <w:shd w:fill="EEF3FA" w:color="auto" w:val="clear"/>
            <w:tcMar>
              <w:top w:type="dxa" w:w="50"/>
              <w:left w:type="dxa" w:w="90"/>
              <w:bottom w:type="dxa" w:w="50"/>
              <w:right w:type="dxa" w:w="90"/>
            </w:tcMar>
          </w:tcPr>
          <w:p>
            <w:pPr>
              <w:spacing w:after="40" w:line="252"/>
              <w:jc w:val="left"/>
            </w:pPr>
            <w:r>
              <w:rPr>
                <w:b/>
                <w:bCs/>
                <w:sz w:val="18"/>
                <w:szCs w:val="18"/>
              </w:rPr>
              <w:t xml:space="preserve">Dice</w:t>
            </w:r>
          </w:p>
        </w:tc>
        <w:tc>
          <w:tcPr>
            <w:tcW w:type="dxa" w:w="736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8"/>
                <w:szCs w:val="18"/>
              </w:rPr>
              <w:t xml:space="preserve">«Vale la pena lo que pago». Netflix como plataforma principal; humor y gastronomía; ve en familia o solo en el computador.</w:t>
            </w:r>
          </w:p>
        </w:tc>
      </w:tr>
      <w:tr>
        <w:tc>
          <w:tcPr>
            <w:tcW w:type="dxa" w:w="2000"/>
            <w:tcBorders>
              <w:top w:val="single" w:color="BFC4CC" w:sz="4"/>
              <w:left w:val="single" w:color="BFC4CC" w:sz="4"/>
              <w:bottom w:val="single" w:color="BFC4CC" w:sz="4"/>
              <w:right w:val="single" w:color="BFC4CC" w:sz="4"/>
            </w:tcBorders>
            <w:shd w:fill="EEF3FA" w:color="auto" w:val="clear"/>
            <w:tcMar>
              <w:top w:type="dxa" w:w="50"/>
              <w:left w:type="dxa" w:w="90"/>
              <w:bottom w:type="dxa" w:w="50"/>
              <w:right w:type="dxa" w:w="90"/>
            </w:tcMar>
          </w:tcPr>
          <w:p>
            <w:pPr>
              <w:spacing w:after="40" w:line="252"/>
              <w:jc w:val="left"/>
            </w:pPr>
            <w:r>
              <w:rPr>
                <w:b/>
                <w:bCs/>
                <w:sz w:val="18"/>
                <w:szCs w:val="18"/>
              </w:rPr>
              <w:t xml:space="preserve">Piensa y siente</w:t>
            </w:r>
          </w:p>
        </w:tc>
        <w:tc>
          <w:tcPr>
            <w:tcW w:type="dxa" w:w="736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8"/>
                <w:szCs w:val="18"/>
              </w:rPr>
              <w:t xml:space="preserve">Quiere descansar y sentirse acompañado; espera que su suscripción rinda. FOMO 3,75 y comparación social 3,48 (en la media).</w:t>
            </w:r>
          </w:p>
        </w:tc>
      </w:tr>
      <w:tr>
        <w:tc>
          <w:tcPr>
            <w:tcW w:type="dxa" w:w="2000"/>
            <w:tcBorders>
              <w:top w:val="single" w:color="BFC4CC" w:sz="4"/>
              <w:left w:val="single" w:color="BFC4CC" w:sz="4"/>
              <w:bottom w:val="single" w:color="BFC4CC" w:sz="4"/>
              <w:right w:val="single" w:color="BFC4CC" w:sz="4"/>
            </w:tcBorders>
            <w:shd w:fill="EEF3FA" w:color="auto" w:val="clear"/>
            <w:tcMar>
              <w:top w:type="dxa" w:w="50"/>
              <w:left w:type="dxa" w:w="90"/>
              <w:bottom w:type="dxa" w:w="50"/>
              <w:right w:type="dxa" w:w="90"/>
            </w:tcMar>
          </w:tcPr>
          <w:p>
            <w:pPr>
              <w:spacing w:after="40" w:line="252"/>
              <w:jc w:val="left"/>
            </w:pPr>
            <w:r>
              <w:rPr>
                <w:b/>
                <w:bCs/>
                <w:sz w:val="18"/>
                <w:szCs w:val="18"/>
              </w:rPr>
              <w:t xml:space="preserve">Hace</w:t>
            </w:r>
          </w:p>
        </w:tc>
        <w:tc>
          <w:tcPr>
            <w:tcW w:type="dxa" w:w="736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8"/>
                <w:szCs w:val="18"/>
              </w:rPr>
              <w:t xml:space="preserve">Busca activamente lo que quiere ver; un episodio por sesión; podcasts; crea contenido de forma moderada (57,5%).</w:t>
            </w:r>
          </w:p>
        </w:tc>
      </w:tr>
      <w:tr>
        <w:tc>
          <w:tcPr>
            <w:tcW w:type="dxa" w:w="2000"/>
            <w:tcBorders>
              <w:top w:val="single" w:color="BFC4CC" w:sz="4"/>
              <w:left w:val="single" w:color="BFC4CC" w:sz="4"/>
              <w:bottom w:val="single" w:color="BFC4CC" w:sz="4"/>
              <w:right w:val="single" w:color="BFC4CC" w:sz="4"/>
            </w:tcBorders>
            <w:shd w:fill="EEF3FA" w:color="auto" w:val="clear"/>
            <w:tcMar>
              <w:top w:type="dxa" w:w="50"/>
              <w:left w:type="dxa" w:w="90"/>
              <w:bottom w:type="dxa" w:w="50"/>
              <w:right w:type="dxa" w:w="90"/>
            </w:tcMar>
          </w:tcPr>
          <w:p>
            <w:pPr>
              <w:spacing w:after="40" w:line="252"/>
              <w:jc w:val="left"/>
            </w:pPr>
            <w:r>
              <w:rPr>
                <w:b/>
                <w:bCs/>
                <w:sz w:val="18"/>
                <w:szCs w:val="18"/>
              </w:rPr>
              <w:t xml:space="preserve">Oye</w:t>
            </w:r>
          </w:p>
        </w:tc>
        <w:tc>
          <w:tcPr>
            <w:tcW w:type="dxa" w:w="736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8"/>
                <w:szCs w:val="18"/>
              </w:rPr>
              <w:t xml:space="preserve">Recomendaciones de su entorno (27,0%) y publicidad digital; vínculo moderado con creadores.</w:t>
            </w:r>
          </w:p>
        </w:tc>
      </w:tr>
      <w:tr>
        <w:tc>
          <w:tcPr>
            <w:tcW w:type="dxa" w:w="2000"/>
            <w:tcBorders>
              <w:top w:val="single" w:color="BFC4CC" w:sz="4"/>
              <w:left w:val="single" w:color="BFC4CC" w:sz="4"/>
              <w:bottom w:val="single" w:color="BFC4CC" w:sz="4"/>
              <w:right w:val="single" w:color="BFC4CC" w:sz="4"/>
            </w:tcBorders>
            <w:shd w:fill="EEF3FA" w:color="auto" w:val="clear"/>
            <w:tcMar>
              <w:top w:type="dxa" w:w="50"/>
              <w:left w:type="dxa" w:w="90"/>
              <w:bottom w:type="dxa" w:w="50"/>
              <w:right w:type="dxa" w:w="90"/>
            </w:tcMar>
          </w:tcPr>
          <w:p>
            <w:pPr>
              <w:spacing w:after="40" w:line="252"/>
              <w:jc w:val="left"/>
            </w:pPr>
            <w:r>
              <w:rPr>
                <w:b/>
                <w:bCs/>
                <w:sz w:val="18"/>
                <w:szCs w:val="18"/>
              </w:rPr>
              <w:t xml:space="preserve">Dolores</w:t>
            </w:r>
          </w:p>
        </w:tc>
        <w:tc>
          <w:tcPr>
            <w:tcW w:type="dxa" w:w="736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8"/>
                <w:szCs w:val="18"/>
              </w:rPr>
              <w:t xml:space="preserve">Exceso de oferta («demasiado contenido, difícil elegir» 12,6%); baja tolerancia a una producción o un diseño descuidados. Sensibilidad al precio baja (12,6% alta).</w:t>
            </w:r>
          </w:p>
        </w:tc>
      </w:tr>
      <w:tr>
        <w:tc>
          <w:tcPr>
            <w:tcW w:type="dxa" w:w="2000"/>
            <w:tcBorders>
              <w:top w:val="single" w:color="BFC4CC" w:sz="4"/>
              <w:left w:val="single" w:color="BFC4CC" w:sz="4"/>
              <w:bottom w:val="single" w:color="BFC4CC" w:sz="4"/>
              <w:right w:val="single" w:color="BFC4CC" w:sz="4"/>
            </w:tcBorders>
            <w:shd w:fill="EEF3FA" w:color="auto" w:val="clear"/>
            <w:tcMar>
              <w:top w:type="dxa" w:w="50"/>
              <w:left w:type="dxa" w:w="90"/>
              <w:bottom w:type="dxa" w:w="50"/>
              <w:right w:type="dxa" w:w="90"/>
            </w:tcMar>
          </w:tcPr>
          <w:p>
            <w:pPr>
              <w:spacing w:after="40" w:line="252"/>
              <w:jc w:val="left"/>
            </w:pPr>
            <w:r>
              <w:rPr>
                <w:b/>
                <w:bCs/>
                <w:sz w:val="18"/>
                <w:szCs w:val="18"/>
              </w:rPr>
              <w:t xml:space="preserve">Ganancias</w:t>
            </w:r>
          </w:p>
        </w:tc>
        <w:tc>
          <w:tcPr>
            <w:tcW w:type="dxa" w:w="736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8"/>
                <w:szCs w:val="18"/>
              </w:rPr>
              <w:t xml:space="preserve">Satisfacción plena; confirmar que su suscripción vale la pena; contenido de prestigio.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F3F1" w:sz="4"/>
              <w:left w:val="single" w:color="2A78D6" w:sz="24"/>
              <w:bottom w:val="single" w:color="F3F3F1" w:sz="4"/>
              <w:right w:val="single" w:color="F3F3F1" w:sz="4"/>
            </w:tcBorders>
            <w:shd w:fill="F3F3F1" w:color="auto" w:val="clear"/>
            <w:tcMar>
              <w:top w:type="dxa" w:w="120"/>
              <w:left w:type="dxa" w:w="180"/>
              <w:bottom w:type="dxa" w:w="120"/>
              <w:right w:type="dxa" w:w="180"/>
            </w:tcMar>
          </w:tcPr>
          <w:p>
            <w:pPr>
              <w:spacing w:after="80"/>
            </w:pPr>
            <w:r>
              <w:rPr>
                <w:b/>
                <w:bCs/>
                <w:color w:val="323A4E"/>
                <w:sz w:val="21"/>
                <w:szCs w:val="21"/>
              </w:rPr>
              <w:t xml:space="preserve">Tensión entre lo que dice y lo que siente</w:t>
            </w:r>
          </w:p>
          <w:p>
            <w:pPr>
              <w:spacing w:after="60" w:line="264"/>
              <w:jc w:val="left"/>
            </w:pPr>
            <w:r>
              <w:rPr>
                <w:sz w:val="20"/>
                <w:szCs w:val="20"/>
              </w:rPr>
              <w:t xml:space="preserve">Dice que busca entretenimiento como cualquiera, pero lo que realmente exige es garantía de calidad. Ficha construida solo con datos del M2: debe validarse con entrevistas.</w:t>
            </w:r>
          </w:p>
        </w:tc>
      </w:tr>
    </w:tbl>
    <w:p>
      <w:pPr>
        <w:pStyle w:val="Heading1"/>
        <w:keepNext/>
      </w:pPr>
      <w:r>
        <w:t xml:space="preserve">7. Comparación con el Momento 1</w:t>
      </w:r>
    </w:p>
    <w:p>
      <w:pPr>
        <w:spacing w:after="120" w:line="276"/>
        <w:jc w:val="both"/>
      </w:pPr>
      <w:r>
        <w:t xml:space="preserve">El Momento 1 (M1) partió de 14 entrevistas a espectadores de </w:t>
      </w:r>
      <w:r>
        <w:rPr>
          <w:i/>
          <w:iCs/>
        </w:rPr>
        <w:t xml:space="preserve">La Primera Vez</w:t>
      </w:r>
      <w:r>
        <w:t xml:space="preserve"> y produjo dos arquetipos: Daniel, el explorador casual, y Laura, la espectadora nostálgica. El Momento 2 (M2) segmentó a 1.000 personas de una base sintética de audiencia digital con 9 variables de conducta y U&amp;G, dejando la demografía fuera del algoritmo. La comparación es una </w:t>
      </w:r>
      <w:r>
        <w:rPr>
          <w:b/>
          <w:bCs/>
        </w:rPr>
        <w:t xml:space="preserve">triangulación</w:t>
      </w:r>
      <w:r>
        <w:t xml:space="preserve">: contrastamos si los patrones que el M1 encontró en la serie tienen correlato en la estructura de la audiencia digital colombiana.</w:t>
      </w:r>
    </w:p>
    <w:p>
      <w:pPr>
        <w:pStyle w:val="Heading2"/>
        <w:keepNext/>
      </w:pPr>
      <w:r>
        <w:t xml:space="preserve">7.1 Coincidencias</w:t>
      </w:r>
    </w:p>
    <w:p>
      <w:pPr>
        <w:pStyle w:val="ListParagraph"/>
        <w:numPr>
          <w:ilvl w:val="0"/>
          <w:numId w:val="2"/>
        </w:numPr>
        <w:spacing w:after="60" w:line="264"/>
      </w:pPr>
      <w:r>
        <w:rPr>
          <w:b/>
          <w:bCs/>
        </w:rPr>
        <w:t xml:space="preserve">La división joven / adulto apareció sola.</w:t>
      </w:r>
      <w:r>
        <w:t xml:space="preserve"> La edad no entró al modelo y, aun así, el 75,3% de las personas de 18–24 cae en el Cluster 0 y el 61,1% de las mujeres de 40–55 en el Cluster 1. Tras la disposición a pagar, el grupo etario es la variable que más diferencia los clusters (V de Cramer = 0,43). La tipología del M1 no fue un artificio del reclutamiento.</w:t>
      </w:r>
    </w:p>
    <w:p>
      <w:pPr>
        <w:pStyle w:val="ListParagraph"/>
        <w:numPr>
          <w:ilvl w:val="0"/>
          <w:numId w:val="2"/>
        </w:numPr>
        <w:spacing w:after="60" w:line="264"/>
      </w:pPr>
      <w:r>
        <w:rPr>
          <w:b/>
          <w:bCs/>
        </w:rPr>
        <w:t xml:space="preserve">El joven entra a distraerse, no a informarse.</w:t>
      </w:r>
      <w:r>
        <w:t xml:space="preserve"> Daniel busca «entretenerme… desconectarme un ratico» (E3); el Cluster 0 es el más alto en evasión (3,80) y pasar el tiempo (4,11) y el más bajo en información (3,21). Por eso el aprendizaje histórico es un valor inesperado (E11).</w:t>
      </w:r>
    </w:p>
    <w:p>
      <w:pPr>
        <w:pStyle w:val="ListParagraph"/>
        <w:numPr>
          <w:ilvl w:val="0"/>
          <w:numId w:val="2"/>
        </w:numPr>
        <w:spacing w:after="60" w:line="264"/>
      </w:pPr>
      <w:r>
        <w:rPr>
          <w:b/>
          <w:bCs/>
        </w:rPr>
        <w:t xml:space="preserve">La adulta ve en TV, acompañada y a su ritmo.</w:t>
      </w:r>
      <w:r>
        <w:t xml:space="preserve"> «Siempre acompañada de mi esposo» (E13); el Cluster 1 lidera el consumo en familia con TV (35,0%), el consumo acompañado (56,9%) y el ritmo fragmentado (20,0%), como E14, que la retoma cuando tiene tiempo.</w:t>
      </w:r>
    </w:p>
    <w:p>
      <w:pPr>
        <w:pStyle w:val="ListParagraph"/>
        <w:numPr>
          <w:ilvl w:val="0"/>
          <w:numId w:val="2"/>
        </w:numPr>
        <w:spacing w:after="60" w:line="264"/>
      </w:pPr>
      <w:r>
        <w:rPr>
          <w:b/>
          <w:bCs/>
        </w:rPr>
        <w:t xml:space="preserve">Solo + algoritmo es el patrón de riesgo.</w:t>
      </w:r>
      <w:r>
        <w:t xml:space="preserve"> Los dos abandonos del M1 (E4, E9) veían solos y llegaron por el algoritmo. En la base, esa combinación casi duplica la indiferencia (24,5% frente a 12,9%).</w:t>
      </w:r>
    </w:p>
    <w:p>
      <w:pPr>
        <w:pStyle w:val="Heading2"/>
        <w:keepNext/>
      </w:pPr>
      <w:r>
        <w:t xml:space="preserve">7.2 Matices y profundizaciones</w:t>
      </w:r>
    </w:p>
    <w:p>
      <w:pPr>
        <w:pStyle w:val="ListParagraph"/>
        <w:numPr>
          <w:ilvl w:val="0"/>
          <w:numId w:val="2"/>
        </w:numPr>
        <w:spacing w:after="60" w:line="264"/>
      </w:pPr>
      <w:r>
        <w:rPr>
          <w:b/>
          <w:bCs/>
        </w:rPr>
        <w:t xml:space="preserve">El riesgo no es ver solo, sino ver solo sin validación social.</w:t>
      </w:r>
      <w:r>
        <w:t xml:space="preserve"> En el Cluster 0, ver solo tras una recomendación da la menor indiferencia (12,5%) y el mayor descubrimiento (21,9%). Eso explica por qué E3 y E12, que llegaron por algoritmo pero conversaron la serie, la terminaron, y E4 y E9 no.</w:t>
      </w:r>
    </w:p>
    <w:p>
      <w:pPr>
        <w:pStyle w:val="ListParagraph"/>
        <w:numPr>
          <w:ilvl w:val="0"/>
          <w:numId w:val="2"/>
        </w:numPr>
        <w:spacing w:after="60" w:line="264"/>
      </w:pPr>
      <w:r>
        <w:rPr>
          <w:b/>
          <w:bCs/>
        </w:rPr>
        <w:t xml:space="preserve">El riesgo es indiferencia, no decepción:</w:t>
      </w:r>
      <w:r>
        <w:t xml:space="preserve"> en ese patrón la frustración alta no aumenta (5,3% frente a 10,6%).</w:t>
      </w:r>
    </w:p>
    <w:p>
      <w:pPr>
        <w:pStyle w:val="ListParagraph"/>
        <w:numPr>
          <w:ilvl w:val="0"/>
          <w:numId w:val="2"/>
        </w:numPr>
        <w:spacing w:after="60" w:line="264"/>
      </w:pPr>
      <w:r>
        <w:rPr>
          <w:b/>
          <w:bCs/>
        </w:rPr>
        <w:t xml:space="preserve">Hay dos formas de ser social.</w:t>
      </w:r>
      <w:r>
        <w:t xml:space="preserve"> El Cluster 0 ve solo pero conversa en línea (81% crea contenido, 64,6% en comunidades); el Cluster 1 ve acompañado pero es pasivo en lo digital (40,4% solo observa).</w:t>
      </w:r>
    </w:p>
    <w:p>
      <w:pPr>
        <w:pStyle w:val="ListParagraph"/>
        <w:numPr>
          <w:ilvl w:val="0"/>
          <w:numId w:val="2"/>
        </w:numPr>
        <w:spacing w:after="60" w:line="264"/>
      </w:pPr>
      <w:r>
        <w:rPr>
          <w:b/>
          <w:bCs/>
        </w:rPr>
        <w:t xml:space="preserve">La nostalgia de Laura también es informativa:</w:t>
      </w:r>
      <w:r>
        <w:t xml:space="preserve"> el Cluster 1 es el único donde gana ug_informacion (4,05) y «estar al día» (lift 1,60), lo que coincide con el interés de E14 por «los acontecimientos del país» y «los grandes libros».</w:t>
      </w:r>
    </w:p>
    <w:p>
      <w:pPr>
        <w:pStyle w:val="ListParagraph"/>
        <w:numPr>
          <w:ilvl w:val="0"/>
          <w:numId w:val="2"/>
        </w:numPr>
        <w:spacing w:after="60" w:line="264"/>
      </w:pPr>
      <w:r>
        <w:rPr>
          <w:b/>
          <w:bCs/>
        </w:rPr>
        <w:t xml:space="preserve">Dimensiones nuevas.</w:t>
      </w:r>
      <w:r>
        <w:t xml:space="preserve"> La puerta de entrada de Laura no es Netflix (17,8% lo usa; para el 29,9% la TV abierta es la fuente principal), lo que da protagonismo a Caracol. Y aparece un tercer segmento —los que pagan— que ninguna entrevista representó.</w:t>
      </w:r>
    </w:p>
    <w:p>
      <w:pPr>
        <w:pStyle w:val="Heading2"/>
        <w:keepNext/>
      </w:pPr>
      <w:r>
        <w:t xml:space="preserve">7.3 Contradicciones</w:t>
      </w:r>
    </w:p>
    <w:p>
      <w:pPr>
        <w:pStyle w:val="ListParagraph"/>
        <w:numPr>
          <w:ilvl w:val="0"/>
          <w:numId w:val="2"/>
        </w:numPr>
        <w:spacing w:after="60" w:line="264"/>
      </w:pPr>
      <w:r>
        <w:rPr>
          <w:b/>
          <w:bCs/>
        </w:rPr>
        <w:t xml:space="preserve">La brecha de género no es estructural.</w:t>
      </w:r>
      <w:r>
        <w:t xml:space="preserve"> El M1 concluyó que la brecha más sólida era de género (10 de 14 mujeres). En el M2 el género no diferencia a ningún cluster (V de Cramer = 0,02; 49–52% mujeres). El sesgo describe a quién llegó a la serie, no al mercado: la serie subexplota a su mitad masculina.</w:t>
      </w:r>
    </w:p>
    <w:p>
      <w:pPr>
        <w:pStyle w:val="ListParagraph"/>
        <w:numPr>
          <w:ilvl w:val="0"/>
          <w:numId w:val="2"/>
        </w:numPr>
        <w:spacing w:after="60" w:line="264"/>
      </w:pPr>
      <w:r>
        <w:rPr>
          <w:b/>
          <w:bCs/>
        </w:rPr>
        <w:t xml:space="preserve">Los jóvenes no son superficiales:</w:t>
      </w:r>
      <w:r>
        <w:t xml:space="preserve"> el Cluster 0 es el más alto en identidad y el que más descubre cuando la serie le llega recomendada.</w:t>
      </w:r>
    </w:p>
    <w:p>
      <w:pPr>
        <w:pStyle w:val="ListParagraph"/>
        <w:numPr>
          <w:ilvl w:val="0"/>
          <w:numId w:val="2"/>
        </w:numPr>
        <w:spacing w:after="60" w:line="264"/>
      </w:pPr>
      <w:r>
        <w:rPr>
          <w:b/>
          <w:bCs/>
        </w:rPr>
        <w:t xml:space="preserve">«Familia + recomendación = alta fidelización» no se confirma:</w:t>
      </w:r>
      <w:r>
        <w:t xml:space="preserve"> esa combinación queda en la media del Cluster 1 (positivo 34,3%); la mejor es «acompañado + búsqueda activa» (46,6%). Queda como hipótesis cualitativa.</w:t>
      </w:r>
    </w:p>
    <w:p>
      <w:pPr>
        <w:pStyle w:val="ListParagraph"/>
        <w:numPr>
          <w:ilvl w:val="0"/>
          <w:numId w:val="2"/>
        </w:numPr>
        <w:spacing w:after="60" w:line="264"/>
      </w:pPr>
      <w:r>
        <w:rPr>
          <w:b/>
          <w:bCs/>
        </w:rPr>
        <w:t xml:space="preserve">La nostalgia no es literalmente de los 70:</w:t>
      </w:r>
      <w:r>
        <w:t xml:space="preserve"> E13 (44) y E14 (54) fueron adolescentes entre 1984 y 2000. Quien fue joven en los 70 hoy tiene 61–70 años; ese grupo (56+, 30,9% del Cluster 1) no fue entrevistado. Además, los arquetipos son subgrupos: el Cluster 0 no es solo «universitario bogotano» ni el Cluster 1 solo «profesional».</w:t>
      </w:r>
    </w:p>
    <w:p>
      <w:pPr>
        <w:pStyle w:val="Heading2"/>
        <w:keepNext/>
      </w:pPr>
      <w:r>
        <w:t xml:space="preserve">7.4 Qué aporta cada aproximación</w:t>
      </w:r>
    </w:p>
    <w:p>
      <w:pPr>
        <w:spacing w:after="120" w:line="276"/>
        <w:jc w:val="both"/>
      </w:pPr>
      <w:r>
        <w:t xml:space="preserve">Lo </w:t>
      </w:r>
      <w:r>
        <w:rPr>
          <w:b/>
          <w:bCs/>
        </w:rPr>
        <w:t xml:space="preserve">cualitativo</w:t>
      </w:r>
      <w:r>
        <w:t xml:space="preserve"> dio profundidad y sentido: explicó </w:t>
      </w:r>
      <w:r>
        <w:rPr>
          <w:i/>
          <w:iCs/>
        </w:rPr>
        <w:t xml:space="preserve">por qué</w:t>
      </w:r>
      <w:r>
        <w:t xml:space="preserve"> el joven valora aprender sin buscarlo, nombró la frustración concreta (la repetición romántica) y reveló el camino hija → madre; ninguna variable de la base captura esos matices emocionales. Lo </w:t>
      </w:r>
      <w:r>
        <w:rPr>
          <w:b/>
          <w:bCs/>
        </w:rPr>
        <w:t xml:space="preserve">cuantitativo</w:t>
      </w:r>
      <w:r>
        <w:t xml:space="preserve"> dio escala y verificación: confirmó que los arquetipos corresponden a patrones poblacionales, midió el peso de cada combinación de riesgo, descubrió un segmento invisible en las entrevistas y desmontó una conclusión basada en una muestra pequeña (la brecha de género). Su límite es que trabaja sobre una base sintética y general, no sobre espectadores reales de la serie. Juntas, las dos aproximaciones son más sólidas que cualquiera por separado.</w:t>
      </w:r>
    </w:p>
    <w:p>
      <w:pPr>
        <w:spacing w:after="160" w:before="40"/>
      </w:pPr>
      <w:r>
        <w:rPr>
          <w:color w:val="5C5C5A"/>
          <w:sz w:val="17"/>
          <w:szCs w:val="17"/>
        </w:rPr>
        <w:t xml:space="preserve">Nota: al cruzar las fuentes detectamos inconsistencias en el informe del M1 que corregiremos: son 12 (no 13) de 14 entrevistados en el rango 16–30; quien vio la serie con su esposo es E13 (44 años), no E14; y E9 tiene 23 años, no 30.</w:t>
      </w:r>
    </w:p>
    <w:p>
      <w:pPr>
        <w:pStyle w:val="Heading1"/>
        <w:keepNext/>
      </w:pPr>
      <w:r>
        <w:t xml:space="preserve">8. Segmento prioritario y conexión con el Momento 3</w:t>
      </w:r>
    </w:p>
    <w:p>
      <w:pPr>
        <w:spacing w:after="120" w:line="276"/>
        <w:jc w:val="both"/>
      </w:pPr>
      <w:r>
        <w:t xml:space="preserve">Comparamos los tres segmentos con los criterios de la guía (tamaño, afinidad, potencial de conversión, accesibilidad) ampliados a siete criterios. Escala de 1 (muy bajo) a 5 (muy alto), con el mismo peso para todos.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90"/>
        <w:gridCol w:w="2190"/>
        <w:gridCol w:w="2180"/>
      </w:tblGrid>
      <w:tr>
        <w:trPr>
          <w:tblHeader/>
        </w:trPr>
        <w:tc>
          <w:tcPr>
            <w:tcW w:type="dxa" w:w="2800"/>
            <w:tcBorders>
              <w:top w:val="single" w:color="BFC4CC" w:sz="4"/>
              <w:left w:val="single" w:color="BFC4CC" w:sz="4"/>
              <w:bottom w:val="single" w:color="BFC4CC" w:sz="4"/>
              <w:right w:val="single" w:color="BFC4CC" w:sz="4"/>
            </w:tcBorders>
            <w:shd w:fill="323A4E" w:color="auto" w:val="clear"/>
            <w:tcMar>
              <w:top w:type="dxa" w:w="60"/>
              <w:left w:type="dxa" w:w="90"/>
              <w:bottom w:type="dxa" w:w="60"/>
              <w:right w:type="dxa" w:w="90"/>
            </w:tcMar>
            <w:vAlign w:val="center"/>
          </w:tcPr>
          <w:p>
            <w:pPr>
              <w:spacing w:after="40" w:line="252"/>
              <w:jc w:val="left"/>
            </w:pPr>
            <w:r>
              <w:rPr>
                <w:b/>
                <w:bCs/>
                <w:color w:val="FFFFFF"/>
                <w:sz w:val="17"/>
                <w:szCs w:val="17"/>
              </w:rPr>
              <w:t xml:space="preserve">Criterio</w:t>
            </w:r>
          </w:p>
        </w:tc>
        <w:tc>
          <w:tcPr>
            <w:tcW w:type="dxa" w:w="2190"/>
            <w:tcBorders>
              <w:top w:val="single" w:color="BFC4CC" w:sz="4"/>
              <w:left w:val="single" w:color="BFC4CC" w:sz="4"/>
              <w:bottom w:val="single" w:color="BFC4CC" w:sz="4"/>
              <w:right w:val="single" w:color="BFC4CC" w:sz="4"/>
            </w:tcBorders>
            <w:shd w:fill="323A4E" w:color="auto" w:val="clear"/>
            <w:tcMar>
              <w:top w:type="dxa" w:w="60"/>
              <w:left w:type="dxa" w:w="90"/>
              <w:bottom w:type="dxa" w:w="60"/>
              <w:right w:type="dxa" w:w="90"/>
            </w:tcMar>
            <w:vAlign w:val="center"/>
          </w:tcPr>
          <w:p>
            <w:pPr>
              <w:spacing w:after="40" w:line="252"/>
              <w:jc w:val="left"/>
            </w:pPr>
            <w:r>
              <w:rPr>
                <w:b/>
                <w:bCs/>
                <w:color w:val="FFFFFF"/>
                <w:sz w:val="17"/>
                <w:szCs w:val="17"/>
              </w:rPr>
              <w:t xml:space="preserve">C0 · Daniel</w:t>
            </w:r>
          </w:p>
        </w:tc>
        <w:tc>
          <w:tcPr>
            <w:tcW w:type="dxa" w:w="2190"/>
            <w:tcBorders>
              <w:top w:val="single" w:color="BFC4CC" w:sz="4"/>
              <w:left w:val="single" w:color="BFC4CC" w:sz="4"/>
              <w:bottom w:val="single" w:color="BFC4CC" w:sz="4"/>
              <w:right w:val="single" w:color="BFC4CC" w:sz="4"/>
            </w:tcBorders>
            <w:shd w:fill="323A4E" w:color="auto" w:val="clear"/>
            <w:tcMar>
              <w:top w:type="dxa" w:w="60"/>
              <w:left w:type="dxa" w:w="90"/>
              <w:bottom w:type="dxa" w:w="60"/>
              <w:right w:type="dxa" w:w="90"/>
            </w:tcMar>
            <w:vAlign w:val="center"/>
          </w:tcPr>
          <w:p>
            <w:pPr>
              <w:spacing w:after="40" w:line="252"/>
              <w:jc w:val="left"/>
            </w:pPr>
            <w:r>
              <w:rPr>
                <w:b/>
                <w:bCs/>
                <w:color w:val="FFFFFF"/>
                <w:sz w:val="17"/>
                <w:szCs w:val="17"/>
              </w:rPr>
              <w:t xml:space="preserve">C1 · Laura</w:t>
            </w:r>
          </w:p>
        </w:tc>
        <w:tc>
          <w:tcPr>
            <w:tcW w:type="dxa" w:w="2180"/>
            <w:tcBorders>
              <w:top w:val="single" w:color="BFC4CC" w:sz="4"/>
              <w:left w:val="single" w:color="BFC4CC" w:sz="4"/>
              <w:bottom w:val="single" w:color="BFC4CC" w:sz="4"/>
              <w:right w:val="single" w:color="BFC4CC" w:sz="4"/>
            </w:tcBorders>
            <w:shd w:fill="323A4E" w:color="auto" w:val="clear"/>
            <w:tcMar>
              <w:top w:type="dxa" w:w="60"/>
              <w:left w:type="dxa" w:w="90"/>
              <w:bottom w:type="dxa" w:w="60"/>
              <w:right w:type="dxa" w:w="90"/>
            </w:tcMar>
            <w:vAlign w:val="center"/>
          </w:tcPr>
          <w:p>
            <w:pPr>
              <w:spacing w:after="40" w:line="252"/>
              <w:jc w:val="left"/>
            </w:pPr>
            <w:r>
              <w:rPr>
                <w:b/>
                <w:bCs/>
                <w:color w:val="FFFFFF"/>
                <w:sz w:val="17"/>
                <w:szCs w:val="17"/>
              </w:rPr>
              <w:t xml:space="preserve">C2 · Andrés</w:t>
            </w:r>
          </w:p>
        </w:tc>
      </w:tr>
      <w:tr>
        <w:tc>
          <w:tcPr>
            <w:tcW w:type="dxa" w:w="28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bCs/>
                <w:sz w:val="17"/>
                <w:szCs w:val="17"/>
              </w:rPr>
              <w:t xml:space="preserve">1. Tamaño (personas proyectadas*)</w:t>
            </w:r>
          </w:p>
        </w:tc>
        <w:tc>
          <w:tcPr>
            <w:tcW w:type="dxa" w:w="219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7"/>
                <w:szCs w:val="17"/>
              </w:rPr>
              <w:t xml:space="preserve">5 · 41,5% (≈15,6 M)</w:t>
            </w:r>
          </w:p>
        </w:tc>
        <w:tc>
          <w:tcPr>
            <w:tcW w:type="dxa" w:w="219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7"/>
                <w:szCs w:val="17"/>
              </w:rPr>
              <w:t xml:space="preserve">5 · 41,1% (≈15,5 M)</w:t>
            </w:r>
          </w:p>
        </w:tc>
        <w:tc>
          <w:tcPr>
            <w:tcW w:type="dxa" w:w="218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7"/>
                <w:szCs w:val="17"/>
              </w:rPr>
              <w:t xml:space="preserve">2 · 17,4% (≈6,6 M)</w:t>
            </w:r>
          </w:p>
        </w:tc>
      </w:tr>
      <w:tr>
        <w:tc>
          <w:tcPr>
            <w:tcW w:type="dxa" w:w="28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bCs/>
                <w:sz w:val="17"/>
                <w:szCs w:val="17"/>
              </w:rPr>
              <w:t xml:space="preserve">2. Afinidad motivacional con la serie</w:t>
            </w:r>
          </w:p>
        </w:tc>
        <w:tc>
          <w:tcPr>
            <w:tcW w:type="dxa" w:w="219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7"/>
                <w:szCs w:val="17"/>
              </w:rPr>
              <w:t xml:space="preserve">4 · evasión, identidad, autodescubrimiento</w:t>
            </w:r>
          </w:p>
        </w:tc>
        <w:tc>
          <w:tcPr>
            <w:tcW w:type="dxa" w:w="219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7"/>
                <w:szCs w:val="17"/>
              </w:rPr>
              <w:t xml:space="preserve">4 · información, nostalgia</w:t>
            </w:r>
          </w:p>
        </w:tc>
        <w:tc>
          <w:tcPr>
            <w:tcW w:type="dxa" w:w="218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7"/>
                <w:szCs w:val="17"/>
              </w:rPr>
              <w:t xml:space="preserve">2 · sin gratificación distintiva</w:t>
            </w:r>
          </w:p>
        </w:tc>
      </w:tr>
      <w:tr>
        <w:tc>
          <w:tcPr>
            <w:tcW w:type="dxa" w:w="28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bCs/>
                <w:sz w:val="17"/>
                <w:szCs w:val="17"/>
              </w:rPr>
              <w:t xml:space="preserve">3. Conversión y retención</w:t>
            </w:r>
          </w:p>
        </w:tc>
        <w:tc>
          <w:tcPr>
            <w:tcW w:type="dxa" w:w="219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7"/>
                <w:szCs w:val="17"/>
              </w:rPr>
              <w:t xml:space="preserve">2 · vulnerabilidad 24,3 (la más alta)</w:t>
            </w:r>
          </w:p>
        </w:tc>
        <w:tc>
          <w:tcPr>
            <w:tcW w:type="dxa" w:w="219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7"/>
                <w:szCs w:val="17"/>
              </w:rPr>
              <w:t xml:space="preserve">4 · desplazamiento 29,9% (el menor)</w:t>
            </w:r>
          </w:p>
        </w:tc>
        <w:tc>
          <w:tcPr>
            <w:tcW w:type="dxa" w:w="218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7"/>
                <w:szCs w:val="17"/>
              </w:rPr>
              <w:t xml:space="preserve">5 · fidelización 27,4 (la más alta)</w:t>
            </w:r>
          </w:p>
        </w:tc>
      </w:tr>
      <w:tr>
        <w:tc>
          <w:tcPr>
            <w:tcW w:type="dxa" w:w="28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bCs/>
                <w:sz w:val="17"/>
                <w:szCs w:val="17"/>
              </w:rPr>
              <w:t xml:space="preserve">4. Brecha buscada / obtenida (deleite)</w:t>
            </w:r>
          </w:p>
        </w:tc>
        <w:tc>
          <w:tcPr>
            <w:tcW w:type="dxa" w:w="219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7"/>
                <w:szCs w:val="17"/>
              </w:rPr>
              <w:t xml:space="preserve">4 · «la supera»: aprendizaje inesperado</w:t>
            </w:r>
          </w:p>
        </w:tc>
        <w:tc>
          <w:tcPr>
            <w:tcW w:type="dxa" w:w="219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7"/>
                <w:szCs w:val="17"/>
              </w:rPr>
              <w:t xml:space="preserve">4 · coincide + gratificación emocional</w:t>
            </w:r>
          </w:p>
        </w:tc>
        <w:tc>
          <w:tcPr>
            <w:tcW w:type="dxa" w:w="218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7"/>
                <w:szCs w:val="17"/>
              </w:rPr>
              <w:t xml:space="preserve">3 · satisfacción plena sin sorpresa</w:t>
            </w:r>
          </w:p>
        </w:tc>
      </w:tr>
      <w:tr>
        <w:tc>
          <w:tcPr>
            <w:tcW w:type="dxa" w:w="28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bCs/>
                <w:sz w:val="17"/>
                <w:szCs w:val="17"/>
              </w:rPr>
              <w:t xml:space="preserve">5. Accesibilidad digital e interfaz</w:t>
            </w:r>
          </w:p>
        </w:tc>
        <w:tc>
          <w:tcPr>
            <w:tcW w:type="dxa" w:w="219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7"/>
                <w:szCs w:val="17"/>
              </w:rPr>
              <w:t xml:space="preserve">5 · algoritmo 28,9%, TikTok, Netflix 25,8%</w:t>
            </w:r>
          </w:p>
        </w:tc>
        <w:tc>
          <w:tcPr>
            <w:tcW w:type="dxa" w:w="219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7"/>
                <w:szCs w:val="17"/>
              </w:rPr>
              <w:t xml:space="preserve">2 · Netflix 17,8%; 14% sin plataforma</w:t>
            </w:r>
          </w:p>
        </w:tc>
        <w:tc>
          <w:tcPr>
            <w:tcW w:type="dxa" w:w="218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7"/>
                <w:szCs w:val="17"/>
              </w:rPr>
              <w:t xml:space="preserve">3 · Netflix 27%, búsqueda activa</w:t>
            </w:r>
          </w:p>
        </w:tc>
      </w:tr>
      <w:tr>
        <w:tc>
          <w:tcPr>
            <w:tcW w:type="dxa" w:w="28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bCs/>
                <w:sz w:val="17"/>
                <w:szCs w:val="17"/>
              </w:rPr>
              <w:t xml:space="preserve">6. Relación con el contenido</w:t>
            </w:r>
          </w:p>
        </w:tc>
        <w:tc>
          <w:tcPr>
            <w:tcW w:type="dxa" w:w="219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7"/>
                <w:szCs w:val="17"/>
              </w:rPr>
              <w:t xml:space="preserve">5 · «primeras veces», público 16+/18–24</w:t>
            </w:r>
          </w:p>
        </w:tc>
        <w:tc>
          <w:tcPr>
            <w:tcW w:type="dxa" w:w="219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7"/>
                <w:szCs w:val="17"/>
              </w:rPr>
              <w:t xml:space="preserve">4 · nostalgia, historia, literatura</w:t>
            </w:r>
          </w:p>
        </w:tc>
        <w:tc>
          <w:tcPr>
            <w:tcW w:type="dxa" w:w="218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7"/>
                <w:szCs w:val="17"/>
              </w:rPr>
              <w:t xml:space="preserve">2 · prestigio de producción</w:t>
            </w:r>
          </w:p>
        </w:tc>
      </w:tr>
      <w:tr>
        <w:tc>
          <w:tcPr>
            <w:tcW w:type="dxa" w:w="28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bCs/>
                <w:sz w:val="17"/>
                <w:szCs w:val="17"/>
              </w:rPr>
              <w:t xml:space="preserve">7. Viralidad / socialización</w:t>
            </w:r>
          </w:p>
        </w:tc>
        <w:tc>
          <w:tcPr>
            <w:tcW w:type="dxa" w:w="219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7"/>
                <w:szCs w:val="17"/>
              </w:rPr>
              <w:t xml:space="preserve">5 · 81% crea contenido</w:t>
            </w:r>
          </w:p>
        </w:tc>
        <w:tc>
          <w:tcPr>
            <w:tcW w:type="dxa" w:w="219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7"/>
                <w:szCs w:val="17"/>
              </w:rPr>
              <w:t xml:space="preserve">1 · 40% consumidor pasivo</w:t>
            </w:r>
          </w:p>
        </w:tc>
        <w:tc>
          <w:tcPr>
            <w:tcW w:type="dxa" w:w="218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7"/>
                <w:szCs w:val="17"/>
              </w:rPr>
              <w:t xml:space="preserve">3 · recomienda (27%)</w:t>
            </w:r>
          </w:p>
        </w:tc>
      </w:tr>
      <w:tr>
        <w:tc>
          <w:tcPr>
            <w:tcW w:type="dxa" w:w="28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bCs/>
                <w:sz w:val="17"/>
                <w:szCs w:val="17"/>
              </w:rPr>
              <w:t xml:space="preserve">TOTAL (sobre 35)</w:t>
            </w:r>
          </w:p>
        </w:tc>
        <w:tc>
          <w:tcPr>
            <w:tcW w:type="dxa" w:w="219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7"/>
                <w:szCs w:val="17"/>
              </w:rPr>
              <w:t xml:space="preserve">30</w:t>
            </w:r>
          </w:p>
        </w:tc>
        <w:tc>
          <w:tcPr>
            <w:tcW w:type="dxa" w:w="219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7"/>
                <w:szCs w:val="17"/>
              </w:rPr>
              <w:t xml:space="preserve">24</w:t>
            </w:r>
          </w:p>
        </w:tc>
        <w:tc>
          <w:tcPr>
            <w:tcW w:type="dxa" w:w="218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7"/>
                <w:szCs w:val="17"/>
              </w:rPr>
              <w:t xml:space="preserve">20</w:t>
            </w:r>
          </w:p>
        </w:tc>
      </w:tr>
    </w:tbl>
    <w:p>
      <w:pPr>
        <w:spacing w:after="200" w:before="60"/>
        <w:jc w:val="left"/>
      </w:pPr>
      <w:r>
        <w:rPr>
          <w:i/>
          <w:iCs/>
          <w:color w:val="5C5C5A"/>
          <w:sz w:val="18"/>
          <w:szCs w:val="18"/>
        </w:rPr>
        <w:t xml:space="preserve">Tabla 12. Matriz de selección. *Proyección didáctica con el coeficiente de expansión del archivo (f = 37.700). Si la retención pesa el doble, el orden no cambia (32 / 28 /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3FA" w:sz="4"/>
              <w:left w:val="single" w:color="2A78D6" w:sz="24"/>
              <w:bottom w:val="single" w:color="EEF3FA" w:sz="4"/>
              <w:right w:val="single" w:color="EEF3FA" w:sz="4"/>
            </w:tcBorders>
            <w:shd w:fill="EEF3FA" w:color="auto" w:val="clear"/>
            <w:tcMar>
              <w:top w:type="dxa" w:w="120"/>
              <w:left w:type="dxa" w:w="180"/>
              <w:bottom w:type="dxa" w:w="120"/>
              <w:right w:type="dxa" w:w="180"/>
            </w:tcMar>
          </w:tcPr>
          <w:p>
            <w:pPr>
              <w:spacing w:after="80"/>
            </w:pPr>
            <w:r>
              <w:rPr>
                <w:b/>
                <w:bCs/>
                <w:color w:val="323A4E"/>
                <w:sz w:val="21"/>
                <w:szCs w:val="21"/>
              </w:rPr>
              <w:t xml:space="preserve">Segmento prioritario: Cluster 0 · «Maratonistas móviles que buscan desconexión» · User Persona: Daniel</w:t>
            </w:r>
          </w:p>
          <w:p>
            <w:pPr>
              <w:spacing w:after="60" w:line="264"/>
              <w:jc w:val="left"/>
            </w:pPr>
            <w:r>
              <w:rPr>
                <w:b/>
                <w:bCs/>
                <w:sz w:val="20"/>
                <w:szCs w:val="20"/>
              </w:rPr>
              <w:t xml:space="preserve">Por qué.</w:t>
            </w:r>
            <w:r>
              <w:rPr>
                <w:sz w:val="20"/>
                <w:szCs w:val="20"/>
              </w:rPr>
              <w:t xml:space="preserve"> Es el público natural de la serie (las «primeras veces», la franja 18–24 del público declarado 16+) y el más grande junto con el Cluster 1. Es el más alcanzable con las herramientas de Netflix (el más algorítmico, el que más maratonea, el que más usa Netflix de los dos grandes) y el único que multiplica la audiencia: el 81% crea contenido. Además es el puente hacia Laura (E14 conoció la serie por su hija) y recibe el mayor deleite cualitativo (el aprendizaje inesperado).</w:t>
            </w:r>
          </w:p>
          <w:p>
            <w:pPr>
              <w:spacing w:after="60" w:line="264"/>
              <w:jc w:val="left"/>
            </w:pPr>
            <w:r>
              <w:rPr>
                <w:b/>
                <w:bCs/>
                <w:sz w:val="20"/>
                <w:szCs w:val="20"/>
              </w:rPr>
              <w:t xml:space="preserve">Su debilidad es el reto del Momento 3:</w:t>
            </w:r>
            <w:r>
              <w:rPr>
                <w:sz w:val="20"/>
                <w:szCs w:val="20"/>
              </w:rPr>
              <w:t xml:space="preserve"> tiene el mayor riesgo de abandono, pero el M2 identificó el mecanismo exacto (ver solo tras llegar por el algoritmo, sin validación social), y ese riesgo es accionable. Su 47% masculino permite además atacar la brecha de género.</w:t>
            </w:r>
          </w:p>
          <w:p>
            <w:pPr>
              <w:spacing w:after="60" w:line="264"/>
              <w:jc w:val="left"/>
            </w:pPr>
            <w:r>
              <w:rPr>
                <w:b/>
                <w:bCs/>
                <w:sz w:val="20"/>
                <w:szCs w:val="20"/>
              </w:rPr>
              <w:t xml:space="preserve">Por qué no los otros.</w:t>
            </w:r>
            <w:r>
              <w:rPr>
                <w:sz w:val="20"/>
                <w:szCs w:val="20"/>
              </w:rPr>
              <w:t xml:space="preserve"> Laura (24 puntos) retiene mejor, pero es la menos accesible por canales digitales y la menos viral: será el </w:t>
            </w:r>
            <w:r>
              <w:rPr>
                <w:b/>
                <w:bCs/>
                <w:sz w:val="20"/>
                <w:szCs w:val="20"/>
              </w:rPr>
              <w:t xml:space="preserve">segmento secundario de expansión</w:t>
            </w:r>
            <w:r>
              <w:rPr>
                <w:sz w:val="20"/>
                <w:szCs w:val="20"/>
              </w:rPr>
              <w:t xml:space="preserve">, al que se llega a través de Daniel y de la promoción cruzada con Caracol. Andrés (20) es fiel pero pequeño, sin afinidad con los temas de la serie y sin respaldo cualitativo.</w:t>
            </w:r>
          </w:p>
        </w:tc>
      </w:tr>
    </w:tbl>
    <w:p>
      <w:pPr>
        <w:pStyle w:val="Heading2"/>
        <w:keepNext/>
      </w:pPr>
      <w:r>
        <w:t xml:space="preserve">8.1 Cómo alimentará el embudo de conversión del Momento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860"/>
        <w:gridCol w:w="2600"/>
      </w:tblGrid>
      <w:tr>
        <w:trPr>
          <w:tblHeader/>
        </w:trPr>
        <w:tc>
          <w:tcPr>
            <w:tcW w:type="dxa" w:w="1900"/>
            <w:tcBorders>
              <w:top w:val="single" w:color="BFC4CC" w:sz="4"/>
              <w:left w:val="single" w:color="BFC4CC" w:sz="4"/>
              <w:bottom w:val="single" w:color="BFC4CC" w:sz="4"/>
              <w:right w:val="single" w:color="BFC4CC" w:sz="4"/>
            </w:tcBorders>
            <w:shd w:fill="323A4E" w:color="auto" w:val="clear"/>
            <w:tcMar>
              <w:top w:type="dxa" w:w="60"/>
              <w:left w:type="dxa" w:w="90"/>
              <w:bottom w:type="dxa" w:w="60"/>
              <w:right w:type="dxa" w:w="90"/>
            </w:tcMar>
            <w:vAlign w:val="center"/>
          </w:tcPr>
          <w:p>
            <w:pPr>
              <w:spacing w:after="40" w:line="252"/>
              <w:jc w:val="left"/>
            </w:pPr>
            <w:r>
              <w:rPr>
                <w:b/>
                <w:bCs/>
                <w:color w:val="FFFFFF"/>
                <w:sz w:val="18"/>
                <w:szCs w:val="18"/>
              </w:rPr>
              <w:t xml:space="preserve">Etapa del embudo</w:t>
            </w:r>
          </w:p>
        </w:tc>
        <w:tc>
          <w:tcPr>
            <w:tcW w:type="dxa" w:w="4860"/>
            <w:tcBorders>
              <w:top w:val="single" w:color="BFC4CC" w:sz="4"/>
              <w:left w:val="single" w:color="BFC4CC" w:sz="4"/>
              <w:bottom w:val="single" w:color="BFC4CC" w:sz="4"/>
              <w:right w:val="single" w:color="BFC4CC" w:sz="4"/>
            </w:tcBorders>
            <w:shd w:fill="323A4E" w:color="auto" w:val="clear"/>
            <w:tcMar>
              <w:top w:type="dxa" w:w="60"/>
              <w:left w:type="dxa" w:w="90"/>
              <w:bottom w:type="dxa" w:w="60"/>
              <w:right w:type="dxa" w:w="90"/>
            </w:tcMar>
            <w:vAlign w:val="center"/>
          </w:tcPr>
          <w:p>
            <w:pPr>
              <w:spacing w:after="40" w:line="252"/>
              <w:jc w:val="left"/>
            </w:pPr>
            <w:r>
              <w:rPr>
                <w:b/>
                <w:bCs/>
                <w:color w:val="FFFFFF"/>
                <w:sz w:val="18"/>
                <w:szCs w:val="18"/>
              </w:rPr>
              <w:t xml:space="preserve">Palanca para Daniel (con base en los datos)</w:t>
            </w:r>
          </w:p>
        </w:tc>
        <w:tc>
          <w:tcPr>
            <w:tcW w:type="dxa" w:w="2600"/>
            <w:tcBorders>
              <w:top w:val="single" w:color="BFC4CC" w:sz="4"/>
              <w:left w:val="single" w:color="BFC4CC" w:sz="4"/>
              <w:bottom w:val="single" w:color="BFC4CC" w:sz="4"/>
              <w:right w:val="single" w:color="BFC4CC" w:sz="4"/>
            </w:tcBorders>
            <w:shd w:fill="323A4E" w:color="auto" w:val="clear"/>
            <w:tcMar>
              <w:top w:type="dxa" w:w="60"/>
              <w:left w:type="dxa" w:w="90"/>
              <w:bottom w:type="dxa" w:w="60"/>
              <w:right w:type="dxa" w:w="90"/>
            </w:tcMar>
            <w:vAlign w:val="center"/>
          </w:tcPr>
          <w:p>
            <w:pPr>
              <w:spacing w:after="40" w:line="252"/>
              <w:jc w:val="left"/>
            </w:pPr>
            <w:r>
              <w:rPr>
                <w:b/>
                <w:bCs/>
                <w:color w:val="FFFFFF"/>
                <w:sz w:val="18"/>
                <w:szCs w:val="18"/>
              </w:rPr>
              <w:t xml:space="preserve">Indicador a seguir</w:t>
            </w:r>
          </w:p>
        </w:tc>
      </w:tr>
      <w:tr>
        <w:tc>
          <w:tcPr>
            <w:tcW w:type="dxa" w:w="19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bCs/>
                <w:sz w:val="18"/>
                <w:szCs w:val="18"/>
              </w:rPr>
              <w:t xml:space="preserve">Descubrimiento</w:t>
            </w:r>
          </w:p>
        </w:tc>
        <w:tc>
          <w:tcPr>
            <w:tcW w:type="dxa" w:w="486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8"/>
                <w:szCs w:val="18"/>
              </w:rPr>
              <w:t xml:space="preserve">Miniatura, top y video previo de Netflix (algoritmo 28,9%); clips en TikTok e Instagram (TikTok 24,6%)</w:t>
            </w:r>
          </w:p>
        </w:tc>
        <w:tc>
          <w:tcPr>
            <w:tcW w:type="dxa" w:w="26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8"/>
                <w:szCs w:val="18"/>
              </w:rPr>
              <w:t xml:space="preserve">Impresiones y clic en la miniatura</w:t>
            </w:r>
          </w:p>
        </w:tc>
      </w:tr>
      <w:tr>
        <w:tc>
          <w:tcPr>
            <w:tcW w:type="dxa" w:w="19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bCs/>
                <w:sz w:val="18"/>
                <w:szCs w:val="18"/>
              </w:rPr>
              <w:t xml:space="preserve">Consideración</w:t>
            </w:r>
          </w:p>
        </w:tc>
        <w:tc>
          <w:tcPr>
            <w:tcW w:type="dxa" w:w="486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8"/>
                <w:szCs w:val="18"/>
              </w:rPr>
              <w:t xml:space="preserve">Validación social: recomendación de amigos y creadores con los que tiene vínculo fuerte (47,7%)</w:t>
            </w:r>
          </w:p>
        </w:tc>
        <w:tc>
          <w:tcPr>
            <w:tcW w:type="dxa" w:w="26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8"/>
                <w:szCs w:val="18"/>
              </w:rPr>
              <w:t xml:space="preserve">% de llegadas por recomendación</w:t>
            </w:r>
          </w:p>
        </w:tc>
      </w:tr>
      <w:tr>
        <w:tc>
          <w:tcPr>
            <w:tcW w:type="dxa" w:w="19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bCs/>
                <w:sz w:val="18"/>
                <w:szCs w:val="18"/>
              </w:rPr>
              <w:t xml:space="preserve">Conversión (play)</w:t>
            </w:r>
          </w:p>
        </w:tc>
        <w:tc>
          <w:tcPr>
            <w:tcW w:type="dxa" w:w="486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8"/>
                <w:szCs w:val="18"/>
              </w:rPr>
              <w:t xml:space="preserve">Tráiler con personajes jóvenes, humor y rebeldía (no solo romance) para incluir a la mitad masculina</w:t>
            </w:r>
          </w:p>
        </w:tc>
        <w:tc>
          <w:tcPr>
            <w:tcW w:type="dxa" w:w="26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8"/>
                <w:szCs w:val="18"/>
              </w:rPr>
              <w:t xml:space="preserve">Inicio del episodio 1</w:t>
            </w:r>
          </w:p>
        </w:tc>
      </w:tr>
      <w:tr>
        <w:tc>
          <w:tcPr>
            <w:tcW w:type="dxa" w:w="19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bCs/>
                <w:sz w:val="18"/>
                <w:szCs w:val="18"/>
              </w:rPr>
              <w:t xml:space="preserve">Retención</w:t>
            </w:r>
          </w:p>
        </w:tc>
        <w:tc>
          <w:tcPr>
            <w:tcW w:type="dxa" w:w="486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8"/>
                <w:szCs w:val="18"/>
              </w:rPr>
              <w:t xml:space="preserve">Tramas secundarias de época que corten la repetición romántica; cliffhangers que aprovechen la maratón</w:t>
            </w:r>
          </w:p>
        </w:tc>
        <w:tc>
          <w:tcPr>
            <w:tcW w:type="dxa" w:w="2600"/>
            <w:tcBorders>
              <w:top w:val="single" w:color="BFC4CC" w:sz="4"/>
              <w:left w:val="single" w:color="BFC4CC" w:sz="4"/>
              <w:bottom w:val="single" w:color="BFC4CC" w:sz="4"/>
              <w:right w:val="single" w:color="BFC4CC" w:sz="4"/>
            </w:tcBorders>
            <w:shd w:fill="FAFAF9" w:color="auto" w:val="clear"/>
            <w:tcMar>
              <w:top w:type="dxa" w:w="50"/>
              <w:left w:type="dxa" w:w="90"/>
              <w:bottom w:type="dxa" w:w="50"/>
              <w:right w:type="dxa" w:w="90"/>
            </w:tcMar>
          </w:tcPr>
          <w:p>
            <w:pPr>
              <w:spacing w:after="40" w:line="252"/>
              <w:jc w:val="left"/>
            </w:pPr>
            <w:r>
              <w:rPr>
                <w:b w:val="false"/>
                <w:bCs w:val="false"/>
                <w:sz w:val="18"/>
                <w:szCs w:val="18"/>
              </w:rPr>
              <w:t xml:space="preserve">Finalización de temporada; caída entre episodios</w:t>
            </w:r>
          </w:p>
        </w:tc>
      </w:tr>
      <w:tr>
        <w:tc>
          <w:tcPr>
            <w:tcW w:type="dxa" w:w="19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bCs/>
                <w:sz w:val="18"/>
                <w:szCs w:val="18"/>
              </w:rPr>
              <w:t xml:space="preserve">Recomendación</w:t>
            </w:r>
          </w:p>
        </w:tc>
        <w:tc>
          <w:tcPr>
            <w:tcW w:type="dxa" w:w="486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8"/>
                <w:szCs w:val="18"/>
              </w:rPr>
              <w:t xml:space="preserve">Material para compartir (retos «mi primera vez», datos históricos); invitar a recomendarla a la familia (puente a Laura)</w:t>
            </w:r>
          </w:p>
        </w:tc>
        <w:tc>
          <w:tcPr>
            <w:tcW w:type="dxa" w:w="2600"/>
            <w:tcBorders>
              <w:top w:val="single" w:color="BFC4CC" w:sz="4"/>
              <w:left w:val="single" w:color="BFC4CC" w:sz="4"/>
              <w:bottom w:val="single" w:color="BFC4CC" w:sz="4"/>
              <w:right w:val="single" w:color="BFC4CC" w:sz="4"/>
            </w:tcBorders>
            <w:shd w:fill="FFFFFF" w:color="auto" w:val="clear"/>
            <w:tcMar>
              <w:top w:type="dxa" w:w="50"/>
              <w:left w:type="dxa" w:w="90"/>
              <w:bottom w:type="dxa" w:w="50"/>
              <w:right w:type="dxa" w:w="90"/>
            </w:tcMar>
          </w:tcPr>
          <w:p>
            <w:pPr>
              <w:spacing w:after="40" w:line="252"/>
              <w:jc w:val="left"/>
            </w:pPr>
            <w:r>
              <w:rPr>
                <w:b w:val="false"/>
                <w:bCs w:val="false"/>
                <w:sz w:val="18"/>
                <w:szCs w:val="18"/>
              </w:rPr>
              <w:t xml:space="preserve">Compartidos y nuevos espectadores referidos</w:t>
            </w:r>
          </w:p>
        </w:tc>
      </w:tr>
    </w:tbl>
    <w:p>
      <w:pPr>
        <w:spacing w:after="200" w:before="60"/>
        <w:jc w:val="left"/>
      </w:pPr>
      <w:r>
        <w:rPr>
          <w:i/>
          <w:iCs/>
          <w:color w:val="5C5C5A"/>
          <w:sz w:val="18"/>
          <w:szCs w:val="18"/>
        </w:rPr>
        <w:t xml:space="preserve">Tabla 13. Conexión del segmento prioritario con el embudo del Momento 3.</w:t>
      </w:r>
    </w:p>
    <w:p>
      <w:pPr>
        <w:pStyle w:val="Heading1"/>
        <w:keepNext/>
      </w:pPr>
      <w:r>
        <w:t xml:space="preserve">9. Reflexión sobre limitaciones</w:t>
      </w:r>
    </w:p>
    <w:p>
      <w:pPr>
        <w:spacing w:after="120" w:line="276"/>
        <w:jc w:val="both"/>
      </w:pPr>
      <w:r>
        <w:rPr>
          <w:b/>
          <w:bCs/>
        </w:rPr>
        <w:t xml:space="preserve">Representatividad.</w:t>
      </w:r>
      <w:r>
        <w:t xml:space="preserve"> La base es sintética y describe a la audiencia digital colombiana en general, no a los espectadores de </w:t>
      </w:r>
      <w:r>
        <w:rPr>
          <w:i/>
          <w:iCs/>
        </w:rPr>
        <w:t xml:space="preserve">La Primera Vez</w:t>
      </w:r>
      <w:r>
        <w:t xml:space="preserve">; los segmentos son hipótesis verosímiles que reproducen los supuestos con que se generó la base. Las 14 entrevistas del M1 tampoco son representativas: casi todos son jóvenes bogotanos cercanos al equipo, lo que explica en parte el sesgo femenino y la ausencia del segmento que paga y de la audiencia mayor de 56 años.</w:t>
      </w:r>
    </w:p>
    <w:p>
      <w:pPr>
        <w:spacing w:after="120" w:line="276"/>
        <w:jc w:val="both"/>
      </w:pPr>
      <w:r>
        <w:rPr>
          <w:b/>
          <w:bCs/>
        </w:rPr>
        <w:t xml:space="preserve">Variables no medidas.</w:t>
      </w:r>
      <w:r>
        <w:t xml:space="preserve"> La base no mide la gratificación obtenida de forma directa (usamos tension_gratificacion como proxy), ni el abandono de una serie, ni la ocupación, ni el consumo específico del título. Tampoco distingue si una recomendación viene de un hijo, de un amigo o de la pareja, que era clave en el M1.</w:t>
      </w:r>
    </w:p>
    <w:p>
      <w:pPr>
        <w:spacing w:after="120" w:line="276"/>
        <w:jc w:val="both"/>
      </w:pPr>
      <w:r>
        <w:rPr>
          <w:b/>
          <w:bCs/>
        </w:rPr>
        <w:t xml:space="preserve">Robustez de la estructura.</w:t>
      </w:r>
      <w:r>
        <w:t xml:space="preserve"> La silueta de k = 3 (0,11) indica una estructura débil según Kaufman y Rousseeuw: los segmentos son divisiones útiles de un continuo, no grupos naturales. A favor, k = 3 es estable frente a la semilla (ARI 0,95) y los grupos se diferencian con fuerza en variables que no entraron al modelo (edad, pago). El gasto, con 32% de ceros y cola larga, forma casi por sí solo el Cluster 2; una transformación logarítmica podría cambiar ese grupo y no la probamos. Las diferencias entre Clusters 0 y 1 son claras para diseñar estrategias distintas; el Cluster 2 se distingue por conducta de pago más que por motivación.</w:t>
      </w:r>
    </w:p>
    <w:p>
      <w:pPr>
        <w:spacing w:after="120" w:line="276"/>
        <w:jc w:val="both"/>
      </w:pPr>
      <w:r>
        <w:rPr>
          <w:b/>
          <w:bCs/>
        </w:rPr>
        <w:t xml:space="preserve">Qué datos fortalecerían la segmentación.</w:t>
      </w:r>
      <w:r>
        <w:t xml:space="preserve"> Datos reales de visualización de la serie en Netflix (inicio, finalización, abandono por episodio); una encuesta a espectadores con escalas de gratificación buscada y obtenida; más entrevistas a hombres, a mayores de 56 y a titulares de cuenta de estrato alto; e información sobre quién recomienda (hijos, pareja, amigos) para verificar la ruta intergeneracional.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F3F1" w:sz="4"/>
              <w:left w:val="single" w:color="2A78D6" w:sz="24"/>
              <w:bottom w:val="single" w:color="F3F3F1" w:sz="4"/>
              <w:right w:val="single" w:color="F3F3F1" w:sz="4"/>
            </w:tcBorders>
            <w:shd w:fill="F3F3F1" w:color="auto" w:val="clear"/>
            <w:tcMar>
              <w:top w:type="dxa" w:w="120"/>
              <w:left w:type="dxa" w:w="180"/>
              <w:bottom w:type="dxa" w:w="120"/>
              <w:right w:type="dxa" w:w="180"/>
            </w:tcMar>
          </w:tcPr>
          <w:p>
            <w:pPr>
              <w:spacing w:after="80"/>
            </w:pPr>
            <w:r>
              <w:rPr>
                <w:b/>
                <w:bCs/>
                <w:color w:val="323A4E"/>
                <w:sz w:val="21"/>
                <w:szCs w:val="21"/>
              </w:rPr>
              <w:t xml:space="preserve">Anexo</w:t>
            </w:r>
          </w:p>
          <w:p>
            <w:pPr>
              <w:spacing w:after="60" w:line="264"/>
              <w:jc w:val="left"/>
            </w:pPr>
            <w:r>
              <w:rPr>
                <w:sz w:val="20"/>
                <w:szCs w:val="20"/>
              </w:rPr>
              <w:t xml:space="preserve">La memoria completa del proceso (transcripción íntegra de la conversación con Claude Code) se entrega como archivo .docx separado: </w:t>
            </w:r>
            <w:r>
              <w:rPr>
                <w:i/>
                <w:iCs/>
                <w:sz w:val="20"/>
                <w:szCs w:val="20"/>
              </w:rPr>
              <w:t xml:space="preserve">Barragan_Diaz_Quiroga_Anexo_Memoria_del_proceso.docx</w:t>
            </w:r>
            <w:r>
              <w:rPr>
                <w:sz w:val="20"/>
                <w:szCs w:val="20"/>
              </w:rPr>
              <w:t xml:space="preserve">.</w:t>
            </w:r>
          </w:p>
        </w:tc>
      </w:tr>
    </w:tbl>
    <w:sectPr>
      <w:headerReference w:type="default" r:id="rId6"/>
      <w:headerReference w:type="first" r:id="rId7"/>
      <w:footerReference w:type="default" r:id="rId8"/>
      <w:footerReference w:type="first" r:id="rId9"/>
      <w:pgSz w:w="12240" w:h="15840"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5C5A"/>
        <w:sz w:val="16"/>
        <w:szCs w:val="16"/>
      </w:rPr>
      <w:t xml:space="preserve">Barragán · Díaz · Quiroga — página </w:t>
    </w:r>
    <w:r>
      <w:rPr>
        <w:color w:val="5C5C5A"/>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C5C5A"/>
        <w:sz w:val="16"/>
        <w:szCs w:val="16"/>
      </w:rPr>
      <w:t xml:space="preserve">Análisis de Audiencias · 2026-2 · Segundo Parcial · La Primera Vez</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b/>
      <w:bCs/>
      <w:color w:val="323A4E"/>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A78D6"/>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323A4E"/>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928388e93168eda01a3c4d6cec4b0667664ea3aa.png"/><Relationship Id="rId12" Type="http://schemas.openxmlformats.org/officeDocument/2006/relationships/image" Target="media/ec020545a654449ccba54236eea3500c43d13565.png"/><Relationship Id="rId13" Type="http://schemas.openxmlformats.org/officeDocument/2006/relationships/image" Target="media/762a09fd2f378899e492b6e1086aec8b691b873e.png"/><Relationship Id="rId14" Type="http://schemas.openxmlformats.org/officeDocument/2006/relationships/image" Target="media/d0632fb549b4f4175c9afae164154d54ba57b74e.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Segundo Parcial · Segmentación K-means · La Primera Vez</dc:title>
  <dc:creator>Barragán, Díaz, Quiroga</dc:creator>
  <cp:lastModifiedBy>Un-named</cp:lastModifiedBy>
  <cp:revision>1</cp:revision>
  <dcterms:created xsi:type="dcterms:W3CDTF">2026-10-02T04:32:39.095Z</dcterms:created>
  <dcterms:modified xsi:type="dcterms:W3CDTF">2026-10-02T04:32:39.096Z</dcterms:modified>
</cp:coreProperties>
</file>

<file path=docProps/custom.xml><?xml version="1.0" encoding="utf-8"?>
<Properties xmlns="http://schemas.openxmlformats.org/officeDocument/2006/custom-properties" xmlns:vt="http://schemas.openxmlformats.org/officeDocument/2006/docPropsVTypes"/>
</file>