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bx2581sq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TÉCNICO: Implementação de Pipeline de Engenharia de Dados para Detecção de Fraude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Banco de Dados 2 </w:t>
      </w: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Pipeline ETL e Machine Learning em Arquitetura Medalhão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Dezembro de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izy5q8wf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projeto teve como objetivo o desenvolvimento de um fluxo de dados contínuo (</w:t>
      </w:r>
      <w:r w:rsidDel="00000000" w:rsidR="00000000" w:rsidRPr="00000000">
        <w:rPr>
          <w:i w:val="1"/>
          <w:iCs w:val="1"/>
          <w:rtl w:val="0"/>
        </w:rPr>
        <w:t xml:space="preserve">pipeline end-to-end</w:t>
      </w:r>
      <w:r w:rsidDel="00000000" w:rsidR="00000000" w:rsidRPr="00000000">
        <w:rPr>
          <w:rtl w:val="0"/>
        </w:rPr>
        <w:t xml:space="preserve">) para simular um ambiente corporativo de detecção de fraudes financeiras. O sistema foi projetado para integrar fontes de dados heterogêneas, orquestrar o processamento via </w:t>
      </w:r>
      <w:r w:rsidDel="00000000" w:rsidR="00000000" w:rsidRPr="00000000">
        <w:rPr>
          <w:i w:val="1"/>
          <w:i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de ETL e alimentar um modelo preditivo de Inteligência Artificial.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yk0jzgfn3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Arquitetura e Infraestrutura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infraestrutura foi provisionada utilizando conteinerização (Docker e Docker Compose) para garantir a isolabilidade e reprodutibilidade do ambiente. A arquitetura de dados seguiu o padrão </w:t>
      </w:r>
      <w:r w:rsidDel="00000000" w:rsidR="00000000" w:rsidRPr="00000000">
        <w:rPr>
          <w:b w:val="1"/>
          <w:bCs w:val="1"/>
          <w:rtl w:val="0"/>
        </w:rPr>
        <w:t xml:space="preserve">Medallion</w:t>
      </w:r>
      <w:r w:rsidDel="00000000" w:rsidR="00000000" w:rsidRPr="00000000">
        <w:rPr>
          <w:rtl w:val="0"/>
        </w:rPr>
        <w:t xml:space="preserve"> (Bronze, Silver, Gold):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Ingestão (Bronze):</w:t>
      </w:r>
      <w:r w:rsidDel="00000000" w:rsidR="00000000" w:rsidRPr="00000000">
        <w:rPr>
          <w:rtl w:val="0"/>
        </w:rPr>
        <w:t xml:space="preserve"> Dados brutos extraídos de um banco relacional (MySQL) e um banco orientado a documentos (MongoDB Atlas).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Processamento (Silver):</w:t>
      </w:r>
      <w:r w:rsidDel="00000000" w:rsidR="00000000" w:rsidRPr="00000000">
        <w:rPr>
          <w:rtl w:val="0"/>
        </w:rPr>
        <w:t xml:space="preserve"> Realizou-se a limpeza, tipagem e unificação dos </w:t>
      </w:r>
      <w:r w:rsidDel="00000000" w:rsidR="00000000" w:rsidRPr="00000000">
        <w:rPr>
          <w:i w:val="1"/>
          <w:iCs w:val="1"/>
          <w:rtl w:val="0"/>
        </w:rPr>
        <w:t xml:space="preserve">dataframes</w:t>
      </w:r>
      <w:r w:rsidDel="00000000" w:rsidR="00000000" w:rsidRPr="00000000">
        <w:rPr>
          <w:rtl w:val="0"/>
        </w:rPr>
        <w:t xml:space="preserve"> utilizando a biblioteca Pandas.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Apresentação (Gold):</w:t>
      </w:r>
      <w:r w:rsidDel="00000000" w:rsidR="00000000" w:rsidRPr="00000000">
        <w:rPr>
          <w:rtl w:val="0"/>
        </w:rPr>
        <w:t xml:space="preserve"> Persistência dos dados tratados em um banco analítico (SQLite), otimizado para o consumo do modelo de Machine Learning.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Orquestração:</w:t>
      </w:r>
      <w:r w:rsidDel="00000000" w:rsidR="00000000" w:rsidRPr="00000000">
        <w:rPr>
          <w:rtl w:val="0"/>
        </w:rPr>
        <w:t xml:space="preserve"> O gerenciamento das dependências e agendamento das tarefas foi realizado pelo Apache Airflow.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v20fx89t2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Desafios de Implementação e Soluções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desenvolvimento, identificaram-se incompatibilidades críticas entre as versões das bibliotecas de manipulação de dados e conexão com bancos de dados.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Especificamente, observou-se que as versões recentes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(2.x)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(2.0+) apresentaram conflitos na gestão de cursores e conexões, resultando em erros de execução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AttributeError: 'Engine' object has no attribute 'cursor'</w:t>
      </w:r>
      <w:r w:rsidDel="00000000" w:rsidR="00000000" w:rsidRPr="00000000">
        <w:rPr>
          <w:rtl w:val="0"/>
        </w:rPr>
        <w:t xml:space="preserve">) e incompatibilidade binária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adotada consistiu no versionamento estrito das dependências no ambiente Docker, estabelecendo um </w:t>
      </w:r>
      <w:r w:rsidDel="00000000" w:rsidR="00000000" w:rsidRPr="00000000">
        <w:rPr>
          <w:i w:val="1"/>
          <w:iCs w:val="1"/>
          <w:rtl w:val="0"/>
        </w:rPr>
        <w:t xml:space="preserve">downgrade</w:t>
      </w:r>
      <w:r w:rsidDel="00000000" w:rsidR="00000000" w:rsidRPr="00000000">
        <w:rPr>
          <w:rtl w:val="0"/>
        </w:rPr>
        <w:t xml:space="preserve"> estratégico para garantir a estabilidade do ecossistema Airflow: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 &lt; 2.0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 &lt; 2.0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 &lt; 2.0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dlstsan3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Análise dos Resultados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escolhido foi o </w:t>
      </w: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, treinado com 80% dos dados processados e validado com os 20% restantes. A análise de performance baseou-se nas métricas de classificação para dados desbalanceados.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el4xv9ais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Métricas Globais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apresentou uma </w:t>
      </w:r>
      <w:r w:rsidDel="00000000" w:rsidR="00000000" w:rsidRPr="00000000">
        <w:rPr>
          <w:b w:val="1"/>
          <w:bCs w:val="1"/>
          <w:rtl w:val="0"/>
        </w:rPr>
        <w:t xml:space="preserve">Acurácia (Accuracy) de aproximadamente 100%</w:t>
      </w:r>
      <w:r w:rsidDel="00000000" w:rsidR="00000000" w:rsidRPr="00000000">
        <w:rPr>
          <w:rtl w:val="0"/>
        </w:rPr>
        <w:t xml:space="preserve">. No entanto, deve-se interpretar este número com cautela. Dado que o conjunto de dados é altamente desbalanceado (a vasta maioria das transações é legítima), a acurácia isoladamente não reflete a capacidade real de detecção de fraude. Um modelo que classificasse todas as transações como "não fraude" também obteria uma acurácia próxima de 99%, porém falharia em seu objetivo principal.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gz1z64xw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Métricas Específicas (Classe 1 - Fraude)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avaliação da eficácia do sistema, priorizou-se a análise das métricas referentes à classe minoritária (Fraude):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Recall: 0.82</w:t>
      </w:r>
      <w:r w:rsidDel="00000000" w:rsidR="00000000" w:rsidRPr="00000000">
        <w:rPr>
          <w:rtl w:val="0"/>
        </w:rPr>
        <w:t xml:space="preserve"> Este é o indicador mais crítico para este domínio de problema. O resultado indica que o modelo foi capaz de identificar corretamente </w:t>
      </w:r>
      <w:r w:rsidDel="00000000" w:rsidR="00000000" w:rsidRPr="00000000">
        <w:rPr>
          <w:b w:val="1"/>
          <w:bCs w:val="1"/>
          <w:rtl w:val="0"/>
        </w:rPr>
        <w:t xml:space="preserve">82%</w:t>
      </w:r>
      <w:r w:rsidDel="00000000" w:rsidR="00000000" w:rsidRPr="00000000">
        <w:rPr>
          <w:rtl w:val="0"/>
        </w:rPr>
        <w:t xml:space="preserve"> de todas as transações fraudulentas presentes no conjunto de teste. Em um cenário real, isso representa uma taxa significativa de prevenção de perdas financeiras.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Precision: 0.94</w:t>
      </w:r>
      <w:r w:rsidDel="00000000" w:rsidR="00000000" w:rsidRPr="00000000">
        <w:rPr>
          <w:rtl w:val="0"/>
        </w:rPr>
        <w:t xml:space="preserve"> Dentre as transações que o modelo classificou como fraude, </w:t>
      </w:r>
      <w:r w:rsidDel="00000000" w:rsidR="00000000" w:rsidRPr="00000000">
        <w:rPr>
          <w:b w:val="1"/>
          <w:bCs w:val="1"/>
          <w:rtl w:val="0"/>
        </w:rPr>
        <w:t xml:space="preserve">94%</w:t>
      </w:r>
      <w:r w:rsidDel="00000000" w:rsidR="00000000" w:rsidRPr="00000000">
        <w:rPr>
          <w:rtl w:val="0"/>
        </w:rPr>
        <w:t xml:space="preserve"> eram realmente fraudes. Isso demonstra uma baixa taxa de falsos positivos, o que é positivo para a experiência do usuário, pois evita bloqueios indevidos de cartões de clientes legítimos.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F1-Score: 0.87</w:t>
      </w:r>
      <w:r w:rsidDel="00000000" w:rsidR="00000000" w:rsidRPr="00000000">
        <w:rPr>
          <w:rtl w:val="0"/>
        </w:rPr>
        <w:t xml:space="preserve"> A média harmônica entre </w:t>
      </w:r>
      <w:r w:rsidDel="00000000" w:rsidR="00000000" w:rsidRPr="00000000">
        <w:rPr>
          <w:i w:val="1"/>
          <w:i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demonstra um equilíbrio robusto no desempenho do classificador.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2tghrgfl4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Análise da Matriz de Confusão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matriz resultante da validação apresentou a seguinte distribuição: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[ 56859      5 ]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[    18     80 ]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Verdadeiros Negativos (56.859):</w:t>
      </w:r>
      <w:r w:rsidDel="00000000" w:rsidR="00000000" w:rsidRPr="00000000">
        <w:rPr>
          <w:rtl w:val="0"/>
        </w:rPr>
        <w:t xml:space="preserve"> Transações legítimas corretamente aprovadas pelo sistema.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Verdadeiros Positivos (80):</w:t>
      </w:r>
      <w:r w:rsidDel="00000000" w:rsidR="00000000" w:rsidRPr="00000000">
        <w:rPr>
          <w:rtl w:val="0"/>
        </w:rPr>
        <w:t xml:space="preserve"> Fraudes corretamente detectadas e bloqueadas.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Falsos Positivos (5):</w:t>
      </w:r>
      <w:r w:rsidDel="00000000" w:rsidR="00000000" w:rsidRPr="00000000">
        <w:rPr>
          <w:rtl w:val="0"/>
        </w:rPr>
        <w:t xml:space="preserve"> Transações legítimas erroneamente classificadas como fraude. Um número extremamente baixo, indicando mínimo impacto operacional no atendimento ao cliente.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Falsos Negativos (18):</w:t>
      </w:r>
      <w:r w:rsidDel="00000000" w:rsidR="00000000" w:rsidRPr="00000000">
        <w:rPr>
          <w:rtl w:val="0"/>
        </w:rPr>
        <w:t xml:space="preserve"> Fraudes que não foram detectadas pelo modelo. Este número representa a oportunidade de melhoria para futuras iterações do projeto (ex: ajuste de hiperparâmetros ou uso de técnicas de </w:t>
      </w:r>
      <w:r w:rsidDel="00000000" w:rsidR="00000000" w:rsidRPr="00000000">
        <w:rPr>
          <w:i w:val="1"/>
          <w:iCs w:val="1"/>
          <w:rtl w:val="0"/>
        </w:rPr>
        <w:t xml:space="preserve">oversampling</w:t>
      </w:r>
      <w:r w:rsidDel="00000000" w:rsidR="00000000" w:rsidRPr="00000000">
        <w:rPr>
          <w:rtl w:val="0"/>
        </w:rPr>
        <w:t xml:space="preserve"> como SMOTE).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jt6xlqugw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Conclusão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demonstrou com êxito a viabilidade técnica da construção de um pipeline de dados robusto utilizando ferramentas </w:t>
      </w:r>
      <w:r w:rsidDel="00000000" w:rsidR="00000000" w:rsidRPr="00000000">
        <w:rPr>
          <w:i w:val="1"/>
          <w:i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. A integração entre sistemas transacionais (SQL/NoSQL) e analíticos foi concluída, e o modelo de Inteligência Artificial gerado apresentou métricas satisfatórias para uma primeira versão de produção, com destaque para a alta precisão e um recall competente na identificação de atividades ilícitas.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