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3.png" ContentType="image/png"/>
  <Override PartName="/word/media/rId30.png" ContentType="image/png"/>
  <Override PartName="/word/media/rId22.png" ContentType="image/png"/>
  <Override PartName="/word/media/rId23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Análisis</w:t>
      </w:r>
      <w:r>
        <w:t xml:space="preserve"> </w:t>
      </w:r>
      <w:r>
        <w:t xml:space="preserve">de</w:t>
      </w:r>
      <w:r>
        <w:t xml:space="preserve"> </w:t>
      </w:r>
      <w:r>
        <w:t xml:space="preserve">islas</w:t>
      </w:r>
      <w:r>
        <w:t xml:space="preserve"> </w:t>
      </w:r>
      <w:r>
        <w:t xml:space="preserve">de</w:t>
      </w:r>
      <w:r>
        <w:t xml:space="preserve"> </w:t>
      </w:r>
      <w:r>
        <w:t xml:space="preserve">calor</w:t>
      </w:r>
      <w:r>
        <w:t xml:space="preserve"> </w:t>
      </w:r>
      <w:r>
        <w:t xml:space="preserve">urbano</w:t>
      </w:r>
      <w:r>
        <w:t xml:space="preserve"> </w:t>
      </w:r>
      <w:r>
        <w:t xml:space="preserve">en</w:t>
      </w:r>
      <w:r>
        <w:t xml:space="preserve"> </w:t>
      </w:r>
      <w:r>
        <w:t xml:space="preserve">Posadas,</w:t>
      </w:r>
      <w:r>
        <w:t xml:space="preserve"> </w:t>
      </w:r>
      <w:r>
        <w:t xml:space="preserve">Misiones</w:t>
      </w:r>
      <w:r>
        <w:t xml:space="preserve"> </w:t>
      </w:r>
      <w:r>
        <w:t xml:space="preserve">-</w:t>
      </w:r>
      <w:r>
        <w:t xml:space="preserve"> </w:t>
      </w:r>
      <w:r>
        <w:t xml:space="preserve">Argentina</w:t>
      </w:r>
    </w:p>
    <w:p>
      <w:pPr>
        <w:pStyle w:val="Author"/>
      </w:pPr>
      <w:r>
        <w:t xml:space="preserve">Felipe</w:t>
      </w:r>
      <w:r>
        <w:t xml:space="preserve"> </w:t>
      </w:r>
      <w:r>
        <w:t xml:space="preserve">Sodré</w:t>
      </w:r>
      <w:r>
        <w:t xml:space="preserve"> </w:t>
      </w:r>
      <w:r>
        <w:t xml:space="preserve">M.</w:t>
      </w:r>
      <w:r>
        <w:t xml:space="preserve"> </w:t>
      </w:r>
      <w:r>
        <w:t xml:space="preserve">Barros</w:t>
      </w:r>
    </w:p>
    <w:p>
      <w:pPr>
        <w:pStyle w:val="Date"/>
      </w:pPr>
      <w:r>
        <w:t xml:space="preserve">12/12/2020</w:t>
      </w:r>
    </w:p>
    <w:p>
      <w:pPr>
        <w:pStyle w:val="Heading2"/>
      </w:pPr>
      <w:bookmarkStart w:id="20" w:name="introducción"/>
      <w:r>
        <w:t xml:space="preserve">Introducción</w:t>
      </w:r>
      <w:bookmarkEnd w:id="20"/>
    </w:p>
    <w:p>
      <w:pPr>
        <w:pStyle w:val="FirstParagraph"/>
      </w:pPr>
      <w:r>
        <w:t xml:space="preserve">En el presente informe se pretende plasmar los conocimientos adquiridos en el curso-taller</w:t>
      </w:r>
      <w:r>
        <w:t xml:space="preserve"> </w:t>
      </w:r>
      <w:r>
        <w:rPr>
          <w:b/>
        </w:rPr>
        <w:t xml:space="preserve">“</w:t>
      </w:r>
      <w:r>
        <w:rPr>
          <w:b/>
        </w:rPr>
        <w:t xml:space="preserve">Análisis de islas de calor urbano empleando el paquete LSTtools en R</w:t>
      </w:r>
      <w:r>
        <w:rPr>
          <w:b/>
        </w:rPr>
        <w:t xml:space="preserve">”</w:t>
      </w:r>
      <w:r>
        <w:t xml:space="preserve"> </w:t>
      </w:r>
      <w:r>
        <w:t xml:space="preserve">a cargo del Dr. Richard Lemoine-Rodriguez.</w:t>
      </w:r>
    </w:p>
    <w:p>
      <w:pPr>
        <w:pStyle w:val="BodyText"/>
      </w:pPr>
      <w:r>
        <w:t xml:space="preserve">La idea es explorar las herramientas y análsis de islas de calor de manera experimental para, de alguna manera ya ir identificando potencialidades y límites en el uso de dichas herramientas. Lo que se busca es articular la información y conocimiento adiquirido por los análisis de ISlas de Calor con los servicios ambientales. En este caso, los servicios ambientales de las forestas por el mantenimiento de condiciones favorables de temperatura a la población.</w:t>
      </w:r>
    </w:p>
    <w:p>
      <w:pPr>
        <w:pStyle w:val="BodyText"/>
      </w:pPr>
      <w:r>
        <w:t xml:space="preserve">Ya que no dispongo de todos los materiales para el análsisis completo, buscaré desarrrollar los materiales que sean necesário y que agreguen conocimientos a los resutados, como por ejemplo, un mapa de cobertura de la tierra.</w:t>
      </w:r>
    </w:p>
    <w:p>
      <w:pPr>
        <w:pStyle w:val="Heading2"/>
      </w:pPr>
      <w:bookmarkStart w:id="21" w:name="descripción-del-área-y-ciudad-de-estudio"/>
      <w:r>
        <w:t xml:space="preserve">Descripción del área y ciudad de estudio</w:t>
      </w:r>
      <w:bookmarkEnd w:id="21"/>
    </w:p>
    <w:p>
      <w:pPr>
        <w:pStyle w:val="FirstParagraph"/>
      </w:pPr>
      <w:r>
        <w:t xml:space="preserve">En el presente estudio, se hará un análisis para el municipio de Posadas, localizado en la provincia de Misiones - Argentina (</w:t>
      </w:r>
      <w:r>
        <w:t xml:space="preserve">). Dicha provincia es también conocida como</w:t>
      </w:r>
      <w:r>
        <w:t xml:space="preserve"> </w:t>
      </w:r>
      <w:r>
        <w:t xml:space="preserve">“</w:t>
      </w:r>
      <w:r>
        <w:t xml:space="preserve">mesopotamia</w:t>
      </w:r>
      <w:r>
        <w:t xml:space="preserve">”</w:t>
      </w:r>
      <w:r>
        <w:t xml:space="preserve"> </w:t>
      </w:r>
      <w:r>
        <w:t xml:space="preserve">de Argentina ya que la misma se encuentra limitada por los dos ríos más inportantes en escala regional: el rio Paraná y el rio Uruguay. Posadas, en este sentido está ubicada en las orillas del rio Paraná en el límite Argentina/Paraguay en la región sur de la provincia.</w:t>
      </w:r>
    </w:p>
    <w:p>
      <w:pPr>
        <w:pStyle w:val="CaptionedFigure"/>
      </w:pPr>
      <w:r>
        <w:drawing>
          <wp:inline>
            <wp:extent cx="5334000" cy="4123584"/>
            <wp:effectExtent b="0" l="0" r="0" t="0"/>
            <wp:docPr descr="Mapa de localización de Posadas, Misiones - Argentina " title="" id="1" name="Picture"/>
            <a:graphic>
              <a:graphicData uri="http://schemas.openxmlformats.org/drawingml/2006/picture">
                <pic:pic>
                  <pic:nvPicPr>
                    <pic:cNvPr descr="./outputs/mapaLocalizaca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35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Mapa de localización de Posadas, Misiones - Argentina</w:t>
      </w:r>
      <w:r>
        <w:t xml:space="preserve"> </w:t>
      </w:r>
    </w:p>
    <w:p>
      <w:pPr>
        <w:pStyle w:val="CaptionedFigure"/>
      </w:pPr>
      <w:r>
        <w:drawing>
          <wp:inline>
            <wp:extent cx="5334000" cy="3483462"/>
            <wp:effectExtent b="0" l="0" r="0" t="0"/>
            <wp:docPr descr="Mapa de ecorregiones " title="" id="1" name="Picture"/>
            <a:graphic>
              <a:graphicData uri="http://schemas.openxmlformats.org/drawingml/2006/picture">
                <pic:pic>
                  <pic:nvPicPr>
                    <pic:cNvPr descr="./outputs/mapaVegetac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34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Mapa de ecorregiones</w:t>
      </w:r>
      <w:r>
        <w:t xml:space="preserve"> </w:t>
      </w:r>
    </w:p>
    <w:p>
      <w:pPr>
        <w:pStyle w:val="BodyText"/>
      </w:pPr>
      <w:r>
        <w:t xml:space="preserve">Se trata de un municipio en área de transición de tres biomas:</w:t>
      </w:r>
      <w:r>
        <w:t xml:space="preserve"> </w:t>
      </w:r>
      <w:r>
        <w:rPr>
          <w:i/>
        </w:rPr>
        <w:t xml:space="preserve">Grasslands &amp; Savannas</w:t>
      </w:r>
      <w:r>
        <w:t xml:space="preserve"> </w:t>
      </w:r>
      <w:r>
        <w:t xml:space="preserve">(conocido localmente por</w:t>
      </w:r>
      <w:r>
        <w:t xml:space="preserve"> </w:t>
      </w:r>
      <w:r>
        <w:t xml:space="preserve">“</w:t>
      </w:r>
      <w:r>
        <w:t xml:space="preserve">Campos y Malezales</w:t>
      </w:r>
      <w:r>
        <w:t xml:space="preserve">”</w:t>
      </w:r>
      <w:r>
        <w:t xml:space="preserve">);</w:t>
      </w:r>
      <w:r>
        <w:t xml:space="preserve"> </w:t>
      </w:r>
      <w:r>
        <w:rPr>
          <w:i/>
        </w:rPr>
        <w:t xml:space="preserve">Tropical &amp; Subtropical Grasslands, Savanna &amp; Shrublands</w:t>
      </w:r>
      <w:r>
        <w:t xml:space="preserve"> </w:t>
      </w:r>
      <w:r>
        <w:t xml:space="preserve">(</w:t>
      </w:r>
      <w:r>
        <w:t xml:space="preserve">“</w:t>
      </w:r>
      <w:r>
        <w:t xml:space="preserve">Esteros del Iberá</w:t>
      </w:r>
      <w:r>
        <w:t xml:space="preserve">”</w:t>
      </w:r>
      <w:r>
        <w:t xml:space="preserve">);</w:t>
      </w:r>
      <w:r>
        <w:t xml:space="preserve"> </w:t>
      </w:r>
      <w:r>
        <w:rPr>
          <w:i/>
        </w:rPr>
        <w:t xml:space="preserve">Topical &amp; Subtropical Moist Broadleaf forests</w:t>
      </w:r>
      <w:r>
        <w:t xml:space="preserve"> </w:t>
      </w:r>
      <w:r>
        <w:t xml:space="preserve">(</w:t>
      </w:r>
      <w:r>
        <w:t xml:space="preserve">“</w:t>
      </w:r>
      <w:r>
        <w:t xml:space="preserve">Selva Paranaense</w:t>
      </w:r>
      <w:r>
        <w:t xml:space="preserve">”</w:t>
      </w:r>
      <w:r>
        <w:t xml:space="preserve">). Posee clima subtropial sin estación seca.</w:t>
      </w:r>
    </w:p>
    <w:p>
      <w:pPr>
        <w:pStyle w:val="Heading2"/>
      </w:pPr>
      <w:bookmarkStart w:id="24" w:name="materiales"/>
      <w:r>
        <w:t xml:space="preserve">Materiales</w:t>
      </w:r>
      <w:bookmarkEnd w:id="24"/>
    </w:p>
    <w:p>
      <w:pPr>
        <w:pStyle w:val="Heading3"/>
      </w:pPr>
      <w:bookmarkStart w:id="25" w:name="datos-satelitales"/>
      <w:r>
        <w:t xml:space="preserve">datos satelitales:</w:t>
      </w:r>
      <w:bookmarkEnd w:id="25"/>
    </w:p>
    <w:p>
      <w:pPr>
        <w:pStyle w:val="FirstParagraph"/>
      </w:pPr>
      <w:r>
        <w:t xml:space="preserve">Para el presente estudio se utilizó el sensor del satelite LANDSAT8 para la fecha 2020-05-18 13:35:53 y cena path/row 224/79.</w:t>
      </w:r>
    </w:p>
    <w:p>
      <w:pPr>
        <w:pStyle w:val="BodyText"/>
      </w:pPr>
      <w:r>
        <w:t xml:space="preserve">Esta misma imagen fue utilizada para el análisis de cobertura de la tierra bien como para el análisis de islas de calor urbano.</w:t>
      </w:r>
    </w:p>
    <w:p>
      <w:pPr>
        <w:pStyle w:val="Heading2"/>
      </w:pPr>
      <w:bookmarkStart w:id="26" w:name="métodos"/>
      <w:r>
        <w:t xml:space="preserve">Métodos</w:t>
      </w:r>
      <w:bookmarkEnd w:id="26"/>
    </w:p>
    <w:p>
      <w:pPr>
        <w:pStyle w:val="FirstParagraph"/>
      </w:pPr>
      <w:r>
        <w:t xml:space="preserve">El primer paso que se hizo fue el preprocesamiento ya que el resultado del mismo será utilizado en todos los análisis. El mismo fue desarrollado a partir del script</w:t>
      </w:r>
      <w:r>
        <w:t xml:space="preserve"> </w:t>
      </w:r>
      <w:r>
        <w:rPr>
          <w:i/>
        </w:rPr>
        <w:t xml:space="preserve">01_proprocessing</w:t>
      </w:r>
      <w:r>
        <w:t xml:space="preserve"> </w:t>
      </w:r>
      <w:r>
        <w:t xml:space="preserve">ubicado en la carpeta</w:t>
      </w:r>
      <w:r>
        <w:t xml:space="preserve"> </w:t>
      </w:r>
      <w:r>
        <w:t xml:space="preserve">‘</w:t>
      </w:r>
      <w:r>
        <w:t xml:space="preserve">scripts</w:t>
      </w:r>
      <w:r>
        <w:t xml:space="preserve">’</w:t>
      </w:r>
      <w:r>
        <w:t xml:space="preserve">.</w:t>
      </w:r>
    </w:p>
    <w:p>
      <w:pPr>
        <w:pStyle w:val="Heading3"/>
      </w:pPr>
      <w:bookmarkStart w:id="27" w:name="preprocesamiento"/>
      <w:r>
        <w:t xml:space="preserve">Preprocesamiento</w:t>
      </w:r>
      <w:bookmarkEnd w:id="27"/>
    </w:p>
    <w:p>
      <w:pPr>
        <w:pStyle w:val="Compact"/>
        <w:numPr>
          <w:numId w:val="1001"/>
          <w:ilvl w:val="0"/>
        </w:numPr>
      </w:pPr>
      <w:r>
        <w:t xml:space="preserve">Corrección atmosférica y calibración radiométrica;</w:t>
      </w:r>
    </w:p>
    <w:p>
      <w:pPr>
        <w:pStyle w:val="Compact"/>
        <w:numPr>
          <w:numId w:val="1001"/>
          <w:ilvl w:val="0"/>
        </w:numPr>
      </w:pPr>
      <w:r>
        <w:t xml:space="preserve">Corrección topográfica:</w:t>
      </w:r>
    </w:p>
    <w:p>
      <w:pPr>
        <w:pStyle w:val="Compact"/>
        <w:numPr>
          <w:numId w:val="1001"/>
          <w:ilvl w:val="0"/>
        </w:numPr>
      </w:pPr>
      <w:r>
        <w:t xml:space="preserve">Mosaico de las cenas DEM 30 metros;</w:t>
      </w:r>
    </w:p>
    <w:p>
      <w:pPr>
        <w:pStyle w:val="Compact"/>
        <w:numPr>
          <w:numId w:val="1001"/>
          <w:ilvl w:val="0"/>
        </w:numPr>
      </w:pPr>
      <w:r>
        <w:t xml:space="preserve">Indices espectrales:</w:t>
      </w:r>
    </w:p>
    <w:p>
      <w:pPr>
        <w:pStyle w:val="Compact"/>
        <w:numPr>
          <w:numId w:val="1001"/>
          <w:ilvl w:val="0"/>
        </w:numPr>
      </w:pPr>
      <w:r>
        <w:t xml:space="preserve">NDVI;</w:t>
      </w:r>
    </w:p>
    <w:p>
      <w:pPr>
        <w:pStyle w:val="Compact"/>
        <w:numPr>
          <w:numId w:val="1001"/>
          <w:ilvl w:val="0"/>
        </w:numPr>
      </w:pPr>
      <w:r>
        <w:t xml:space="preserve">NDWI;</w:t>
      </w:r>
    </w:p>
    <w:p>
      <w:pPr>
        <w:pStyle w:val="Compact"/>
        <w:numPr>
          <w:numId w:val="1001"/>
          <w:ilvl w:val="0"/>
        </w:numPr>
      </w:pPr>
      <w:r>
        <w:t xml:space="preserve">NDBI;</w:t>
      </w:r>
    </w:p>
    <w:p>
      <w:pPr>
        <w:pStyle w:val="FirstParagraph"/>
      </w:pPr>
      <w:r>
        <w:t xml:space="preserve">Las correcciones atmosfericas y calibración radiompetricas se utilizaron las informaciones presentes en el metadato del censor. La corrección atmosferica, en específico se utilizó el método</w:t>
      </w:r>
      <w:r>
        <w:t xml:space="preserve"> </w:t>
      </w:r>
      <w:r>
        <w:rPr>
          <w:rStyle w:val="VerbatimChar"/>
        </w:rPr>
        <w:t xml:space="preserve">sdos</w:t>
      </w:r>
      <w:r>
        <w:t xml:space="preserve">. Ya con relación a la corrección topográfica, se descargó de la pagina del</w:t>
      </w:r>
      <w:r>
        <w:t xml:space="preserve"> </w:t>
      </w:r>
      <w:hyperlink r:id="rId28">
        <w:r>
          <w:rPr>
            <w:rStyle w:val="Hyperlink"/>
          </w:rPr>
          <w:t xml:space="preserve">Instituto Geográfico Nacinal de Argentina (IGN)</w:t>
        </w:r>
      </w:hyperlink>
      <w:r>
        <w:t xml:space="preserve"> </w:t>
      </w:r>
      <w:r>
        <w:t xml:space="preserve">las cenas de Modelo Digital de Elevación (DEM, en inglés) que cubra todo el minicípio de Posadas. Para eso, fue necesário hace el mosaico de las cenas</w:t>
      </w:r>
      <w:r>
        <w:t xml:space="preserve"> </w:t>
      </w:r>
      <w:r>
        <w:rPr>
          <w:rStyle w:val="VerbatimChar"/>
        </w:rPr>
        <w:t xml:space="preserve">2757-29</w:t>
      </w:r>
      <w:r>
        <w:t xml:space="preserve"> </w:t>
      </w:r>
      <w:r>
        <w:t xml:space="preserve">y</w:t>
      </w:r>
      <w:r>
        <w:t xml:space="preserve"> </w:t>
      </w:r>
      <w:r>
        <w:rPr>
          <w:rStyle w:val="VerbatimChar"/>
        </w:rPr>
        <w:t xml:space="preserve">2757-30</w:t>
      </w:r>
      <w:r>
        <w:t xml:space="preserve">, bien como proyectar el raster al mismo Sistema de Referencia de Coordenadas (SRC) de los datos de Landsat (todos los procedimientos, están plasmados en el script</w:t>
      </w:r>
      <w:r>
        <w:t xml:space="preserve"> </w:t>
      </w:r>
      <w:r>
        <w:rPr>
          <w:i/>
        </w:rPr>
        <w:t xml:space="preserve">01_preprocessing_dem</w:t>
      </w:r>
      <w:r>
        <w:t xml:space="preserve">).</w:t>
      </w:r>
    </w:p>
    <w:p>
      <w:pPr>
        <w:pStyle w:val="BodyText"/>
      </w:pPr>
      <w:r>
        <w:t xml:space="preserve">La idea de usar algunos indices espectrales para apoyar a la clasificación de la cobertura de la tierra y análisis de servicios ambientales se justifica pela presencia de áreas de foresta densa en la región, por eso el uso del NDVI, y presencia del rio Paraná, justificando el uso del NDWI. El NDBI para facilitar el análisis de la influencia de áreas construidas;</w:t>
      </w:r>
    </w:p>
    <w:p>
      <w:pPr>
        <w:pStyle w:val="Heading3"/>
      </w:pPr>
      <w:bookmarkStart w:id="29" w:name="clasificación-cobertura-de-la-tierra"/>
      <w:r>
        <w:t xml:space="preserve">Clasificación cobertura de la tierra</w:t>
      </w:r>
      <w:bookmarkEnd w:id="29"/>
    </w:p>
    <w:p>
      <w:pPr>
        <w:pStyle w:val="FirstParagraph"/>
      </w:pPr>
      <w:r>
        <w:t xml:space="preserve">Considerando los datos satelitales ya preprocesados, se desarrolló los siguintes etapas para la clasificación de cobertura del suelo:</w:t>
      </w:r>
    </w:p>
    <w:p>
      <w:pPr>
        <w:pStyle w:val="Compact"/>
        <w:numPr>
          <w:numId w:val="1002"/>
          <w:ilvl w:val="0"/>
        </w:numPr>
      </w:pPr>
      <w:r>
        <w:t xml:space="preserve">Definición de cantidad de clases;</w:t>
      </w:r>
    </w:p>
    <w:p>
      <w:pPr>
        <w:pStyle w:val="Compact"/>
        <w:numPr>
          <w:numId w:val="1002"/>
          <w:ilvl w:val="0"/>
        </w:numPr>
      </w:pPr>
      <w:r>
        <w:t xml:space="preserve">entrenamiento del modelo Kmeans</w:t>
      </w:r>
    </w:p>
    <w:p>
      <w:pPr>
        <w:pStyle w:val="Compact"/>
        <w:numPr>
          <w:numId w:val="1002"/>
          <w:ilvl w:val="0"/>
        </w:numPr>
      </w:pPr>
      <w:r>
        <w:t xml:space="preserve">Predicción</w:t>
      </w:r>
    </w:p>
    <w:p>
      <w:pPr>
        <w:pStyle w:val="FirstParagraph"/>
      </w:pPr>
      <w:r>
        <w:t xml:space="preserve">La definición de la cntidad de clases se hizo por análisis visual de la imagen considerando el conocimineto del área. De esta forma se optó por la clasificación en 5 clases distantas (</w:t>
      </w:r>
      <w:r>
        <w:t xml:space="preserve">):</w:t>
      </w:r>
    </w:p>
    <w:p>
      <w:pPr>
        <w:pStyle w:val="Compact"/>
        <w:numPr>
          <w:numId w:val="1003"/>
          <w:ilvl w:val="0"/>
        </w:numPr>
      </w:pPr>
      <w:r>
        <w:t xml:space="preserve">Herbacea / pasto</w:t>
      </w:r>
    </w:p>
    <w:p>
      <w:pPr>
        <w:pStyle w:val="Compact"/>
        <w:numPr>
          <w:numId w:val="1003"/>
          <w:ilvl w:val="0"/>
        </w:numPr>
      </w:pPr>
      <w:r>
        <w:t xml:space="preserve">Agua</w:t>
      </w:r>
    </w:p>
    <w:p>
      <w:pPr>
        <w:pStyle w:val="Compact"/>
        <w:numPr>
          <w:numId w:val="1003"/>
          <w:ilvl w:val="0"/>
        </w:numPr>
      </w:pPr>
      <w:r>
        <w:t xml:space="preserve">Floresta</w:t>
      </w:r>
    </w:p>
    <w:p>
      <w:pPr>
        <w:pStyle w:val="Compact"/>
        <w:numPr>
          <w:numId w:val="1003"/>
          <w:ilvl w:val="0"/>
        </w:numPr>
      </w:pPr>
      <w:r>
        <w:t xml:space="preserve">Solo expuesto</w:t>
      </w:r>
    </w:p>
    <w:p>
      <w:pPr>
        <w:pStyle w:val="Compact"/>
        <w:numPr>
          <w:numId w:val="1003"/>
          <w:ilvl w:val="0"/>
        </w:numPr>
      </w:pPr>
      <w:r>
        <w:t xml:space="preserve">Area urbana</w:t>
      </w:r>
    </w:p>
    <w:p>
      <w:pPr>
        <w:pStyle w:val="FirstParagraph"/>
      </w:pPr>
      <w:r>
        <w:t xml:space="preserve">Vários metodos podrían haber sido utilizados de forma a tornar dicha definición más</w:t>
      </w:r>
      <w:r>
        <w:t xml:space="preserve"> </w:t>
      </w:r>
      <w:r>
        <w:t xml:space="preserve">‘</w:t>
      </w:r>
      <w:r>
        <w:t xml:space="preserve">científica</w:t>
      </w:r>
      <w:r>
        <w:t xml:space="preserve">’</w:t>
      </w:r>
      <w:r>
        <w:t xml:space="preserve">/menos subjetiva, pero por la falta de tiempo, los mismos quedarán para otro momento. Los procedimientos desarrollados están en el script</w:t>
      </w:r>
      <w:r>
        <w:t xml:space="preserve"> </w:t>
      </w:r>
      <w:r>
        <w:rPr>
          <w:i/>
        </w:rPr>
        <w:t xml:space="preserve">02_land_cover</w:t>
      </w:r>
      <w:r>
        <w:t xml:space="preserve">.</w:t>
      </w:r>
    </w:p>
    <w:p>
      <w:pPr>
        <w:pStyle w:val="CaptionedFigure"/>
      </w:pPr>
      <w:r>
        <w:drawing>
          <wp:inline>
            <wp:extent cx="5334000" cy="412358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outputs/coberturaTierr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35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Heading3"/>
      </w:pPr>
      <w:bookmarkStart w:id="31" w:name="análisis-de-islas-de-calor-urbano"/>
      <w:r>
        <w:t xml:space="preserve">Análisis de Islas de Calor Urbano</w:t>
      </w:r>
      <w:bookmarkEnd w:id="31"/>
    </w:p>
    <w:p>
      <w:pPr>
        <w:pStyle w:val="Compact"/>
        <w:numPr>
          <w:numId w:val="1004"/>
          <w:ilvl w:val="0"/>
        </w:numPr>
      </w:pPr>
      <w:r>
        <w:t xml:space="preserve">Calculo de emissividad</w:t>
      </w:r>
    </w:p>
    <w:p>
      <w:pPr>
        <w:pStyle w:val="Compact"/>
        <w:numPr>
          <w:numId w:val="1004"/>
          <w:ilvl w:val="0"/>
        </w:numPr>
      </w:pPr>
      <w:r>
        <w:t xml:space="preserve">Calculo de LST -</w:t>
      </w:r>
      <w:r>
        <w:t xml:space="preserve"> </w:t>
      </w:r>
      <w:r>
        <w:rPr>
          <w:i/>
        </w:rPr>
        <w:t xml:space="preserve">Land Surface Temperatura</w:t>
      </w:r>
    </w:p>
    <w:p>
      <w:pPr>
        <w:pStyle w:val="FirstParagraph"/>
      </w:pPr>
      <w:r>
        <w:t xml:space="preserve">En el calculo de emissividad, se consideró valores de vegetación y no vegetación a partir de análisis visuales para el área de estudio considerando las imagenes de satelite utilizada y conocimientos del área. Los valores de proporción de vegtación y emisividad para vegetación fué de 0.8, y proporción de no vegetación y emisividade no vegetación 0.7.</w:t>
      </w:r>
    </w:p>
    <w:p>
      <w:pPr>
        <w:pStyle w:val="Heading2"/>
      </w:pPr>
      <w:bookmarkStart w:id="32" w:name="resultados"/>
      <w:r>
        <w:t xml:space="preserve">Resultados</w:t>
      </w:r>
      <w:bookmarkEnd w:id="32"/>
    </w:p>
    <w:p>
      <w:pPr>
        <w:pStyle w:val="CaptionedFigure"/>
      </w:pPr>
      <w:r>
        <w:drawing>
          <wp:inline>
            <wp:extent cx="5334000" cy="715220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outputs/LST_posada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522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Al calcular las estadísticas de Islas de Calor Urbano para el municiío de Posadas, se pudo identificar una diferencia pormedia de casi dos grados entre área forestal y área urbana;</w:t>
      </w:r>
      <w:r>
        <w:t xml:space="preserve"> </w:t>
      </w:r>
      <w:r>
        <w:t xml:space="preserve">Promedio de area urbana es menor que promedio de suelo expuesto y agua.</w:t>
      </w:r>
      <w:r>
        <w:t xml:space="preserve"> </w:t>
      </w:r>
      <w:r>
        <w:t xml:space="preserve">La mayor variación en temperatura encontrada entre temperatura minima y maximo fue en Area urbana que, inclusive tuve el menos valor de temperatura mínima.</w:t>
      </w:r>
      <w:r>
        <w:t xml:space="preserve"> </w:t>
      </w:r>
      <w:r>
        <w:t xml:space="preserve">La menor variabilidad de teperatura fe en la clase agua</w:t>
      </w:r>
      <w:r>
        <w:t xml:space="preserve"> </w:t>
      </w:r>
      <w:r>
        <w:t xml:space="preserve">Herbacea y pasto tivueron variación de temperatura similar a la de la clase de foresta;</w:t>
      </w:r>
    </w:p>
    <w:p>
      <w:pPr>
        <w:pStyle w:val="Compact"/>
      </w:pPr>
      <w:r>
        <w:t xml:space="preserve">Estadísticas de islas de calor urbana</w:t>
      </w:r>
    </w:p>
    <w:p>
      <w:pPr>
        <w:pStyle w:val="Compact"/>
      </w:pPr>
      <w:r>
        <w:t xml:space="preserve">id</w:t>
      </w:r>
    </w:p>
    <w:p>
      <w:pPr>
        <w:pStyle w:val="Compact"/>
      </w:pPr>
      <w:r>
        <w:t xml:space="preserve">min</w:t>
      </w:r>
    </w:p>
    <w:p>
      <w:pPr>
        <w:pStyle w:val="Compact"/>
      </w:pPr>
      <w:r>
        <w:t xml:space="preserve">mean</w:t>
      </w:r>
    </w:p>
    <w:p>
      <w:pPr>
        <w:pStyle w:val="Compact"/>
      </w:pPr>
      <w:r>
        <w:t xml:space="preserve">max</w:t>
      </w:r>
    </w:p>
    <w:p>
      <w:pPr>
        <w:pStyle w:val="Compact"/>
      </w:pPr>
      <w:r>
        <w:t xml:space="preserve">sd</w:t>
      </w:r>
    </w:p>
    <w:p>
      <w:pPr>
        <w:pStyle w:val="Compact"/>
      </w:pPr>
      <w:r>
        <w:t xml:space="preserve">difference</w:t>
      </w:r>
    </w:p>
    <w:p>
      <w:pPr>
        <w:pStyle w:val="Compact"/>
      </w:pPr>
      <w:r>
        <w:t xml:space="preserve">magnitud</w:t>
      </w:r>
    </w:p>
    <w:p>
      <w:pPr>
        <w:pStyle w:val="Compact"/>
      </w:pPr>
      <w:r>
        <w:t xml:space="preserve">clase</w:t>
      </w:r>
    </w:p>
    <w:p>
      <w:pPr>
        <w:pStyle w:val="Compact"/>
      </w:pPr>
      <w:r>
        <w:t xml:space="preserve">1</w:t>
      </w:r>
    </w:p>
    <w:p>
      <w:pPr>
        <w:pStyle w:val="Compact"/>
      </w:pPr>
      <w:r>
        <w:t xml:space="preserve">17.28</w:t>
      </w:r>
    </w:p>
    <w:p>
      <w:pPr>
        <w:pStyle w:val="Compact"/>
      </w:pPr>
      <w:r>
        <w:t xml:space="preserve">20.55</w:t>
      </w:r>
    </w:p>
    <w:p>
      <w:pPr>
        <w:pStyle w:val="Compact"/>
      </w:pPr>
      <w:r>
        <w:t xml:space="preserve">23.08</w:t>
      </w:r>
    </w:p>
    <w:p>
      <w:pPr>
        <w:pStyle w:val="Compact"/>
      </w:pPr>
      <w:r>
        <w:t xml:space="preserve">0.65</w:t>
      </w:r>
    </w:p>
    <w:p>
      <w:pPr>
        <w:pStyle w:val="Compact"/>
      </w:pPr>
      <w:r>
        <w:t xml:space="preserve">0.56</w:t>
      </w:r>
    </w:p>
    <w:p>
      <w:pPr>
        <w:pStyle w:val="Compact"/>
      </w:pPr>
      <w:r>
        <w:t xml:space="preserve">2.53</w:t>
      </w:r>
    </w:p>
    <w:p>
      <w:pPr>
        <w:pStyle w:val="Compact"/>
      </w:pPr>
      <w:r>
        <w:t xml:space="preserve">Herbacea/Pasto</w:t>
      </w:r>
    </w:p>
    <w:p>
      <w:pPr>
        <w:pStyle w:val="Compact"/>
      </w:pPr>
      <w:r>
        <w:t xml:space="preserve">2</w:t>
      </w:r>
    </w:p>
    <w:p>
      <w:pPr>
        <w:pStyle w:val="Compact"/>
      </w:pPr>
      <w:r>
        <w:t xml:space="preserve">17.83</w:t>
      </w:r>
    </w:p>
    <w:p>
      <w:pPr>
        <w:pStyle w:val="Compact"/>
      </w:pPr>
      <w:r>
        <w:t xml:space="preserve">21.28</w:t>
      </w:r>
    </w:p>
    <w:p>
      <w:pPr>
        <w:pStyle w:val="Compact"/>
      </w:pPr>
      <w:r>
        <w:t xml:space="preserve">22.92</w:t>
      </w:r>
    </w:p>
    <w:p>
      <w:pPr>
        <w:pStyle w:val="Compact"/>
      </w:pPr>
      <w:r>
        <w:t xml:space="preserve">0.43</w:t>
      </w:r>
    </w:p>
    <w:p>
      <w:pPr>
        <w:pStyle w:val="Compact"/>
      </w:pPr>
      <w:r>
        <w:t xml:space="preserve">-0.17</w:t>
      </w:r>
    </w:p>
    <w:p>
      <w:pPr>
        <w:pStyle w:val="Compact"/>
      </w:pPr>
      <w:r>
        <w:t xml:space="preserve">1.64</w:t>
      </w:r>
    </w:p>
    <w:p>
      <w:pPr>
        <w:pStyle w:val="Compact"/>
      </w:pPr>
      <w:r>
        <w:t xml:space="preserve">Agua</w:t>
      </w:r>
    </w:p>
    <w:p>
      <w:pPr>
        <w:pStyle w:val="Compact"/>
      </w:pPr>
      <w:r>
        <w:t xml:space="preserve">3</w:t>
      </w:r>
    </w:p>
    <w:p>
      <w:pPr>
        <w:pStyle w:val="Compact"/>
      </w:pPr>
      <w:r>
        <w:t xml:space="preserve">17.50</w:t>
      </w:r>
    </w:p>
    <w:p>
      <w:pPr>
        <w:pStyle w:val="Compact"/>
      </w:pPr>
      <w:r>
        <w:t xml:space="preserve">19.15</w:t>
      </w:r>
    </w:p>
    <w:p>
      <w:pPr>
        <w:pStyle w:val="Compact"/>
      </w:pPr>
      <w:r>
        <w:t xml:space="preserve">22.08</w:t>
      </w:r>
    </w:p>
    <w:p>
      <w:pPr>
        <w:pStyle w:val="Compact"/>
      </w:pPr>
      <w:r>
        <w:t xml:space="preserve">0.65</w:t>
      </w:r>
    </w:p>
    <w:p>
      <w:pPr>
        <w:pStyle w:val="Compact"/>
      </w:pPr>
      <w:r>
        <w:t xml:space="preserve">1.96</w:t>
      </w:r>
    </w:p>
    <w:p>
      <w:pPr>
        <w:pStyle w:val="Compact"/>
      </w:pPr>
      <w:r>
        <w:t xml:space="preserve">2.93</w:t>
      </w:r>
    </w:p>
    <w:p>
      <w:pPr>
        <w:pStyle w:val="Compact"/>
      </w:pPr>
      <w:r>
        <w:t xml:space="preserve">Foresta</w:t>
      </w:r>
    </w:p>
    <w:p>
      <w:pPr>
        <w:pStyle w:val="Compact"/>
      </w:pPr>
      <w:r>
        <w:t xml:space="preserve">4</w:t>
      </w:r>
    </w:p>
    <w:p>
      <w:pPr>
        <w:pStyle w:val="Compact"/>
      </w:pPr>
      <w:r>
        <w:t xml:space="preserve">18.91</w:t>
      </w:r>
    </w:p>
    <w:p>
      <w:pPr>
        <w:pStyle w:val="Compact"/>
      </w:pPr>
      <w:r>
        <w:t xml:space="preserve">21.74</w:t>
      </w:r>
    </w:p>
    <w:p>
      <w:pPr>
        <w:pStyle w:val="Compact"/>
      </w:pPr>
      <w:r>
        <w:t xml:space="preserve">25.23</w:t>
      </w:r>
    </w:p>
    <w:p>
      <w:pPr>
        <w:pStyle w:val="Compact"/>
      </w:pPr>
      <w:r>
        <w:t xml:space="preserve">0.73</w:t>
      </w:r>
    </w:p>
    <w:p>
      <w:pPr>
        <w:pStyle w:val="Compact"/>
      </w:pPr>
      <w:r>
        <w:t xml:space="preserve">-0.63</w:t>
      </w:r>
    </w:p>
    <w:p>
      <w:pPr>
        <w:pStyle w:val="Compact"/>
      </w:pPr>
      <w:r>
        <w:t xml:space="preserve">3.49</w:t>
      </w:r>
    </w:p>
    <w:p>
      <w:pPr>
        <w:pStyle w:val="Compact"/>
      </w:pPr>
      <w:r>
        <w:t xml:space="preserve">Suelo exposto</w:t>
      </w:r>
    </w:p>
    <w:p>
      <w:pPr>
        <w:pStyle w:val="Compact"/>
      </w:pPr>
      <w:r>
        <w:t xml:space="preserve">5</w:t>
      </w:r>
    </w:p>
    <w:p>
      <w:pPr>
        <w:pStyle w:val="Compact"/>
      </w:pPr>
      <w:r>
        <w:t xml:space="preserve">14.10</w:t>
      </w:r>
    </w:p>
    <w:p>
      <w:pPr>
        <w:pStyle w:val="Compact"/>
      </w:pPr>
      <w:r>
        <w:t xml:space="preserve">21.11</w:t>
      </w:r>
    </w:p>
    <w:p>
      <w:pPr>
        <w:pStyle w:val="Compact"/>
      </w:pPr>
      <w:r>
        <w:t xml:space="preserve">27.22</w:t>
      </w:r>
    </w:p>
    <w:p>
      <w:pPr>
        <w:pStyle w:val="Compact"/>
      </w:pPr>
      <w:r>
        <w:t xml:space="preserve">0.91</w:t>
      </w:r>
    </w:p>
    <w:p>
      <w:pPr>
        <w:pStyle w:val="Compact"/>
      </w:pPr>
      <w:r>
        <w:t xml:space="preserve">0.00</w:t>
      </w:r>
    </w:p>
    <w:p>
      <w:pPr>
        <w:pStyle w:val="Compact"/>
      </w:pPr>
      <w:r>
        <w:t xml:space="preserve">6.11</w:t>
      </w:r>
    </w:p>
    <w:p>
      <w:pPr>
        <w:pStyle w:val="Compact"/>
      </w:pPr>
      <w:r>
        <w:t xml:space="preserve">Area urbana</w:t>
      </w:r>
    </w:p>
    <w:p>
      <w:pPr>
        <w:pStyle w:val="Heading2"/>
      </w:pPr>
      <w:bookmarkStart w:id="34" w:name="interpretaciones-y-conclusiones"/>
      <w:r>
        <w:t xml:space="preserve">Interpretaciones y conclusiones</w:t>
      </w:r>
      <w:bookmarkEnd w:id="34"/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3" Target="media/rId33.png" /><Relationship Type="http://schemas.openxmlformats.org/officeDocument/2006/relationships/image" Id="rId30" Target="media/rId30.png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hyperlink" Id="rId28" Target="https://www.ign.gob.ar/category/tem%C3%A1tica/geodesia/mde-ar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8" Target="https://www.ign.gob.ar/category/tem%C3%A1tica/geodesia/mde-ar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Análisis de islas de calor urbano en Posadas, Misiones - Argentina</dc:title>
  <dc:creator>Felipe Sodré M. Barros</dc:creator>
  <cp:keywords/>
  <dcterms:created xsi:type="dcterms:W3CDTF">2020-12-16T13:55:02Z</dcterms:created>
  <dcterms:modified xsi:type="dcterms:W3CDTF">2020-12-16T13:55:02Z</dcterms:modified>
</cp:coreProperties>
</file>