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sz w:val="30"/>
        </w:rPr>
        <w:t>MINUTA DE PETIÇÃO INICIAL</w:t>
        <w:br/>
      </w:r>
      <w:r>
        <w:rPr>
          <w:b/>
          <w:sz w:val="24"/>
        </w:rPr>
        <w:t>AÇÃO DE OBRIGAÇÃO DE FAZER C/C DECLARATÓRIA DE INEXATIDÃO/IRREGULARIDADE DE DADOS, CORREÇÃO DE INFORMAÇÕES CREDITÍCIAS, TUTELA DE URGÊNCIA E ASTREINTES</w:t>
      </w:r>
    </w:p>
    <w:p>
      <w:r>
        <w:rPr>
          <w:b/>
          <w:sz w:val="24"/>
        </w:rPr>
        <w:t>EXCELENTÍSSIMO(A) SENHOR(A) DOUTOR(A) JUIZ(A) DE DIREITO DA ___ VARA CÍVEL DA COMARCA DE __________ – ESTADO DE __________</w:t>
      </w:r>
    </w:p>
    <w:p>
      <w:r>
        <w:rPr>
          <w:b/>
          <w:sz w:val="24"/>
        </w:rPr>
        <w:t>I — DOS FATOS</w:t>
      </w:r>
    </w:p>
    <w:p>
      <w:r>
        <w:t>[NOME COMPLETO DO AUTOR], [nacionalidade], [estado civil], [profissão], CPF/CNPJ nº __________, residente/sediado à __________, por intermédio de seu advogado, vem propor AÇÃO DE OBRIGAÇÃO DE FAZER C/C DECLARATÓRIA DE INEXATIDÃO/IRREGULARIDADE DE DADOS, CORREÇÃO DE INFORMAÇÕES CREDITÍCIAS E PEDIDO DE TUTELA DE URGÊNCIA em face de [INSTITUIÇÃO FINANCEIRA], CNPJ nº __________, pelos fatos e fundamentos a seguir.</w:t>
      </w:r>
    </w:p>
    <w:p>
      <w:r>
        <w:t>O Autor constatou a existência de informações cadastrais, financeiras e/ou creditícias que entende serem inexatas, incompletas, desatualizadas ou incompatíveis com sua situação real. As informações questionadas vêm produzindo impacto concreto na análise de risco e na aquisição de crédito pretendido junto a instituições financeiras.</w:t>
      </w:r>
    </w:p>
    <w:p>
      <w:r>
        <w:t>Registro/operação questionada: __________</w:t>
        <w:br/>
        <w:t>Instituição responsável: __________</w:t>
        <w:br/>
        <w:t>Valor informado: R$ __________</w:t>
        <w:br/>
        <w:t>Data/situação: __________</w:t>
        <w:br/>
        <w:t>Erro identificado: __________</w:t>
        <w:br/>
        <w:t>Crédito afetado/negado: __________</w:t>
      </w:r>
    </w:p>
    <w:p>
      <w:r>
        <w:t>O Autor não pretende eliminar informação verdadeira apenas por ser desfavorável. Pretende que os dados utilizados na análise de crédito sejam verdadeiros, completos e atualizados, com reanálise e correção das informações comprovadamente incorretas.</w:t>
      </w:r>
    </w:p>
    <w:p>
      <w:r>
        <w:rPr>
          <w:b/>
          <w:sz w:val="24"/>
        </w:rPr>
        <w:t>II — DA PROTEÇÃO CONSTITUCIONAL</w:t>
      </w:r>
    </w:p>
    <w:p>
      <w:r>
        <w:t>A Constituição Federal, art. 5º, X, protege a intimidade, a vida privada, a honra e a imagem. O inciso XXXII determina a promoção da defesa do consumidor. O art. 170, V, também estabelece a defesa do consumidor como princípio da ordem econômica.</w:t>
      </w:r>
    </w:p>
    <w:p>
      <w:r>
        <w:t>A manutenção e utilização de informação financeira incorreta pode produzir consequências econômicas concretas, razão pela qual deve ser assegurada a exatidão dos dados utilizados para avaliação do titular.</w:t>
      </w:r>
    </w:p>
    <w:p>
      <w:r>
        <w:rPr>
          <w:b/>
          <w:sz w:val="24"/>
        </w:rPr>
        <w:t>III — DO CÓDIGO DE DEFESA DO CONSUMIDOR</w:t>
      </w:r>
    </w:p>
    <w:p>
      <w:r>
        <w:t>Aplica-se o CDC às instituições financeiras, conforme Súmula 297 do STJ.</w:t>
      </w:r>
    </w:p>
    <w:p>
      <w:r>
        <w:t>O art. 6º, III, assegura informação adequada e clara; VI, efetiva prevenção e reparação de danos; VIII, facilitação da defesa, inclusive inversão do ônus quando presentes seus requisitos; e X, adequada e eficaz prestação dos serviços.</w:t>
      </w:r>
    </w:p>
    <w:p>
      <w:r>
        <w:t>O art. 43, §1º, exige dados objetivos, claros e verdadeiros. O §3º assegura ao consumidor que encontre inexatidão o direito de exigir imediata correção, com comunicação aos destinatários das informações incorretas.</w:t>
      </w:r>
    </w:p>
    <w:p>
      <w:r>
        <w:rPr>
          <w:b/>
          <w:sz w:val="24"/>
        </w:rPr>
        <w:t>IV — DA LEI GERAL DE PROTEÇÃO DE DADOS — LEI Nº 13.709/2018</w:t>
      </w:r>
    </w:p>
    <w:p>
      <w:r>
        <w:t>O art. 6º da LGPD estabelece, entre outros, os princípios da finalidade, adequação, necessidade, transparência, segurança, não discriminação e responsabilização.</w:t>
      </w:r>
    </w:p>
    <w:p>
      <w:r>
        <w:t>O art. 18, III, assegura ao titular a correção de dados incompletos, inexatos ou desatualizados. O art. 18, §6º, prevê a comunicação da correção aos agentes com os quais houve compartilhamento, observadas as hipóteses legais.</w:t>
      </w:r>
    </w:p>
    <w:p>
      <w:r>
        <w:t>O art. 19 trata do acesso às informações e o art. 44 estabelece hipóteses de tratamento irregular, inclusive quando não observada a legislação ou quando não fornecida a segurança que o titular pode esperar.</w:t>
      </w:r>
    </w:p>
    <w:p>
      <w:r>
        <w:rPr>
          <w:b/>
          <w:sz w:val="24"/>
        </w:rPr>
        <w:t>V — DO SISTEMA DE INFORMAÇÕES DE CRÉDITO — SCR</w:t>
      </w:r>
    </w:p>
    <w:p>
      <w:r>
        <w:t>O SCR é administrado pelo Banco Central e recebe informações das instituições financeiras. A instituição responsável pela operação é responsável pelas informações que encaminha, inclusive por correções e atualizações.</w:t>
      </w:r>
    </w:p>
    <w:p>
      <w:r>
        <w:t>O pedido desta ação deve ser compreendido como pedido de correção ou exclusão da informação especificamente comprovada como irregular, e não como pretensão de apagar informação verdadeira simplesmente por prejudicar o crédito.</w:t>
      </w:r>
    </w:p>
    <w:p>
      <w:r>
        <w:rPr>
          <w:b/>
          <w:sz w:val="24"/>
        </w:rPr>
        <w:t>VI — DA JURISPRUDÊNCIA DO STJ</w:t>
      </w:r>
    </w:p>
    <w:p>
      <w:r>
        <w:t>A jurisprudência do STJ diferencia o SCR dos cadastros tradicionais de inadimplentes. Em precedente recente, a Corte reafirmou que o registro no SCR não equivale, por si só, a cadastro de negativados.</w:t>
      </w:r>
    </w:p>
    <w:p>
      <w:r>
        <w:t>A presente demanda possui objeto específico: a correção de informação alegadamente inexata, incompleta ou desatualizada. A existência legítima do SCR não autoriza a manutenção de dados falsos ou incorretos.</w:t>
      </w:r>
    </w:p>
    <w:p>
      <w:r>
        <w:rPr>
          <w:b/>
          <w:sz w:val="24"/>
        </w:rPr>
        <w:t>VII — DA TUTELA DE URGÊNCIA — ART. 300 DO CPC</w:t>
      </w:r>
    </w:p>
    <w:p>
      <w:r>
        <w:t>O art. 300 do CPC permite tutela de urgência quando houver probabilidade do direito e perigo de dano ou risco ao resultado útil do processo.</w:t>
      </w:r>
    </w:p>
    <w:p>
      <w:r>
        <w:t>A probabilidade do direito decorre dos documentos anexos que demonstram a divergência entre a realidade e a informação registrada. O perigo de dano decorre da utilização das informações questionadas em análises de crédito e do risco de novas recusas, limitações ou redução de operações enquanto o processo tramita.</w:t>
      </w:r>
    </w:p>
    <w:p>
      <w:r>
        <w:t>Requer-se, portanto, tutela específica para impedir que informações comprovadamente inconsistentes continuem produzindo efeitos negativos enquanto submetidas à reanálise.</w:t>
      </w:r>
    </w:p>
    <w:p>
      <w:r>
        <w:rPr>
          <w:b/>
          <w:sz w:val="24"/>
        </w:rPr>
        <w:t>VIII — DA REANÁLISE IMEDIATA DAS INFORMAÇÕES</w:t>
      </w:r>
    </w:p>
    <w:p>
      <w:r>
        <w:t>Requer-se que a instituição ré realize reanálise administrativa completa, individualizada e documentada de todas as informações especificamente impugnadas.</w:t>
      </w:r>
    </w:p>
    <w:p>
      <w:r>
        <w:t>A reanálise deverá verificar: origem de cada informação; existência e validade da operação; valores; datas de contratação, vencimento, pagamento, liquidação ou encerramento; situação atual; divergências entre sistemas internos e informações transmitidas ao SCR; dados cadastrais incorretos, incompletos ou desatualizados; critérios de classificação; e destinatários das informações.</w:t>
      </w:r>
    </w:p>
    <w:p>
      <w:r>
        <w:t>A instituição deverá apresentar relatório circunstanciado indicando a origem, fundamento, valor, situação e documentação de cada informação analisada.</w:t>
      </w:r>
    </w:p>
    <w:p>
      <w:r>
        <w:rPr>
          <w:b/>
          <w:sz w:val="24"/>
        </w:rPr>
        <w:t>IX — DA SUSPENSÃO DOS EFEITOS DAS INFORMAÇÕES IMPUGNADAS ATÉ A REANÁLISE</w:t>
      </w:r>
    </w:p>
    <w:p>
      <w:r>
        <w:t>Enquanto não concluída a reanálise, requer-se a suspensão temporária dos efeitos das informações especificamente impugnadas, quando houver elementos documentais que indiquem sua possível inexatidão.</w:t>
      </w:r>
    </w:p>
    <w:p>
      <w:r>
        <w:t>A medida não pretende impedir a manutenção de informações verdadeiras e legitimamente registradas. Busca evitar que dados cuja exatidão está concretamente controvertida e cuja documentação aponta possível erro continuem sendo tratados como incontroversamente corretos e produzindo efeitos negativos sobre análise e aquisição de crédito.</w:t>
      </w:r>
    </w:p>
    <w:p>
      <w:r>
        <w:t>Requer-se que a reanálise seja concluída no prazo fixado pelo Juízo, sugerindo-se 10 (dez) dias, ou outro prazo que Vossa Excelência considere adequado.</w:t>
      </w:r>
    </w:p>
    <w:p>
      <w:r>
        <w:t>Confirmada a inexatidão, a ré deverá corrigir, atualizar ou excluir a informação irregular, conforme o caso.</w:t>
      </w:r>
    </w:p>
    <w:p>
      <w:r>
        <w:rPr>
          <w:b/>
          <w:sz w:val="24"/>
        </w:rPr>
        <w:t>X — DA OBRIGAÇÃO DE FAZER E TUTELA ESPECÍFICA</w:t>
      </w:r>
    </w:p>
    <w:p>
      <w:r>
        <w:t>Com fundamento nos arts. 497, 536 e 537 do CPC, requer-se que a ré seja compelida a corrigir os dados incorretos, promover a retificação perante o SCR quando for a fonte responsável, fornecer comprovante, comunicar a correção aos destinatários legalmente alcançáveis e se abster de transmitir como correta informação reconhecidamente inexata.</w:t>
      </w:r>
    </w:p>
    <w:p>
      <w:r>
        <w:rPr>
          <w:b/>
          <w:sz w:val="24"/>
        </w:rPr>
        <w:t>XI — DAS ASTREINTES</w:t>
      </w:r>
    </w:p>
    <w:p>
      <w:r>
        <w:t>Com fundamento nos arts. 536 e 537 do CPC, requer-se multa diária de R$ 1.000,00, ou outro valor arbitrado pelo Juízo, para cada dia de descumprimento após o prazo fixado, com possibilidade de majoração caso se mostre insuficiente.</w:t>
      </w:r>
    </w:p>
    <w:p>
      <w:r>
        <w:rPr>
          <w:b/>
          <w:sz w:val="24"/>
        </w:rPr>
        <w:t>XII — DA INVERSÃO DO ÔNUS DA PROVA</w:t>
      </w:r>
    </w:p>
    <w:p>
      <w:r>
        <w:t>Requer-se a aplicação do art. 6º, VIII, do CDC, diante da hipossuficiência técnica e da maior facilidade da instituição em demonstrar a origem, histórico, valores, datas e fundamento dos dados transmitidos.</w:t>
      </w:r>
    </w:p>
    <w:p>
      <w:r>
        <w:rPr>
          <w:b/>
          <w:sz w:val="24"/>
        </w:rPr>
        <w:t>XIII — DA EXIBIÇÃO DE DOCUMENTOS</w:t>
      </w:r>
    </w:p>
    <w:p>
      <w:r>
        <w:t>Requer-se que a ré apresente contrato relacionado à operação; histórico completo; documentos que deram origem ao registro; histórico de informações encaminhadas ao SCR; datas de inclusão e alteração; valores; situação da operação; protocolos de correção; comunicações ao Autor; e, na medida juridicamente possível, os destinatários das informações questionadas.</w:t>
      </w:r>
    </w:p>
    <w:p>
      <w:r>
        <w:rPr>
          <w:b/>
          <w:sz w:val="24"/>
        </w:rPr>
        <w:t>XIV — DA COMUNICAÇÃO AOS DESTINATÁRIOS</w:t>
      </w:r>
    </w:p>
    <w:p>
      <w:r>
        <w:t>Comprovado o erro, requer-se a comunicação da correção aos destinatários que efetivamente receberam a informação incorreta, nos termos do art. 43, §3º, do CDC e art. 18, §6º, da LGPD. Os órgãos/bases a serem alcançados deverão ser aqueles efetivamente identificados nos documentos e sistemas, podendo incluir, quando comprovadamente atingidos, Serasa Experian, Boa Vista, SPC Brasil, CEMPROT e outros bancos de dados pertinentes.</w:t>
      </w:r>
    </w:p>
    <w:p>
      <w:r>
        <w:rPr>
          <w:b/>
          <w:sz w:val="24"/>
        </w:rPr>
        <w:t>XV — DA DISTINÇÃO ENTRE CORREÇÃO E EXCLUSÃO</w:t>
      </w:r>
    </w:p>
    <w:p>
      <w:r>
        <w:t>O Autor não pretende obter vantagem mediante apagamento de informação verdadeira. O pedido principal é de correção e atualização de dados inexatos. Caso seja comprovada a inexistência de fundamento legítimo para determinado registro, requer-se sua exclusão. Subsidiariamente, se o Juízo entender que algum dado deve permanecer, requer-se sua adequação à realidade quanto a valor, situação, data, natureza da operação e demais elementos objetivos.</w:t>
      </w:r>
    </w:p>
    <w:p>
      <w:r>
        <w:rPr>
          <w:b/>
          <w:sz w:val="24"/>
        </w:rPr>
        <w:t>XVI — DOS PEDIDOS</w:t>
      </w:r>
    </w:p>
    <w:p>
      <w:r>
        <w:t>Diante do exposto, requer:</w:t>
      </w:r>
    </w:p>
    <w:p>
      <w:r>
        <w:t>1. Concessão da tutela de urgência, nos termos do art. 300 do CPC.</w:t>
        <w:br/>
        <w:t>2. Determinação para que a ré realize reanálise completa, individualizada e documentada das informações especificamente impugnadas.</w:t>
        <w:br/>
        <w:t>3. Determinação para conclusão da reanálise no prazo fixado pelo Juízo, sugerindo-se 10 dias.</w:t>
        <w:br/>
        <w:t>4. Suspensão temporária dos efeitos das informações especificamente impugnadas e documentalmente indicadas como possivelmente inexatas, até a conclusão da reanálise, nos limites juridicamente cabíveis.</w:t>
        <w:br/>
        <w:t>5. Determinação para que a ré não transmita ou mantenha como incontroversamente correta informação que, após reanálise, seja constatada como inexata, incompleta ou desatualizada.</w:t>
        <w:br/>
        <w:t>6. Sendo constatado erro, correção, atualização ou exclusão imediata do dado irregular, conforme o caso.</w:t>
        <w:br/>
        <w:t>7. Retificação perante o SCR/Banco Central quando a ré for a instituição responsável pela informação.</w:t>
        <w:br/>
        <w:t>8. Comunicação da correção aos destinatários que efetivamente tenham recebido o dado incorreto, inclusive bases de proteção ao crédito comprovadamente atingidas.</w:t>
        <w:br/>
        <w:t>9. Fixação de multa diária de R$ 1.000,00, ou outro valor arbitrado pelo Juízo, por descumprimento.</w:t>
        <w:br/>
        <w:t>10. Inversão do ônus da prova, quando presentes os requisitos do art. 6º, VIII, do CDC.</w:t>
        <w:br/>
        <w:t>11. Exibição dos documentos e históricos necessários à comprovação da origem e exatidão dos dados.</w:t>
        <w:br/>
        <w:t>12. Confirmação da tutela ao final.</w:t>
        <w:br/>
        <w:t>13. Caso comprovados danos materiais ou morais, condenação da ré à respectiva reparação.</w:t>
        <w:br/>
        <w:t>14. Condenação em custas e honorários, quando cabíveis.</w:t>
        <w:br/>
        <w:t>15. Produção de todas as provas admitidas em direito.</w:t>
      </w:r>
    </w:p>
    <w:p>
      <w:r>
        <w:t>O Autor não pretende que o Poder Judiciário determine a concessão de crédito, nem impedir legítima análise de risco. Pretende apenas que decisões de crédito sejam tomadas sem a utilização de informações comprovadamente incorretas, garantindo-se dados verdadeiros, completos e atualizados.</w:t>
      </w:r>
    </w:p>
    <w:p>
      <w:r>
        <w:rPr>
          <w:b/>
          <w:sz w:val="24"/>
        </w:rPr>
        <w:t>XVII — DOS REQUERIMENTOS FINAIS</w:t>
      </w:r>
    </w:p>
    <w:p>
      <w:r>
        <w:t>Requer a citação da parte ré para responder à ação, sob as consequências legais; a confirmação da tutela; a procedência dos pedidos; e a produção de todas as provas cabíveis.</w:t>
      </w:r>
    </w:p>
    <w:p>
      <w:r>
        <w:t>Dá-se à causa o valor de R$ __________.</w:t>
      </w:r>
    </w:p>
    <w:p>
      <w:r>
        <w:t>Termos em que,</w:t>
        <w:br/>
        <w:t>Pede deferimento.</w:t>
      </w:r>
    </w:p>
    <w:p>
      <w:r>
        <w:t>[ Cidade ], ___ de __________ de 2026.</w:t>
      </w:r>
    </w:p>
    <w:p>
      <w:r>
        <w:t>__________________________________</w:t>
        <w:br/>
        <w:t>[NOME DO(A) ADVOGADO(A)]</w:t>
        <w:br/>
        <w:t>OAB/___ nº __________</w:t>
      </w:r>
    </w:p>
    <w:p>
      <w:r>
        <w:rPr>
          <w:b/>
          <w:sz w:val="24"/>
        </w:rPr>
        <w:t>OBSERVAÇÃO PARA ADAPTAÇÃO ANTES DO PROTOCOLO</w:t>
      </w:r>
    </w:p>
    <w:p>
      <w:r>
        <w:t>Esta é uma minuta. Antes do protocolo, devem ser preenchidos os dados das partes, a instituição responsável, o erro específico, os documentos comprobatórios, os protocolos administrativos e o valor da causa. Recomenda-se revisão por advogado ou Defensoria Pública, especialmente para adequar competência, polo passivo, pedidos contra bases específicas e jurisprudência ao caso concreto.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Arial" w:hAnsi="Arial"/>
      <w:sz w:val="22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