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Analysis of Multidimensional Data Ecosystems for Point Absorber Behavior and Phase-Resolved Offshore Metocean Dynamics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successful commercialization of marine renewable energy (MRE) depends on the precision of environmental resource assessments and the empirical validation of energy conversion hardware. For developers of point absorber wave energy converters (WECs) and offshore wind systems, the availability of high-fidelity, time-series data is the primary driver of optimized control strategies, structural reliability, and financial bankability. The following analysis explores the global landscape of data repositories, numerical modeling frameworks, and experimental test facilities that provide critical insights into the behavior of point absorbers and the phase-resolved dynamics of offshore wind and wave environments.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High-Resolution Wind Resource Characterization and Atmospheric Modeling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Offshore wind resource assessment has evolved from coarse global reanalyses toward high-resolution, multi-decadal datasets that capture the complex physics of the marine atmospheric boundary layer. For professional engineering and site selection, standard 10-meter wind measurements are insufficient, necessitating the development of vertical wind profiles extending to modern turbine hub heights, which often exceed 150 meters.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2023 National Offshore Wind Data Set (NOW-23)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2023 National Offshore Wind (NOW-23) data set represents the most sophisticated wind resource framework for the United States Outer Continental Shelf.</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Replacing the decade-old Wind Integration National Dataset (WIND) Toolkit, NOW-23 provides 5-minute and 1-hour resolution outputs starting from January 1, 2020.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dataset is produced using the Weather Research and Forecasting (WRF) model version 4.2.1, initialized with the European Centre for Medium-Range Weather Forecasts 5 Reanalysis (ERA-5).</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modeling architecture of NOW-23 is particularly noteworthy for its vertical resolution. It incorporates 61 vertical levels, with 12 specific levels clustered in the lower 300 meters of the atmosphere, stretching from 5 m to 45 m in height to accurately characterize the wind shear and turbulence intensity affecting turbine rotors.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spatial configuration utilizes a 6 km horizontal grid spacing with an internal nested domain that refines the resolution to 2 km.</w:t>
      </w:r>
      <w:r w:rsidDel="00000000" w:rsidR="00000000" w:rsidRPr="00000000">
        <w:rPr>
          <w:rFonts w:ascii="Arial" w:cs="Arial" w:eastAsia="Arial" w:hAnsi="Arial"/>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Technical Parameter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NOW-23 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 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WRF v4.2.1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Initial Resolution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km horizontal grid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Nested Resolution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km horizontal grid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Temporal Resolution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5-minute and 1-hour intervals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Vertical Profiling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levels (12 in lower 300m)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Boundary Layer Schemes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MYNN (Atlantic/Pacific), YSU (Gulf/South Atlantic)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Initialization 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ECMWF ERA-5 (6-hour refresh)</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selection of planetary boundary layer (PBL) and surface layer schemes in NOW-23 is region-specific, based on validation against local observations. The MYNN scheme is favored for the North Atlantic, Mid-Atlantic, Great Lakes, and Hawaii, whereas the YSU scheme demonstrates better skill in the South Atlantic, Gulf of Mexico, and South Pacific regions.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regional tuning is critical for capturing the influence of sea surface temperature (SST) on atmospheric stability, which directly impacts vertical wind shear and turbulence—variables that are vital for the fatigue analysis of offshore structures.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European Wind Atlas and Long-Term Climatology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European context, the New European Wind Atlas (NEWA) provides a standardized wind resource framework across all EU member states, Norway, Switzerland, and Turkey.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NEWA offers 30-minute time-series data over a 30-year period (1989–2018), allowing for rigorous inter-annual variability assessments.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NEWA methodology utilizes a model chain where mesoscale WRF simulations are downscaled using microscale models like WAsP, which significantly reduces the bias observed in raw ERA-5 reanalysis data.</w:t>
      </w:r>
      <w:r w:rsidDel="00000000" w:rsidR="00000000" w:rsidRPr="00000000">
        <w:rPr>
          <w:rFonts w:ascii="Arial" w:cs="Arial" w:eastAsia="Arial" w:hAnsi="Arial"/>
          <w:color w:val="444746"/>
          <w:sz w:val="24"/>
          <w:szCs w:val="24"/>
          <w:vertAlign w:val="superscript"/>
          <w:rtl w:val="0"/>
        </w:rPr>
        <w:t xml:space="preserve">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Data 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Horizontal 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Vertical Hub Heights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Temporal 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NEWA Mesoscale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km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10, 50, 75, 100, 150, 200, 250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ERA-5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km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100 (others via interpolation)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hour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Global Wind Atlas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10, 50, 100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Statistical Mean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TGS Wind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km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80, 100, 120, 140, 160, 180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hour</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added value of the WRF/WAsP downscaling in NEWA is evidenced by its ability to reduce the mean wind speed bias from </w:t>
      </w:r>
      <w:r w:rsidDel="00000000" w:rsidR="00000000" w:rsidRPr="00000000">
        <w:rPr>
          <w:rFonts w:ascii="Arial" w:cs="Arial" w:eastAsia="Arial" w:hAnsi="Arial"/>
          <w:color w:val="1f1f1f"/>
        </w:rPr>
        <w:drawing>
          <wp:inline distB="19050" distT="19050" distL="19050" distR="19050">
            <wp:extent cx="1024595" cy="211257"/>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024595" cy="211257"/>
                    </a:xfrm>
                    <a:prstGeom prst="rect"/>
                    <a:ln/>
                  </pic:spPr>
                </pic:pic>
              </a:graphicData>
            </a:graphic>
          </wp:inline>
        </w:drawing>
      </w:r>
      <w:r w:rsidDel="00000000" w:rsidR="00000000" w:rsidRPr="00000000">
        <w:rPr>
          <w:rFonts w:ascii="Arial" w:cs="Arial" w:eastAsia="Arial" w:hAnsi="Arial"/>
          <w:color w:val="1f1f1f"/>
          <w:rtl w:val="0"/>
        </w:rPr>
        <w:t xml:space="preserve"> m/s in ERA-5 to </w:t>
      </w:r>
      <w:r w:rsidDel="00000000" w:rsidR="00000000" w:rsidRPr="00000000">
        <w:rPr>
          <w:rFonts w:ascii="Arial" w:cs="Arial" w:eastAsia="Arial" w:hAnsi="Arial"/>
          <w:color w:val="1f1f1f"/>
        </w:rPr>
        <w:drawing>
          <wp:inline distB="19050" distT="19050" distL="19050" distR="19050">
            <wp:extent cx="881063" cy="212304"/>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881063" cy="212304"/>
                    </a:xfrm>
                    <a:prstGeom prst="rect"/>
                    <a:ln/>
                  </pic:spPr>
                </pic:pic>
              </a:graphicData>
            </a:graphic>
          </wp:inline>
        </w:drawing>
      </w:r>
      <w:r w:rsidDel="00000000" w:rsidR="00000000" w:rsidRPr="00000000">
        <w:rPr>
          <w:rFonts w:ascii="Arial" w:cs="Arial" w:eastAsia="Arial" w:hAnsi="Arial"/>
          <w:color w:val="1f1f1f"/>
          <w:rtl w:val="0"/>
        </w:rPr>
        <w:t xml:space="preserve"> m/s.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reduction in uncertainty is critical for the bankability of offshore wind farms, where even a 1% error in mean wind speed can lead to significant discrepancies in predicted annual energy production (AEP).</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Satellite-Derived Sea Surface Winds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global coverage and real-time monitoring, satellite observations provide a vital layer of sea surface wind data. The NOAA NCEI Blended Seawinds (NBS v2.0) synthesizes observations from up to seven satellites to create global gridded wind speeds at a 0.25-degree resolution.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These datasets are derived from multiple sensor types:</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Scatterometers:</w:t>
      </w:r>
      <w:r w:rsidDel="00000000" w:rsidR="00000000" w:rsidRPr="00000000">
        <w:rPr>
          <w:rFonts w:ascii="Arial" w:cs="Arial" w:eastAsia="Arial" w:hAnsi="Arial"/>
          <w:color w:val="1f1f1f"/>
          <w:rtl w:val="0"/>
        </w:rPr>
        <w:t xml:space="preserve"> Instruments like ASCAT (on Metop-A/B/C) and SCATSAT-1 provide ocean surface vector winds (magnitude and direction) by measuring the radar reflectivity of small-scale surface waves.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Synthetic Aperture Radar (SAR):</w:t>
      </w:r>
      <w:r w:rsidDel="00000000" w:rsidR="00000000" w:rsidRPr="00000000">
        <w:rPr>
          <w:rFonts w:ascii="Arial" w:cs="Arial" w:eastAsia="Arial" w:hAnsi="Arial"/>
          <w:color w:val="1f1f1f"/>
          <w:rtl w:val="0"/>
        </w:rPr>
        <w:t xml:space="preserve"> Spaceborne SAR imagery provides the highest resolution for near-shore wind mapping, capable of resolving wind fields at 100 m resolution regardless of cloud cover or solar illumination.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Microwave Imagers:</w:t>
      </w:r>
      <w:r w:rsidDel="00000000" w:rsidR="00000000" w:rsidRPr="00000000">
        <w:rPr>
          <w:rFonts w:ascii="Arial" w:cs="Arial" w:eastAsia="Arial" w:hAnsi="Arial"/>
          <w:color w:val="1f1f1f"/>
          <w:rtl w:val="0"/>
        </w:rPr>
        <w:t xml:space="preserve"> Sensors like the Special Sensor Microwave Imager (SSM/I) contribute to the blended products used in coupled ocean-atmosphere models.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Characterization of Point Absorber Wave Energy Converters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Point absorber WECs are offshore structures that extract energy from the relative motion between a buoyant body and a fixed or semi-stationary reaction structure.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Their hallmark is a principal dimension that is small relative to the length of the incident waves, making them efficient at capturing energy from multiple directions.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Reference Model Project and RM3 Benchmark</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provide the industry with a standardized benchmark, the U.S. Department of Energy funded the Reference Model Project, which produced the Reference Model 3 (RM3)—a two-body point absorber consisting of a surface float and a submerged reaction plate.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Detailed behavior data for the RM3 is available through the Marine Hydrokinetic Data Repository (MHKDR), including 1:33 scale tank testing reports from the Scripps Institution of Oceanography.</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RM3 is designed for deployment in water depths of 40 m to 100 m, with its reaction plate positioned approximately 35 m below the surface where the water is minimally disturbed by surface waves.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performance of such devices depends heavily on their tuning; they must be controlled to oscillate in resonance with the incident wave frequency to maximize energy capture. Behavior data includes time-series of heave, surge, and pitch, as well as the power take-off (PTO) forces generated during varied sea states.</w:t>
      </w:r>
      <w:r w:rsidDel="00000000" w:rsidR="00000000" w:rsidRPr="00000000">
        <w:rPr>
          <w:rFonts w:ascii="Arial" w:cs="Arial" w:eastAsia="Arial" w:hAnsi="Arial"/>
          <w:color w:val="444746"/>
          <w:sz w:val="24"/>
          <w:szCs w:val="24"/>
          <w:vertAlign w:val="superscript"/>
          <w:rtl w:val="0"/>
        </w:rPr>
        <w:t xml:space="preserve">8</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RM3 Specification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Full-Scale Parameter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Archetype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Two-body Point Absorber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Components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Float and Spar/Heave Plate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Target Water Depth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40–100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Reaction Plate Depth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 m below MSL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Scale Factor (Test)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Modeling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WEC-Sim / BEMIO</w:t>
            </w:r>
          </w:p>
        </w:tc>
      </w:tr>
    </w:tbl>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Multi-Degree-of-Freedom Designs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traditional point absorbers like the RM3 focus on single-degree-of-freedom (DOF) heave motion, modern research is shifting toward multi-DOF devices. The TALOS WEC, for instance, utilizes six PTO elements to provide six DOFs, theoretically allowing it to harvest energy more efficiently across the multidirectional spectra of the real ocean.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Modeling the behavior of such complex systems requires high-frequency sampling (0.05 s intervals) to capture the causal relationships between wave elevation, surge, heave, pitch, and the resulting PTO moments.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Other notable point absorber datasets available for research include:</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AquaHarmonics:</w:t>
      </w:r>
      <w:r w:rsidDel="00000000" w:rsidR="00000000" w:rsidRPr="00000000">
        <w:rPr>
          <w:rFonts w:ascii="Arial" w:cs="Arial" w:eastAsia="Arial" w:hAnsi="Arial"/>
          <w:color w:val="1f1f1f"/>
          <w:rtl w:val="0"/>
        </w:rPr>
        <w:t xml:space="preserve"> Data from 1:20 scale tank tests (June and October 2018) used to validate high-fidelity WEC-Sim PTO and control models.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SeaRAY and StingRAY:</w:t>
      </w:r>
      <w:r w:rsidDel="00000000" w:rsidR="00000000" w:rsidRPr="00000000">
        <w:rPr>
          <w:rFonts w:ascii="Arial" w:cs="Arial" w:eastAsia="Arial" w:hAnsi="Arial"/>
          <w:color w:val="1f1f1f"/>
          <w:rtl w:val="0"/>
        </w:rPr>
        <w:t xml:space="preserve"> Performance and design data from deployments at the PacWave test facility.</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MBARI WEC:</w:t>
      </w:r>
      <w:r w:rsidDel="00000000" w:rsidR="00000000" w:rsidRPr="00000000">
        <w:rPr>
          <w:rFonts w:ascii="Arial" w:cs="Arial" w:eastAsia="Arial" w:hAnsi="Arial"/>
          <w:color w:val="1f1f1f"/>
          <w:rtl w:val="0"/>
        </w:rPr>
        <w:t xml:space="preserve"> Performance data from a small two-body point absorber developed by the Monterey Bay Aquarium Research Institute for powering autonomous underwater vehicles (AUVs) and sensor systems.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LUPA (Laboratory Upgrade Point Absorber):</w:t>
      </w:r>
      <w:r w:rsidDel="00000000" w:rsidR="00000000" w:rsidRPr="00000000">
        <w:rPr>
          <w:rFonts w:ascii="Arial" w:cs="Arial" w:eastAsia="Arial" w:hAnsi="Arial"/>
          <w:color w:val="1f1f1f"/>
          <w:rtl w:val="0"/>
        </w:rPr>
        <w:t xml:space="preserve"> An open-source WEC model designed specifically for laboratory-scale validation of control algorithms.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Phase-Resolved Wave Dynamics and Real-Time Prediction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transition from phase-averaged spectral models to phase-resolved wave models is a critical frontier in offshore engineering. Phase-averaged models (e.g., WAVEWATCH III, SWAN, WAM) solve the wave action balance equation to determine statistical properties like significant wave height (</w:t>
      </w:r>
      <w:r w:rsidDel="00000000" w:rsidR="00000000" w:rsidRPr="00000000">
        <w:rPr>
          <w:rFonts w:ascii="Arial" w:cs="Arial" w:eastAsia="Arial" w:hAnsi="Arial"/>
          <w:color w:val="1f1f1f"/>
        </w:rPr>
        <w:drawing>
          <wp:inline distB="19050" distT="19050" distL="19050" distR="19050">
            <wp:extent cx="222912" cy="23405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2912" cy="234057"/>
                    </a:xfrm>
                    <a:prstGeom prst="rect"/>
                    <a:ln/>
                  </pic:spPr>
                </pic:pic>
              </a:graphicData>
            </a:graphic>
          </wp:inline>
        </w:drawing>
      </w:r>
      <w:r w:rsidDel="00000000" w:rsidR="00000000" w:rsidRPr="00000000">
        <w:rPr>
          <w:rFonts w:ascii="Arial" w:cs="Arial" w:eastAsia="Arial" w:hAnsi="Arial"/>
          <w:color w:val="1f1f1f"/>
          <w:rtl w:val="0"/>
        </w:rPr>
        <w:t xml:space="preserve">) and peak period (</w:t>
      </w:r>
      <w:r w:rsidDel="00000000" w:rsidR="00000000" w:rsidRPr="00000000">
        <w:rPr>
          <w:rFonts w:ascii="Arial" w:cs="Arial" w:eastAsia="Arial" w:hAnsi="Arial"/>
          <w:color w:val="1f1f1f"/>
        </w:rPr>
        <w:drawing>
          <wp:inline distB="19050" distT="19050" distL="19050" distR="19050">
            <wp:extent cx="181901" cy="224701"/>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81901" cy="22470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In contrast, phase-resolved models solve variants of the Boussinesq or Navier-Stokes equations to track the exact elevation and flow fields of the sea surface in real-time.</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Wave Action Balance Equation, central to phase-averaged modeling, is defined as: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09039"/>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05500" cy="40903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68175" cy="22073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68175" cy="220730"/>
                    </a:xfrm>
                    <a:prstGeom prst="rect"/>
                    <a:ln/>
                  </pic:spPr>
                </pic:pic>
              </a:graphicData>
            </a:graphic>
          </wp:inline>
        </w:drawing>
      </w:r>
      <w:r w:rsidDel="00000000" w:rsidR="00000000" w:rsidRPr="00000000">
        <w:rPr>
          <w:rFonts w:ascii="Arial" w:cs="Arial" w:eastAsia="Arial" w:hAnsi="Arial"/>
          <w:color w:val="1f1f1f"/>
          <w:rtl w:val="0"/>
        </w:rPr>
        <w:t xml:space="preserve"> is the wave action density, </w:t>
      </w:r>
      <w:r w:rsidDel="00000000" w:rsidR="00000000" w:rsidRPr="00000000">
        <w:rPr>
          <w:rFonts w:ascii="Arial" w:cs="Arial" w:eastAsia="Arial" w:hAnsi="Arial"/>
          <w:color w:val="1f1f1f"/>
        </w:rPr>
        <w:drawing>
          <wp:inline distB="19050" distT="19050" distL="19050" distR="19050">
            <wp:extent cx="169664" cy="222684"/>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69664" cy="222684"/>
                    </a:xfrm>
                    <a:prstGeom prst="rect"/>
                    <a:ln/>
                  </pic:spPr>
                </pic:pic>
              </a:graphicData>
            </a:graphic>
          </wp:inline>
        </w:drawing>
      </w:r>
      <w:r w:rsidDel="00000000" w:rsidR="00000000" w:rsidRPr="00000000">
        <w:rPr>
          <w:rFonts w:ascii="Arial" w:cs="Arial" w:eastAsia="Arial" w:hAnsi="Arial"/>
          <w:color w:val="1f1f1f"/>
          <w:rtl w:val="0"/>
        </w:rPr>
        <w:t xml:space="preserve"> is the group velocity, and </w:t>
      </w:r>
      <w:r w:rsidDel="00000000" w:rsidR="00000000" w:rsidRPr="00000000">
        <w:rPr>
          <w:rFonts w:ascii="Arial" w:cs="Arial" w:eastAsia="Arial" w:hAnsi="Arial"/>
          <w:color w:val="1f1f1f"/>
        </w:rPr>
        <w:drawing>
          <wp:inline distB="19050" distT="19050" distL="19050" distR="19050">
            <wp:extent cx="123693" cy="23614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23693" cy="236140"/>
                    </a:xfrm>
                    <a:prstGeom prst="rect"/>
                    <a:ln/>
                  </pic:spPr>
                </pic:pic>
              </a:graphicData>
            </a:graphic>
          </wp:inline>
        </w:drawing>
      </w:r>
      <w:r w:rsidDel="00000000" w:rsidR="00000000" w:rsidRPr="00000000">
        <w:rPr>
          <w:rFonts w:ascii="Arial" w:cs="Arial" w:eastAsia="Arial" w:hAnsi="Arial"/>
          <w:color w:val="1f1f1f"/>
          <w:rtl w:val="0"/>
        </w:rPr>
        <w:t xml:space="preserve"> represents the source and sink terms (wind input, dissipation, non-linear interactions).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Preview-Based Control and the 20-Second Horizon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Phase-resolved forecasting is essential for the preview-based control of WECs. To maximize power take-up, a controller must predict the future wave excitation force, which is derived from the predicted wave elevation profile.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Research indicates that a forecast horizon of at least 20 seconds is required to significantly enhance WEC performance—potentially increasing energy capture by over 36% compared to standard fixed-damping control.</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Machine Learning Architectures for Wave Prediction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Given the computational complexity of traditional non-linear ocean wave prediction, machine learning (ML) has emerged as a viable path for real-time applications.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These models learn mapping relationships between historical wave data and future elevations.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ML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LSTM (Long Short-Term 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Time-series forecasting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Excellent at capturing temporal dependencies in wave trains.</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TiDE (Time-series Dense Encoder)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Robust forecasting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Maintains high accuracy even with 50% loss of upstream sensor data.</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ESN (Echo State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Real-time surface elevation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 computational efficiency for water depths of 5–30 m.</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DBNet (Dual-Branch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3D Wave forecasting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Effectively processes directional spectra in short-crested seas.</w:t>
            </w:r>
            <w:r w:rsidDel="00000000" w:rsidR="00000000" w:rsidRPr="00000000">
              <w:rPr>
                <w:rFonts w:ascii="Arial" w:cs="Arial" w:eastAsia="Arial" w:hAnsi="Arial"/>
                <w:color w:val="444746"/>
                <w:sz w:val="24"/>
                <w:szCs w:val="24"/>
                <w:vertAlign w:val="superscript"/>
                <w:rtl w:val="0"/>
              </w:rPr>
              <w:t xml:space="preserve">15</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performance of these models is highly dependent on the "predictable zone"—a spatio-temporal volume where the reconstructed wave information remains accurate. The predictability is influenced by nonlinearity, directional spreading, and the distance between the upstream sensor (e.g., a buoy or LIDAR) and the target structure.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For instance, in multidirectional seas, the directional information provided by gauge arrays is vital for maintaining model accuracy over horizons exceeding 5 seconds.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Global Data Repositories and Standardized Frameworks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Access to these diverse datasets is facilitated by institutional repositories and standardized data management practices that ensure interoperability and long-term preservation.</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Marine Hydrokinetic Data Repository (MHKDR)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MHKDR is the central repository for the U.S. marine energy community, hosting a vast array of modeling and field data.</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It categorizes information into several key areas:</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Technology Data:</w:t>
      </w:r>
      <w:r w:rsidDel="00000000" w:rsidR="00000000" w:rsidRPr="00000000">
        <w:rPr>
          <w:rFonts w:ascii="Arial" w:cs="Arial" w:eastAsia="Arial" w:hAnsi="Arial"/>
          <w:color w:val="1f1f1f"/>
          <w:rtl w:val="0"/>
        </w:rPr>
        <w:t xml:space="preserve"> Performance metrics for point absorbers, attenuators, and oscillating water columns.</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Modeling Data:</w:t>
      </w:r>
      <w:r w:rsidDel="00000000" w:rsidR="00000000" w:rsidRPr="00000000">
        <w:rPr>
          <w:rFonts w:ascii="Arial" w:cs="Arial" w:eastAsia="Arial" w:hAnsi="Arial"/>
          <w:color w:val="1f1f1f"/>
          <w:rtl w:val="0"/>
        </w:rPr>
        <w:t xml:space="preserve"> WEC-Sim and CFD (Computational Fluid Dynamics) simulation results, including unsteady RANS-VOF overset simulations for extreme sea states.</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Field and Lab Data:</w:t>
      </w:r>
      <w:r w:rsidDel="00000000" w:rsidR="00000000" w:rsidRPr="00000000">
        <w:rPr>
          <w:rFonts w:ascii="Arial" w:cs="Arial" w:eastAsia="Arial" w:hAnsi="Arial"/>
          <w:color w:val="1f1f1f"/>
          <w:rtl w:val="0"/>
        </w:rPr>
        <w:t xml:space="preserve"> Raw and processed data from tank tests (e.g., the Wave Energy Prize 1/50th scale tests) and open-ocean deployments.</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Resource Data:</w:t>
      </w:r>
      <w:r w:rsidDel="00000000" w:rsidR="00000000" w:rsidRPr="00000000">
        <w:rPr>
          <w:rFonts w:ascii="Arial" w:cs="Arial" w:eastAsia="Arial" w:hAnsi="Arial"/>
          <w:color w:val="1f1f1f"/>
          <w:rtl w:val="0"/>
        </w:rPr>
        <w:t xml:space="preserve"> Site-specific metocean conditions, including tidal current velocities and wave spectral parameters.</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Tethys Engineering Knowledge Hub</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Operated by Pacific Northwest National Laboratory (PNNL), Tethys Engineering is a technical knowledge hub that connects developers to over 1,000 documents specifically related to point absorber technology.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hub provides a curated view of emerging research, such as:</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Machine Learning-Based Power Estimation:</w:t>
      </w:r>
      <w:r w:rsidDel="00000000" w:rsidR="00000000" w:rsidRPr="00000000">
        <w:rPr>
          <w:rFonts w:ascii="Arial" w:cs="Arial" w:eastAsia="Arial" w:hAnsi="Arial"/>
          <w:color w:val="1f1f1f"/>
          <w:rtl w:val="0"/>
        </w:rPr>
        <w:t xml:space="preserve"> Utilizing neural networks to predict power output without the need for computationally intensive numerical solvers.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Non-linear Control Strategies:</w:t>
      </w:r>
      <w:r w:rsidDel="00000000" w:rsidR="00000000" w:rsidRPr="00000000">
        <w:rPr>
          <w:rFonts w:ascii="Arial" w:cs="Arial" w:eastAsia="Arial" w:hAnsi="Arial"/>
          <w:color w:val="1f1f1f"/>
          <w:rtl w:val="0"/>
        </w:rPr>
        <w:t xml:space="preserve"> Studies on piecewise linearity and their impact on the performance and structural integrity of WECs.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Hybrid Device Concepts:</w:t>
      </w:r>
      <w:r w:rsidDel="00000000" w:rsidR="00000000" w:rsidRPr="00000000">
        <w:rPr>
          <w:rFonts w:ascii="Arial" w:cs="Arial" w:eastAsia="Arial" w:hAnsi="Arial"/>
          <w:color w:val="1f1f1f"/>
          <w:rtl w:val="0"/>
        </w:rPr>
        <w:t xml:space="preserve"> Combined offshore wind and wave energy platforms, exploring shared mooring and substation infrastructure.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WMO Wave Forecast Verification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On a global scale, the World Meteorological Organization (WMO) coordinates the inter-comparison of wave model forecast verification.</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This project benchmarks the quality of wave products from centers like ECMWF, utilizing collocated model data and buoy observations of significant wave height, wave period, and wind speed.</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This standardized verification is essential for ensuring that the global wave models used to initialize regional high-resolution studies are consistent and accurate.</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Regional Facilities and Open-Ocean Test Sites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Real-world behavior data is generated at specialized test facilities that provide the infrastructure and permitting for offshore deployments.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EMEC: The Billia Croo Wave Test Site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European Marine Energy Centre (EMEC) in Orkney, Scotland, provides a grid-connected facility at Billia Croo, a site with one of the highest wave energy potentials in Europe.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Average significant wave heights range from 2 m to 3 m, with extreme waves reaching 18 m.</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management at EMEC includes:</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SCADA Integration:</w:t>
      </w:r>
      <w:r w:rsidDel="00000000" w:rsidR="00000000" w:rsidRPr="00000000">
        <w:rPr>
          <w:rFonts w:ascii="Arial" w:cs="Arial" w:eastAsia="Arial" w:hAnsi="Arial"/>
          <w:color w:val="1f1f1f"/>
          <w:rtl w:val="0"/>
        </w:rPr>
        <w:t xml:space="preserve"> Live feeds from Datawell Directional Waverider buoys and onshore weather stations are recorded via a SCADA system, to which developer clients are provided access for real-time monitoring.</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IMPAQCT Software:</w:t>
      </w:r>
      <w:r w:rsidDel="00000000" w:rsidR="00000000" w:rsidRPr="00000000">
        <w:rPr>
          <w:rFonts w:ascii="Arial" w:cs="Arial" w:eastAsia="Arial" w:hAnsi="Arial"/>
          <w:color w:val="1f1f1f"/>
          <w:rtl w:val="0"/>
        </w:rPr>
        <w:t xml:space="preserve"> An in-house tool that provides traceable and auditable quality control and processing of wave and tidal resource data in accordance with international guidelines.</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Environmental Baselines:</w:t>
      </w:r>
      <w:r w:rsidDel="00000000" w:rsidR="00000000" w:rsidRPr="00000000">
        <w:rPr>
          <w:rFonts w:ascii="Arial" w:cs="Arial" w:eastAsia="Arial" w:hAnsi="Arial"/>
          <w:color w:val="1f1f1f"/>
          <w:rtl w:val="0"/>
        </w:rPr>
        <w:t xml:space="preserve"> Long-term datasets on background noise and wildlife observations (birds and marine mammals) are maintained to assess the environmental impacts of wave energy devices.</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BiMEP: Biscay Marine Energy Platform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Situated off the Basque coast of Spain, BiMEP is an open-sea facility with water depths of 50 m to 90 m.</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It provides four offshore connection points, each capable of 5 MW.</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BiMEP’s data portal allows for the download of historical metocean buoy data (since 2008), which is critical for the offshore design of floating structures.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Projects like SafeWAVE at BiMEP have focused on the underwater noise data collection during the operation of point absorbers like the MARMOK-A-5 to reduce the uncertainty in environmental consenting.</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PacWave: Newport South Energy Test Site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PacWave, in partnership with Oregon State University and the U.S. DOE, is a state-of-the-art test site for WECs.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PacWave South consists of four berths in 65 m to 78 m of water, pre-permitted for testing up to 20 devices.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PacWave data ecosystem includes:</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Geotechnical Insights:</w:t>
      </w:r>
      <w:r w:rsidDel="00000000" w:rsidR="00000000" w:rsidRPr="00000000">
        <w:rPr>
          <w:rFonts w:ascii="Arial" w:cs="Arial" w:eastAsia="Arial" w:hAnsi="Arial"/>
          <w:color w:val="1f1f1f"/>
          <w:rtl w:val="0"/>
        </w:rPr>
        <w:t xml:space="preserve"> Cone penetration test (CPT) data and soil behavior profiles from the seabed, vital for mooring design.</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Metocean Monitoring:</w:t>
      </w:r>
      <w:r w:rsidDel="00000000" w:rsidR="00000000" w:rsidRPr="00000000">
        <w:rPr>
          <w:rFonts w:ascii="Arial" w:cs="Arial" w:eastAsia="Arial" w:hAnsi="Arial"/>
          <w:color w:val="1f1f1f"/>
          <w:rtl w:val="0"/>
        </w:rPr>
        <w:t xml:space="preserve"> Near-real-time data from Sofar Spotter wave buoys and FLOATr (Fixed Location Ocean and Atmosphere Tracking) buoys.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Technical Reports:</w:t>
      </w:r>
      <w:r w:rsidDel="00000000" w:rsidR="00000000" w:rsidRPr="00000000">
        <w:rPr>
          <w:rFonts w:ascii="Arial" w:cs="Arial" w:eastAsia="Arial" w:hAnsi="Arial"/>
          <w:color w:val="1f1f1f"/>
          <w:rtl w:val="0"/>
        </w:rPr>
        <w:t xml:space="preserve"> Design reports for devices like the StingRAY and xWave, including PTO belt assessments and risk registers.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Integrated Data Infrastructures: The Case of Portugal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Portugal has established a robust marine data infrastructure centered on the Portuguese Hydrographic Institute (IH) and its "Hidrográfico+" portal.</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This portal is a Marine Spatial Data Infrastructure (MSDI) that aggregates environmental observations, numerical models, and geospatial data in line with European sharing policies.</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Geomar Geoportal and Real-Time Observation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Geomar portal (geomar.hidrografico.pt) provides access to several critical networks:</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Coastal Network:</w:t>
      </w:r>
      <w:r w:rsidDel="00000000" w:rsidR="00000000" w:rsidRPr="00000000">
        <w:rPr>
          <w:rFonts w:ascii="Arial" w:cs="Arial" w:eastAsia="Arial" w:hAnsi="Arial"/>
          <w:color w:val="1f1f1f"/>
          <w:rtl w:val="0"/>
        </w:rPr>
        <w:t xml:space="preserve"> Datawell buoys measuring wave spectra and SST at ~100m depths, transmitting data every 30 minutes via VHF and the internet.</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HF Radar Network:</w:t>
      </w:r>
      <w:r w:rsidDel="00000000" w:rsidR="00000000" w:rsidRPr="00000000">
        <w:rPr>
          <w:rFonts w:ascii="Arial" w:cs="Arial" w:eastAsia="Arial" w:hAnsi="Arial"/>
          <w:color w:val="1f1f1f"/>
          <w:rtl w:val="0"/>
        </w:rPr>
        <w:t xml:space="preserve"> Providing surface current fields and wave information in real-time.</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MONIZEE Project:</w:t>
      </w:r>
      <w:r w:rsidDel="00000000" w:rsidR="00000000" w:rsidRPr="00000000">
        <w:rPr>
          <w:rFonts w:ascii="Arial" w:cs="Arial" w:eastAsia="Arial" w:hAnsi="Arial"/>
          <w:color w:val="1f1f1f"/>
          <w:rtl w:val="0"/>
        </w:rPr>
        <w:t xml:space="preserve"> An infrastructure for deep-sea monitoring of wave height, period, and direction.</w:t>
      </w:r>
      <w:r w:rsidDel="00000000" w:rsidR="00000000" w:rsidRPr="00000000">
        <w:rPr>
          <w:rFonts w:ascii="Arial" w:cs="Arial" w:eastAsia="Arial" w:hAnsi="Arial"/>
          <w:color w:val="444746"/>
          <w:sz w:val="24"/>
          <w:szCs w:val="24"/>
          <w:vertAlign w:val="superscript"/>
          <w:rtl w:val="0"/>
        </w:rPr>
        <w:t xml:space="preserve">36</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Monitoring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Source/Project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Wave Observation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Real-time Height, Period, Direction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Datawell Coastal Network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Surface Currents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Velocity and Direction vectors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HF Radar Network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Forecast Models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72-hour Hydrodynamic/Wave/Met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Hidrográfico+ Numerical Suite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Geomorphology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High-resolution Bathymetry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SEAMAP 2030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Geotechnical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Sedimentary Layer Thickness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ZLT Surveys / EU-SCORES</w:t>
            </w:r>
          </w:p>
        </w:tc>
      </w:tr>
    </w:tbl>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Technological Free Zone (ZLT) and Seabed Characterization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Viana do Castelo ZLT is a 7.63 square kilometer "pre-consented" area adjacent to the Windfloat Atlantic floating wind farm.</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Geophysical and geotechnical surveys conducted as part of the EU-SCORES initiative provide foundational data for floating wind and wave projects.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Key findings from phase-resolved seabed surveys in the ZLT include a stable seabed with a gentle 0.34° slope and three distinct sedimentary layers, with the top layer averaging 13 meters in thickness.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This geotechnical data is indispensable for optimizing the mooring configurations of point absorbers, which are subject to high vertical loads during peak wave excitation.</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Numerical Integration and Simulation Tools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professionals analyzing point absorber behavior, numerical simulation is the primary tool for bridging the gap between raw metocean data and mechanical performance.</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WEC-Sim: The Wave Energy Converter Simulator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WEC-Sim is an open-source code developed by NREL and Sandia National Laboratories within the MATLAB/Simulink environment.</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It is used to simulate the multi-body dynamics of WECs under various wave conditions.</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WEC-Sim workflow relies on:</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BEMIO (Boundary Element Method Input/Output):</w:t>
      </w:r>
      <w:r w:rsidDel="00000000" w:rsidR="00000000" w:rsidRPr="00000000">
        <w:rPr>
          <w:rFonts w:ascii="Arial" w:cs="Arial" w:eastAsia="Arial" w:hAnsi="Arial"/>
          <w:color w:val="1f1f1f"/>
          <w:rtl w:val="0"/>
        </w:rPr>
        <w:t xml:space="preserve"> A pre-processing tool that converts hydrodynamic coefficients from BEM solvers (like WAMIT or NEMOH) into the HDF5 (.h5) format used by WEC-Sim.</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SimMechanics/Simscape Multibody:</w:t>
      </w:r>
      <w:r w:rsidDel="00000000" w:rsidR="00000000" w:rsidRPr="00000000">
        <w:rPr>
          <w:rFonts w:ascii="Arial" w:cs="Arial" w:eastAsia="Arial" w:hAnsi="Arial"/>
          <w:color w:val="1f1f1f"/>
          <w:rtl w:val="0"/>
        </w:rPr>
        <w:t xml:space="preserve"> The underlying solver for rigid body dynamics, which handles the complex interactions between the float, spar, PTO, and mooring systems.</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Wave-to-Wire Modeling:</w:t>
      </w:r>
      <w:r w:rsidDel="00000000" w:rsidR="00000000" w:rsidRPr="00000000">
        <w:rPr>
          <w:rFonts w:ascii="Arial" w:cs="Arial" w:eastAsia="Arial" w:hAnsi="Arial"/>
          <w:color w:val="1f1f1f"/>
          <w:rtl w:val="0"/>
        </w:rPr>
        <w:t xml:space="preserve"> Coupling the hydrodynamic simulation with electrical power generation profiles and grid simulators.</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Validation and Open-Source Testing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major advancement in the field is the release of open-source datasets for model validation. The FOSWEC (Floating Oscillating Surge Wave Energy Converter) tank testing at OSU provided a high-complexity dataset that was used to validate WEC-Sim, instilling confidence in its ability to predict performance in both operational and extreme waves.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This trend toward open-source data is crucial for reducing the "proprietary barrier" that often hinders small-scale innovation in the wave energy sector.</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Synthesis of Second and Third-Order Insights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high-resolution metocean data and WEC behavior leads to several critical insights regarding the future of offshore energy design.</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Co-Location Sheltering Effect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profound second-order effect of WEC deployment is the "sheltering" they provide to downstream structures.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By extracting energy from incoming waves, WECs reduce the wave height and loading on downstream floating offshore wind turbines (FOWTs). This interaction can significantly extend the fatigue life of wind turbine substructures, potentially increasing the service life of an offshore farm by years.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Evaluating this effect requires a coupled modeling approach where the WECs are represented as obstacles with specific transmission coefficients in phase-averaged wave models.</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Integration for Digital Twins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convergence of real-time monitoring (e.g., from PacWave or EMEC buoys) and phase-resolved forecasting is leading to the development of "digital twins" for offshore energy structures.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These digital twins use ML models like TiDE or LSTM to assimilate real-time sensor data and predict structural responses to extreme events before they occur.</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ability to accurately predict phase-resolved surface elevations under data degradation (e.g., sensor failure due to storms) is a prerequisite for the autonomous operation of future offshore fleets.</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Geotechnical Stability and Mooring Optimization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detailed geomorphological and geotechnical data provided by programs like SEAMAP 2030 and IH surveys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reveals that the interaction between sedimentary cover and rocky substrate is a primary driver of mooring failure risks. For point absorbers, which often utilize high-tension mooring to maintain resonant motion, understanding the exact thickness of sedimentary layers (e.g., the 13 m top layer in the Portuguese ZLT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allows for more precise anchoring strategies, reducing both cost and environmental impact on the seabed habitats.</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Emerging Data Acquisition Strategies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buoy-based observation is increasingly supplemented by innovative data collection methods that provide higher spatial and temporal density.</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Vessels of Opportunity (VOO)</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Prototypes for autonomous systems installed on research and fishing vessels have demonstrated the ability to collect wave spectra, SST, and meteorological data in a distributed network.</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By estimating ship speed via GNSS and subtracting the vessel's motion vector from the apparent wind speed measured by onboard anemometers, "true" wind speed and direction can be derived even while the vessel is in transit.</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This approach transforms commercial shipping and fishing fleets into an "active" oceanographic sensor network.</w:t>
      </w:r>
      <w:r w:rsidDel="00000000" w:rsidR="00000000" w:rsidRPr="00000000">
        <w:rPr>
          <w:rFonts w:ascii="Arial" w:cs="Arial" w:eastAsia="Arial" w:hAnsi="Arial"/>
          <w:color w:val="444746"/>
          <w:sz w:val="24"/>
          <w:szCs w:val="24"/>
          <w:vertAlign w:val="superscript"/>
          <w:rtl w:val="0"/>
        </w:rPr>
        <w:t xml:space="preserve">46</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Remote Sensing: SAR and LIDAR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use of Synthetic Aperture Radar (SAR) is expanding from wind resource assessment to include the identification of wave breaking occurrences.</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Synchronizing single-point elevation time-series with video or SAR data allows researchers to identify wave breaking probability, a critical factor in the structural survivability of WECs during extreme sea states.</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Similarly, wave-sensing LIDAR is being explored as an alternative to moored buoys for providing the upstream data needed for phase-resolved forecasting.</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Scientific and Technical Conclusions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offshore renewable energy sector is currently in a "data-rich" phase, where the challenge is no longer the absence of data, but the integration and assimilation of multidimensional datasets into operational workflows. For point absorber converters, the path to utility-scale viability is paved by the rigorous validation of numerical tools like WEC-Sim against high-quality experimental datasets like those found in MHKDR and EMEC.</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Phase-resolved wave dynamics represent the next critical step for maximizing energy yield, but their success depends on the deployment of robust machine learning models capable of handling the inherent uncertainties of the marine environment. Simultaneously, high-resolution wind datasets like NOW-23 and NEWA are providing the necessary vertical profiling to optimize the next generation of 15 MW+ floating wind turbines.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Ultimately, the regional successes in Portugal, the UK, Spain, and the U.S. demonstrate that a coordinated approach—combining open-access portals, grid-connected test sites, and advanced numerical modeling—is the most effective way to characterize the behavior of point absorbers and the metocean dynamics that drive them. As these technologies mature, the continued synthesis of environmental data and mechanical performance will be the foundation upon which a reliable and cost-competitive maritime energy sector is built.</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Referências citadas</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2023 National Offshore Wind Data Set (NOW-23), acessado em abril 19, 2026, </w:t>
      </w:r>
      <w:hyperlink r:id="rId14">
        <w:r w:rsidDel="00000000" w:rsidR="00000000" w:rsidRPr="00000000">
          <w:rPr>
            <w:rFonts w:ascii="Arial" w:cs="Arial" w:eastAsia="Arial" w:hAnsi="Arial"/>
            <w:color w:val="0000ee"/>
            <w:sz w:val="24"/>
            <w:szCs w:val="24"/>
            <w:u w:val="single"/>
            <w:rtl w:val="0"/>
          </w:rPr>
          <w:t xml:space="preserve">https://wdh.energy.gov/project/now-23</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Copernicus Data for Offshore Wind Energy: Capabilities, Applications and Emerging Trends, acessado em abril 19, 2026, </w:t>
      </w:r>
      <w:hyperlink r:id="rId15">
        <w:r w:rsidDel="00000000" w:rsidR="00000000" w:rsidRPr="00000000">
          <w:rPr>
            <w:rFonts w:ascii="Arial" w:cs="Arial" w:eastAsia="Arial" w:hAnsi="Arial"/>
            <w:color w:val="0000ee"/>
            <w:sz w:val="24"/>
            <w:szCs w:val="24"/>
            <w:u w:val="single"/>
            <w:rtl w:val="0"/>
          </w:rPr>
          <w:t xml:space="preserve">https://www.mdpi.com/2071-1050/18/4/1949</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Making of the New European Wind Atlas – Part 2: Production and evaluation - GMD, acessado em abril 19, 2026, </w:t>
      </w:r>
      <w:hyperlink r:id="rId16">
        <w:r w:rsidDel="00000000" w:rsidR="00000000" w:rsidRPr="00000000">
          <w:rPr>
            <w:rFonts w:ascii="Arial" w:cs="Arial" w:eastAsia="Arial" w:hAnsi="Arial"/>
            <w:color w:val="0000ee"/>
            <w:sz w:val="24"/>
            <w:szCs w:val="24"/>
            <w:u w:val="single"/>
            <w:rtl w:val="0"/>
          </w:rPr>
          <w:t xml:space="preserve">https://gmd.copernicus.org/articles/13/5079/2020/</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Two-Step Spatio-Temporal Framework for Turbine-Height Wind Estimation at Unmonitored Sites from Sparse Meteorological Data - arXiv, acessado em abril 19, 2026, </w:t>
      </w:r>
      <w:hyperlink r:id="rId17">
        <w:r w:rsidDel="00000000" w:rsidR="00000000" w:rsidRPr="00000000">
          <w:rPr>
            <w:rFonts w:ascii="Arial" w:cs="Arial" w:eastAsia="Arial" w:hAnsi="Arial"/>
            <w:color w:val="0000ee"/>
            <w:sz w:val="24"/>
            <w:szCs w:val="24"/>
            <w:u w:val="single"/>
            <w:rtl w:val="0"/>
          </w:rPr>
          <w:t xml:space="preserve">https://arxiv.org/html/2602.19954v1</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Sea Surface Winds | NOAA CoastWatch, acessado em abril 19, 2026, </w:t>
      </w:r>
      <w:hyperlink r:id="rId18">
        <w:r w:rsidDel="00000000" w:rsidR="00000000" w:rsidRPr="00000000">
          <w:rPr>
            <w:rFonts w:ascii="Arial" w:cs="Arial" w:eastAsia="Arial" w:hAnsi="Arial"/>
            <w:color w:val="0000ee"/>
            <w:sz w:val="24"/>
            <w:szCs w:val="24"/>
            <w:u w:val="single"/>
            <w:rtl w:val="0"/>
          </w:rPr>
          <w:t xml:space="preserve">https://coastwatch.noaa.gov/cwn/product-families/sea-surface-winds.html</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Point Absorber | Tethys Engineering, acessado em abril 19, 2026, </w:t>
      </w:r>
      <w:hyperlink r:id="rId19">
        <w:r w:rsidDel="00000000" w:rsidR="00000000" w:rsidRPr="00000000">
          <w:rPr>
            <w:rFonts w:ascii="Arial" w:cs="Arial" w:eastAsia="Arial" w:hAnsi="Arial"/>
            <w:color w:val="0000ee"/>
            <w:sz w:val="24"/>
            <w:szCs w:val="24"/>
            <w:u w:val="single"/>
            <w:rtl w:val="0"/>
          </w:rPr>
          <w:t xml:space="preserve">https://tethys-engineering.pnnl.gov/technology/point-absorber?page=1</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Point Absorber | Tethys Engineering, acessado em abril 19, 2026, </w:t>
      </w:r>
      <w:hyperlink r:id="rId20">
        <w:r w:rsidDel="00000000" w:rsidR="00000000" w:rsidRPr="00000000">
          <w:rPr>
            <w:rFonts w:ascii="Arial" w:cs="Arial" w:eastAsia="Arial" w:hAnsi="Arial"/>
            <w:color w:val="0000ee"/>
            <w:sz w:val="24"/>
            <w:szCs w:val="24"/>
            <w:u w:val="single"/>
            <w:rtl w:val="0"/>
          </w:rPr>
          <w:t xml:space="preserve">https://tethys-engineering.pnnl.gov/technology/point-absorber</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Tutorials — WEC-Sim documentation - GitHub Pages, acessado em abril 19, 2026, </w:t>
      </w:r>
      <w:hyperlink r:id="rId21">
        <w:r w:rsidDel="00000000" w:rsidR="00000000" w:rsidRPr="00000000">
          <w:rPr>
            <w:rFonts w:ascii="Arial" w:cs="Arial" w:eastAsia="Arial" w:hAnsi="Arial"/>
            <w:color w:val="0000ee"/>
            <w:sz w:val="24"/>
            <w:szCs w:val="24"/>
            <w:u w:val="single"/>
            <w:rtl w:val="0"/>
          </w:rPr>
          <w:t xml:space="preserve">https://wec-sim.github.io/WEC-Sim/dev/user/tutorials.html</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Reference Model 3 Scaled Geometry (RM3: Wave Point Absorber) - mhkdr, acessado em abril 19, 2026, </w:t>
      </w:r>
      <w:hyperlink r:id="rId22">
        <w:r w:rsidDel="00000000" w:rsidR="00000000" w:rsidRPr="00000000">
          <w:rPr>
            <w:rFonts w:ascii="Arial" w:cs="Arial" w:eastAsia="Arial" w:hAnsi="Arial"/>
            <w:color w:val="0000ee"/>
            <w:sz w:val="24"/>
            <w:szCs w:val="24"/>
            <w:u w:val="single"/>
            <w:rtl w:val="0"/>
          </w:rPr>
          <w:t xml:space="preserve">https://mhkdr.openei.org/submissions/364</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Long-Short Term Memory Based TALOS Wave Energy Converter Power Output Prediction with Numerical Modelling - Lancaster EPrints, acessado em abril 19, 2026, </w:t>
      </w:r>
      <w:hyperlink r:id="rId23">
        <w:r w:rsidDel="00000000" w:rsidR="00000000" w:rsidRPr="00000000">
          <w:rPr>
            <w:rFonts w:ascii="Arial" w:cs="Arial" w:eastAsia="Arial" w:hAnsi="Arial"/>
            <w:color w:val="0000ee"/>
            <w:sz w:val="24"/>
            <w:szCs w:val="24"/>
            <w:u w:val="single"/>
            <w:rtl w:val="0"/>
          </w:rPr>
          <w:t xml:space="preserve">https://eprints.lancs.ac.uk/id/eprint/209694/1/Long_short_Yueqi_Wu_V3_clear.pdf</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Dataset - Catalog - Data.gov, acessado em abril 19, 2026, </w:t>
      </w:r>
      <w:hyperlink r:id="rId24">
        <w:r w:rsidDel="00000000" w:rsidR="00000000" w:rsidRPr="00000000">
          <w:rPr>
            <w:rFonts w:ascii="Arial" w:cs="Arial" w:eastAsia="Arial" w:hAnsi="Arial"/>
            <w:color w:val="0000ee"/>
            <w:sz w:val="24"/>
            <w:szCs w:val="24"/>
            <w:u w:val="single"/>
            <w:rtl w:val="0"/>
          </w:rPr>
          <w:t xml:space="preserve">https://catalog.data.gov/dataset/?_tags_limit=0&amp;publisher=AquaHarmonics%2C+Inc.</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PacWave - Open Energy Information, acessado em abril 19, 2026, </w:t>
      </w:r>
      <w:hyperlink r:id="rId25">
        <w:r w:rsidDel="00000000" w:rsidR="00000000" w:rsidRPr="00000000">
          <w:rPr>
            <w:rFonts w:ascii="Arial" w:cs="Arial" w:eastAsia="Arial" w:hAnsi="Arial"/>
            <w:color w:val="0000ee"/>
            <w:sz w:val="24"/>
            <w:szCs w:val="24"/>
            <w:u w:val="single"/>
            <w:rtl w:val="0"/>
          </w:rPr>
          <w:t xml:space="preserve">https://openei.org/wiki/PRIMRE/Signature_Projects/PacWave</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TEAMER - AquaHarmonics High Fidelity WEC Sim PTO and Control Model Validation, Test Logs and Results, acessado em abril 19, 2026, </w:t>
      </w:r>
      <w:hyperlink r:id="rId26">
        <w:r w:rsidDel="00000000" w:rsidR="00000000" w:rsidRPr="00000000">
          <w:rPr>
            <w:rFonts w:ascii="Arial" w:cs="Arial" w:eastAsia="Arial" w:hAnsi="Arial"/>
            <w:color w:val="0000ee"/>
            <w:sz w:val="24"/>
            <w:szCs w:val="24"/>
            <w:u w:val="single"/>
            <w:rtl w:val="0"/>
          </w:rPr>
          <w:t xml:space="preserve">https://data.edmgr.kr/dataView.do?id=data-gov_59bab0f3c331cf8bacb4941ef3535556c7a98654</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pacwave - Dataset - Catalog - Data.gov, acessado em abril 19, 2026, </w:t>
      </w:r>
      <w:hyperlink r:id="rId27">
        <w:r w:rsidDel="00000000" w:rsidR="00000000" w:rsidRPr="00000000">
          <w:rPr>
            <w:rFonts w:ascii="Arial" w:cs="Arial" w:eastAsia="Arial" w:hAnsi="Arial"/>
            <w:color w:val="0000ee"/>
            <w:sz w:val="24"/>
            <w:szCs w:val="24"/>
            <w:u w:val="single"/>
            <w:rtl w:val="0"/>
          </w:rPr>
          <w:t xml:space="preserve">https://catalog.data.gov/dataset/?tags=pacwave</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Phase-resolved real-time forecasting of three-dimensional ocean waves via machine learning and wave tank experiments - PEARL - Plymouth Electronic Archive and Research Library, acessado em abril 19, 2026, </w:t>
      </w:r>
      <w:hyperlink r:id="rId28">
        <w:r w:rsidDel="00000000" w:rsidR="00000000" w:rsidRPr="00000000">
          <w:rPr>
            <w:rFonts w:ascii="Arial" w:cs="Arial" w:eastAsia="Arial" w:hAnsi="Arial"/>
            <w:color w:val="0000ee"/>
            <w:sz w:val="24"/>
            <w:szCs w:val="24"/>
            <w:u w:val="single"/>
            <w:rtl w:val="0"/>
          </w:rPr>
          <w:t xml:space="preserve">https://pearl.plymouth.ac.uk/context/secam-research/article/1584/viewcontent/manuscript_clean.pdf</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Comprehensive Review of Phase-Averaged and Phase-Resolving Wave Models for Coastal Modeling Applications - arXiv, acessado em abril 19, 2026, </w:t>
      </w:r>
      <w:hyperlink r:id="rId29">
        <w:r w:rsidDel="00000000" w:rsidR="00000000" w:rsidRPr="00000000">
          <w:rPr>
            <w:rFonts w:ascii="Arial" w:cs="Arial" w:eastAsia="Arial" w:hAnsi="Arial"/>
            <w:color w:val="0000ee"/>
            <w:sz w:val="24"/>
            <w:szCs w:val="24"/>
            <w:u w:val="single"/>
            <w:rtl w:val="0"/>
          </w:rPr>
          <w:t xml:space="preserve">https://arxiv.org/html/2511.21856v1</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Uncertainty-Guided Prediction Horizon of Phase-Resolved Ocean Wave Forecasting Under Data Sparsity: Experimental and Numerical Evaluation - MDPI, acessado em abril 19, 2026, </w:t>
      </w:r>
      <w:hyperlink r:id="rId30">
        <w:r w:rsidDel="00000000" w:rsidR="00000000" w:rsidRPr="00000000">
          <w:rPr>
            <w:rFonts w:ascii="Arial" w:cs="Arial" w:eastAsia="Arial" w:hAnsi="Arial"/>
            <w:color w:val="0000ee"/>
            <w:sz w:val="24"/>
            <w:szCs w:val="24"/>
            <w:u w:val="single"/>
            <w:rtl w:val="0"/>
          </w:rPr>
          <w:t xml:space="preserve">https://www.mdpi.com/2077-1312/13/7/1250</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Development of Phase-Resolved Real-Time Wave Forecasting With Unidirectional and Multidirectional Seas - Zenodo, acessado em abril 19, 2026, </w:t>
      </w:r>
      <w:hyperlink r:id="rId31">
        <w:r w:rsidDel="00000000" w:rsidR="00000000" w:rsidRPr="00000000">
          <w:rPr>
            <w:rFonts w:ascii="Arial" w:cs="Arial" w:eastAsia="Arial" w:hAnsi="Arial"/>
            <w:color w:val="0000ee"/>
            <w:sz w:val="24"/>
            <w:szCs w:val="24"/>
            <w:u w:val="single"/>
            <w:rtl w:val="0"/>
          </w:rPr>
          <w:t xml:space="preserve">https://zenodo.org/records/10362440</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Evaluation of Different AI-Based Wave Phase-Resolved Prediction Methods - MDPI, acessado em abril 19, 2026, </w:t>
      </w:r>
      <w:hyperlink r:id="rId32">
        <w:r w:rsidDel="00000000" w:rsidR="00000000" w:rsidRPr="00000000">
          <w:rPr>
            <w:rFonts w:ascii="Arial" w:cs="Arial" w:eastAsia="Arial" w:hAnsi="Arial"/>
            <w:color w:val="0000ee"/>
            <w:sz w:val="24"/>
            <w:szCs w:val="24"/>
            <w:u w:val="single"/>
            <w:rtl w:val="0"/>
          </w:rPr>
          <w:t xml:space="preserve">https://www.mdpi.com/2077-1312/13/11/2196</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Real-time ocean wave prediction in time domain with autoregression and echo state networks - Frontiers, acessado em abril 19, 2026, </w:t>
      </w:r>
      <w:hyperlink r:id="rId33">
        <w:r w:rsidDel="00000000" w:rsidR="00000000" w:rsidRPr="00000000">
          <w:rPr>
            <w:rFonts w:ascii="Arial" w:cs="Arial" w:eastAsia="Arial" w:hAnsi="Arial"/>
            <w:color w:val="0000ee"/>
            <w:sz w:val="24"/>
            <w:szCs w:val="24"/>
            <w:u w:val="single"/>
            <w:rtl w:val="0"/>
          </w:rPr>
          <w:t xml:space="preserve">https://www.frontiersin.org/journals/marine-science/articles/10.3389/fmars.2024.1486234/full</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Search MHK Data - mhkdr, acessado em abril 19, 2026, </w:t>
      </w:r>
      <w:hyperlink r:id="rId34">
        <w:r w:rsidDel="00000000" w:rsidR="00000000" w:rsidRPr="00000000">
          <w:rPr>
            <w:rFonts w:ascii="Arial" w:cs="Arial" w:eastAsia="Arial" w:hAnsi="Arial"/>
            <w:color w:val="0000ee"/>
            <w:sz w:val="24"/>
            <w:szCs w:val="24"/>
            <w:u w:val="single"/>
            <w:rtl w:val="0"/>
          </w:rPr>
          <w:t xml:space="preserve">https://mhkdr.openei.org/search?q=TigerRAY+data&amp;dt[]=archive&amp;from=175&amp;sort=relevance</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Search MHK Data - mhkdr, acessado em abril 19, 2026, </w:t>
      </w:r>
      <w:hyperlink r:id="rId35">
        <w:r w:rsidDel="00000000" w:rsidR="00000000" w:rsidRPr="00000000">
          <w:rPr>
            <w:rFonts w:ascii="Arial" w:cs="Arial" w:eastAsia="Arial" w:hAnsi="Arial"/>
            <w:color w:val="0000ee"/>
            <w:sz w:val="24"/>
            <w:szCs w:val="24"/>
            <w:u w:val="single"/>
            <w:rtl w:val="0"/>
          </w:rPr>
          <w:t xml:space="preserve">https://mhkdr.openei.org/search?q=annual+energy+production&amp;cm[]=modeling&amp;from=25&amp;sort=relevance</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Search MHK Data - mhkdr - OpenEI, acessado em abril 19, 2026, </w:t>
      </w:r>
      <w:hyperlink r:id="rId36">
        <w:r w:rsidDel="00000000" w:rsidR="00000000" w:rsidRPr="00000000">
          <w:rPr>
            <w:rFonts w:ascii="Arial" w:cs="Arial" w:eastAsia="Arial" w:hAnsi="Arial"/>
            <w:color w:val="0000ee"/>
            <w:sz w:val="24"/>
            <w:szCs w:val="24"/>
            <w:u w:val="single"/>
            <w:rtl w:val="0"/>
          </w:rPr>
          <w:t xml:space="preserve">https://mhkdr.openei.org/search?q=wave+energy+resource+classification&amp;tx[]=point_absorber&amp;sort=relevance</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Wave Forecast Verification - WMO Community, acessado em abril 19, 2026, </w:t>
      </w:r>
      <w:hyperlink r:id="rId37">
        <w:r w:rsidDel="00000000" w:rsidR="00000000" w:rsidRPr="00000000">
          <w:rPr>
            <w:rFonts w:ascii="Arial" w:cs="Arial" w:eastAsia="Arial" w:hAnsi="Arial"/>
            <w:color w:val="0000ee"/>
            <w:sz w:val="24"/>
            <w:szCs w:val="24"/>
            <w:u w:val="single"/>
            <w:rtl w:val="0"/>
          </w:rPr>
          <w:t xml:space="preserve">https://community.wmo.int/site/knowledge-hub/programmes-and-initiatives/marine-services/wave-forecast-verification</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EMEC Billia Croo Grid-Connected Wave Test Site - Tethys, acessado em abril 19, 2026, </w:t>
      </w:r>
      <w:hyperlink r:id="rId38">
        <w:r w:rsidDel="00000000" w:rsidR="00000000" w:rsidRPr="00000000">
          <w:rPr>
            <w:rFonts w:ascii="Arial" w:cs="Arial" w:eastAsia="Arial" w:hAnsi="Arial"/>
            <w:color w:val="0000ee"/>
            <w:sz w:val="24"/>
            <w:szCs w:val="24"/>
            <w:u w:val="single"/>
            <w:rtl w:val="0"/>
          </w:rPr>
          <w:t xml:space="preserve">https://tethys.pnnl.gov/project-sites/emec-billia-croo-grid-connected-wave-test-site</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Wave data : EMEC - European Marine Energy Centre, acessado em abril 19, 2026, </w:t>
      </w:r>
      <w:hyperlink r:id="rId39">
        <w:r w:rsidDel="00000000" w:rsidR="00000000" w:rsidRPr="00000000">
          <w:rPr>
            <w:rFonts w:ascii="Arial" w:cs="Arial" w:eastAsia="Arial" w:hAnsi="Arial"/>
            <w:color w:val="0000ee"/>
            <w:sz w:val="24"/>
            <w:szCs w:val="24"/>
            <w:u w:val="single"/>
            <w:rtl w:val="0"/>
          </w:rPr>
          <w:t xml:space="preserve">https://www.emec.org.uk/facilities/live-data/wave-data/</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Metocean services : EMEC - European Marine Energy Centre, acessado em abril 19, 2026, </w:t>
      </w:r>
      <w:hyperlink r:id="rId40">
        <w:r w:rsidDel="00000000" w:rsidR="00000000" w:rsidRPr="00000000">
          <w:rPr>
            <w:rFonts w:ascii="Arial" w:cs="Arial" w:eastAsia="Arial" w:hAnsi="Arial"/>
            <w:color w:val="0000ee"/>
            <w:sz w:val="24"/>
            <w:szCs w:val="24"/>
            <w:u w:val="single"/>
            <w:rtl w:val="0"/>
          </w:rPr>
          <w:t xml:space="preserve">https://www.emec.org.uk/services/metocean-services/</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Biscay Marine Energy Platform (BiMEP), acessado em abril 19, 2026, </w:t>
      </w:r>
      <w:hyperlink r:id="rId41">
        <w:r w:rsidDel="00000000" w:rsidR="00000000" w:rsidRPr="00000000">
          <w:rPr>
            <w:rFonts w:ascii="Arial" w:cs="Arial" w:eastAsia="Arial" w:hAnsi="Arial"/>
            <w:color w:val="0000ee"/>
            <w:sz w:val="24"/>
            <w:szCs w:val="24"/>
            <w:u w:val="single"/>
            <w:rtl w:val="0"/>
          </w:rPr>
          <w:t xml:space="preserve">https://openei.org/wiki/PRIMRE/Databases/Projects_Database/Test_Sites/Biscay_Marine_Energy_Platform_(BiMEP)</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Technical Characteristics - BiMEP, acessado em abril 19, 2026, </w:t>
      </w:r>
      <w:hyperlink r:id="rId42">
        <w:r w:rsidDel="00000000" w:rsidR="00000000" w:rsidRPr="00000000">
          <w:rPr>
            <w:rFonts w:ascii="Arial" w:cs="Arial" w:eastAsia="Arial" w:hAnsi="Arial"/>
            <w:color w:val="0000ee"/>
            <w:sz w:val="24"/>
            <w:szCs w:val="24"/>
            <w:u w:val="single"/>
            <w:rtl w:val="0"/>
          </w:rPr>
          <w:t xml:space="preserve">https://www.bimep.com/en/bimep-area/technical-characteristics/</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SafeWAVE - BiMEP, acessado em abril 19, 2026, </w:t>
      </w:r>
      <w:hyperlink r:id="rId43">
        <w:r w:rsidDel="00000000" w:rsidR="00000000" w:rsidRPr="00000000">
          <w:rPr>
            <w:rFonts w:ascii="Arial" w:cs="Arial" w:eastAsia="Arial" w:hAnsi="Arial"/>
            <w:color w:val="0000ee"/>
            <w:sz w:val="24"/>
            <w:szCs w:val="24"/>
            <w:u w:val="single"/>
            <w:rtl w:val="0"/>
          </w:rPr>
          <w:t xml:space="preserve">https://www.bimep.com/en/projects/safewave-2</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contribution of the SafeWAVE EU project to the future development of ocean energy, acessado em abril 19, 2026, </w:t>
      </w:r>
      <w:hyperlink r:id="rId44">
        <w:r w:rsidDel="00000000" w:rsidR="00000000" w:rsidRPr="00000000">
          <w:rPr>
            <w:rFonts w:ascii="Arial" w:cs="Arial" w:eastAsia="Arial" w:hAnsi="Arial"/>
            <w:color w:val="0000ee"/>
            <w:sz w:val="24"/>
            <w:szCs w:val="24"/>
            <w:u w:val="single"/>
            <w:rtl w:val="0"/>
          </w:rPr>
          <w:t xml:space="preserve">https://marineenergyjournal.org/imej/article/download/213/104</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This portal organizes, systematizes and makes available data related to activities at sea, collected by the Hydrographic Institute, for the promotion of economic development and the safe use of the Portuguese sea. - Instituto Hidrográfico, acessado em abril 19, 2026, </w:t>
      </w:r>
      <w:hyperlink r:id="rId45">
        <w:r w:rsidDel="00000000" w:rsidR="00000000" w:rsidRPr="00000000">
          <w:rPr>
            <w:rFonts w:ascii="Arial" w:cs="Arial" w:eastAsia="Arial" w:hAnsi="Arial"/>
            <w:color w:val="0000ee"/>
            <w:sz w:val="24"/>
            <w:szCs w:val="24"/>
            <w:u w:val="single"/>
            <w:rtl w:val="0"/>
          </w:rPr>
          <w:t xml:space="preserve">https://www.hidrografico.pt/en/highlights/hidrografico/</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Portuguese NODC, acessado em abril 19, 2026, </w:t>
      </w:r>
      <w:hyperlink r:id="rId46">
        <w:r w:rsidDel="00000000" w:rsidR="00000000" w:rsidRPr="00000000">
          <w:rPr>
            <w:rFonts w:ascii="Arial" w:cs="Arial" w:eastAsia="Arial" w:hAnsi="Arial"/>
            <w:color w:val="0000ee"/>
            <w:sz w:val="24"/>
            <w:szCs w:val="24"/>
            <w:u w:val="single"/>
            <w:rtl w:val="0"/>
          </w:rPr>
          <w:t xml:space="preserve">https://nodc-portugal.pt/</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Hidrografico + . Portuguese Hydrographic Institute Marine Spatial Data Infrastructure - REVISTA INTERNACIONAL MAPPING, acessado em abril 19, 2026, </w:t>
      </w:r>
      <w:hyperlink r:id="rId47">
        <w:r w:rsidDel="00000000" w:rsidR="00000000" w:rsidRPr="00000000">
          <w:rPr>
            <w:rFonts w:ascii="Arial" w:cs="Arial" w:eastAsia="Arial" w:hAnsi="Arial"/>
            <w:color w:val="0000ee"/>
            <w:sz w:val="24"/>
            <w:szCs w:val="24"/>
            <w:u w:val="single"/>
            <w:rtl w:val="0"/>
          </w:rPr>
          <w:t xml:space="preserve">https://ojs.revistamapping.com/MAPPING/article/download/336/174/553</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Wave buoys in Portugal - Cerema, acessado em abril 19, 2026, </w:t>
      </w:r>
      <w:hyperlink r:id="rId48">
        <w:r w:rsidDel="00000000" w:rsidR="00000000" w:rsidRPr="00000000">
          <w:rPr>
            <w:rFonts w:ascii="Arial" w:cs="Arial" w:eastAsia="Arial" w:hAnsi="Arial"/>
            <w:color w:val="0000ee"/>
            <w:sz w:val="24"/>
            <w:szCs w:val="24"/>
            <w:u w:val="single"/>
            <w:rtl w:val="0"/>
          </w:rPr>
          <w:t xml:space="preserve">https://www.cerema.fr/en/system/files?file=documents/2022/01/10_portugal-ritaesteves.pdf</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Hidrografico Mais, acessado em abril 19, 2026, </w:t>
      </w:r>
      <w:hyperlink r:id="rId49">
        <w:r w:rsidDel="00000000" w:rsidR="00000000" w:rsidRPr="00000000">
          <w:rPr>
            <w:rFonts w:ascii="Arial" w:cs="Arial" w:eastAsia="Arial" w:hAnsi="Arial"/>
            <w:color w:val="0000ee"/>
            <w:sz w:val="24"/>
            <w:szCs w:val="24"/>
            <w:u w:val="single"/>
            <w:rtl w:val="0"/>
          </w:rPr>
          <w:t xml:space="preserve">https://geomar.hidrografico.pt/</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Second Call | JERICO Research Infrastructure, acessado em abril 19, 2026, </w:t>
      </w:r>
      <w:hyperlink r:id="rId50">
        <w:r w:rsidDel="00000000" w:rsidR="00000000" w:rsidRPr="00000000">
          <w:rPr>
            <w:rFonts w:ascii="Arial" w:cs="Arial" w:eastAsia="Arial" w:hAnsi="Arial"/>
            <w:color w:val="0000ee"/>
            <w:sz w:val="24"/>
            <w:szCs w:val="24"/>
            <w:u w:val="single"/>
            <w:rtl w:val="0"/>
          </w:rPr>
          <w:t xml:space="preserve">https://www.jerico-ri.eu/ta/call-program/second-call/</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WavEC Shares Survey Findings for Portuguese Floating Wind Demo Site - offshoreWIND.biz, acessado em abril 19, 2026, </w:t>
      </w:r>
      <w:hyperlink r:id="rId51">
        <w:r w:rsidDel="00000000" w:rsidR="00000000" w:rsidRPr="00000000">
          <w:rPr>
            <w:rFonts w:ascii="Arial" w:cs="Arial" w:eastAsia="Arial" w:hAnsi="Arial"/>
            <w:color w:val="0000ee"/>
            <w:sz w:val="24"/>
            <w:szCs w:val="24"/>
            <w:u w:val="single"/>
            <w:rtl w:val="0"/>
          </w:rPr>
          <w:t xml:space="preserve">https://www.offshorewind.biz/2025/02/21/wavec-shares-survey-findings-for-portuguese-floating-wind-demo-site/</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Seabed survey unlocks insights for floating offshore projects in Portugal, acessado em abril 19, 2026, </w:t>
      </w:r>
      <w:hyperlink r:id="rId52">
        <w:r w:rsidDel="00000000" w:rsidR="00000000" w:rsidRPr="00000000">
          <w:rPr>
            <w:rFonts w:ascii="Arial" w:cs="Arial" w:eastAsia="Arial" w:hAnsi="Arial"/>
            <w:color w:val="0000ee"/>
            <w:sz w:val="24"/>
            <w:szCs w:val="24"/>
            <w:u w:val="single"/>
            <w:rtl w:val="0"/>
          </w:rPr>
          <w:t xml:space="preserve">https://www.offshore-energy.biz/seabed-survey-unlocks-insights-for-floating-offshore-projects-in-portugal/</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Seabed survey unlocks insights for floating offshore projects in Portugal, acessado em abril 19, 2026, </w:t>
      </w:r>
      <w:hyperlink r:id="rId53">
        <w:r w:rsidDel="00000000" w:rsidR="00000000" w:rsidRPr="00000000">
          <w:rPr>
            <w:rFonts w:ascii="Arial" w:cs="Arial" w:eastAsia="Arial" w:hAnsi="Arial"/>
            <w:color w:val="0000ee"/>
            <w:sz w:val="24"/>
            <w:szCs w:val="24"/>
            <w:u w:val="single"/>
            <w:rtl w:val="0"/>
          </w:rPr>
          <w:t xml:space="preserve">https://brazilenergyinsight.com/2025/02/17/seabed-survey-unlocks-insights-for-floating-offshore-projects-in-portugal/</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TEAMER - AquaHarmonics High Fidelity WEC Sim PTO and Control Model Validation - OSTI, acessado em abril 19, 2026, </w:t>
      </w:r>
      <w:hyperlink r:id="rId54">
        <w:r w:rsidDel="00000000" w:rsidR="00000000" w:rsidRPr="00000000">
          <w:rPr>
            <w:rFonts w:ascii="Arial" w:cs="Arial" w:eastAsia="Arial" w:hAnsi="Arial"/>
            <w:color w:val="0000ee"/>
            <w:sz w:val="24"/>
            <w:szCs w:val="24"/>
            <w:u w:val="single"/>
            <w:rtl w:val="0"/>
          </w:rPr>
          <w:t xml:space="preserve">https://www.osti.gov/biblio/1995023</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EERE Success Story—Open-Source Testing Reaches New Milestone for Wave Energy, acessado em abril 19, 2026, </w:t>
      </w:r>
      <w:hyperlink r:id="rId55">
        <w:r w:rsidDel="00000000" w:rsidR="00000000" w:rsidRPr="00000000">
          <w:rPr>
            <w:rFonts w:ascii="Arial" w:cs="Arial" w:eastAsia="Arial" w:hAnsi="Arial"/>
            <w:color w:val="0000ee"/>
            <w:sz w:val="24"/>
            <w:szCs w:val="24"/>
            <w:u w:val="single"/>
            <w:rtl w:val="0"/>
          </w:rPr>
          <w:t xml:space="preserve">https://www.energy.gov/cmei/success-stories/articles/eere-success-story-open-source-testing-reaches-new-milestone-wave</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Toward Extending the Life of a Floating Offshore Wind Turbine Using Sheltering From Upstream Wave Energy Converters - ASME Digital Collection, acessado em abril 19, 2026, </w:t>
      </w:r>
      <w:hyperlink r:id="rId56">
        <w:r w:rsidDel="00000000" w:rsidR="00000000" w:rsidRPr="00000000">
          <w:rPr>
            <w:rFonts w:ascii="Arial" w:cs="Arial" w:eastAsia="Arial" w:hAnsi="Arial"/>
            <w:color w:val="0000ee"/>
            <w:sz w:val="24"/>
            <w:szCs w:val="24"/>
            <w:u w:val="single"/>
            <w:rtl w:val="0"/>
          </w:rPr>
          <w:t xml:space="preserve">https://asmedigitalcollection.asme.org/offshoremechanics/article/147/6/061702/1215531/Toward-Extending-the-Life-of-a-Floating-Offshore</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Supergen Offshore Renewable Energy (ORE) Hub - Tethys, acessado em abril 19, 2026, </w:t>
      </w:r>
      <w:hyperlink r:id="rId57">
        <w:r w:rsidDel="00000000" w:rsidR="00000000" w:rsidRPr="00000000">
          <w:rPr>
            <w:rFonts w:ascii="Arial" w:cs="Arial" w:eastAsia="Arial" w:hAnsi="Arial"/>
            <w:color w:val="0000ee"/>
            <w:sz w:val="24"/>
            <w:szCs w:val="24"/>
            <w:u w:val="single"/>
            <w:rtl w:val="0"/>
          </w:rPr>
          <w:t xml:space="preserve">https://tethys.pnnl.gov/research-studies/supergen-offshore-renewable-energy-ore-hub</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Instituto Hidrográfico, Portugal - IHO, acessado em abril 19, 2026, </w:t>
      </w:r>
      <w:hyperlink r:id="rId58">
        <w:r w:rsidDel="00000000" w:rsidR="00000000" w:rsidRPr="00000000">
          <w:rPr>
            <w:rFonts w:ascii="Arial" w:cs="Arial" w:eastAsia="Arial" w:hAnsi="Arial"/>
            <w:color w:val="0000ee"/>
            <w:sz w:val="24"/>
            <w:szCs w:val="24"/>
            <w:u w:val="single"/>
            <w:rtl w:val="0"/>
          </w:rPr>
          <w:t xml:space="preserve">https://iho.int/uploads/user/Inter-Regional%20Coordination/RHC/SWAtHC/SWAtHC17/CHAtSO17-06G_%20Presentacion_Portugal.pdf</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Field Test of an Autonomous Observing System Prototype for Measuring Oceanographic Parameters from Ships - MDPI, acessado em abril 19, 2026, </w:t>
      </w:r>
      <w:hyperlink r:id="rId59">
        <w:r w:rsidDel="00000000" w:rsidR="00000000" w:rsidRPr="00000000">
          <w:rPr>
            <w:rFonts w:ascii="Arial" w:cs="Arial" w:eastAsia="Arial" w:hAnsi="Arial"/>
            <w:color w:val="0000ee"/>
            <w:sz w:val="24"/>
            <w:szCs w:val="24"/>
            <w:u w:val="single"/>
            <w:rtl w:val="0"/>
          </w:rPr>
          <w:t xml:space="preserve">https://www.mdpi.com/2673-1924/5/1/8</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Breaking waves and their applications to the offshore wind sector - ResearchGate, acessado em abril 19, 2026, </w:t>
      </w:r>
      <w:hyperlink r:id="rId60">
        <w:r w:rsidDel="00000000" w:rsidR="00000000" w:rsidRPr="00000000">
          <w:rPr>
            <w:rFonts w:ascii="Arial" w:cs="Arial" w:eastAsia="Arial" w:hAnsi="Arial"/>
            <w:color w:val="0000ee"/>
            <w:sz w:val="24"/>
            <w:szCs w:val="24"/>
            <w:u w:val="single"/>
            <w:rtl w:val="0"/>
          </w:rPr>
          <w:t xml:space="preserve">https://www.researchgate.net/profile/Jean-Francois-Filipot/publication/373255482_Breaking_Waves_effects_on_Offshore_Wind_Turbines/links/64e34d580acf2e2b52093ffb/Breaking-Waves-effects-on-Offshore-Wind-Turbines.pdf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mec.org.uk/services/metocean-services/" TargetMode="External"/><Relationship Id="rId42" Type="http://schemas.openxmlformats.org/officeDocument/2006/relationships/hyperlink" Target="https://www.bimep.com/en/bimep-area/technical-characteristics/" TargetMode="External"/><Relationship Id="rId41" Type="http://schemas.openxmlformats.org/officeDocument/2006/relationships/hyperlink" Target="https://openei.org/wiki/PRIMRE/Databases/Projects_Database/Test_Sites/Biscay_Marine_Energy_Platform_(BiMEP)" TargetMode="External"/><Relationship Id="rId44" Type="http://schemas.openxmlformats.org/officeDocument/2006/relationships/hyperlink" Target="https://marineenergyjournal.org/imej/article/download/213/104" TargetMode="External"/><Relationship Id="rId43" Type="http://schemas.openxmlformats.org/officeDocument/2006/relationships/hyperlink" Target="https://www.bimep.com/en/projects/safewave-2" TargetMode="External"/><Relationship Id="rId46" Type="http://schemas.openxmlformats.org/officeDocument/2006/relationships/hyperlink" Target="https://nodc-portugal.pt/" TargetMode="External"/><Relationship Id="rId45" Type="http://schemas.openxmlformats.org/officeDocument/2006/relationships/hyperlink" Target="https://www.hidrografico.pt/en/highlights/hidrografi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cerema.fr/en/system/files?file=documents/2022/01/10_portugal-ritaesteves.pdf" TargetMode="External"/><Relationship Id="rId47" Type="http://schemas.openxmlformats.org/officeDocument/2006/relationships/hyperlink" Target="https://ojs.revistamapping.com/MAPPING/article/download/336/174/553" TargetMode="External"/><Relationship Id="rId49" Type="http://schemas.openxmlformats.org/officeDocument/2006/relationships/hyperlink" Target="https://geomar.hidrografico.pt/"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1.png"/><Relationship Id="rId31" Type="http://schemas.openxmlformats.org/officeDocument/2006/relationships/hyperlink" Target="https://zenodo.org/records/10362440" TargetMode="External"/><Relationship Id="rId30" Type="http://schemas.openxmlformats.org/officeDocument/2006/relationships/hyperlink" Target="https://www.mdpi.com/2077-1312/13/7/1250" TargetMode="External"/><Relationship Id="rId33" Type="http://schemas.openxmlformats.org/officeDocument/2006/relationships/hyperlink" Target="https://www.frontiersin.org/journals/marine-science/articles/10.3389/fmars.2024.1486234/full" TargetMode="External"/><Relationship Id="rId32" Type="http://schemas.openxmlformats.org/officeDocument/2006/relationships/hyperlink" Target="https://www.mdpi.com/2077-1312/13/11/2196" TargetMode="External"/><Relationship Id="rId35" Type="http://schemas.openxmlformats.org/officeDocument/2006/relationships/hyperlink" Target="https://mhkdr.openei.org/search?q=annual+energy+production&amp;cm%5B%5D=modeling&amp;from=25&amp;sort=relevance" TargetMode="External"/><Relationship Id="rId34" Type="http://schemas.openxmlformats.org/officeDocument/2006/relationships/hyperlink" Target="https://mhkdr.openei.org/search?q=TigerRAY+data&amp;dt%5B%5D=archive&amp;from=175&amp;sort=relevance" TargetMode="External"/><Relationship Id="rId37" Type="http://schemas.openxmlformats.org/officeDocument/2006/relationships/hyperlink" Target="https://community.wmo.int/site/knowledge-hub/programmes-and-initiatives/marine-services/wave-forecast-verification" TargetMode="External"/><Relationship Id="rId36" Type="http://schemas.openxmlformats.org/officeDocument/2006/relationships/hyperlink" Target="https://mhkdr.openei.org/search?q=wave+energy+resource+classification&amp;tx%5B%5D=point_absorber&amp;sort=relevance" TargetMode="External"/><Relationship Id="rId39" Type="http://schemas.openxmlformats.org/officeDocument/2006/relationships/hyperlink" Target="https://www.emec.org.uk/facilities/live-data/wave-data/" TargetMode="External"/><Relationship Id="rId38" Type="http://schemas.openxmlformats.org/officeDocument/2006/relationships/hyperlink" Target="https://tethys.pnnl.gov/project-sites/emec-billia-croo-grid-connected-wave-test-site" TargetMode="External"/><Relationship Id="rId20" Type="http://schemas.openxmlformats.org/officeDocument/2006/relationships/hyperlink" Target="https://tethys-engineering.pnnl.gov/technology/point-absorber" TargetMode="External"/><Relationship Id="rId22" Type="http://schemas.openxmlformats.org/officeDocument/2006/relationships/hyperlink" Target="https://mhkdr.openei.org/submissions/364" TargetMode="External"/><Relationship Id="rId21" Type="http://schemas.openxmlformats.org/officeDocument/2006/relationships/hyperlink" Target="https://wec-sim.github.io/WEC-Sim/dev/user/tutorials.html" TargetMode="External"/><Relationship Id="rId24" Type="http://schemas.openxmlformats.org/officeDocument/2006/relationships/hyperlink" Target="https://catalog.data.gov/dataset/?_tags_limit=0&amp;publisher=AquaHarmonics,+Inc." TargetMode="External"/><Relationship Id="rId23" Type="http://schemas.openxmlformats.org/officeDocument/2006/relationships/hyperlink" Target="https://eprints.lancs.ac.uk/id/eprint/209694/1/Long_short_Yueqi_Wu_V3_clear.pdf" TargetMode="External"/><Relationship Id="rId60" Type="http://schemas.openxmlformats.org/officeDocument/2006/relationships/hyperlink" Target="https://www.researchgate.net/profile/Jean-Francois-Filipot/publication/373255482_Breaking_Waves_effects_on_Offshore_Wind_Turbines/links/64e34d580acf2e2b52093ffb/Breaking-Waves-effects-on-Offshore-Wind-Turbines.pdf" TargetMode="External"/><Relationship Id="rId26" Type="http://schemas.openxmlformats.org/officeDocument/2006/relationships/hyperlink" Target="https://data.edmgr.kr/dataView.do?id=data-gov_59bab0f3c331cf8bacb4941ef3535556c7a98654" TargetMode="External"/><Relationship Id="rId25" Type="http://schemas.openxmlformats.org/officeDocument/2006/relationships/hyperlink" Target="https://openei.org/wiki/PRIMRE/Signature_Projects/PacWave" TargetMode="External"/><Relationship Id="rId28" Type="http://schemas.openxmlformats.org/officeDocument/2006/relationships/hyperlink" Target="https://pearl.plymouth.ac.uk/context/secam-research/article/1584/viewcontent/manuscript_clean.pdf" TargetMode="External"/><Relationship Id="rId27" Type="http://schemas.openxmlformats.org/officeDocument/2006/relationships/hyperlink" Target="https://catalog.data.gov/dataset/?tags=pacwave" TargetMode="External"/><Relationship Id="rId29" Type="http://schemas.openxmlformats.org/officeDocument/2006/relationships/hyperlink" Target="https://arxiv.org/html/2511.21856v1" TargetMode="External"/><Relationship Id="rId51" Type="http://schemas.openxmlformats.org/officeDocument/2006/relationships/hyperlink" Target="https://www.offshorewind.biz/2025/02/21/wavec-shares-survey-findings-for-portuguese-floating-wind-demo-site/" TargetMode="External"/><Relationship Id="rId50" Type="http://schemas.openxmlformats.org/officeDocument/2006/relationships/hyperlink" Target="https://www.jerico-ri.eu/ta/call-program/second-call/" TargetMode="External"/><Relationship Id="rId53" Type="http://schemas.openxmlformats.org/officeDocument/2006/relationships/hyperlink" Target="https://brazilenergyinsight.com/2025/02/17/seabed-survey-unlocks-insights-for-floating-offshore-projects-in-portugal/" TargetMode="External"/><Relationship Id="rId52" Type="http://schemas.openxmlformats.org/officeDocument/2006/relationships/hyperlink" Target="https://www.offshore-energy.biz/seabed-survey-unlocks-insights-for-floating-offshore-projects-in-portugal/" TargetMode="External"/><Relationship Id="rId11" Type="http://schemas.openxmlformats.org/officeDocument/2006/relationships/image" Target="media/image3.png"/><Relationship Id="rId55" Type="http://schemas.openxmlformats.org/officeDocument/2006/relationships/hyperlink" Target="https://www.energy.gov/cmei/success-stories/articles/eere-success-story-open-source-testing-reaches-new-milestone-wave" TargetMode="External"/><Relationship Id="rId10" Type="http://schemas.openxmlformats.org/officeDocument/2006/relationships/image" Target="media/image6.png"/><Relationship Id="rId54" Type="http://schemas.openxmlformats.org/officeDocument/2006/relationships/hyperlink" Target="https://www.osti.gov/biblio/1995023" TargetMode="External"/><Relationship Id="rId13" Type="http://schemas.openxmlformats.org/officeDocument/2006/relationships/image" Target="media/image4.png"/><Relationship Id="rId57" Type="http://schemas.openxmlformats.org/officeDocument/2006/relationships/hyperlink" Target="https://tethys.pnnl.gov/research-studies/supergen-offshore-renewable-energy-ore-hub" TargetMode="External"/><Relationship Id="rId12" Type="http://schemas.openxmlformats.org/officeDocument/2006/relationships/image" Target="media/image2.png"/><Relationship Id="rId56" Type="http://schemas.openxmlformats.org/officeDocument/2006/relationships/hyperlink" Target="https://asmedigitalcollection.asme.org/offshoremechanics/article/147/6/061702/1215531/Toward-Extending-the-Life-of-a-Floating-Offshore" TargetMode="External"/><Relationship Id="rId15" Type="http://schemas.openxmlformats.org/officeDocument/2006/relationships/hyperlink" Target="https://www.mdpi.com/2071-1050/18/4/1949" TargetMode="External"/><Relationship Id="rId59" Type="http://schemas.openxmlformats.org/officeDocument/2006/relationships/hyperlink" Target="https://www.mdpi.com/2673-1924/5/1/8" TargetMode="External"/><Relationship Id="rId14" Type="http://schemas.openxmlformats.org/officeDocument/2006/relationships/hyperlink" Target="https://wdh.energy.gov/project/now-23" TargetMode="External"/><Relationship Id="rId58" Type="http://schemas.openxmlformats.org/officeDocument/2006/relationships/hyperlink" Target="https://iho.int/uploads/user/Inter-Regional%20Coordination/RHC/SWAtHC/SWAtHC17/CHAtSO17-06G_%20Presentacion_Portugal.pdf" TargetMode="External"/><Relationship Id="rId17" Type="http://schemas.openxmlformats.org/officeDocument/2006/relationships/hyperlink" Target="https://arxiv.org/html/2602.19954v1" TargetMode="External"/><Relationship Id="rId16" Type="http://schemas.openxmlformats.org/officeDocument/2006/relationships/hyperlink" Target="https://gmd.copernicus.org/articles/13/5079/2020/" TargetMode="External"/><Relationship Id="rId19" Type="http://schemas.openxmlformats.org/officeDocument/2006/relationships/hyperlink" Target="https://tethys-engineering.pnnl.gov/technology/point-absorber?page=1" TargetMode="External"/><Relationship Id="rId18" Type="http://schemas.openxmlformats.org/officeDocument/2006/relationships/hyperlink" Target="https://coastwatch.noaa.gov/cwn/product-families/sea-surface-wind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