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 review audit and technical evaluation of hierarchical optimization frameworks for passive power take-off control in floating two-buoy wave energy converters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low-carbon energy future has necessitated significant advancements in the harvesting of marine renewable resources, specifically through the development of wave energy converters. Among the various architectures explored, the heaving point absorber remains a prominent candidate due to its relatively high power density and ability to absorb energy from multiple directions.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subset of this technology is the floating two-buoy system, which utilizes the relative motion between a surface-piercing float and a submerged body to capture energy.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efficiency and economic viability of these devices are largely governed by the power take-off (PTO) system, which serves as the interface between mechanical motion and electricity generation.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manuscript under review, RENE-D-25-15289R1, proposes a three-level optimization framework for the passive control of such a system. The framework seeks to address the computational inefficiencies associated with traditional metaheuristic searches by incorporating a sensitivity-based search space reduction followed by a global–local hybrid optimization approach. This audit provides a comprehensive evaluation of the authors' revisions, the technical validity of their modeling approach, and the remaining critical deficiencies that must be addressed prior to publication.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of two-buoy wave energy conversion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physics of wave energy extraction rely on the principle of resonance. For a single-body point absorber, maximum energy capture occurs when the natural frequency of the device coincides with the dominant frequency of the incident wave spectrum.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typical frequencies of ocean waves are significantly lower than the natural frequencies of reasonably sized surface floats, often requiring massive structures to achieve frequency matching.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introduction of a second, submerged body—often referred to as a "reaction body" or "heave plate"—allows for the tuning of the system's natural frequency through the addition of inertia and hydrodynamic added mass without necessarily increasing the surface footprint.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two-buoy configuration, the power take-off system acts as a damping and, in some cases, a stiffness element that resists the relative heave motion between the two bodies.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dynamics are governed by the coupled equations of motion, which include hydrodynamic radiation forces, diffraction forces, hydrostatic restoring stiffness, and the forces exerted by the mooring system.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optimization of these systems involves finding the damping coefficients—whether linear, quadratic, or hybrid—that maximize the capture width ratio (CWR) while maintaining mechanical feasibility.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context and resource assessment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Wave energy conversion has been an active area of research since at least 1890, though widespread commercial implementation remains elusive due to technical and economic constraints.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Pioneers such as Yoshio Masuda utilized air turbines in navigation buoys as early as the mid-20th century, laying the groundwork for the oscillating water column (OWC) and point absorber categories.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Modern estimates suggest a global exploitable wave power resource of approximately 2.11 TW, representing a significant portion of the world's energy demand.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point absorber, characterized by dimensions much smaller than the incident wavelength, is particularly suited for deep-water applications.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Recent research has shifted toward two-body systems because they offer a broader frequency bandwidth for energy conversion compared to single-body designs.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these devices into arrays or farms is expected to further reduce the levelized cost of energy (LCoE) by sharing infrastructure and improving the total power output.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methodologies in marine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complexity of the objective function in wave energy conversion—often involving non-linear hydrodynamic interactions and stochastic wave inputs—makes traditional gradient-based optimization methods less effective.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Consequently, researchers have turned to metaheuristic algorithms, which do not require derivative information and are capable of exploring large, complex search spaces.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metaheuristic algorithms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two most common algorithms employed in this domain are Genetic Algorithms (GA) and Particle Swarm Optimization (PSO). Each algorithm possesses inherent strengths and limitations regarding convergence speed, robustness, and the ability to avoid local optima.</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Genetic Algorithm (GA)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Particle Swarm Optimization (PSO)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evolution (crossover, mutation)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behavior (flocking, schooling)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 based on fitness for reproduction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 trajectories influenced by "personal" and "global" bests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but often slower in local refinement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convergence but prone to stagnation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number of hyper-parameters to tune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Fewer parameters (inertia, acceleration constants)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Generally higher accuracy in multimodal landscapes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Efficient for linear and lower-order problems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Previous studies have shown that while GA is often more robust in finding the global optimum in highly non-linear problems, PSO tends to require less computational effort for a given number of iterations.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hybrid framework proposed in RENE-D-25-15289R1 attempts to combine the global exploration capabilities of these metaheuristics with the local precision of Pattern Search (PS). This three-level approach includes a sensitivity analysis stage to pre-condition the search space, which is critical for reducing the high computational cost associated with hydrodynamic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Clerc-Kennedy constriction coefficients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vital aspect of ensuring stability in Particle Swarm Optimization is the use of constriction coefficients. Without proper control of the velocity update equation, particles can "explode" or diverge, failing to converge on any solution.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authors of the audited manuscript utilized standard coefficients often attributed to the theoretical analysis by Clerc and Kennedy in 2002.</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update rule typically follows the form: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1819" cy="222976"/>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811819" cy="22297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21378" cy="231722"/>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1378" cy="231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inertia weight, and </w:t>
      </w:r>
      <w:r w:rsidDel="00000000" w:rsidR="00000000" w:rsidRPr="00000000">
        <w:rPr>
          <w:rFonts w:ascii="Google Sans" w:cs="Google Sans" w:eastAsia="Google Sans" w:hAnsi="Google Sans"/>
          <w:color w:val="1f1f1f"/>
        </w:rPr>
        <w:drawing>
          <wp:inline distB="19050" distT="19050" distL="19050" distR="19050">
            <wp:extent cx="389103" cy="22697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9103" cy="226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acceleration (or cognitive and social) coefficients.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rule-of-thumb settings for stability, as suggested by empirical results and the Clerc-Kennedy analysis, are </w:t>
      </w:r>
      <w:r w:rsidDel="00000000" w:rsidR="00000000" w:rsidRPr="00000000">
        <w:rPr>
          <w:rFonts w:ascii="Google Sans" w:cs="Google Sans" w:eastAsia="Google Sans" w:hAnsi="Google Sans"/>
          <w:color w:val="1f1f1f"/>
        </w:rPr>
        <w:drawing>
          <wp:inline distB="19050" distT="19050" distL="19050" distR="19050">
            <wp:extent cx="879409" cy="225214"/>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79409" cy="225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03118" cy="223223"/>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403118" cy="223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values ensure that the swarm maintains a balance between exploration and exploitation.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audit of the revised manuscript RENE-D-25-15289R1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revisions implemented in R1 address several major scientific concerns raised during the initial review cycle (R0). These improvements enhance the clarity, physical accuracy, and reproducibility of the study.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Dimensional and editorial corrections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glaring error in the initial submission was an incorrect scale factor reported for the tank tests. The authors have corrected the scale from 1:5 to 1:9 in Table 1 and throughout the text. This correction is essential for the application of Froude similarity, which governs the scaling of forces, velocities, and time periods in hydrodynamic modeling.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abstract and body text have been cleared of inconsistent acronyms. All terms are now properly introduced at their first use, following standard academic formatting requirements.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Refinement of the power take-off sign convention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modeling of the PTO force was previously confusing due to an inconsistent sign convention. In Equations 5–7, the authors transitioned to a positive resistive-load convention. They clarified that the PTO force acts opposite to the relative heave velocity between the floating buoy and the submerged body. This adjustment aligns with the physical reality of a passive damping system, where energy is extracted through resistance to motion.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parameterization and transparency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Reproducibility is a significant concern in stochastic optimization research. The authors have added Table 5, which provides a full set of parameter settings for both the GA and PSO algorithms.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Genetic Algorithm (GA) Setting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Particle Swarm Optimization (PSO)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Population/Swarm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Selection/Topology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Tournament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Crossover/Inertia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Scattered (0.8 fraction)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87136" cy="223376"/>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87136" cy="22337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Mutation/Acceleration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Adaptive-feasible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26627" cy="2232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126627" cy="2232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 Tolerance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76176" cy="214659"/>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76176" cy="21465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76176" cy="214659"/>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76176" cy="21465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Evaluations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settings are standard, their explicit disclosure allows other researchers to approximate the results. The inclusion of the Clerc-Kennedy values for PSO coefficients ensures that the algorithm's convergence behavior is theoretically stable.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Formalization of sensitivity intervals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three-level optimization framework relies on a pre-conditioning step that reduces the search space for the damping parameters. The authors have now formally defined the "effective PTO interval" as the range of damping values where the capture width ratio remains at or above 98% of the peak value.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interval was validated across multiple sea states, with significant wave heights (</w:t>
      </w:r>
      <w:r w:rsidDel="00000000" w:rsidR="00000000" w:rsidRPr="00000000">
        <w:rPr>
          <w:rFonts w:ascii="Google Sans" w:cs="Google Sans" w:eastAsia="Google Sans" w:hAnsi="Google Sans"/>
          <w:color w:val="1f1f1f"/>
        </w:rPr>
        <w:drawing>
          <wp:inline distB="19050" distT="19050" distL="19050" distR="19050">
            <wp:extent cx="222912" cy="234057"/>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22912" cy="23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ranging from 0.08 m to 0.23 m and peak periods (</w:t>
      </w:r>
      <w:r w:rsidDel="00000000" w:rsidR="00000000" w:rsidRPr="00000000">
        <w:rPr>
          <w:rFonts w:ascii="Google Sans" w:cs="Google Sans" w:eastAsia="Google Sans" w:hAnsi="Google Sans"/>
          <w:color w:val="1f1f1f"/>
        </w:rPr>
        <w:drawing>
          <wp:inline distB="19050" distT="19050" distL="19050" distR="19050">
            <wp:extent cx="181901" cy="224701"/>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81901" cy="224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0.9 s to 2.4 s. The results showed a consistent "W-shaped" variation in optimal damping relative to wave period, confirming that the identified search intervals (160–260 N·s/m for linear and 1000–1500 N·s²/m² for quadratic) are robust across a realistic range of wave climates. This addition addresses the previously raised concern regarding the generalizability of the optimization search space.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Numerical modeling and software integration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manuscript provides a detailed overview of the numerical workflow used to simulate the two-buoy system. This involves a coupling between frequency-domain hydrodynamic solvers and time-domain dynamics simulators.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AQWA and WEC-Sim coupling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hydrodynamic coefficients—including added mass, radiation damping, and excitation forces—were calculated using boundary element method (BEM) software, specifically ANSYS AQWA.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coefficients serve as inputs for WEC-Sim, an open-source code developed by the National Renewable Energy Laboratory (NREL) and Sandia National Laboratories (SNL) for modeling wave energy converters.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coupling process utilizes the BEMIO (BEM-in/out) functions to pre-process the data. BEMIO performs several critical tasks, such as calculating the radiation and excitation impulse response functions (IRFs) and performing state-space realizations for the radiation IRF.</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These functions allow for the transition from the frequency domain to the time domain, where the PTO control and mooring dynamics can be simulated.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Mooring and viscous damping calibration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Mooring dynamics were simulated using the MoorDyn module within WEC-Sim. The authors provided the specific parameters for the mooring lines in Table 3, which is essential for model self-containment.</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MoorDyn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Linear Mass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0.27 kg/m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Line Diameter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0.004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Axial Stiffness (EA)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9171" cy="211521"/>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19171" cy="211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Transverse Drag (</w:t>
            </w:r>
            <w:r w:rsidDel="00000000" w:rsidR="00000000" w:rsidRPr="00000000">
              <w:rPr>
                <w:rFonts w:ascii="Google Sans" w:cs="Google Sans" w:eastAsia="Google Sans" w:hAnsi="Google Sans"/>
                <w:b w:val="1"/>
                <w:bCs w:val="1"/>
                <w:color w:val="1f1f1f"/>
              </w:rPr>
              <w:drawing>
                <wp:inline distB="19050" distT="19050" distL="19050" distR="19050">
                  <wp:extent cx="208194" cy="230109"/>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08194" cy="2301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viscous drag on the buoys was calibrated using data-matching with experimental response amplitude operators (RAOs). This calibration ensures that the numerical model accounts for the energy dissipation caused by flow separation and viscous effects, which are not captured by potential flow theory alone.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metrics and statistical robustness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revised manuscript includes significant new data regarding the statistical performance of the optimization algorithms and the engineering metrics of the resulting systems.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analysis of linear and hybrid PTO cases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robustness of the GA-PS and PSO-PS approaches, the authors performed multiple independent runs. For the linear PTO case, 20 runs were conducted for each algorithm.</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GA-PS (Linear)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PSO-PS (Linear)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CWR found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214.317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218.747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Median CWR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213.647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218.871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Interquartile Range (IQR)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Success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tight IQRs suggest that both algorithms are highly stable in the linear landscape. The small difference in the "best" found values (approx. 2%) indicates a flat objective landscape near the optimum, which supports the authors' conclusion that the global search successfully identifies the peak performance region.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hybrid PTO case, 10 independent runs were performed. This revealed a significant behavioral difference: GA-PS consistently found a non-zero quadratic damping component, whereas PSO-PS systematically collapsed the quadratic term to zero in 9 out of 10 runs. This "degeneracy" highlights the differing exploration behaviors of the two metaheuristics. However, because the resulting difference in CWR was only 2.3%, the authors correctly argue that both solutions are technically acceptable and that the PSO behavior represents a collapse toward a simpler linear model rather than a failure to find an optimum.</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metrics for feasibility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study evaluates three PTO configurations: linear, quadratic, and hybrid. The quantitative results support the engineering trade-offs between energy capture efficiency and mechanical reliability.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Linear PTO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Quadratic PTO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PTO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Capture Width Ratio (CWR)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vs Linear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 Displacement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Force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vs Linear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vs Linear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Power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2.524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2.582 W</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numbers ground the recommendations for general engineering practice. While the hybrid system offers the highest power output and displacement reduction, the linear system provides the most significant reduction in peak PTO forces, which may be preferable for increasing the operational lifespan of the components.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evaluation of the "Red Flags" and deficiencies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extensive improvements in R1, several critical and moderate issues remain that prevent unconditional acceptance of the manuscript.</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contradiction in bandwidth quantification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new and significant error was introduced in the revised text regarding the quantification of PTO bandwidth. The manuscript defines PTO bandwidth as the ratio of the effective damping interval to the total tested parameter range (3–28 N). Based on this, the reported values are: linear = 0.192, quadratic = 0.268, and hybrid = 0.339.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this metric, the linear PTO has the narrowest bandwidth of the three configurations. However, only a few lines later, the text states that "the linear PTO system has a relatively broad effective damping range, with an operational PTO bandwidth of approximately 0.27". The value 0.27 does not match any of the calculated bandwidths for the linear system.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direct internal contradiction. If the actual bandwidth is 0.192, the claim that it is "broad" compared to the other configurations is numerically incorrect. This error propagates to the conclusion section, where the recommendation of the linear system for broad-bandwidth applications becomes unsupported. Interestingly, the values 0.192 and 0.27 appear in other wave energy literature in unrelated contexts—such as specific Bretschneider wave realization heights (</w:t>
      </w:r>
      <w:r w:rsidDel="00000000" w:rsidR="00000000" w:rsidRPr="00000000">
        <w:rPr>
          <w:rFonts w:ascii="Google Sans" w:cs="Google Sans" w:eastAsia="Google Sans" w:hAnsi="Google Sans"/>
          <w:color w:val="1f1f1f"/>
        </w:rPr>
        <w:drawing>
          <wp:inline distB="19050" distT="19050" distL="19050" distR="19050">
            <wp:extent cx="888669" cy="224844"/>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88669" cy="224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or peak efficiency values (</w:t>
      </w:r>
      <w:r w:rsidDel="00000000" w:rsidR="00000000" w:rsidRPr="00000000">
        <w:rPr>
          <w:rFonts w:ascii="Google Sans" w:cs="Google Sans" w:eastAsia="Google Sans" w:hAnsi="Google Sans"/>
          <w:color w:val="1f1f1f"/>
        </w:rPr>
        <w:drawing>
          <wp:inline distB="19050" distT="19050" distL="19050" distR="19050">
            <wp:extent cx="672042" cy="224014"/>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72042" cy="224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other studies.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suggests that the authors may have accidentally imported these figures from unrelated datasets or previous work during the revision process.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Robustness scope limitations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authors justify the limited scope of the multi-run statistical analysis (conducted only for linear and hybrid cases) by citing the high computational cost of the coupled AQWA–WEC-Sim simulations. While this constraint is acknowledged, the quadratic PTO case—which has its own distinct landscape—is still presented from a single optimization run. To ensure scientific rigor, a minimum of 5 independent trials should be reported for the quadratic case, or the authors must explicitly justify why the linear-case IQR can be used as a proxy for the quadratic-case variability.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Irreproducibility of random seeds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authors are transparent in Table 5, stating that the random seeds were not fixed and were left at the MATLAB default. While transparency is commendable, it does not resolve the issue of reproducibility. In MATLAB, the default random number generator behavior depends on the software version and the specific state of the environment at startup.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allow for even approximate replication, the authors should report the specific version of MATLAB used (e.g., R2023b) in the Methods section.</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hoc normalization of bandwidth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bandwidth metric used in the paper is normalized by "the total tested PTO parameter range (3–28 N)". This normalization is fundamentally arbitrary, as it makes the bandwidth value dependent on the authors' choice of scan range. If the authors had tested a wider range (e.g., up to 50 N), the reported bandwidth for the same device would decrease, even though the physical response of the device remained the same.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more defensible approach would be to normalize by a physically meaningful scale. Examples include:</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optimal damping coefficient itself.</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range of damping values that maintain CWR above a certain threshold relative to the wave frequency bandwidth.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Without a standardized normalization, the quantitative bandwidth values reported in this study are difficult to compare with results from other research.</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insights and engineering implications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clusters identified in the audit and the research snippets suggest several deeper trends regarding the future of wave energy optimization.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relationship between damping complexity and exploration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systematic collapse of the quadratic damping term in the PSO-PS hybrid runs indicates that the "best" solution for the two-buoy system is highly sensitive to the initial exploration behavior of the algorithm. Since the CWR difference between the non-zero quadratic solution (found by GA) and the zero quadratic solution (found by PSO) is minimal, it implies that the objective landscape for hybrid PTOs is nearly degenerate. This has a critical engineering implication: simpler linear PTO systems may be functionally equivalent to more complex hybrid systems for many sea states, making the additional mechanical complexity of non-linear PTOs hard to justify in terms of power gain alone.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significance of spectral bandwidth vs. parameter bandwidth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authors' struggle with the definition of "bandwidth" reflects a broader ambiguity in the literature. In marine engineering, "bandwidth" often refers to the spectral width of the incident sea state or the frequency response range of the device.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defining a "PTO bandwidth" based on parameter intervals, the authors are attempting to quantify the sensitivity of the power capture to control errors. This is a valuable perspective for real-world deployment, where the actual damping provided by a hydraulic or electric system may deviate from the command value.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for hierarchical optimization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reported 1.44x speedup achieved by the multi-level framework compared to direct optimization demonstrates that search-space pre-conditioning is an effective strategy for high-fidelity hydrodynamic models. As researchers move toward even more computationally intensive models—such as those incorporating full computational fluid dynamics (CFD) or multi-objective Pareto optimizations—hierarchical structures that use sensitivity analysis to filter the design space will become a necessity rather than an option.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findings and mandatory corrections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revised manuscript RENE-D-25-15289R1 significantly improves upon the initial submission by providing a more documented numerical model, a corrected experimental scale, and a robust statistical analysis of algorithm performance. The authors have effectively addressed the major concerns regarding the physical interpretation of PTO dynamics and the formalization of search intervals.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manuscript cannot be accepted in its current state due to the following mandatory corrections:</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Bandwidth Correction:</w:t>
      </w:r>
      <w:r w:rsidDel="00000000" w:rsidR="00000000" w:rsidRPr="00000000">
        <w:rPr>
          <w:rFonts w:ascii="Google Sans" w:cs="Google Sans" w:eastAsia="Google Sans" w:hAnsi="Google Sans"/>
          <w:color w:val="1f1f1f"/>
          <w:rtl w:val="0"/>
        </w:rPr>
        <w:t xml:space="preserve"> The internal contradiction where linear PTO bandwidth is reported as 0.192 in one section and 0.27 in another must be resolved. The authors must check if these numbers were accidentally imported from unrelated datasets (such as </w:t>
      </w:r>
      <w:r w:rsidDel="00000000" w:rsidR="00000000" w:rsidRPr="00000000">
        <w:rPr>
          <w:rFonts w:ascii="Google Sans" w:cs="Google Sans" w:eastAsia="Google Sans" w:hAnsi="Google Sans"/>
          <w:color w:val="1f1f1f"/>
        </w:rPr>
        <w:drawing>
          <wp:inline distB="19050" distT="19050" distL="19050" distR="19050">
            <wp:extent cx="222912" cy="234057"/>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22912" cy="23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realizations).</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Statistical Expansion:</w:t>
      </w:r>
      <w:r w:rsidDel="00000000" w:rsidR="00000000" w:rsidRPr="00000000">
        <w:rPr>
          <w:rFonts w:ascii="Google Sans" w:cs="Google Sans" w:eastAsia="Google Sans" w:hAnsi="Google Sans"/>
          <w:color w:val="1f1f1f"/>
          <w:rtl w:val="0"/>
        </w:rPr>
        <w:t xml:space="preserve"> At least 5 independent trials must be conducted and reported for the quadratic PTO optimization case to ensure consistency with the linear and hybrid analysis.</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Reproducibility Details:</w:t>
      </w:r>
      <w:r w:rsidDel="00000000" w:rsidR="00000000" w:rsidRPr="00000000">
        <w:rPr>
          <w:rFonts w:ascii="Google Sans" w:cs="Google Sans" w:eastAsia="Google Sans" w:hAnsi="Google Sans"/>
          <w:color w:val="1f1f1f"/>
          <w:rtl w:val="0"/>
        </w:rPr>
        <w:t xml:space="preserve"> The MATLAB version number must be explicitly stated in the Methods section to provide context for the default random seed behavior.</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Metric Requalification:</w:t>
      </w:r>
      <w:r w:rsidDel="00000000" w:rsidR="00000000" w:rsidRPr="00000000">
        <w:rPr>
          <w:rFonts w:ascii="Google Sans" w:cs="Google Sans" w:eastAsia="Google Sans" w:hAnsi="Google Sans"/>
          <w:color w:val="1f1f1f"/>
          <w:rtl w:val="0"/>
        </w:rPr>
        <w:t xml:space="preserve"> The claims regarding the "broad bandwidth" of the linear PTO must be re-evaluated and aligned with the corrected numerical data. If the linear system has the lowest bandwidth of the three configurations, the recommendation for its use in broad-spectrum applications must be retracted or substantially modified.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addressing these final technical discrepancies, the authors will ensure that their multi-level optimization framework stands as a rigorous and reproducible tool for the development of floating two-buoy wave energy converters. The study provides a valuable pathway for balancing energy capture, mechanical reliability, and computational efficiency in the engineering of marine renewable systems.</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Optimum Power Analysis of a Self-Reactive Wave Energy Point Absorber with Mechanically-driven Power Take-Offs - OSTI, acessado em abril 14, 2026, </w:t>
      </w:r>
      <w:hyperlink r:id="rId20">
        <w:r w:rsidDel="00000000" w:rsidR="00000000" w:rsidRPr="00000000">
          <w:rPr>
            <w:rFonts w:ascii="Google Sans" w:cs="Google Sans" w:eastAsia="Google Sans" w:hAnsi="Google Sans"/>
            <w:color w:val="0000ee"/>
            <w:sz w:val="24"/>
            <w:szCs w:val="24"/>
            <w:u w:val="single"/>
            <w:rtl w:val="0"/>
          </w:rPr>
          <w:t xml:space="preserve">https://www.osti.gov/servlets/purl/1659132</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Optimisation of a Wave Energy Converter - MDPI, acessado em abril 14, 2026, </w:t>
      </w:r>
      <w:hyperlink r:id="rId21">
        <w:r w:rsidDel="00000000" w:rsidR="00000000" w:rsidRPr="00000000">
          <w:rPr>
            <w:rFonts w:ascii="Google Sans" w:cs="Google Sans" w:eastAsia="Google Sans" w:hAnsi="Google Sans"/>
            <w:color w:val="0000ee"/>
            <w:sz w:val="24"/>
            <w:szCs w:val="24"/>
            <w:u w:val="single"/>
            <w:rtl w:val="0"/>
          </w:rPr>
          <w:t xml:space="preserve">https://www.mdpi.com/1996-1073/18/1/207</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energy converters - Coastal Wiki, acessado em abril 14, 2026, </w:t>
      </w:r>
      <w:hyperlink r:id="rId22">
        <w:r w:rsidDel="00000000" w:rsidR="00000000" w:rsidRPr="00000000">
          <w:rPr>
            <w:rFonts w:ascii="Google Sans" w:cs="Google Sans" w:eastAsia="Google Sans" w:hAnsi="Google Sans"/>
            <w:color w:val="0000ee"/>
            <w:sz w:val="24"/>
            <w:szCs w:val="24"/>
            <w:u w:val="single"/>
            <w:rtl w:val="0"/>
          </w:rPr>
          <w:t xml:space="preserve">https://www.coastalwiki.org/wiki/Wave_energy_converters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of a point-absorber wave energy converter with a single buoy composed of three rigidly coupled structures, acessado em abril 14, 2026, </w:t>
      </w:r>
      <w:hyperlink r:id="rId23">
        <w:r w:rsidDel="00000000" w:rsidR="00000000" w:rsidRPr="00000000">
          <w:rPr>
            <w:rFonts w:ascii="Google Sans" w:cs="Google Sans" w:eastAsia="Google Sans" w:hAnsi="Google Sans"/>
            <w:color w:val="0000ee"/>
            <w:sz w:val="24"/>
            <w:szCs w:val="24"/>
            <w:u w:val="single"/>
            <w:rtl w:val="0"/>
          </w:rPr>
          <w:t xml:space="preserve">https://marineenergyjournal.org/imej/article/download/50/45</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Shape Optimization for the Submerged Body of a Two-Body Wave Energy Converter - Tethys Engineering, acessado em abril 14, 2026, </w:t>
      </w:r>
      <w:hyperlink r:id="rId24">
        <w:r w:rsidDel="00000000" w:rsidR="00000000" w:rsidRPr="00000000">
          <w:rPr>
            <w:rFonts w:ascii="Google Sans" w:cs="Google Sans" w:eastAsia="Google Sans" w:hAnsi="Google Sans"/>
            <w:color w:val="0000ee"/>
            <w:sz w:val="24"/>
            <w:szCs w:val="24"/>
            <w:u w:val="single"/>
            <w:rtl w:val="0"/>
          </w:rPr>
          <w:t xml:space="preserve">https://tethys-engineering.pnnl.gov/sites/default/files/publications/Martinetal2016.pdf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 optimization of a floating two-buoy wave energy converter - PEARL - Plymouth Electronic Archive and Research Library, acessado em abril 14, 2026, </w:t>
      </w:r>
      <w:hyperlink r:id="rId25">
        <w:r w:rsidDel="00000000" w:rsidR="00000000" w:rsidRPr="00000000">
          <w:rPr>
            <w:rFonts w:ascii="Google Sans" w:cs="Google Sans" w:eastAsia="Google Sans" w:hAnsi="Google Sans"/>
            <w:color w:val="0000ee"/>
            <w:sz w:val="24"/>
            <w:szCs w:val="24"/>
            <w:u w:val="single"/>
            <w:rtl w:val="0"/>
          </w:rPr>
          <w:t xml:space="preserve">https://pearl.plymouth.ac.uk/cgi/viewcontent.cgi?article=2516&amp;context=secam-research</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Power Take-Off Systems for WECs - ResearchGate, acessado em abril 14,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https://www.researchgate.net/publication/312081886_Power_Take-Off_Systems_for_WECs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Take-Off Design Study for a Small-Scale Oscillating Surge Wave Energy Converter for Powering the Blue Economy Applications - Publications, acessado em abril 14, 2026, </w:t>
      </w:r>
      <w:hyperlink r:id="rId27">
        <w:r w:rsidDel="00000000" w:rsidR="00000000" w:rsidRPr="00000000">
          <w:rPr>
            <w:rFonts w:ascii="Google Sans" w:cs="Google Sans" w:eastAsia="Google Sans" w:hAnsi="Google Sans"/>
            <w:color w:val="0000ee"/>
            <w:sz w:val="24"/>
            <w:szCs w:val="24"/>
            <w:u w:val="single"/>
            <w:rtl w:val="0"/>
          </w:rPr>
          <w:t xml:space="preserve">https://docs.nrel.gov/docs/fy24osti/86187.pdf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for power take-off efficiency in optimal velocity tracking control of wave energy converters, acessado em abril 14, 2026, </w:t>
      </w:r>
      <w:hyperlink r:id="rId28">
        <w:r w:rsidDel="00000000" w:rsidR="00000000" w:rsidRPr="00000000">
          <w:rPr>
            <w:rFonts w:ascii="Google Sans" w:cs="Google Sans" w:eastAsia="Google Sans" w:hAnsi="Google Sans"/>
            <w:color w:val="0000ee"/>
            <w:sz w:val="24"/>
            <w:szCs w:val="24"/>
            <w:u w:val="single"/>
            <w:rtl w:val="0"/>
          </w:rPr>
          <w:t xml:space="preserve">https://researchportal.hw.ac.uk/files/141387128/1-s2.0-S0029801824025290-main.pdf</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 of a nonlinear Power Take Off on a Wave Energy Converter, acessado em abril 14,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https://www.researchgate.net/publication/267842840_The_effect_of_a_nonlinear_Power_Take_Off_on_a_Wave_Energy_Converter</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WEC-Sim documentation, acessado em abril 14, 2026, </w:t>
      </w:r>
      <w:hyperlink r:id="rId30">
        <w:r w:rsidDel="00000000" w:rsidR="00000000" w:rsidRPr="00000000">
          <w:rPr>
            <w:rFonts w:ascii="Google Sans" w:cs="Google Sans" w:eastAsia="Google Sans" w:hAnsi="Google Sans"/>
            <w:color w:val="0000ee"/>
            <w:sz w:val="24"/>
            <w:szCs w:val="24"/>
            <w:u w:val="single"/>
            <w:rtl w:val="0"/>
          </w:rPr>
          <w:t xml:space="preserve">https://wec-sim.github.io/WEC-Sim/main/introduction/overview.html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Fluid–structure interaction simulation of a floating wave energy convertor with water-turbine driven power generation, acessado em abril 14, 2026, </w:t>
      </w:r>
      <w:hyperlink r:id="rId31">
        <w:r w:rsidDel="00000000" w:rsidR="00000000" w:rsidRPr="00000000">
          <w:rPr>
            <w:rFonts w:ascii="Google Sans" w:cs="Google Sans" w:eastAsia="Google Sans" w:hAnsi="Google Sans"/>
            <w:color w:val="0000ee"/>
            <w:sz w:val="24"/>
            <w:szCs w:val="24"/>
            <w:u w:val="single"/>
            <w:rtl w:val="0"/>
          </w:rPr>
          <w:t xml:space="preserve">https://e-jamet.org/xml/08733/08733.pdf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Developments in the WEC-Sim Open-Source Design Tool - Publications, acessado em abril 14, 2026, </w:t>
      </w:r>
      <w:hyperlink r:id="rId32">
        <w:r w:rsidDel="00000000" w:rsidR="00000000" w:rsidRPr="00000000">
          <w:rPr>
            <w:rFonts w:ascii="Google Sans" w:cs="Google Sans" w:eastAsia="Google Sans" w:hAnsi="Google Sans"/>
            <w:color w:val="0000ee"/>
            <w:sz w:val="24"/>
            <w:szCs w:val="24"/>
            <w:u w:val="single"/>
            <w:rtl w:val="0"/>
          </w:rPr>
          <w:t xml:space="preserve">https://docs.nrel.gov/docs/fy23osti/82674.pdf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Energy Converter Annual Energy Production Uncertainty Using Simulations - MDPI, acessado em abril 14, 2026, </w:t>
      </w:r>
      <w:hyperlink r:id="rId33">
        <w:r w:rsidDel="00000000" w:rsidR="00000000" w:rsidRPr="00000000">
          <w:rPr>
            <w:rFonts w:ascii="Google Sans" w:cs="Google Sans" w:eastAsia="Google Sans" w:hAnsi="Google Sans"/>
            <w:color w:val="0000ee"/>
            <w:sz w:val="24"/>
            <w:szCs w:val="24"/>
            <w:u w:val="single"/>
            <w:rtl w:val="0"/>
          </w:rPr>
          <w:t xml:space="preserve">https://www.mdpi.com/2077-1312/4/3/53</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Performance analysis of a floating breakwater integrated with multiple oscillating water column wave energy converters in regular and irregular seas - ResearchGate, acessado em abril 14,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https://www.researchgate.net/publication/340982112_Performance_analysis_of_a_floating_breakwater_integrated_with_multiple_oscillating_water_column_wave_energy_converters_in_regular_and_irregular_seas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Modelling of Point-Absorber Wave Energy Converter Arrays, acessado em abril 14, 2026, </w:t>
      </w:r>
      <w:hyperlink r:id="rId35">
        <w:r w:rsidDel="00000000" w:rsidR="00000000" w:rsidRPr="00000000">
          <w:rPr>
            <w:rFonts w:ascii="Google Sans" w:cs="Google Sans" w:eastAsia="Google Sans" w:hAnsi="Google Sans"/>
            <w:color w:val="0000ee"/>
            <w:sz w:val="24"/>
            <w:szCs w:val="24"/>
            <w:u w:val="single"/>
            <w:rtl w:val="0"/>
          </w:rPr>
          <w:t xml:space="preserve">https://www.vliz.be/imisdocs/publications/387419.pdf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genetic algorithm and particle swarm optimisation for theoretical and structural applications - SciSpace, acessado em abril 14, 2026, </w:t>
      </w:r>
      <w:hyperlink r:id="rId36">
        <w:r w:rsidDel="00000000" w:rsidR="00000000" w:rsidRPr="00000000">
          <w:rPr>
            <w:rFonts w:ascii="Google Sans" w:cs="Google Sans" w:eastAsia="Google Sans" w:hAnsi="Google Sans"/>
            <w:color w:val="0000ee"/>
            <w:sz w:val="24"/>
            <w:szCs w:val="24"/>
            <w:u w:val="single"/>
            <w:rtl w:val="0"/>
          </w:rPr>
          <w:t xml:space="preserve">https://scispace.com/pdf/a-comparison-of-genetic-algorithm-and-particle-swarm-1kxrquiicu.pdf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and Comparison of Genetic Algorithm and Particle Swarm Optimization in the Optimal Power Flow Problem - MDPI, acessado em abril 14, 2026, </w:t>
      </w:r>
      <w:hyperlink r:id="rId37">
        <w:r w:rsidDel="00000000" w:rsidR="00000000" w:rsidRPr="00000000">
          <w:rPr>
            <w:rFonts w:ascii="Google Sans" w:cs="Google Sans" w:eastAsia="Google Sans" w:hAnsi="Google Sans"/>
            <w:color w:val="0000ee"/>
            <w:sz w:val="24"/>
            <w:szCs w:val="24"/>
            <w:u w:val="single"/>
            <w:rtl w:val="0"/>
          </w:rPr>
          <w:t xml:space="preserve">https://www.mdpi.com/1996-1073/16/3/1152</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between the Performance of GA and PSO in Structural Optimization Problems - ajer.org, acessado em abril 14, 2026, </w:t>
      </w:r>
      <w:hyperlink r:id="rId38">
        <w:r w:rsidDel="00000000" w:rsidR="00000000" w:rsidRPr="00000000">
          <w:rPr>
            <w:rFonts w:ascii="Google Sans" w:cs="Google Sans" w:eastAsia="Google Sans" w:hAnsi="Google Sans"/>
            <w:color w:val="0000ee"/>
            <w:sz w:val="24"/>
            <w:szCs w:val="24"/>
            <w:u w:val="single"/>
            <w:rtl w:val="0"/>
          </w:rPr>
          <w:t xml:space="preserve">https://www.ajer.org/papers/v5(11)/ZJ05110268272.pdf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GA, PSO and SCE algorithms for estimating kinetics of biomass pyrolysis - Maximum Academic Press, acessado em abril 14, 2026, </w:t>
      </w:r>
      <w:hyperlink r:id="rId39">
        <w:r w:rsidDel="00000000" w:rsidR="00000000" w:rsidRPr="00000000">
          <w:rPr>
            <w:rFonts w:ascii="Google Sans" w:cs="Google Sans" w:eastAsia="Google Sans" w:hAnsi="Google Sans"/>
            <w:color w:val="0000ee"/>
            <w:sz w:val="24"/>
            <w:szCs w:val="24"/>
            <w:u w:val="single"/>
            <w:rtl w:val="0"/>
          </w:rPr>
          <w:t xml:space="preserve">https://www.maxapress.com/article/doi/10.48130/EMST-2023-0009</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Convergence analysis of particle swarm optimization algorithms for different constriction factors - Frontiers, acessado em abril 14, 2026, </w:t>
      </w:r>
      <w:hyperlink r:id="rId40">
        <w:r w:rsidDel="00000000" w:rsidR="00000000" w:rsidRPr="00000000">
          <w:rPr>
            <w:rFonts w:ascii="Google Sans" w:cs="Google Sans" w:eastAsia="Google Sans" w:hAnsi="Google Sans"/>
            <w:color w:val="0000ee"/>
            <w:sz w:val="24"/>
            <w:szCs w:val="24"/>
            <w:u w:val="single"/>
            <w:rtl w:val="0"/>
          </w:rPr>
          <w:t xml:space="preserve">https://www.frontiersin.org/journals/applied-mathematics-and-statistics/articles/10.3389/fams.2024.1304268/full</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DE, PSO and GA for Position Domain PID Controller Tuning - MDPI, acessado em abril 14, 2026, </w:t>
      </w:r>
      <w:hyperlink r:id="rId41">
        <w:r w:rsidDel="00000000" w:rsidR="00000000" w:rsidRPr="00000000">
          <w:rPr>
            <w:rFonts w:ascii="Google Sans" w:cs="Google Sans" w:eastAsia="Google Sans" w:hAnsi="Google Sans"/>
            <w:color w:val="0000ee"/>
            <w:sz w:val="24"/>
            <w:szCs w:val="24"/>
            <w:u w:val="single"/>
            <w:rtl w:val="0"/>
          </w:rPr>
          <w:t xml:space="preserve">https://www.mdpi.com/1999-4893/8/3/697</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and Implementation of particle swarm optimization - Michigan Technological University, acessado em abril 14, 2026, </w:t>
      </w:r>
      <w:hyperlink r:id="rId42">
        <w:r w:rsidDel="00000000" w:rsidR="00000000" w:rsidRPr="00000000">
          <w:rPr>
            <w:rFonts w:ascii="Google Sans" w:cs="Google Sans" w:eastAsia="Google Sans" w:hAnsi="Google Sans"/>
            <w:color w:val="0000ee"/>
            <w:sz w:val="24"/>
            <w:szCs w:val="24"/>
            <w:u w:val="single"/>
            <w:rtl w:val="0"/>
          </w:rPr>
          <w:t xml:space="preserve">https://pages.mtu.edu/~struther/Courses/OLD/Other/LessOld/5630_11/Projects/outline_OPT_Report_V2.pdf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Particle Swarm Optimization, acessado em abril 14, 2026, </w:t>
      </w:r>
      <w:hyperlink r:id="rId43">
        <w:r w:rsidDel="00000000" w:rsidR="00000000" w:rsidRPr="00000000">
          <w:rPr>
            <w:rFonts w:ascii="Google Sans" w:cs="Google Sans" w:eastAsia="Google Sans" w:hAnsi="Google Sans"/>
            <w:color w:val="0000ee"/>
            <w:sz w:val="24"/>
            <w:szCs w:val="24"/>
            <w:u w:val="single"/>
            <w:rtl w:val="0"/>
          </w:rPr>
          <w:t xml:space="preserve">https://web.xidian.edu.cn/xlwang/files/20150312_172028.ppt</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Scatter PSO – A More Effective Form of Particle Swarm Optimization - University of Colorado Boulder, acessado em abril 14, 2026, </w:t>
      </w:r>
      <w:hyperlink r:id="rId44">
        <w:r w:rsidDel="00000000" w:rsidR="00000000" w:rsidRPr="00000000">
          <w:rPr>
            <w:rFonts w:ascii="Google Sans" w:cs="Google Sans" w:eastAsia="Google Sans" w:hAnsi="Google Sans"/>
            <w:color w:val="0000ee"/>
            <w:sz w:val="24"/>
            <w:szCs w:val="24"/>
            <w:u w:val="single"/>
            <w:rtl w:val="0"/>
          </w:rPr>
          <w:t xml:space="preserve">https://leeds-faculty.colorado.edu/glover/Publications/article%20-%20SS%20-%20PSO%20-%20Pen.pdf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Clerc, M. and Kennedy, J. (2002) The Particle Swarm Explosion, Stability, and Convergence in a Multi-Dimensional Complex Space. IEEE Transactions on Evolutionary Computation, 6, 58-73. - References - Scientific Research Publishing - Scirp.org., acessado em abril 14, 2026, </w:t>
      </w:r>
      <w:hyperlink r:id="rId45">
        <w:r w:rsidDel="00000000" w:rsidR="00000000" w:rsidRPr="00000000">
          <w:rPr>
            <w:rFonts w:ascii="Google Sans" w:cs="Google Sans" w:eastAsia="Google Sans" w:hAnsi="Google Sans"/>
            <w:color w:val="0000ee"/>
            <w:sz w:val="24"/>
            <w:szCs w:val="24"/>
            <w:u w:val="single"/>
            <w:rtl w:val="0"/>
          </w:rPr>
          <w:t xml:space="preserve">https://www.scirp.org/reference/referencespapers?referenceid=1879388</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Particle swarm optimization - IRIDIA, acessado em abril 14, 2026, </w:t>
      </w:r>
      <w:hyperlink r:id="rId46">
        <w:r w:rsidDel="00000000" w:rsidR="00000000" w:rsidRPr="00000000">
          <w:rPr>
            <w:rFonts w:ascii="Google Sans" w:cs="Google Sans" w:eastAsia="Google Sans" w:hAnsi="Google Sans"/>
            <w:color w:val="0000ee"/>
            <w:sz w:val="24"/>
            <w:szCs w:val="24"/>
            <w:u w:val="single"/>
            <w:rtl w:val="0"/>
          </w:rPr>
          <w:t xml:space="preserve">https://iridia.ulb.ac.be/~mdorigo/Published_papers/All_Dorigo_papers/DorMonEng2008sch-pso.pdf</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16.4 Basic PSO Parameters, acessado em abril 14, 2026, </w:t>
      </w:r>
      <w:hyperlink r:id="rId47">
        <w:r w:rsidDel="00000000" w:rsidR="00000000" w:rsidRPr="00000000">
          <w:rPr>
            <w:rFonts w:ascii="Google Sans" w:cs="Google Sans" w:eastAsia="Google Sans" w:hAnsi="Google Sans"/>
            <w:color w:val="0000ee"/>
            <w:sz w:val="24"/>
            <w:szCs w:val="24"/>
            <w:u w:val="single"/>
            <w:rtl w:val="0"/>
          </w:rPr>
          <w:t xml:space="preserve">https://web2.qatar.cmu.edu/~gdicaro/15382-Spring18/hw/hw3-files/pso-book-extract.pdf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impact of novel hybrid floating breakwater-WEC systems on hydrodynamic performance and sustainable energy outputs - PMC, acessado em abril 14, 2026,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https://pmc.ncbi.nlm.nih.gov/articles/PMC12920634/</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TEAMER Awards for WEC-Sim Support: Preprint - Publications, acessado em abril 14, 2026, </w:t>
      </w:r>
      <w:hyperlink r:id="rId49">
        <w:r w:rsidDel="00000000" w:rsidR="00000000" w:rsidRPr="00000000">
          <w:rPr>
            <w:rFonts w:ascii="Google Sans" w:cs="Google Sans" w:eastAsia="Google Sans" w:hAnsi="Google Sans"/>
            <w:color w:val="0000ee"/>
            <w:sz w:val="24"/>
            <w:szCs w:val="24"/>
            <w:u w:val="single"/>
            <w:rtl w:val="0"/>
          </w:rPr>
          <w:t xml:space="preserve">https://docs.nrel.gov/docs/fy23osti/86290.pdf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Features — WEC-Sim documentation - GitHub Pages, acessado em abril 14, 2026, </w:t>
      </w:r>
      <w:hyperlink r:id="rId50">
        <w:r w:rsidDel="00000000" w:rsidR="00000000" w:rsidRPr="00000000">
          <w:rPr>
            <w:rFonts w:ascii="Google Sans" w:cs="Google Sans" w:eastAsia="Google Sans" w:hAnsi="Google Sans"/>
            <w:color w:val="0000ee"/>
            <w:sz w:val="24"/>
            <w:szCs w:val="24"/>
            <w:u w:val="single"/>
            <w:rtl w:val="0"/>
          </w:rPr>
          <w:t xml:space="preserve">https://wec-sim.github.io/WEC-Sim/dev/user/advanced_features.html</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and theoretical study of a cylindrical oscillating water column device with a quadratic power take-off model | Request PDF - ResearchGate, acessado em abril 14,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https://www.researchgate.net/publication/297730889_Experimental_and_theoretical_study_of_a_cylindrical_oscillating_water_column_device_with_a_quadratic_power_take-off_model</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CFD SIMULATION OF AN INTEGRATION SYSTEM OF OSCILLATING BUOY WEC WITH A FIXED BOX-TYPE BREAKWATER, acessado em abril 14, 2026, </w:t>
      </w:r>
      <w:hyperlink r:id="rId52">
        <w:r w:rsidDel="00000000" w:rsidR="00000000" w:rsidRPr="00000000">
          <w:rPr>
            <w:rFonts w:ascii="Google Sans" w:cs="Google Sans" w:eastAsia="Google Sans" w:hAnsi="Google Sans"/>
            <w:color w:val="0000ee"/>
            <w:sz w:val="24"/>
            <w:szCs w:val="24"/>
            <w:u w:val="single"/>
            <w:rtl w:val="0"/>
          </w:rPr>
          <w:t xml:space="preserve">https://dcwan.sjtu.edu.cn/OpenFOAM2018/wp-content/uploads/2018/06/OFW13-13-110.pdf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WEC Dynamics &amp; Controls FY16 Testing Report - mhkdr, acessado em abril 14, 2026, </w:t>
      </w:r>
      <w:hyperlink r:id="rId53">
        <w:r w:rsidDel="00000000" w:rsidR="00000000" w:rsidRPr="00000000">
          <w:rPr>
            <w:rFonts w:ascii="Google Sans" w:cs="Google Sans" w:eastAsia="Google Sans" w:hAnsi="Google Sans"/>
            <w:color w:val="0000ee"/>
            <w:sz w:val="24"/>
            <w:szCs w:val="24"/>
            <w:u w:val="single"/>
            <w:rtl w:val="0"/>
          </w:rPr>
          <w:t xml:space="preserve">https://mhkdr.openei.org/files/151/AdvWecCntrls_wtv01.pdf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 of Wave Power Conversion Efficiency and Hydrodynamic Characteristics of a Floating Twin-Hybrid Wave-Energy Device, acessado em abril 14, 2026, </w:t>
      </w:r>
      <w:hyperlink r:id="rId54">
        <w:r w:rsidDel="00000000" w:rsidR="00000000" w:rsidRPr="00000000">
          <w:rPr>
            <w:rFonts w:ascii="Google Sans" w:cs="Google Sans" w:eastAsia="Google Sans" w:hAnsi="Google Sans"/>
            <w:color w:val="0000ee"/>
            <w:sz w:val="24"/>
            <w:szCs w:val="24"/>
            <w:u w:val="single"/>
            <w:rtl w:val="0"/>
          </w:rPr>
          <w:t xml:space="preserve">https://ascelibrary.org/doi/pdf/10.1061/JWPED5.WWENG-2162?download=true</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Groupiness and Spectral Bandwidth as Relevant Parameters for the Performance Assessment of Wave Energy Converters - ResearchGate, acessado em abril 14,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https://www.researchgate.net/publication/222408676_Wave_Groupiness_and_Spectral_Bandwidth_as_Relevant_Parameters_for_the_Performance_Assessment_of_Wave_Energy_Converters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groupiness and spectral bandwidth as relevant parameters for the performance assessment of wave energy converters - Archimer, acessado em abril 14, 2026, </w:t>
      </w:r>
      <w:hyperlink r:id="rId56">
        <w:r w:rsidDel="00000000" w:rsidR="00000000" w:rsidRPr="00000000">
          <w:rPr>
            <w:rFonts w:ascii="Google Sans" w:cs="Google Sans" w:eastAsia="Google Sans" w:hAnsi="Google Sans"/>
            <w:color w:val="0000ee"/>
            <w:sz w:val="24"/>
            <w:szCs w:val="24"/>
            <w:u w:val="single"/>
            <w:rtl w:val="0"/>
          </w:rPr>
          <w:t xml:space="preserve">https://archimer.ifremer.fr/doc/00031/14178/11467.pdf</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Wave Energy Converter Control Using Instantaneous Frequency - OSTI, acessado em abril 14, 2026, </w:t>
      </w:r>
      <w:hyperlink r:id="rId57">
        <w:r w:rsidDel="00000000" w:rsidR="00000000" w:rsidRPr="00000000">
          <w:rPr>
            <w:rFonts w:ascii="Google Sans" w:cs="Google Sans" w:eastAsia="Google Sans" w:hAnsi="Google Sans"/>
            <w:color w:val="0000ee"/>
            <w:sz w:val="24"/>
            <w:szCs w:val="24"/>
            <w:u w:val="single"/>
            <w:rtl w:val="0"/>
          </w:rPr>
          <w:t xml:space="preserve">https://www.osti.gov/servlets/purl/3014149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ontiersin.org/journals/applied-mathematics-and-statistics/articles/10.3389/fams.2024.1304268/full" TargetMode="External"/><Relationship Id="rId42" Type="http://schemas.openxmlformats.org/officeDocument/2006/relationships/hyperlink" Target="https://pages.mtu.edu/~struther/Courses/OLD/Other/LessOld/5630_11/Projects/outline_OPT_Report_V2.pdf" TargetMode="External"/><Relationship Id="rId41" Type="http://schemas.openxmlformats.org/officeDocument/2006/relationships/hyperlink" Target="https://www.mdpi.com/1999-4893/8/3/697" TargetMode="External"/><Relationship Id="rId44" Type="http://schemas.openxmlformats.org/officeDocument/2006/relationships/hyperlink" Target="https://leeds-faculty.colorado.edu/glover/Publications/article%20-%20SS%20-%20PSO%20-%20Pen.pdf" TargetMode="External"/><Relationship Id="rId43" Type="http://schemas.openxmlformats.org/officeDocument/2006/relationships/hyperlink" Target="https://web.xidian.edu.cn/xlwang/files/20150312_172028.ppt" TargetMode="External"/><Relationship Id="rId46" Type="http://schemas.openxmlformats.org/officeDocument/2006/relationships/hyperlink" Target="https://iridia.ulb.ac.be/~mdorigo/Published_papers/All_Dorigo_papers/DorMonEng2008sch-pso.pdf" TargetMode="External"/><Relationship Id="rId45" Type="http://schemas.openxmlformats.org/officeDocument/2006/relationships/hyperlink" Target="https://www.scirp.org/reference/referencespapers?referenceid=18793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pmc.ncbi.nlm.nih.gov/articles/PMC12920634/" TargetMode="External"/><Relationship Id="rId47" Type="http://schemas.openxmlformats.org/officeDocument/2006/relationships/hyperlink" Target="https://web2.qatar.cmu.edu/~gdicaro/15382-Spring18/hw/hw3-files/pso-book-extract.pdf" TargetMode="External"/><Relationship Id="rId49" Type="http://schemas.openxmlformats.org/officeDocument/2006/relationships/hyperlink" Target="https://docs.nrel.gov/docs/fy23osti/86290.pdf"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e-jamet.org/xml/08733/08733.pdf" TargetMode="External"/><Relationship Id="rId30" Type="http://schemas.openxmlformats.org/officeDocument/2006/relationships/hyperlink" Target="https://wec-sim.github.io/WEC-Sim/main/introduction/overview.html" TargetMode="External"/><Relationship Id="rId33" Type="http://schemas.openxmlformats.org/officeDocument/2006/relationships/hyperlink" Target="https://www.mdpi.com/2077-1312/4/3/53" TargetMode="External"/><Relationship Id="rId32" Type="http://schemas.openxmlformats.org/officeDocument/2006/relationships/hyperlink" Target="https://docs.nrel.gov/docs/fy23osti/82674.pdf" TargetMode="External"/><Relationship Id="rId35" Type="http://schemas.openxmlformats.org/officeDocument/2006/relationships/hyperlink" Target="https://www.vliz.be/imisdocs/publications/387419.pdf" TargetMode="External"/><Relationship Id="rId34" Type="http://schemas.openxmlformats.org/officeDocument/2006/relationships/hyperlink" Target="https://www.researchgate.net/publication/340982112_Performance_analysis_of_a_floating_breakwater_integrated_with_multiple_oscillating_water_column_wave_energy_converters_in_regular_and_irregular_seas" TargetMode="External"/><Relationship Id="rId37" Type="http://schemas.openxmlformats.org/officeDocument/2006/relationships/hyperlink" Target="https://www.mdpi.com/1996-1073/16/3/1152" TargetMode="External"/><Relationship Id="rId36" Type="http://schemas.openxmlformats.org/officeDocument/2006/relationships/hyperlink" Target="https://scispace.com/pdf/a-comparison-of-genetic-algorithm-and-particle-swarm-1kxrquiicu.pdf" TargetMode="External"/><Relationship Id="rId39" Type="http://schemas.openxmlformats.org/officeDocument/2006/relationships/hyperlink" Target="https://www.maxapress.com/article/doi/10.48130/EMST-2023-0009" TargetMode="External"/><Relationship Id="rId38" Type="http://schemas.openxmlformats.org/officeDocument/2006/relationships/hyperlink" Target="https://www.ajer.org/papers/v5(11)/ZJ05110268272.pdf" TargetMode="External"/><Relationship Id="rId20" Type="http://schemas.openxmlformats.org/officeDocument/2006/relationships/hyperlink" Target="https://www.osti.gov/servlets/purl/1659132" TargetMode="External"/><Relationship Id="rId22" Type="http://schemas.openxmlformats.org/officeDocument/2006/relationships/hyperlink" Target="https://www.coastalwiki.org/wiki/Wave_energy_converters" TargetMode="External"/><Relationship Id="rId21" Type="http://schemas.openxmlformats.org/officeDocument/2006/relationships/hyperlink" Target="https://www.mdpi.com/1996-1073/18/1/207" TargetMode="External"/><Relationship Id="rId24" Type="http://schemas.openxmlformats.org/officeDocument/2006/relationships/hyperlink" Target="https://tethys-engineering.pnnl.gov/sites/default/files/publications/Martinetal2016.pdf" TargetMode="External"/><Relationship Id="rId23" Type="http://schemas.openxmlformats.org/officeDocument/2006/relationships/hyperlink" Target="https://marineenergyjournal.org/imej/article/download/50/45" TargetMode="External"/><Relationship Id="rId26" Type="http://schemas.openxmlformats.org/officeDocument/2006/relationships/hyperlink" Target="https://www.researchgate.net/publication/312081886_Power_Take-Off_Systems_for_WECs" TargetMode="External"/><Relationship Id="rId25" Type="http://schemas.openxmlformats.org/officeDocument/2006/relationships/hyperlink" Target="https://pearl.plymouth.ac.uk/cgi/viewcontent.cgi?article=2516&amp;context=secam-research" TargetMode="External"/><Relationship Id="rId28" Type="http://schemas.openxmlformats.org/officeDocument/2006/relationships/hyperlink" Target="https://researchportal.hw.ac.uk/files/141387128/1-s2.0-S0029801824025290-main.pdf" TargetMode="External"/><Relationship Id="rId27" Type="http://schemas.openxmlformats.org/officeDocument/2006/relationships/hyperlink" Target="https://docs.nrel.gov/docs/fy24osti/86187.pdf" TargetMode="External"/><Relationship Id="rId29" Type="http://schemas.openxmlformats.org/officeDocument/2006/relationships/hyperlink" Target="https://www.researchgate.net/publication/267842840_The_effect_of_a_nonlinear_Power_Take_Off_on_a_Wave_Energy_Converter" TargetMode="External"/><Relationship Id="rId51" Type="http://schemas.openxmlformats.org/officeDocument/2006/relationships/hyperlink" Target="https://www.researchgate.net/publication/297730889_Experimental_and_theoretical_study_of_a_cylindrical_oscillating_water_column_device_with_a_quadratic_power_take-off_model" TargetMode="External"/><Relationship Id="rId50" Type="http://schemas.openxmlformats.org/officeDocument/2006/relationships/hyperlink" Target="https://wec-sim.github.io/WEC-Sim/dev/user/advanced_features.html" TargetMode="External"/><Relationship Id="rId53" Type="http://schemas.openxmlformats.org/officeDocument/2006/relationships/hyperlink" Target="https://mhkdr.openei.org/files/151/AdvWecCntrls_wtv01.pdf" TargetMode="External"/><Relationship Id="rId52" Type="http://schemas.openxmlformats.org/officeDocument/2006/relationships/hyperlink" Target="https://dcwan.sjtu.edu.cn/OpenFOAM2018/wp-content/uploads/2018/06/OFW13-13-110.pdf" TargetMode="External"/><Relationship Id="rId11" Type="http://schemas.openxmlformats.org/officeDocument/2006/relationships/image" Target="media/image9.png"/><Relationship Id="rId55" Type="http://schemas.openxmlformats.org/officeDocument/2006/relationships/hyperlink" Target="https://www.researchgate.net/publication/222408676_Wave_Groupiness_and_Spectral_Bandwidth_as_Relevant_Parameters_for_the_Performance_Assessment_of_Wave_Energy_Converters" TargetMode="External"/><Relationship Id="rId10" Type="http://schemas.openxmlformats.org/officeDocument/2006/relationships/image" Target="media/image13.png"/><Relationship Id="rId54" Type="http://schemas.openxmlformats.org/officeDocument/2006/relationships/hyperlink" Target="https://ascelibrary.org/doi/pdf/10.1061/JWPED5.WWENG-2162?download=true" TargetMode="External"/><Relationship Id="rId13" Type="http://schemas.openxmlformats.org/officeDocument/2006/relationships/image" Target="media/image2.png"/><Relationship Id="rId57" Type="http://schemas.openxmlformats.org/officeDocument/2006/relationships/hyperlink" Target="https://www.osti.gov/servlets/purl/3014149" TargetMode="External"/><Relationship Id="rId12" Type="http://schemas.openxmlformats.org/officeDocument/2006/relationships/image" Target="media/image12.png"/><Relationship Id="rId56" Type="http://schemas.openxmlformats.org/officeDocument/2006/relationships/hyperlink" Target="https://archimer.ifremer.fr/doc/00031/14178/11467.pdf" TargetMode="External"/><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