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44"/>
        </w:rPr>
        <w:t>PROPUESTA COMERCIAL</w:t>
      </w:r>
    </w:p>
    <w:p>
      <w:pPr>
        <w:jc w:val="center"/>
      </w:pPr>
      <w:r>
        <w:rPr>
          <w:rFonts w:ascii="Calibri" w:hAnsi="Calibri"/>
          <w:b/>
          <w:i w:val="0"/>
          <w:color w:val="4472C4"/>
          <w:sz w:val="32"/>
        </w:rPr>
        <w:t>Plataforma LabInsumos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Software de Gestión de Insumos para Laboratorio Farmacéutico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595959"/>
          <w:sz w:val="21"/>
        </w:rPr>
        <w:t>Modalidad SaaS · Arriendo mensual · Modelo por rango de usuarios</w:t>
      </w:r>
    </w:p>
    <w:p/>
    <w:p>
      <w:pPr>
        <w:jc w:val="center"/>
      </w:pPr>
      <w:r>
        <w:rPr>
          <w:rFonts w:ascii="Calibri" w:hAnsi="Calibri"/>
          <w:b w:val="0"/>
          <w:i w:val="0"/>
          <w:color w:val="7F7F7F"/>
          <w:sz w:val="20"/>
        </w:rPr>
        <w:t>Junio de 2026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1. Resumen Ejecutivo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>LabInsumos es una plataforma web especializada en la gestión integral de insumos de laboratorio farmacéutico: estándares, reactivos, columnas, placebos y APIs. Desarrollada bajo tecnología moderna (React 18 + Firebase), cubre el ciclo completo de vida de cada insumo, desde la recepción y trazabilidad hasta la aprobación regulatoria y el reporte de auditoría.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>La presente propuesta describe las condiciones de arriendo mensual bajo la modalidad Software as a Service (SaaS), expresadas en Unidades de Fomento (UF) para proteger tanto al proveedor como al cliente frente a variaciones inflacionarias.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2. Descripción de la Plataforma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2"/>
        </w:rPr>
        <w:t>2.1 Módulos incluidos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Dashboard: </w:t>
      </w:r>
      <w:r>
        <w:rPr>
          <w:rFonts w:ascii="Calibri" w:hAnsi="Calibri"/>
          <w:b w:val="0"/>
          <w:i w:val="0"/>
          <w:sz w:val="21"/>
        </w:rPr>
        <w:t>Vista general con semáforos de vencimiento y KPIs del inventario.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Estándares: </w:t>
      </w:r>
      <w:r>
        <w:rPr>
          <w:rFonts w:ascii="Calibri" w:hAnsi="Calibri"/>
          <w:b w:val="0"/>
          <w:i w:val="0"/>
          <w:sz w:val="21"/>
        </w:rPr>
        <w:t>Registro, trazabilidad por frasco, historial de uso y alertas de vencimiento.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Columnas HPLC: </w:t>
      </w:r>
      <w:r>
        <w:rPr>
          <w:rFonts w:ascii="Calibri" w:hAnsi="Calibri"/>
          <w:b w:val="0"/>
          <w:i w:val="0"/>
          <w:sz w:val="21"/>
        </w:rPr>
        <w:t>Control de ciclos, usos acumulados y estado operativo.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Reactivos: </w:t>
      </w:r>
      <w:r>
        <w:rPr>
          <w:rFonts w:ascii="Calibri" w:hAnsi="Calibri"/>
          <w:b w:val="0"/>
          <w:i w:val="0"/>
          <w:sz w:val="21"/>
        </w:rPr>
        <w:t>Gestión de stock, vencimiento y consumo por análisis.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Placebo: </w:t>
      </w:r>
      <w:r>
        <w:rPr>
          <w:rFonts w:ascii="Calibri" w:hAnsi="Calibri"/>
          <w:b w:val="0"/>
          <w:i w:val="0"/>
          <w:sz w:val="21"/>
        </w:rPr>
        <w:t>Trazabilidad de muestras de placebo por cliente y lote.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APIs: </w:t>
      </w:r>
      <w:r>
        <w:rPr>
          <w:rFonts w:ascii="Calibri" w:hAnsi="Calibri"/>
          <w:b w:val="0"/>
          <w:i w:val="0"/>
          <w:sz w:val="21"/>
        </w:rPr>
        <w:t>Control de principios activos con stock en gramos y decimal de precisión.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Alertas: </w:t>
      </w:r>
      <w:r>
        <w:rPr>
          <w:rFonts w:ascii="Calibri" w:hAnsi="Calibri"/>
          <w:b w:val="0"/>
          <w:i w:val="0"/>
          <w:sz w:val="21"/>
        </w:rPr>
        <w:t>Notificaciones automáticas de vencimiento próximo y crítico.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Métodos: </w:t>
      </w:r>
      <w:r>
        <w:rPr>
          <w:rFonts w:ascii="Calibri" w:hAnsi="Calibri"/>
          <w:b w:val="0"/>
          <w:i w:val="0"/>
          <w:sz w:val="21"/>
        </w:rPr>
        <w:t>Vinculación de métodos analíticos con los insumos que requieren.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Aprobaciones: </w:t>
      </w:r>
      <w:r>
        <w:rPr>
          <w:rFonts w:ascii="Calibri" w:hAnsi="Calibri"/>
          <w:b w:val="0"/>
          <w:i w:val="0"/>
          <w:sz w:val="21"/>
        </w:rPr>
        <w:t>Flujo de aprobación de insumos con roles diferenciados.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Clientes: </w:t>
      </w:r>
      <w:r>
        <w:rPr>
          <w:rFonts w:ascii="Calibri" w:hAnsi="Calibri"/>
          <w:b w:val="0"/>
          <w:i w:val="0"/>
          <w:sz w:val="21"/>
        </w:rPr>
        <w:t>Gestión de clientes asociados a placebos y métodos.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Usuarios: </w:t>
      </w:r>
      <w:r>
        <w:rPr>
          <w:rFonts w:ascii="Calibri" w:hAnsi="Calibri"/>
          <w:b w:val="0"/>
          <w:i w:val="0"/>
          <w:sz w:val="21"/>
        </w:rPr>
        <w:t>Administración de roles: Lectura, Administrativo, Analista, Coordinador, Jefe, Admin.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Auditoría: </w:t>
      </w:r>
      <w:r>
        <w:rPr>
          <w:rFonts w:ascii="Calibri" w:hAnsi="Calibri"/>
          <w:b w:val="0"/>
          <w:i w:val="0"/>
          <w:sz w:val="21"/>
        </w:rPr>
        <w:t>Log completo de todas las operaciones realizadas en la plataforma.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Reportes: </w:t>
      </w:r>
      <w:r>
        <w:rPr>
          <w:rFonts w:ascii="Calibri" w:hAnsi="Calibri"/>
          <w:b w:val="0"/>
          <w:i w:val="0"/>
          <w:sz w:val="21"/>
        </w:rPr>
        <w:t>Exportación de inventario y trazabilidad a Excel/PDF.</w:t>
      </w:r>
    </w:p>
    <w:p>
      <w:pPr>
        <w:spacing w:after="60"/>
        <w:ind w:left="283"/>
      </w:pPr>
      <w:r>
        <w:rPr>
          <w:rFonts w:ascii="Calibri" w:hAnsi="Calibri"/>
          <w:b/>
          <w:i w:val="0"/>
          <w:sz w:val="21"/>
        </w:rPr>
        <w:t xml:space="preserve">Escaneo QR: </w:t>
      </w:r>
      <w:r>
        <w:rPr>
          <w:rFonts w:ascii="Calibri" w:hAnsi="Calibri"/>
          <w:b w:val="0"/>
          <w:i w:val="0"/>
          <w:sz w:val="21"/>
        </w:rPr>
        <w:t>Registro y consulta de insumos mediante código QR.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2"/>
        </w:rPr>
        <w:t>2.2 Características técnicas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Acceso web 100% desde navegador, sin instalación local.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Base de datos en la nube (Google Firebase) con alta disponibilidad.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Roles y permisos granulares por usuario.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Interfaz responsive — compatible con tablet y escritorio.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Actualizaciones automáticas incluidas en el arriendo.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Backup automático gestionado por la infraestructura Firebase.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3. Modelo de Precios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>El precio se expresa en Unidades de Fomento (UF), valor indexado al IPC publicado por el Banco Central de Chile. El cobro mensual se convierte a pesos chilenos (CLP) según el valor de la UF del día de facturación.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2"/>
        </w:rPr>
        <w:t>3.1 Tabla de precios por rango de usuarios activos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>Se entiende por "usuario activo" todo usuario con acceso habilitado a la plataforma durante el período facturado, independientemente de la frecuencia de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Rango de usuarios</w:t>
            </w:r>
          </w:p>
        </w:tc>
        <w:tc>
          <w:tcPr>
            <w:tcW w:type="dxa" w:w="18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18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UF / mes</w:t>
            </w:r>
          </w:p>
        </w:tc>
        <w:tc>
          <w:tcPr>
            <w:tcW w:type="dxa" w:w="18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CLP aprox. / mes*</w:t>
            </w:r>
          </w:p>
        </w:tc>
        <w:tc>
          <w:tcPr>
            <w:tcW w:type="dxa" w:w="18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USD aprox. / mes**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– 10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Básico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1,5 – 2,0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$58.000 – $77.000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$61 – $82</w:t>
            </w:r>
          </w:p>
        </w:tc>
      </w:tr>
      <w:tr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11 – 20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Estándar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2,5 – 3,0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$96.000 – $116.000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$102 – $123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21 – 30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Profesional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3,5 – 4,5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$135.000 – $173.000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$143 – $184</w:t>
            </w:r>
          </w:p>
        </w:tc>
      </w:tr>
      <w:tr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31 – 40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Avanzado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5,0 – 6,0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$193.000 – $231.000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$205 – $245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41 – 50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Empresarial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6,5 – 8,0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$250.000 – $308.000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$266 – $328</w:t>
            </w:r>
          </w:p>
        </w:tc>
      </w:tr>
      <w:tr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51 – 75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Corporativo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9,0 – 11,0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$347.000 – $424.000</w:t>
            </w:r>
          </w:p>
        </w:tc>
        <w:tc>
          <w:tcPr>
            <w:tcW w:type="dxa" w:w="18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$369 – $450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76 – 100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Enterprise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12,0 – 15,0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$462.000 – $578.000</w:t>
            </w:r>
          </w:p>
        </w:tc>
        <w:tc>
          <w:tcPr>
            <w:tcW w:type="dxa" w:w="182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$491 – $614</w:t>
            </w:r>
          </w:p>
        </w:tc>
      </w:tr>
    </w:tbl>
    <w:p/>
    <w:p>
      <w:r>
        <w:rPr>
          <w:rFonts w:ascii="Calibri" w:hAnsi="Calibri"/>
          <w:b w:val="0"/>
          <w:i/>
          <w:color w:val="7F7F7F"/>
          <w:sz w:val="18"/>
        </w:rPr>
        <w:t>* CLP calculado con UF = $38.500 (referencial). ** USD calculado con tipo de cambio $940/USD (referencial). Los valores definitivos se ajustan al día de facturación.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 ¿Qué incluye el arriendo mensual?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Acceso a la plataforma: </w:t>
      </w:r>
      <w:r>
        <w:rPr>
          <w:rFonts w:ascii="Calibri" w:hAnsi="Calibri"/>
          <w:b w:val="0"/>
          <w:i w:val="0"/>
          <w:sz w:val="21"/>
        </w:rPr>
        <w:t>Todos los módulos descritos en la sección 2, sin restricción de funcionalidades según el plan.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Alojamiento e infraestructura: </w:t>
      </w:r>
      <w:r>
        <w:rPr>
          <w:rFonts w:ascii="Calibri" w:hAnsi="Calibri"/>
          <w:b w:val="0"/>
          <w:i w:val="0"/>
          <w:sz w:val="21"/>
        </w:rPr>
        <w:t>Hospedaje en Google Firebase (Firestore, Hosting, Authentication). Escalado automático según demanda.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Actualizaciones: </w:t>
      </w:r>
      <w:r>
        <w:rPr>
          <w:rFonts w:ascii="Calibri" w:hAnsi="Calibri"/>
          <w:b w:val="0"/>
          <w:i w:val="0"/>
          <w:sz w:val="21"/>
        </w:rPr>
        <w:t>Mejoras de funcionalidad, correcciones de errores y parches de seguridad sin costo adicional.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Soporte técnico: </w:t>
      </w:r>
      <w:r>
        <w:rPr>
          <w:rFonts w:ascii="Calibri" w:hAnsi="Calibri"/>
          <w:b w:val="0"/>
          <w:i w:val="0"/>
          <w:sz w:val="21"/>
        </w:rPr>
        <w:t>Soporte por correo electrónico con tiempo de respuesta de 24 horas hábiles.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Capacitación inicial: </w:t>
      </w:r>
      <w:r>
        <w:rPr>
          <w:rFonts w:ascii="Calibri" w:hAnsi="Calibri"/>
          <w:b w:val="0"/>
          <w:i w:val="0"/>
          <w:sz w:val="21"/>
        </w:rPr>
        <w:t>Una sesión de onboarding de hasta 2 horas para el equipo administrador (remota vía videollamada).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Respaldo de datos: </w:t>
      </w:r>
      <w:r>
        <w:rPr>
          <w:rFonts w:ascii="Calibri" w:hAnsi="Calibri"/>
          <w:b w:val="0"/>
          <w:i w:val="0"/>
          <w:sz w:val="21"/>
        </w:rPr>
        <w:t>Backup automático gestionado por Firebase con retención de 7 días.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5. Servicios Opcionales (cotización separada)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Servicio</w:t>
            </w:r>
          </w:p>
        </w:tc>
        <w:tc>
          <w:tcPr>
            <w:tcW w:type="dxa" w:w="304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Precio referencial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Migración de datos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Importación de inventario histórico desde Excel u otro sistema.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 – 8 UF (única vez)</w:t>
            </w:r>
          </w:p>
        </w:tc>
      </w:tr>
      <w:tr>
        <w:tc>
          <w:tcPr>
            <w:tcW w:type="dxa" w:w="304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Onboarding extendido</w:t>
            </w:r>
          </w:p>
        </w:tc>
        <w:tc>
          <w:tcPr>
            <w:tcW w:type="dxa" w:w="304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Capacitación a usuarios finales, hasta 4 horas.</w:t>
            </w:r>
          </w:p>
        </w:tc>
        <w:tc>
          <w:tcPr>
            <w:tcW w:type="dxa" w:w="3041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 – 4 UF (única vez)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Desarrollo a medida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Nuevas funcionalidades o integraciones solicitadas por el cliente.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Cotización por hora</w:t>
            </w:r>
          </w:p>
        </w:tc>
      </w:tr>
      <w:tr>
        <w:tc>
          <w:tcPr>
            <w:tcW w:type="dxa" w:w="304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Soporte prioritario</w:t>
            </w:r>
          </w:p>
        </w:tc>
        <w:tc>
          <w:tcPr>
            <w:tcW w:type="dxa" w:w="3041"/>
            <w:shd w:val="clear" w:color="auto" w:fill="EBF3FB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Tiempo de respuesta de 4 horas hábiles + línea WhatsApp Business.</w:t>
            </w:r>
          </w:p>
        </w:tc>
        <w:tc>
          <w:tcPr>
            <w:tcW w:type="dxa" w:w="3041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0,5 – 1,0 UF/mes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Usuarios adicionales &gt;100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Incorporación de usuarios por sobre el rango Enterprise.</w:t>
            </w:r>
          </w:p>
        </w:tc>
        <w:tc>
          <w:tcPr>
            <w:tcW w:type="dxa" w:w="304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0,1 – 0,15 UF/usuario/mes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6. Condiciones Comerciales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Período mínimo de contrato: </w:t>
      </w:r>
      <w:r>
        <w:rPr>
          <w:rFonts w:ascii="Calibri" w:hAnsi="Calibri"/>
          <w:b w:val="0"/>
          <w:i w:val="0"/>
          <w:sz w:val="21"/>
        </w:rPr>
        <w:t>Tres (3) meses.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Facturación: </w:t>
      </w:r>
      <w:r>
        <w:rPr>
          <w:rFonts w:ascii="Calibri" w:hAnsi="Calibri"/>
          <w:b w:val="0"/>
          <w:i w:val="0"/>
          <w:sz w:val="21"/>
        </w:rPr>
        <w:t>Mensual, anticipada, emitida los primeros 5 días hábiles de cada mes.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Forma de pago: </w:t>
      </w:r>
      <w:r>
        <w:rPr>
          <w:rFonts w:ascii="Calibri" w:hAnsi="Calibri"/>
          <w:b w:val="0"/>
          <w:i w:val="0"/>
          <w:sz w:val="21"/>
        </w:rPr>
        <w:t>Transferencia bancaria o cheque a 30 días.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Descuento por contrato anual: </w:t>
      </w:r>
      <w:r>
        <w:rPr>
          <w:rFonts w:ascii="Calibri" w:hAnsi="Calibri"/>
          <w:b w:val="0"/>
          <w:i w:val="0"/>
          <w:sz w:val="21"/>
        </w:rPr>
        <w:t>Pago adelantado de 12 meses: descuento del 12% sobre la tarifa mensual.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Descuento por contrato bianual: </w:t>
      </w:r>
      <w:r>
        <w:rPr>
          <w:rFonts w:ascii="Calibri" w:hAnsi="Calibri"/>
          <w:b w:val="0"/>
          <w:i w:val="0"/>
          <w:sz w:val="21"/>
        </w:rPr>
        <w:t>Pago adelantado de 24 meses: descuento del 20% sobre la tarifa mensual.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Ajuste de tarifa: </w:t>
      </w:r>
      <w:r>
        <w:rPr>
          <w:rFonts w:ascii="Calibri" w:hAnsi="Calibri"/>
          <w:b w:val="0"/>
          <w:i w:val="0"/>
          <w:sz w:val="21"/>
        </w:rPr>
        <w:t>Revisión anual en función de la variación acumulada del IPC. La UF ya absorbe parte de esta variación; el ajuste aplica sólo al número de UF pactado.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Suspensión del servicio: </w:t>
      </w:r>
      <w:r>
        <w:rPr>
          <w:rFonts w:ascii="Calibri" w:hAnsi="Calibri"/>
          <w:b w:val="0"/>
          <w:i w:val="0"/>
          <w:sz w:val="21"/>
        </w:rPr>
        <w:t>Ante mora superior a 30 días corridos, se suspende el acceso hasta regularización.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Rescisión: </w:t>
      </w:r>
      <w:r>
        <w:rPr>
          <w:rFonts w:ascii="Calibri" w:hAnsi="Calibri"/>
          <w:b w:val="0"/>
          <w:i w:val="0"/>
          <w:sz w:val="21"/>
        </w:rPr>
        <w:t>Aviso con 30 días de anticipación. No aplica cobro de penalidad.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Confidencialidad: </w:t>
      </w:r>
      <w:r>
        <w:rPr>
          <w:rFonts w:ascii="Calibri" w:hAnsi="Calibri"/>
          <w:b w:val="0"/>
          <w:i w:val="0"/>
          <w:sz w:val="21"/>
        </w:rPr>
        <w:t>Los datos del cliente son de su exclusiva propiedad. El proveedor no cede ni comercializa información del cliente.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Propiedad intelectual: </w:t>
      </w:r>
      <w:r>
        <w:rPr>
          <w:rFonts w:ascii="Calibri" w:hAnsi="Calibri"/>
          <w:b w:val="0"/>
          <w:i w:val="0"/>
          <w:sz w:val="21"/>
        </w:rPr>
        <w:t>La plataforma es propiedad del proveedor. El cliente recibe una licencia de uso no exclusiva durante la vigencia del contrato.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7. Proceso de Implementación</w:t>
      </w:r>
    </w:p>
    <w:p>
      <w:pPr>
        <w:spacing w:after="80"/>
        <w:ind w:left="283"/>
      </w:pPr>
      <w:r>
        <w:rPr>
          <w:rFonts w:ascii="Calibri" w:hAnsi="Calibri"/>
          <w:b/>
          <w:i w:val="0"/>
          <w:color w:val="1F497D"/>
          <w:sz w:val="21"/>
        </w:rPr>
        <w:t xml:space="preserve">Semana 1: </w:t>
      </w:r>
      <w:r>
        <w:rPr>
          <w:rFonts w:ascii="Calibri" w:hAnsi="Calibri"/>
          <w:b w:val="0"/>
          <w:i w:val="0"/>
          <w:sz w:val="21"/>
        </w:rPr>
        <w:t>Firma de contrato y pago del primer mes. Creación del entorno de producción y configuración inicial.</w:t>
      </w:r>
    </w:p>
    <w:p>
      <w:pPr>
        <w:spacing w:after="80"/>
        <w:ind w:left="283"/>
      </w:pPr>
      <w:r>
        <w:rPr>
          <w:rFonts w:ascii="Calibri" w:hAnsi="Calibri"/>
          <w:b/>
          <w:i w:val="0"/>
          <w:color w:val="1F497D"/>
          <w:sz w:val="21"/>
        </w:rPr>
        <w:t xml:space="preserve">Semana 1–2: </w:t>
      </w:r>
      <w:r>
        <w:rPr>
          <w:rFonts w:ascii="Calibri" w:hAnsi="Calibri"/>
          <w:b w:val="0"/>
          <w:i w:val="0"/>
          <w:sz w:val="21"/>
        </w:rPr>
        <w:t>Migración de datos históricos (si aplica) y configuración de usuarios con sus roles correspondientes.</w:t>
      </w:r>
    </w:p>
    <w:p>
      <w:pPr>
        <w:spacing w:after="80"/>
        <w:ind w:left="283"/>
      </w:pPr>
      <w:r>
        <w:rPr>
          <w:rFonts w:ascii="Calibri" w:hAnsi="Calibri"/>
          <w:b/>
          <w:i w:val="0"/>
          <w:color w:val="1F497D"/>
          <w:sz w:val="21"/>
        </w:rPr>
        <w:t xml:space="preserve">Semana 2: </w:t>
      </w:r>
      <w:r>
        <w:rPr>
          <w:rFonts w:ascii="Calibri" w:hAnsi="Calibri"/>
          <w:b w:val="0"/>
          <w:i w:val="0"/>
          <w:sz w:val="21"/>
        </w:rPr>
        <w:t>Sesión de onboarding para el equipo administrador y coordinadores.</w:t>
      </w:r>
    </w:p>
    <w:p>
      <w:pPr>
        <w:spacing w:after="80"/>
        <w:ind w:left="283"/>
      </w:pPr>
      <w:r>
        <w:rPr>
          <w:rFonts w:ascii="Calibri" w:hAnsi="Calibri"/>
          <w:b/>
          <w:i w:val="0"/>
          <w:color w:val="1F497D"/>
          <w:sz w:val="21"/>
        </w:rPr>
        <w:t xml:space="preserve">Semana 3–4: </w:t>
      </w:r>
      <w:r>
        <w:rPr>
          <w:rFonts w:ascii="Calibri" w:hAnsi="Calibri"/>
          <w:b w:val="0"/>
          <w:i w:val="0"/>
          <w:sz w:val="21"/>
        </w:rPr>
        <w:t>Operación asistida: período de acompañamiento con soporte prioritario sin costo adicional.</w:t>
      </w:r>
    </w:p>
    <w:p>
      <w:pPr>
        <w:spacing w:after="80"/>
        <w:ind w:left="283"/>
      </w:pPr>
      <w:r>
        <w:rPr>
          <w:rFonts w:ascii="Calibri" w:hAnsi="Calibri"/>
          <w:b/>
          <w:i w:val="0"/>
          <w:color w:val="1F497D"/>
          <w:sz w:val="21"/>
        </w:rPr>
        <w:t xml:space="preserve">Desde el mes 2: </w:t>
      </w:r>
      <w:r>
        <w:rPr>
          <w:rFonts w:ascii="Calibri" w:hAnsi="Calibri"/>
          <w:b w:val="0"/>
          <w:i w:val="0"/>
          <w:sz w:val="21"/>
        </w:rPr>
        <w:t>Operación autónoma con soporte estándar incluido.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8. Cumplimiento Regulatorio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1"/>
        </w:rPr>
        <w:t>LabInsumos está diseñado alineado con los requerimientos habituales de laboratorios farmacéuticos bajo normativas como BPL (Buenas Prácticas de Laboratorio) y los estándares de la ICH Q2(R1) para validación analítica. La plataforma provee: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Trazabilidad completa de cada insumo desde su ingreso hasta su baja o vencimiento.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Log de auditoría inalterable con registro de usuario, fecha/hora y operación realizada.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Flujo de aprobación multinivel para el ingreso de insumos críticos.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Control de vencimientos con alertas visuales de tres niveles (OK / Advertencia / Crítico).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Histórico de uso por método analítico, analista y cliente.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sz w:val="21"/>
        </w:rPr>
        <w:t>Nota: el proveedor no certifica el cumplimiento regulatorio del laboratorio contratante; la plataforma es una herramienta de apoyo a la gestión. La validación formal de los procesos documentales es responsabilidad del equipo de Calidad del laboratorio.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9. Próximos Pasos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Revisión de esta propuesta por parte del cliente.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Reunión de alineamiento para ajustar plan, módulos y condiciones (opcional).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Firma del contrato de arriendo.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Pago del primer período y activación del entorno de producción.</w:t>
      </w:r>
    </w:p>
    <w:p/>
    <w:p>
      <w:pPr>
        <w:jc w:val="center"/>
      </w:pPr>
      <w:r>
        <w:rPr>
          <w:rFonts w:ascii="Calibri" w:hAnsi="Calibri"/>
          <w:b w:val="0"/>
          <w:i/>
          <w:color w:val="7F7F7F"/>
          <w:sz w:val="19"/>
        </w:rPr>
        <w:t>— Propuesta válida por 30 días corridos desde su emisión —</w:t>
      </w:r>
    </w:p>
    <w:p/>
    <w:p>
      <w:pPr>
        <w:jc w:val="center"/>
      </w:pPr>
      <w:r>
        <w:rPr>
          <w:rFonts w:ascii="Calibri" w:hAnsi="Calibri"/>
          <w:b w:val="0"/>
          <w:i w:val="0"/>
          <w:sz w:val="20"/>
        </w:rPr>
        <w:t>Para consultas o ajustes a esta propuesta, contactar al equipo comercial.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