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hwk40nfnfnn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Modelado de proceso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40" w:lineRule="auto"/>
        <w:jc w:val="right"/>
        <w:rPr>
          <w:rFonts w:ascii="Times New Roman" w:cs="Times New Roman" w:eastAsia="Times New Roman" w:hAnsi="Times New Roman"/>
          <w:b w:val="1"/>
          <w:i w:val="1"/>
          <w:sz w:val="80"/>
          <w:szCs w:val="80"/>
        </w:rPr>
      </w:pPr>
      <w:bookmarkStart w:colFirst="0" w:colLast="0" w:name="_d41lu9jk3bz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jc w:val="right"/>
        <w:rPr>
          <w:rFonts w:ascii="Times New Roman" w:cs="Times New Roman" w:eastAsia="Times New Roman" w:hAnsi="Times New Roman"/>
          <w:b w:val="1"/>
          <w:i w:val="1"/>
          <w:sz w:val="80"/>
          <w:szCs w:val="80"/>
        </w:rPr>
      </w:pPr>
      <w:bookmarkStart w:colFirst="0" w:colLast="0" w:name="_gl129l85i8s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jc w:val="right"/>
        <w:rPr>
          <w:rFonts w:ascii="Times New Roman" w:cs="Times New Roman" w:eastAsia="Times New Roman" w:hAnsi="Times New Roman"/>
          <w:b w:val="1"/>
          <w:i w:val="1"/>
          <w:sz w:val="80"/>
          <w:szCs w:val="80"/>
        </w:rPr>
      </w:pPr>
      <w:bookmarkStart w:colFirst="0" w:colLast="0" w:name="_gwpoh4ea79z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jc w:val="right"/>
        <w:rPr>
          <w:rFonts w:ascii="Times New Roman" w:cs="Times New Roman" w:eastAsia="Times New Roman" w:hAnsi="Times New Roman"/>
          <w:b w:val="1"/>
          <w:i w:val="1"/>
          <w:sz w:val="80"/>
          <w:szCs w:val="80"/>
        </w:rPr>
      </w:pPr>
      <w:bookmarkStart w:colFirst="0" w:colLast="0" w:name="_vp25lz7fnrk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40" w:lineRule="auto"/>
        <w:jc w:val="right"/>
        <w:rPr>
          <w:rFonts w:ascii="Times New Roman" w:cs="Times New Roman" w:eastAsia="Times New Roman" w:hAnsi="Times New Roman"/>
          <w:b w:val="1"/>
          <w:i w:val="1"/>
          <w:sz w:val="80"/>
          <w:szCs w:val="80"/>
        </w:rPr>
      </w:pPr>
      <w:bookmarkStart w:colFirst="0" w:colLast="0" w:name="_ja9mbqugnrw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40" w:lineRule="auto"/>
        <w:jc w:val="right"/>
        <w:rPr>
          <w:rFonts w:ascii="Times New Roman" w:cs="Times New Roman" w:eastAsia="Times New Roman" w:hAnsi="Times New Roman"/>
          <w:b w:val="1"/>
          <w:i w:val="1"/>
          <w:sz w:val="80"/>
          <w:szCs w:val="80"/>
        </w:rPr>
      </w:pPr>
      <w:bookmarkStart w:colFirst="0" w:colLast="0" w:name="_e5p22pz8qo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80"/>
          <w:szCs w:val="80"/>
          <w:rtl w:val="0"/>
        </w:rPr>
        <w:t xml:space="preserve">Modelado de proceso de negocio</w:t>
      </w:r>
    </w:p>
    <w:p w:rsidR="00000000" w:rsidDel="00000000" w:rsidP="00000000" w:rsidRDefault="00000000" w:rsidRPr="00000000" w14:paraId="00000008">
      <w:pPr>
        <w:pStyle w:val="Title"/>
        <w:spacing w:line="240" w:lineRule="auto"/>
        <w:jc w:val="right"/>
        <w:rPr>
          <w:b w:val="1"/>
          <w:sz w:val="48"/>
          <w:szCs w:val="48"/>
        </w:rPr>
      </w:pPr>
      <w:bookmarkStart w:colFirst="0" w:colLast="0" w:name="_pl39gv18ogrw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SeñAI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Calibri" w:cs="Calibri" w:eastAsia="Calibri" w:hAnsi="Calibri"/>
          <w:color w:val="666666"/>
          <w:sz w:val="36"/>
          <w:szCs w:val="36"/>
        </w:rPr>
      </w:pPr>
      <w:r w:rsidDel="00000000" w:rsidR="00000000" w:rsidRPr="00000000">
        <w:rPr>
          <w:b w:val="1"/>
          <w:i w:val="1"/>
          <w:color w:val="666666"/>
          <w:sz w:val="36"/>
          <w:szCs w:val="36"/>
          <w:rtl w:val="0"/>
        </w:rPr>
        <w:t xml:space="preserve">26/03/2025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9ecfp7tnu1k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0" w:before="4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xyzccrrm0q3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Tabla de contenido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dt>
      <w:sdtPr>
        <w:id w:val="4903284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yzccrrm0q3n">
            <w:r w:rsidDel="00000000" w:rsidR="00000000" w:rsidRPr="00000000">
              <w:rPr>
                <w:b w:val="1"/>
                <w:rtl w:val="0"/>
              </w:rPr>
              <w:t xml:space="preserve">Tabla de contenido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6w42hx14g81h">
            <w:r w:rsidDel="00000000" w:rsidR="00000000" w:rsidRPr="00000000">
              <w:rPr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c9sgpafwd98q">
            <w:r w:rsidDel="00000000" w:rsidR="00000000" w:rsidRPr="00000000">
              <w:rPr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/>
          </w:pPr>
          <w:hyperlink w:anchor="_zccjpacw78ju">
            <w:r w:rsidDel="00000000" w:rsidR="00000000" w:rsidRPr="00000000">
              <w:rPr>
                <w:rtl w:val="0"/>
              </w:rPr>
              <w:t xml:space="preserve">Patrocinador / 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30fzjv8f02bk">
            <w:r w:rsidDel="00000000" w:rsidR="00000000" w:rsidRPr="00000000">
              <w:rPr>
                <w:rtl w:val="0"/>
              </w:rPr>
              <w:t xml:space="preserve">Roles y Cargo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fe7ur66ok4d5">
            <w:r w:rsidDel="00000000" w:rsidR="00000000" w:rsidRPr="00000000">
              <w:rPr>
                <w:rtl w:val="0"/>
              </w:rPr>
              <w:t xml:space="preserve">Diagrama de proceso (ToBe)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dec7ucp16kh1">
            <w:r w:rsidDel="00000000" w:rsidR="00000000" w:rsidRPr="00000000">
              <w:rPr>
                <w:rtl w:val="0"/>
              </w:rPr>
              <w:t xml:space="preserve">Diagrama de proceso (AS IS)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mz1dic17pabt">
            <w:r w:rsidDel="00000000" w:rsidR="00000000" w:rsidRPr="00000000">
              <w:rPr>
                <w:rtl w:val="0"/>
              </w:rPr>
              <w:t xml:space="preserve">Descripción general del proceso actual (As-Is)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ii66rdkwvcdf">
            <w:r w:rsidDel="00000000" w:rsidR="00000000" w:rsidRPr="00000000">
              <w:rPr>
                <w:rtl w:val="0"/>
              </w:rPr>
              <w:t xml:space="preserve">Descripción del proceso propuesto (To-Be)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9vp8uzvs5amt">
            <w:r w:rsidDel="00000000" w:rsidR="00000000" w:rsidRPr="00000000">
              <w:rPr>
                <w:rtl w:val="0"/>
              </w:rPr>
              <w:t xml:space="preserve">Comparación entre el modelo actual y el modelo propuesto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hyperlink w:anchor="_d2zbnomb1mxr">
            <w:r w:rsidDel="00000000" w:rsidR="00000000" w:rsidRPr="00000000">
              <w:rPr>
                <w:rtl w:val="0"/>
              </w:rPr>
              <w:t xml:space="preserve">Detalle técnico del sistema propuesto (To-Be)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6w42hx14g81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Información del Proyecto</w:t>
      </w:r>
    </w:p>
    <w:p w:rsidR="00000000" w:rsidDel="00000000" w:rsidP="00000000" w:rsidRDefault="00000000" w:rsidRPr="00000000" w14:paraId="00000053">
      <w:pPr>
        <w:pStyle w:val="Heading3"/>
        <w:spacing w:after="280" w:before="28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c9sgpafwd98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SeñAI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26/03/2025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Canal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Duoc UC, Canal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 de Proyecto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Flores Sanhueza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spacing w:after="280" w:before="280" w:line="240" w:lineRule="auto"/>
        <w:rPr/>
      </w:pPr>
      <w:bookmarkStart w:colFirst="0" w:colLast="0" w:name="_zccjpacw78j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Patrocinador / Patrocinadores</w:t>
      </w: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rHeight w:val="506.953125" w:hRule="atLeast"/>
          <w:tblHeader w:val="1"/>
        </w:trPr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Institución Educativa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Sede Antonio Varas / Académico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Académica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Canal 13 S.A.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 de Medios de Comunicación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Departamento de Producción (Comunicación)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Vicepresidencia de Contenidos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Prof. Guillermo Pinto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 Guía / Coordinador de Proyecto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Profesor/Sede Antonio Varas / Académico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Académica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spacing w:after="280" w:before="280" w:line="240" w:lineRule="auto"/>
        <w:rPr/>
      </w:pPr>
      <w:bookmarkStart w:colFirst="0" w:colLast="0" w:name="_gkht9haanff4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bookmarkStart w:colFirst="0" w:colLast="0" w:name="_30fzjv8f02b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Roles y Cargo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gridCol w:w="2245"/>
        <w:tblGridChange w:id="0">
          <w:tblGrid>
            <w:gridCol w:w="2136"/>
            <w:gridCol w:w="2244"/>
            <w:gridCol w:w="2245"/>
            <w:gridCol w:w="2245"/>
          </w:tblGrid>
        </w:tblGridChange>
      </w:tblGrid>
      <w:tr>
        <w:trPr>
          <w:cantSplit w:val="1"/>
          <w:trHeight w:val="671.953125" w:hRule="atLeast"/>
          <w:tblHeader w:val="1"/>
        </w:trPr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Departamento / División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Rama ejecutiva (Vicepresidencia)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Flores Sanhueza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 de Proyecto, Desarrollador, Documentador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Ing. Informática, Duoc UC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Tomás Catalán Gutiérrez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Ingeniero IA,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Programador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Ing. Informática, Duoc UC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Giraldi Venegas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Tester, Documentador, 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Ing. Informática, Duoc UC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Felipe Maripangue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BDD,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Documentador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Ing. Informática, Duoc UC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Estudiante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Representante Duoc UC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Patrocinador Institucional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Duoc UC (Antonio Varas)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Académica</w:t>
            </w:r>
          </w:p>
        </w:tc>
      </w:tr>
      <w:tr>
        <w:trPr>
          <w:cantSplit w:val="0"/>
          <w:trHeight w:val="656.95312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Representante Canal 13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Cliente, Patrocinador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Canal 13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Vicepresidencia de Contenidos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Guillermo Pinto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Profesor Guía / Coordinador de Proyecto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Educador/Duoc UC (Antonio Varas)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Académica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spacing w:after="280" w:before="280" w:line="240" w:lineRule="auto"/>
        <w:rPr/>
      </w:pPr>
      <w:bookmarkStart w:colFirst="0" w:colLast="0" w:name="_fe7ur66ok4d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Diagrama de proceso (ToBe)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280" w:before="280" w:line="240" w:lineRule="auto"/>
        <w:rPr>
          <w:rFonts w:ascii="Times New Roman" w:cs="Times New Roman" w:eastAsia="Times New Roman" w:hAnsi="Times New Roman"/>
          <w:b w:val="1"/>
          <w:i w:val="1"/>
        </w:rPr>
      </w:pPr>
      <w:bookmarkStart w:colFirst="0" w:colLast="0" w:name="_dec7ucp16kh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Diagrama de proceso (AS IS)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87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Times New Roman" w:cs="Times New Roman" w:eastAsia="Times New Roman" w:hAnsi="Times New Roman"/>
          <w:b w:val="1"/>
          <w:i w:val="1"/>
          <w:sz w:val="36"/>
          <w:szCs w:val="36"/>
        </w:rPr>
      </w:pPr>
      <w:bookmarkStart w:colFirst="0" w:colLast="0" w:name="_mz1dic17pab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Descripción general del proceso actual (As-Is)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Actualmente, Canal 13 realiza la interpretación del lenguaje de señas en programas en vivo mediante intérpretes humanos, en un proceso que depende de la coordinación directa entre distintos actores técnicos y de producción. Este proceso no está automatizado y requiere preparación previa para cada transmisión.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Descripción del proceso: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Preparación del canal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coordinan los elementos técnicos previos a la transmisión.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Comunicación al intérprete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director del programa informa al intérprete sobre la necesidad de traducción.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Sincronización de audio y video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equipo técnico realiza pruebas junto al intérprete para asegurar que el material audiovisual esté correctamente sincronizado.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Validación con el intérprete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hay problemas de sincronización, se realizan ajustes hasta que se valide nuevamente.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Inicio del programa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Cuando el programa comienza, el director notifica al intérprete para iniciar la traducción en vivo.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Interpretación en tiempo real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intérprete escucha el contenido y traduce simultáneamente en lenguaje de señas para la audiencia.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Finalización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término del programa, se informa al intérprete el cierre de su participación.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Limitaciones del modelo actual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dependencia de recursos humanos: Requiere disponibilidad de intérpretes capacitados en tiempo real.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Poca escalabilidad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es viable aplicar este proceso de manera simultánea en múltiples espacios o plataformas.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Coordinación compleja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Involucra múltiples áreas (producción, dirección, técnicos, intérprete).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Limitación horaria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traducción en vivo depende de la programación y horarios específicos del intérprete.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>
          <w:rFonts w:ascii="Times New Roman" w:cs="Times New Roman" w:eastAsia="Times New Roman" w:hAnsi="Times New Roman"/>
          <w:b w:val="1"/>
          <w:i w:val="1"/>
          <w:sz w:val="36"/>
          <w:szCs w:val="36"/>
        </w:rPr>
      </w:pPr>
      <w:bookmarkStart w:colFirst="0" w:colLast="0" w:name="_ii66rdkwvcdf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Descripción del proceso propuesto (To-Be)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proceso propuesto busca automatizar la traducción del habla a lenguaje de señas mediante inteligencia artificial, reduciendo la dependencia de intérpretes humanos y facilitando la escalabilidad del servicio. Este sistema se centrará en la captura de audio en tiempo real, su conversión a texto y la identificación de coordenadas asociadas a señas en un dataset previamente construido. El resultado será utilizado por un avatar digital encargado de ejecutar la traducción visual (fuera del alcance del grupo actual).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Descripción del proceso: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Captura y validación del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Grabación del audio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habla directamente al sistema, que graba el audio en tiempo real.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Mejora de calidad del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procesan filtros para eliminar ruido y mejorar la claridad.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Evaluación del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determina si el audio es entendible.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no es entendible, se solicita repetir o generar nuevo audio.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es entendible, se avanza al siguiente proceso.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Conversión de audio a texto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Transformación audio/texto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utiliza un modelo de reconocimiento de voz para convertir el audio a texto.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Corrección de errores: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aplican algoritmos para corregir errores gramaticales y semánticos.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Evaluación del texto: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verifica si el texto tiene sentido.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no lo tiene, se solicita un nuevo audio.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es coherente, se continúa con la traducción.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Traducción a lenguaje de señas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Identificación de estructuras traducibles: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segmenta el texto en oraciones/frases clave.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Extracción de coordenadas del dataset: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asocia cada segmento textual con coordenadas del cuerpo (manos, rostro, etc.) desde un dataset pre entrenado.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Traducción a formato JSON: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organiza la información en un archivo estructurado con etiquetas entendibles por el sistema del avatar.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Implementación al avatar (fuera del alcance del grupo actual)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Recepción de JSON: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avatar recibe los datos procesados.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Animación en tiempo real: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avatar digital ejecuta la traducción visual mediante movimientos de señas.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Ventajas del modelo propuesto: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Automatización 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significativamente la necesidad de intervención humana en la interpretación.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Escalabilidad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Puede ser implementado en múltiples programas, plataformas o ambientes simultáneamente.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Accesibilidad continua 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depende de horarios ni disponibilidad de intérpretes.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Modularidad 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mejoras continuas en cada componente (audio, texto, dataset, IA).</w:t>
      </w:r>
    </w:p>
    <w:p w:rsidR="00000000" w:rsidDel="00000000" w:rsidP="00000000" w:rsidRDefault="00000000" w:rsidRPr="00000000" w14:paraId="000000FC">
      <w:pPr>
        <w:pStyle w:val="Heading2"/>
        <w:rPr>
          <w:rFonts w:ascii="Times New Roman" w:cs="Times New Roman" w:eastAsia="Times New Roman" w:hAnsi="Times New Roman"/>
          <w:b w:val="1"/>
          <w:i w:val="1"/>
          <w:sz w:val="30"/>
          <w:szCs w:val="30"/>
        </w:rPr>
      </w:pPr>
      <w:bookmarkStart w:colFirst="0" w:colLast="0" w:name="_pw209wic86a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>
          <w:rFonts w:ascii="Times New Roman" w:cs="Times New Roman" w:eastAsia="Times New Roman" w:hAnsi="Times New Roman"/>
          <w:b w:val="1"/>
          <w:i w:val="1"/>
          <w:sz w:val="36"/>
          <w:szCs w:val="36"/>
        </w:rPr>
      </w:pPr>
      <w:bookmarkStart w:colFirst="0" w:colLast="0" w:name="_9vp8uzvs5amt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Comparación entre el modelo actual y el modelo propuesto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3015"/>
        <w:gridCol w:w="3045"/>
        <w:tblGridChange w:id="0">
          <w:tblGrid>
            <w:gridCol w:w="3045"/>
            <w:gridCol w:w="3015"/>
            <w:gridCol w:w="30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6"/>
                <w:szCs w:val="26"/>
                <w:rtl w:val="0"/>
              </w:rPr>
              <w:t xml:space="preserve">Aspecto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6"/>
                <w:szCs w:val="26"/>
                <w:rtl w:val="0"/>
              </w:rPr>
              <w:t xml:space="preserve">Modelo Actual (As-Is)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z w:val="26"/>
                <w:szCs w:val="26"/>
                <w:rtl w:val="0"/>
              </w:rPr>
              <w:t xml:space="preserve">Modelo Propuesto (To-Be)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Tipo de 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Manual, con alta intervención humana (intérpretes en vivo).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Automatizado mediante IA, con mínima intervención humana.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Participantes clave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Intérprete, director, equipo técnico.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Usuario, sistema de reconocimiento de voz, módulo de procesamiento y dataset de señas.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Requerimientos técnicos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Coordinación de audio/video, validación con intérprete.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 de audio, procesamiento de texto, acceso a dataset, integración con sistema avatar.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Escalabilidad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Limitada: solo se puede realizar una interpretación en vivo por programa.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Alta: puede ejecutarse en múltiples transmisiones simultáneamente.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Accesibilidad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Restringida a ciertos programas y horarios.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Permanente, disponible en todo momento y adaptable a distintos entornos.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Tiempo de respuesta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Depende de la coordinación y reacción del intérprete en tiempo real.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Rápido, basado en procesamiento automatizado casi inmediato.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Costo operativo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Elevado (honorarios, coordinación, tiempo humano).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Menor a largo plazo (infraestructura tecnológica, mantenimiento del sistema).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rtl w:val="0"/>
              </w:rPr>
              <w:t xml:space="preserve">Gestión de errores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Depende de la capacidad del intérprete.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Incluye filtros automáticos de mejora de audio, corrección de texto y validación semántica.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>
          <w:rFonts w:ascii="Times New Roman" w:cs="Times New Roman" w:eastAsia="Times New Roman" w:hAnsi="Times New Roman"/>
          <w:b w:val="1"/>
          <w:i w:val="1"/>
          <w:sz w:val="36"/>
          <w:szCs w:val="36"/>
        </w:rPr>
      </w:pPr>
      <w:bookmarkStart w:colFirst="0" w:colLast="0" w:name="_d2zbnomb1mxr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6"/>
          <w:szCs w:val="36"/>
          <w:rtl w:val="0"/>
        </w:rPr>
        <w:t xml:space="preserve">Detalle técnico del sistema propuesto (To-Be)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Componentes del sistema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Captura de audio en tiempo real: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dispone de una interfaz que permite grabar audio directamente desde un micrófono.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grabación se ejecuta de manera continua y fluida, detectando pausas o finalización mediante técnicas de detección de silencio.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Preprocesamiento del audio: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aplican algoritmos de limpieza de audio: reducción de ruido, normalización de volumen y segmentación.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valida la calidad del audio mediante criterios de inteligibilidad.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el audio no cumple con los estándares mínimos, se solicita repetir la entrada.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Conversión de audio a texto: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emplea un modelo de reconocimiento automático de voz (ASR), como Whisper u otro basado en Transformer.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texto resultante se corrige automáticamente por errores fonéticos, gramaticales o de puntuación.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verifica la coherencia semántica del texto para evitar ambigüedades.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Asociación con dataset de señas: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texto limpio se analiza para identificar las palabras o frases que tengan representación en lenguaje de señas.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Mediante un modelo Transformer, se busca la etiqueta correspondiente en un dataset de lenguaje de señas previamente creado por el grupo.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etiqueta contiene información estructurada: coordenadas, orientación de manos, expresiones faciales, etc.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Generación de salida estructurada: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datos asociados a las señas se organizan en un formato estructurado (por ejemplo, JSON), que contiene: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Identificador de la seña.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Coordenadas de animación.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Tiempos de ejecución.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Metainformación asociada (expresión, velocidad, énfasis).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salida está preparada para ser interpretada por el sistema del avatar.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i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6"/>
          <w:szCs w:val="26"/>
          <w:rtl w:val="0"/>
        </w:rPr>
        <w:t xml:space="preserve">Tecnologías utilizadas (sugeridas o posibles):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para el backend.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TensorFlow / PyTorch para los modelos de IA.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Whisper, Mozilla DeepSpeech o Google Speech-to-Text para reconocimiento de voz.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Dataset personalizado en formato CSV/JSON.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REST para exportar datos al módulo del avatar.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type w:val="nextPage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tabs>
        <w:tab w:val="center" w:leader="none" w:pos="4419"/>
        <w:tab w:val="right" w:leader="none" w:pos="8838"/>
      </w:tabs>
      <w:spacing w:line="276" w:lineRule="auto"/>
      <w:jc w:val="right"/>
      <w:rPr/>
    </w:pPr>
    <w:r w:rsidDel="00000000" w:rsidR="00000000" w:rsidRPr="00000000">
      <w:rPr>
        <w:sz w:val="24"/>
        <w:szCs w:val="24"/>
      </w:rPr>
      <w:drawing>
        <wp:inline distB="0" distT="0" distL="114300" distR="114300">
          <wp:extent cx="2735580" cy="877570"/>
          <wp:effectExtent b="0" l="0" r="0" t="0"/>
          <wp:docPr descr="SummIT Ciberseguridad 2022 – Duoc UC" id="4" name="image3.png"/>
          <a:graphic>
            <a:graphicData uri="http://schemas.openxmlformats.org/drawingml/2006/picture">
              <pic:pic>
                <pic:nvPicPr>
                  <pic:cNvPr descr="SummIT Ciberseguridad 2022 – Duoc U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tabs>
        <w:tab w:val="center" w:leader="none" w:pos="4419"/>
        <w:tab w:val="right" w:leader="none" w:pos="8838"/>
      </w:tabs>
      <w:spacing w:line="276" w:lineRule="auto"/>
      <w:jc w:val="right"/>
      <w:rPr/>
    </w:pPr>
    <w:r w:rsidDel="00000000" w:rsidR="00000000" w:rsidRPr="00000000">
      <w:rPr>
        <w:sz w:val="24"/>
        <w:szCs w:val="24"/>
      </w:rPr>
      <w:drawing>
        <wp:inline distB="0" distT="0" distL="114300" distR="114300">
          <wp:extent cx="2735580" cy="877570"/>
          <wp:effectExtent b="0" l="0" r="0" t="0"/>
          <wp:docPr descr="SummIT Ciberseguridad 2022 – Duoc UC" id="3" name="image3.png"/>
          <a:graphic>
            <a:graphicData uri="http://schemas.openxmlformats.org/drawingml/2006/picture">
              <pic:pic>
                <pic:nvPicPr>
                  <pic:cNvPr descr="SummIT Ciberseguridad 2022 – Duoc UC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35580" cy="8775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