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i w:val="0"/>
          <w:color w:val="1F497D"/>
          <w:sz w:val="24"/>
        </w:rPr>
        <w:t>ESPECIALIZACIÓN EN BIG DATA E INTELIGENCIA DE NEGOCIOS</w:t>
      </w:r>
    </w:p>
    <w:p>
      <w:pPr>
        <w:spacing w:after="80"/>
        <w:jc w:val="center"/>
      </w:pPr>
      <w:r>
        <w:rPr>
          <w:rFonts w:ascii="Arial" w:hAnsi="Arial"/>
          <w:b w:val="0"/>
          <w:i/>
          <w:sz w:val="22"/>
        </w:rPr>
        <w:t>Proyecto de Fin de Programa</w:t>
      </w:r>
    </w:p>
    <w:p/>
    <w:p>
      <w:pPr>
        <w:spacing w:after="80"/>
        <w:jc w:val="center"/>
      </w:pPr>
      <w:r>
        <w:rPr>
          <w:rFonts w:ascii="Arial" w:hAnsi="Arial"/>
          <w:b/>
          <w:i w:val="0"/>
          <w:color w:val="1F497D"/>
          <w:sz w:val="32"/>
        </w:rPr>
        <w:t>IMIV-VEN + SATV</w:t>
      </w:r>
    </w:p>
    <w:p>
      <w:pPr>
        <w:spacing w:after="80"/>
        <w:jc w:val="center"/>
      </w:pPr>
      <w:r>
        <w:rPr>
          <w:rFonts w:ascii="Arial" w:hAnsi="Arial"/>
          <w:b/>
          <w:i w:val="0"/>
          <w:color w:val="1F497D"/>
          <w:sz w:val="26"/>
        </w:rPr>
        <w:t>Índice Macroeconómico de Inteligencia de Inversión para Venezuela</w:t>
      </w:r>
    </w:p>
    <w:p>
      <w:pPr>
        <w:spacing w:after="80"/>
        <w:jc w:val="center"/>
      </w:pPr>
      <w:r>
        <w:rPr>
          <w:rFonts w:ascii="Arial" w:hAnsi="Arial"/>
          <w:b/>
          <w:i w:val="0"/>
          <w:color w:val="2E75B6"/>
          <w:sz w:val="24"/>
        </w:rPr>
        <w:t>con Sistema Integrado de Alertas Tempranas</w:t>
      </w:r>
    </w:p>
    <w:p/>
    <w:p>
      <w:pPr>
        <w:spacing w:after="80"/>
        <w:jc w:val="center"/>
      </w:pPr>
      <w:r>
        <w:rPr>
          <w:rFonts w:ascii="Arial" w:hAnsi="Arial"/>
          <w:b w:val="0"/>
          <w:i/>
          <w:sz w:val="22"/>
        </w:rPr>
        <w:t>Un enfoque de Big Data, Inteligencia Financiera y Datos Satelitales</w:t>
      </w:r>
    </w:p>
    <w:p>
      <w:pPr>
        <w:spacing w:after="80"/>
        <w:jc w:val="center"/>
      </w:pPr>
      <w:r>
        <w:rPr>
          <w:rFonts w:ascii="Arial" w:hAnsi="Arial"/>
          <w:b w:val="0"/>
          <w:i/>
          <w:sz w:val="22"/>
        </w:rPr>
        <w:t>para generar señales estratégicas y operativas de inversión empresarial</w:t>
      </w:r>
    </w:p>
    <w:p/>
    <w:tbl>
      <w:tblPr>
        <w:tblStyle w:val="TableGrid"/>
        <w:tblW w:type="auto" w:w="0"/>
        <w:tblLook w:firstColumn="1" w:firstRow="1" w:lastColumn="0" w:lastRow="0" w:noHBand="0" w:noVBand="1" w:val="04A0"/>
      </w:tblPr>
      <w:tblGrid>
        <w:gridCol w:w="4561"/>
        <w:gridCol w:w="4561"/>
      </w:tblGrid>
      <w:tr>
        <w:tc>
          <w:tcPr>
            <w:tcW w:type="dxa" w:w="4561"/>
            <w:shd w:val="clear" w:color="auto" w:fill="D9E1F2"/>
          </w:tcPr>
          <w:p>
            <w:r>
              <w:rPr>
                <w:rFonts w:ascii="Arial" w:hAnsi="Arial"/>
                <w:b/>
                <w:sz w:val="20"/>
              </w:rPr>
              <w:t>Asignatura:</w:t>
            </w:r>
          </w:p>
        </w:tc>
        <w:tc>
          <w:tcPr>
            <w:tcW w:type="dxa" w:w="4561"/>
          </w:tcPr>
          <w:p>
            <w:r>
              <w:rPr>
                <w:rFonts w:ascii="Arial" w:hAnsi="Arial"/>
              </w:rPr>
              <w:t>Proyecto de Fin de Programa</w:t>
            </w:r>
          </w:p>
        </w:tc>
      </w:tr>
      <w:tr>
        <w:tc>
          <w:tcPr>
            <w:tcW w:type="dxa" w:w="4561"/>
            <w:shd w:val="clear" w:color="auto" w:fill="D9E1F2"/>
          </w:tcPr>
          <w:p>
            <w:r>
              <w:rPr>
                <w:rFonts w:ascii="Arial" w:hAnsi="Arial"/>
                <w:b/>
                <w:sz w:val="20"/>
              </w:rPr>
              <w:t>Integrante:</w:t>
            </w:r>
          </w:p>
        </w:tc>
        <w:tc>
          <w:tcPr>
            <w:tcW w:type="dxa" w:w="4561"/>
          </w:tcPr>
          <w:p>
            <w:r>
              <w:rPr>
                <w:rFonts w:ascii="Arial" w:hAnsi="Arial"/>
              </w:rPr>
              <w:t>Felipe — pipege2003@gmail.com</w:t>
            </w:r>
          </w:p>
        </w:tc>
      </w:tr>
      <w:tr>
        <w:tc>
          <w:tcPr>
            <w:tcW w:type="dxa" w:w="4561"/>
            <w:shd w:val="clear" w:color="auto" w:fill="D9E1F2"/>
          </w:tcPr>
          <w:p>
            <w:r>
              <w:rPr>
                <w:rFonts w:ascii="Arial" w:hAnsi="Arial"/>
                <w:b/>
                <w:sz w:val="20"/>
              </w:rPr>
              <w:t>Período de ejecución:</w:t>
            </w:r>
          </w:p>
        </w:tc>
        <w:tc>
          <w:tcPr>
            <w:tcW w:type="dxa" w:w="4561"/>
          </w:tcPr>
          <w:p>
            <w:r>
              <w:rPr>
                <w:rFonts w:ascii="Arial" w:hAnsi="Arial"/>
              </w:rPr>
              <w:t>Junio 2026 – Junio 2027</w:t>
            </w:r>
          </w:p>
        </w:tc>
      </w:tr>
    </w:tbl>
    <w:p>
      <w:pPr>
        <w:pBdr>
          <w:bottom w:val="single" w:sz="6" w:space="1" w:color="1F497D"/>
        </w:pBdr>
        <w:spacing w:before="80" w:after="80"/>
      </w:pPr>
    </w:p>
    <w:p>
      <w:pPr>
        <w:spacing w:before="240" w:after="120"/>
        <w:shd w:val="clear" w:color="auto" w:fill="1F497D"/>
      </w:pPr>
      <w:r>
        <w:rPr>
          <w:rFonts w:ascii="Arial" w:hAnsi="Arial"/>
          <w:b/>
          <w:color w:val="FFFFFF"/>
          <w:sz w:val="26"/>
        </w:rPr>
        <w:t>ELEMENTO 1: Declaración de la Idea</w:t>
      </w:r>
    </w:p>
    <w:p>
      <w:pPr>
        <w:spacing w:after="120"/>
        <w:jc w:val="both"/>
      </w:pPr>
      <w:r>
        <w:rPr>
          <w:rFonts w:ascii="Arial" w:hAnsi="Arial"/>
          <w:b w:val="0"/>
          <w:sz w:val="22"/>
        </w:rPr>
        <w:t>Se presenta una única idea de proyecto que integra dos enfoques complementarios: un índice macroeconómico compuesto de evaluación estratégica trimestral y un sistema de alertas tempranas de alta frecuencia. Ambos componentes conforman una sola plataforma de inteligencia de inversión diseñada específicamente para Venezuela.</w:t>
      </w:r>
    </w:p>
    <w:p>
      <w:pPr>
        <w:spacing w:before="160" w:after="80"/>
      </w:pPr>
      <w:r>
        <w:rPr>
          <w:rFonts w:ascii="Arial" w:hAnsi="Arial"/>
          <w:b/>
          <w:color w:val="2E75B6"/>
          <w:sz w:val="22"/>
        </w:rPr>
        <w:t>IDEA ÚNICA: IMIV-VEN + SATV — Plataforma de Inteligencia de Inversión para Venezuela con Alertas Tempranas en Tiempo Real</w:t>
      </w:r>
    </w:p>
    <w:p>
      <w:pPr>
        <w:spacing w:after="120"/>
        <w:jc w:val="both"/>
      </w:pPr>
      <w:r>
        <w:rPr>
          <w:rFonts w:ascii="Arial" w:hAnsi="Arial"/>
          <w:b w:val="0"/>
          <w:sz w:val="22"/>
        </w:rPr>
        <w:t>Venezuela atraviesa, desde la captura de Nicolás Maduro en enero de 2026, un punto de inflexión histórico sin precedentes en tres décadas. El país posee las mayores reservas probadas de petróleo del mundo (303 mil millones de barriles, 18 % del total global), pero carece de estadísticas oficiales confiables desde 2015, lo que hace imposible para las empresas evaluar el riesgo y la oportunidad de inversión con datos objetivos. Esta propuesta responde directamente a ese vacío.</w:t>
      </w:r>
    </w:p>
    <w:p>
      <w:pPr>
        <w:spacing w:after="120"/>
        <w:jc w:val="both"/>
      </w:pPr>
      <w:r>
        <w:rPr>
          <w:rFonts w:ascii="Arial" w:hAnsi="Arial"/>
          <w:b w:val="0"/>
          <w:sz w:val="22"/>
        </w:rPr>
        <w:t>La plataforma IMIV-VEN + SATV opera en dos niveles simultáneos y complementarios:</w:t>
      </w:r>
    </w:p>
    <w:p>
      <w:pPr>
        <w:spacing w:after="100"/>
        <w:ind w:left="454"/>
        <w:jc w:val="both"/>
      </w:pPr>
      <w:r>
        <w:rPr>
          <w:rFonts w:ascii="Arial" w:hAnsi="Arial"/>
          <w:b/>
          <w:sz w:val="22"/>
        </w:rPr>
        <w:t xml:space="preserve">• Nivel estratégico (IMIV-VEN): </w:t>
      </w:r>
      <w:r>
        <w:rPr>
          <w:rFonts w:ascii="Arial" w:hAnsi="Arial"/>
          <w:sz w:val="22"/>
        </w:rPr>
        <w:t>Índice compuesto de actualización trimestral que agrega variables macroeconómicas, institucionales, satelitales y financieras en una escala de 0 a 100, con señal semaforizada (rojo / amarillo / verde), orientado a decisiones de entrada, permanencia o salida de capital en Venezuela.</w:t>
      </w:r>
    </w:p>
    <w:p>
      <w:pPr>
        <w:spacing w:after="100"/>
        <w:ind w:left="454"/>
        <w:jc w:val="both"/>
      </w:pPr>
      <w:r>
        <w:rPr>
          <w:rFonts w:ascii="Arial" w:hAnsi="Arial"/>
          <w:b/>
          <w:sz w:val="22"/>
        </w:rPr>
        <w:t xml:space="preserve">• Nivel operativo (SATV): </w:t>
      </w:r>
      <w:r>
        <w:rPr>
          <w:rFonts w:ascii="Arial" w:hAnsi="Arial"/>
          <w:sz w:val="22"/>
        </w:rPr>
        <w:t>Sistema de Alertas Tempranas de Venezuela con actualización semanal o mensual, que monitorea fuentes de alta frecuencia —Google Trends, tráfico marítimo AIS, spreads de bonos soberanos, remesas digitales, sanciones OFAC— y emite notificaciones estructuradas cuando detecta cambios abruptos en las condiciones internas del país.</w:t>
      </w:r>
    </w:p>
    <w:p/>
    <w:p>
      <w:pPr>
        <w:spacing w:after="120"/>
        <w:jc w:val="both"/>
      </w:pPr>
      <w:r>
        <w:rPr>
          <w:rFonts w:ascii="Arial" w:hAnsi="Arial"/>
          <w:b w:val="0"/>
          <w:sz w:val="22"/>
        </w:rPr>
        <w:t>Lo que distingue este proyecto de cualquier indicador existente es la integración sistemática de fuentes de datos no convencionales: imágenes satelitales de luminosidad nocturna de la NASA (proxy independiente del PIB real), datos on-chain de stablecoins (termómetro de dolarización informal), rastreo automático de tráfico marítimo en puertos venezolanos, y análisis de búsquedas digitales como señal de condiciones socioeconómicas en tiempo real. Todas las fuentes son públicas, gratuitas, verificables e independientes del gobierno venezolano.</w:t>
      </w:r>
    </w:p>
    <w:p/>
    <w:p>
      <w:pPr>
        <w:spacing w:after="100"/>
        <w:ind w:left="454"/>
        <w:jc w:val="both"/>
      </w:pPr>
      <w:r>
        <w:rPr>
          <w:rFonts w:ascii="Arial" w:hAnsi="Arial"/>
          <w:b/>
          <w:sz w:val="22"/>
        </w:rPr>
        <w:t xml:space="preserve">• Problema que resuelve: </w:t>
      </w:r>
      <w:r>
        <w:rPr>
          <w:rFonts w:ascii="Arial" w:hAnsi="Arial"/>
          <w:sz w:val="22"/>
        </w:rPr>
        <w:t>Las fuentes oficiales venezolanas no son confiables desde 2015. Las empresas deben triangular múltiples fuentes a alto costo ($50K–$200K en consultoras especializadas). No existe un instrumento único, actualizable y con alertas en tiempo real para Venezuela.</w:t>
      </w:r>
    </w:p>
    <w:p>
      <w:pPr>
        <w:spacing w:after="100"/>
        <w:ind w:left="454"/>
        <w:jc w:val="both"/>
      </w:pPr>
      <w:r>
        <w:rPr>
          <w:rFonts w:ascii="Arial" w:hAnsi="Arial"/>
          <w:b/>
          <w:sz w:val="22"/>
        </w:rPr>
        <w:t xml:space="preserve">• Innovación disruptiva: </w:t>
      </w:r>
      <w:r>
        <w:rPr>
          <w:rFonts w:ascii="Arial" w:hAnsi="Arial"/>
          <w:sz w:val="22"/>
        </w:rPr>
        <w:t>Primera plataforma que combina imágenes satelitales VIIRS de la NASA, datos on-chain de criptomonedas, rastreo AIS de tráfico marítimo y análisis de remesas digitales con índices institucionales internacionales en un único instrumento de decisión empresarial.</w:t>
      </w:r>
    </w:p>
    <w:p>
      <w:pPr>
        <w:spacing w:after="100"/>
        <w:ind w:left="454"/>
        <w:jc w:val="both"/>
      </w:pPr>
      <w:r>
        <w:rPr>
          <w:rFonts w:ascii="Arial" w:hAnsi="Arial"/>
          <w:b/>
          <w:sz w:val="22"/>
        </w:rPr>
        <w:t xml:space="preserve">• Componente tecnológico: </w:t>
      </w:r>
      <w:r>
        <w:rPr>
          <w:rFonts w:ascii="Arial" w:hAnsi="Arial"/>
          <w:sz w:val="22"/>
        </w:rPr>
        <w:t>Pipeline automatizado en Python con ingesta desde APIs públicas, modelo PCA + AHP para ponderación del índice, módulo de detección de anomalías para alertas, y dashboard interactivo desarrollado en Plotly Dash o Power BI.</w:t>
      </w:r>
    </w:p>
    <w:p>
      <w:pPr>
        <w:spacing w:after="100"/>
        <w:ind w:left="454"/>
        <w:jc w:val="both"/>
      </w:pPr>
      <w:r>
        <w:rPr>
          <w:rFonts w:ascii="Arial" w:hAnsi="Arial"/>
          <w:b/>
          <w:sz w:val="22"/>
        </w:rPr>
        <w:t xml:space="preserve">• Componente financiero: </w:t>
      </w:r>
      <w:r>
        <w:rPr>
          <w:rFonts w:ascii="Arial" w:hAnsi="Arial"/>
          <w:sz w:val="22"/>
        </w:rPr>
        <w:t>Integración del EMBI de JP Morgan, bonos soberanos en mercados secundarios, flujos de IED (UNCTAD/CEPAL) e intensidad de sanciones OFAC como variables financieras centrales del modelo.</w:t>
      </w:r>
    </w:p>
    <w:p>
      <w:pPr>
        <w:pBdr>
          <w:bottom w:val="single" w:sz="6" w:space="1" w:color="1F497D"/>
        </w:pBdr>
        <w:spacing w:before="80" w:after="80"/>
      </w:pPr>
    </w:p>
    <w:p>
      <w:pPr>
        <w:spacing w:before="240" w:after="120"/>
        <w:shd w:val="clear" w:color="auto" w:fill="1F497D"/>
      </w:pPr>
      <w:r>
        <w:rPr>
          <w:rFonts w:ascii="Arial" w:hAnsi="Arial"/>
          <w:b/>
          <w:color w:val="FFFFFF"/>
          <w:sz w:val="26"/>
        </w:rPr>
        <w:t>ELEMENTO 2: Identificación del Usuario — Mapa de Empatía</w:t>
      </w:r>
    </w:p>
    <w:p>
      <w:pPr>
        <w:spacing w:after="120"/>
        <w:jc w:val="both"/>
      </w:pPr>
      <w:r>
        <w:rPr>
          <w:rFonts w:ascii="Arial" w:hAnsi="Arial"/>
          <w:b w:val="0"/>
          <w:sz w:val="22"/>
        </w:rPr>
        <w:t>El usuario primario de la plataforma IMIV-VEN + SATV es el directivo empresarial de nivel C que evalúa decisiones de inversión en mercados de alta incertidumbre.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Pr>
                <w:rFonts w:ascii="Arial" w:hAnsi="Arial"/>
                <w:b/>
                <w:color w:val="FFFFFF"/>
                <w:sz w:val="18"/>
              </w:rPr>
              <w:t>TIPO DE USUARIO</w:t>
            </w:r>
          </w:p>
        </w:tc>
        <w:tc>
          <w:tcPr>
            <w:tcW w:type="dxa" w:w="3041"/>
            <w:shd w:val="clear" w:color="auto" w:fill="1F497D"/>
          </w:tcPr>
          <w:p>
            <w:pPr>
              <w:jc w:val="center"/>
            </w:pPr>
            <w:r>
              <w:rPr>
                <w:rFonts w:ascii="Arial" w:hAnsi="Arial"/>
                <w:b/>
                <w:color w:val="FFFFFF"/>
                <w:sz w:val="18"/>
              </w:rPr>
              <w:t>ROL TÍPICO</w:t>
            </w:r>
          </w:p>
        </w:tc>
        <w:tc>
          <w:tcPr>
            <w:tcW w:type="dxa" w:w="3041"/>
            <w:shd w:val="clear" w:color="auto" w:fill="1F497D"/>
          </w:tcPr>
          <w:p>
            <w:pPr>
              <w:jc w:val="center"/>
            </w:pPr>
            <w:r>
              <w:rPr>
                <w:rFonts w:ascii="Arial" w:hAnsi="Arial"/>
                <w:b/>
                <w:color w:val="FFFFFF"/>
                <w:sz w:val="18"/>
              </w:rPr>
              <w:t>CONTEXTO</w:t>
            </w:r>
          </w:p>
        </w:tc>
      </w:tr>
      <w:tr>
        <w:tc>
          <w:tcPr>
            <w:tcW w:type="dxa" w:w="3041"/>
          </w:tcPr>
          <w:p>
            <w:r>
              <w:rPr>
                <w:rFonts w:ascii="Arial" w:hAnsi="Arial"/>
                <w:sz w:val="18"/>
              </w:rPr>
              <w:t>Director de Estrategia, CFO o Analista de Riesgo País de empresa multinacional</w:t>
            </w:r>
          </w:p>
        </w:tc>
        <w:tc>
          <w:tcPr>
            <w:tcW w:type="dxa" w:w="3041"/>
          </w:tcPr>
          <w:p>
            <w:r>
              <w:rPr>
                <w:rFonts w:ascii="Arial" w:hAnsi="Arial"/>
                <w:sz w:val="18"/>
              </w:rPr>
              <w:t>Chief Financial Officer / Director de Expansión / Analista de Riesgo País</w:t>
            </w:r>
          </w:p>
        </w:tc>
        <w:tc>
          <w:tcPr>
            <w:tcW w:type="dxa" w:w="3041"/>
          </w:tcPr>
          <w:p>
            <w:r>
              <w:rPr>
                <w:rFonts w:ascii="Arial" w:hAnsi="Arial"/>
                <w:sz w:val="18"/>
              </w:rPr>
              <w:t>Empresa con operaciones en LATAM que evalúa entrada o reactivación en Venezuela a partir de 2026</w:t>
            </w:r>
          </w:p>
        </w:tc>
      </w:tr>
    </w:tbl>
    <w:p/>
    <w:p>
      <w:pPr>
        <w:spacing w:before="160" w:after="80"/>
      </w:pPr>
      <w:r>
        <w:rPr>
          <w:rFonts w:ascii="Arial" w:hAnsi="Arial"/>
          <w:b/>
          <w:color w:val="2E75B6"/>
          <w:sz w:val="22"/>
        </w:rPr>
        <w:t>Mapa de Empatía</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jc w:val="center"/>
            </w:pPr>
            <w:r>
              <w:rPr>
                <w:rFonts w:ascii="Arial" w:hAnsi="Arial"/>
                <w:b/>
                <w:color w:val="FFFFFF"/>
                <w:sz w:val="18"/>
              </w:rPr>
              <w:t>DIMENSIÓN</w:t>
            </w:r>
          </w:p>
        </w:tc>
        <w:tc>
          <w:tcPr>
            <w:tcW w:type="dxa" w:w="4561"/>
            <w:shd w:val="clear" w:color="auto" w:fill="1F497D"/>
          </w:tcPr>
          <w:p>
            <w:pPr>
              <w:jc w:val="center"/>
            </w:pPr>
            <w:r>
              <w:rPr>
                <w:rFonts w:ascii="Arial" w:hAnsi="Arial"/>
                <w:b/>
                <w:color w:val="FFFFFF"/>
                <w:sz w:val="18"/>
              </w:rPr>
              <w:t>CONTENIDO</w:t>
            </w:r>
          </w:p>
        </w:tc>
      </w:tr>
      <w:tr>
        <w:tc>
          <w:tcPr>
            <w:tcW w:type="dxa" w:w="4561"/>
            <w:shd w:val="clear" w:color="auto" w:fill="FCE4D6"/>
          </w:tcPr>
          <w:p>
            <w:r>
              <w:rPr>
                <w:rFonts w:ascii="Arial" w:hAnsi="Arial"/>
                <w:b/>
                <w:sz w:val="18"/>
              </w:rPr>
              <w:t>QUÉ PIENSA Y SIENTE</w:t>
            </w:r>
          </w:p>
        </w:tc>
        <w:tc>
          <w:tcPr>
            <w:tcW w:type="dxa" w:w="4561"/>
          </w:tcPr>
          <w:p>
            <w:r>
              <w:rPr>
                <w:rFonts w:ascii="Arial" w:hAnsi="Arial"/>
                <w:sz w:val="18"/>
              </w:rPr>
              <w:t>Siente que Venezuela es la mayor oportunidad no explotada de América Latina (303 Gbl de reservas petroleras), pero el riesgo percibido es demasiado alto para justificarlo ante la junta directiva. Teme basar una decisión millonaria en datos del gobierno venezolano que sabe que no son confiables. Siente presión para posicionarse antes que la competencia si se abre una ventana de oportunidad post-Maduro.</w:t>
            </w:r>
          </w:p>
        </w:tc>
      </w:tr>
      <w:tr>
        <w:tc>
          <w:tcPr>
            <w:tcW w:type="dxa" w:w="4561"/>
            <w:shd w:val="clear" w:color="auto" w:fill="FFF2CC"/>
          </w:tcPr>
          <w:p>
            <w:r>
              <w:rPr>
                <w:rFonts w:ascii="Arial" w:hAnsi="Arial"/>
                <w:b/>
                <w:sz w:val="18"/>
              </w:rPr>
              <w:t>QUÉ OYE</w:t>
            </w:r>
          </w:p>
        </w:tc>
        <w:tc>
          <w:tcPr>
            <w:tcW w:type="dxa" w:w="4561"/>
          </w:tcPr>
          <w:p>
            <w:r>
              <w:rPr>
                <w:rFonts w:ascii="Arial" w:hAnsi="Arial"/>
                <w:sz w:val="18"/>
              </w:rPr>
              <w:t>Escucha narrativas contradictorias: medios pro-gobierno con cifras de inflación del 48 % para 2024 vs. el FMI con proyecciones superiores al 60 % vs. fuentes independientes con tasas aún mayores. Oye que los bonos venezolanos (en default desde 2017) cayeron su spread a la mitad tras la captura de Maduro. Escucha a colegas que perdieron capital en expropiaciones de 2007–2015 y no quieren repetirlo.</w:t>
            </w:r>
          </w:p>
        </w:tc>
      </w:tr>
      <w:tr>
        <w:tc>
          <w:tcPr>
            <w:tcW w:type="dxa" w:w="4561"/>
            <w:shd w:val="clear" w:color="auto" w:fill="E2EFDA"/>
          </w:tcPr>
          <w:p>
            <w:r>
              <w:rPr>
                <w:rFonts w:ascii="Arial" w:hAnsi="Arial"/>
                <w:b/>
                <w:sz w:val="18"/>
              </w:rPr>
              <w:t>QUÉ VE</w:t>
            </w:r>
          </w:p>
        </w:tc>
        <w:tc>
          <w:tcPr>
            <w:tcW w:type="dxa" w:w="4561"/>
          </w:tcPr>
          <w:p>
            <w:r>
              <w:rPr>
                <w:rFonts w:ascii="Arial" w:hAnsi="Arial"/>
                <w:sz w:val="18"/>
              </w:rPr>
              <w:t>Ve el EMBI venezolano en 8.973 puntos básicos (el mayor riesgo soberano del mundo, Q1 2026). Ve a Venezuela en el puesto 178 de 180 en el Índice de Percepción de Corrupción de Transparency International (2024). Ve a Chevron negociando licencias específicas con la OFAC para operar. Ve que el 90 % de las remesas llegan vía Zelle y que ~10 % de la población ya usa criptomonedas.</w:t>
            </w:r>
          </w:p>
        </w:tc>
      </w:tr>
      <w:tr>
        <w:tc>
          <w:tcPr>
            <w:tcW w:type="dxa" w:w="4561"/>
            <w:shd w:val="clear" w:color="auto" w:fill="D9E1F2"/>
          </w:tcPr>
          <w:p>
            <w:r>
              <w:rPr>
                <w:rFonts w:ascii="Arial" w:hAnsi="Arial"/>
                <w:b/>
                <w:sz w:val="18"/>
              </w:rPr>
              <w:t>QUÉ DICE Y HACE</w:t>
            </w:r>
          </w:p>
        </w:tc>
        <w:tc>
          <w:tcPr>
            <w:tcW w:type="dxa" w:w="4561"/>
          </w:tcPr>
          <w:p>
            <w:r>
              <w:rPr>
                <w:rFonts w:ascii="Arial" w:hAnsi="Arial"/>
                <w:sz w:val="18"/>
              </w:rPr>
              <w:t>Paga entre $50.000 y $200.000 a consultoras como Control Risks u Oxford Analytica por reportes anuales. Consulta el Heritage Foundation Index y el EMBI como proxies rápidos pero sabe que son insuficientes. Solicita informes que combinen perspectiva política y económica en tiempo real. Compara Venezuela con otros mercados frontera como Cuba, Myanmar o Irán.</w:t>
            </w:r>
          </w:p>
        </w:tc>
      </w:tr>
      <w:tr>
        <w:tc>
          <w:tcPr>
            <w:tcW w:type="dxa" w:w="4561"/>
            <w:shd w:val="clear" w:color="auto" w:fill="FDECEA"/>
          </w:tcPr>
          <w:p>
            <w:r>
              <w:rPr>
                <w:rFonts w:ascii="Arial" w:hAnsi="Arial"/>
                <w:b/>
                <w:sz w:val="18"/>
              </w:rPr>
              <w:t>DOLORES (PAINS)</w:t>
            </w:r>
          </w:p>
        </w:tc>
        <w:tc>
          <w:tcPr>
            <w:tcW w:type="dxa" w:w="4561"/>
          </w:tcPr>
          <w:p>
            <w:r>
              <w:rPr>
                <w:rFonts w:ascii="Arial" w:hAnsi="Arial"/>
                <w:sz w:val="18"/>
              </w:rPr>
              <w:t>No existe un indicador único, objetivo, actualizable y con alertas en tiempo real para Venezuela. Las fuentes oficiales venezolanas son no confiables. El costo de consultoras especializadas excluye a empresas medianas. Las sanciones OFAC cambiaron múltiples veces en 2022–2026 sin previo aviso. Temor a riesgo reputacional si el régimen usa la inversión como propaganda.</w:t>
            </w:r>
          </w:p>
        </w:tc>
      </w:tr>
      <w:tr>
        <w:tc>
          <w:tcPr>
            <w:tcW w:type="dxa" w:w="4561"/>
            <w:shd w:val="clear" w:color="auto" w:fill="E8F5E9"/>
          </w:tcPr>
          <w:p>
            <w:r>
              <w:rPr>
                <w:rFonts w:ascii="Arial" w:hAnsi="Arial"/>
                <w:b/>
                <w:sz w:val="18"/>
              </w:rPr>
              <w:t>GANANCIAS (GAINS)</w:t>
            </w:r>
          </w:p>
        </w:tc>
        <w:tc>
          <w:tcPr>
            <w:tcW w:type="dxa" w:w="4561"/>
          </w:tcPr>
          <w:p>
            <w:r>
              <w:rPr>
                <w:rFonts w:ascii="Arial" w:hAnsi="Arial"/>
                <w:sz w:val="18"/>
              </w:rPr>
              <w:t>Quiere un termómetro único, actualizado, con datos 100 % independientes que justifique la decisión ante la junta. Quiere saber cuándo es el momento óptimo de entrar antes que la competencia. Quiere monitoreo continuo —no solo un reporte anual— que le avise si algo cambia internamente. Valora que sea gratuito o de bajo costo, basado en fuentes públicas verificables.</w:t>
            </w:r>
          </w:p>
        </w:tc>
      </w:tr>
    </w:tbl>
    <w:p>
      <w:pPr>
        <w:pBdr>
          <w:bottom w:val="single" w:sz="6" w:space="1" w:color="1F497D"/>
        </w:pBdr>
        <w:spacing w:before="80" w:after="80"/>
      </w:pPr>
    </w:p>
    <w:p>
      <w:pPr>
        <w:spacing w:before="240" w:after="120"/>
        <w:shd w:val="clear" w:color="auto" w:fill="1F497D"/>
      </w:pPr>
      <w:r>
        <w:rPr>
          <w:rFonts w:ascii="Arial" w:hAnsi="Arial"/>
          <w:b/>
          <w:color w:val="FFFFFF"/>
          <w:sz w:val="26"/>
        </w:rPr>
        <w:t>ELEMENTO 3: Declaración del Problema — Árbol de Problema-Solución</w:t>
      </w:r>
    </w:p>
    <w:p>
      <w:pPr>
        <w:spacing w:before="160" w:after="80"/>
      </w:pPr>
      <w:r>
        <w:rPr>
          <w:rFonts w:ascii="Arial" w:hAnsi="Arial"/>
          <w:b/>
          <w:color w:val="2E75B6"/>
          <w:sz w:val="22"/>
        </w:rPr>
        <w:t>Herramienta seleccionada: Árbol de Problema-Solución</w:t>
      </w:r>
    </w:p>
    <w:p>
      <w:pPr>
        <w:spacing w:after="120"/>
        <w:jc w:val="both"/>
      </w:pPr>
      <w:r>
        <w:rPr>
          <w:rFonts w:ascii="Arial" w:hAnsi="Arial"/>
          <w:b w:val="0"/>
          <w:sz w:val="22"/>
        </w:rPr>
        <w:t>Se utilizó esta herramienta por su capacidad de estructurar causas y consecuencias de manera jerárquica, permitiendo derivar directamente los objetivos específicos del proyecto a partir de las raíces del problema.</w:t>
      </w:r>
    </w:p>
    <w:p>
      <w:pPr>
        <w:spacing w:before="160" w:after="80"/>
      </w:pPr>
      <w:r>
        <w:rPr>
          <w:rFonts w:ascii="Arial" w:hAnsi="Arial"/>
          <w:b/>
          <w:color w:val="2E75B6"/>
          <w:sz w:val="22"/>
        </w:rPr>
        <w:t>EFECTOS / CONSECUENCIAS (ramas superiores del árbol)</w:t>
      </w:r>
    </w:p>
    <w:tbl>
      <w:tblPr>
        <w:tblStyle w:val="TableGrid"/>
        <w:tblW w:type="auto" w:w="0"/>
        <w:tblLook w:firstColumn="1" w:firstRow="1" w:lastColumn="0" w:lastRow="0" w:noHBand="0" w:noVBand="1" w:val="04A0"/>
      </w:tblPr>
      <w:tblGrid>
        <w:gridCol w:w="4561"/>
        <w:gridCol w:w="4561"/>
      </w:tblGrid>
      <w:tr>
        <w:tc>
          <w:tcPr>
            <w:tcW w:type="dxa" w:w="4561"/>
            <w:shd w:val="clear" w:color="auto" w:fill="C00000"/>
          </w:tcPr>
          <w:p>
            <w:pPr>
              <w:jc w:val="center"/>
            </w:pPr>
            <w:r>
              <w:rPr>
                <w:rFonts w:ascii="Arial" w:hAnsi="Arial"/>
                <w:b/>
                <w:color w:val="FFFFFF"/>
                <w:sz w:val="18"/>
              </w:rPr>
              <w:t>EFECTO</w:t>
            </w:r>
          </w:p>
        </w:tc>
        <w:tc>
          <w:tcPr>
            <w:tcW w:type="dxa" w:w="4561"/>
            <w:shd w:val="clear" w:color="auto" w:fill="C00000"/>
          </w:tcPr>
          <w:p>
            <w:pPr>
              <w:jc w:val="center"/>
            </w:pPr>
            <w:r>
              <w:rPr>
                <w:rFonts w:ascii="Arial" w:hAnsi="Arial"/>
                <w:b/>
                <w:color w:val="FFFFFF"/>
                <w:sz w:val="18"/>
              </w:rPr>
              <w:t>DESCRIPCIÓN</w:t>
            </w:r>
          </w:p>
        </w:tc>
      </w:tr>
      <w:tr>
        <w:tc>
          <w:tcPr>
            <w:tcW w:type="dxa" w:w="4561"/>
            <w:shd w:val="clear" w:color="auto" w:fill="FCE4D6"/>
          </w:tcPr>
          <w:p>
            <w:r>
              <w:rPr>
                <w:rFonts w:ascii="Arial" w:hAnsi="Arial"/>
                <w:b/>
                <w:sz w:val="18"/>
              </w:rPr>
              <w:t>Efecto 1 — Decisiones empresariales sub-óptimas</w:t>
            </w:r>
          </w:p>
        </w:tc>
        <w:tc>
          <w:tcPr>
            <w:tcW w:type="dxa" w:w="4561"/>
          </w:tcPr>
          <w:p>
            <w:r>
              <w:rPr>
                <w:rFonts w:ascii="Arial" w:hAnsi="Arial"/>
                <w:sz w:val="18"/>
              </w:rPr>
              <w:t>Las empresas toman decisiones de inversión basadas en información incompleta o no confiable, lo que genera pérdida de capital (expropiaciones 2007–2015) o pérdida de oportunidades (dejar Venezuela por riesgo percibido superior al real).</w:t>
            </w:r>
          </w:p>
        </w:tc>
      </w:tr>
      <w:tr>
        <w:tc>
          <w:tcPr>
            <w:tcW w:type="dxa" w:w="4561"/>
            <w:shd w:val="clear" w:color="auto" w:fill="FCE4D6"/>
          </w:tcPr>
          <w:p>
            <w:r>
              <w:rPr>
                <w:rFonts w:ascii="Arial" w:hAnsi="Arial"/>
                <w:b/>
                <w:sz w:val="18"/>
              </w:rPr>
              <w:t>Efecto 2 — Costo de oportunidad histórico</w:t>
            </w:r>
          </w:p>
        </w:tc>
        <w:tc>
          <w:tcPr>
            <w:tcW w:type="dxa" w:w="4561"/>
          </w:tcPr>
          <w:p>
            <w:r>
              <w:rPr>
                <w:rFonts w:ascii="Arial" w:hAnsi="Arial"/>
                <w:sz w:val="18"/>
              </w:rPr>
              <w:t>Venezuela posee el 18 % de las reservas mundiales de petróleo pero recibe flujos de IED marginales porque los inversionistas no tienen herramientas para diferenciar el riesgo real del percibido. El país que debería ser el mayor receptor de IED de América del Sur recibe una fracción mínima.</w:t>
            </w:r>
          </w:p>
        </w:tc>
      </w:tr>
      <w:tr>
        <w:tc>
          <w:tcPr>
            <w:tcW w:type="dxa" w:w="4561"/>
            <w:shd w:val="clear" w:color="auto" w:fill="FCE4D6"/>
          </w:tcPr>
          <w:p>
            <w:r>
              <w:rPr>
                <w:rFonts w:ascii="Arial" w:hAnsi="Arial"/>
                <w:b/>
                <w:sz w:val="18"/>
              </w:rPr>
              <w:t>Efecto 3 — Asimetría de información</w:t>
            </w:r>
          </w:p>
        </w:tc>
        <w:tc>
          <w:tcPr>
            <w:tcW w:type="dxa" w:w="4561"/>
          </w:tcPr>
          <w:p>
            <w:r>
              <w:rPr>
                <w:rFonts w:ascii="Arial" w:hAnsi="Arial"/>
                <w:sz w:val="18"/>
              </w:rPr>
              <w:t>Solo las mayores corporaciones globales pueden pagar entre $50.000 y $200.000 por reportes de consultoras especializadas. Las empresas medianas y los fondos de menor capital quedan excluidos de información de calidad sobre Venezuela.</w:t>
            </w:r>
          </w:p>
        </w:tc>
      </w:tr>
      <w:tr>
        <w:tc>
          <w:tcPr>
            <w:tcW w:type="dxa" w:w="4561"/>
            <w:shd w:val="clear" w:color="auto" w:fill="FCE4D6"/>
          </w:tcPr>
          <w:p>
            <w:r>
              <w:rPr>
                <w:rFonts w:ascii="Arial" w:hAnsi="Arial"/>
                <w:b/>
                <w:sz w:val="18"/>
              </w:rPr>
              <w:t>Efecto 4 — Ventana de oportunidad sin herramienta</w:t>
            </w:r>
          </w:p>
        </w:tc>
        <w:tc>
          <w:tcPr>
            <w:tcW w:type="dxa" w:w="4561"/>
          </w:tcPr>
          <w:p>
            <w:r>
              <w:rPr>
                <w:rFonts w:ascii="Arial" w:hAnsi="Arial"/>
                <w:sz w:val="18"/>
              </w:rPr>
              <w:t>La captura de Maduro (enero 2026) abre la primera ventana real de evaluación estratégica desde 2013. Sin un instrumento objetivo y en tiempo real, las empresas no pueden determinar cuándo esa ventana es suficientemente sólida para actuar.</w:t>
            </w:r>
          </w:p>
        </w:tc>
      </w:tr>
    </w:tbl>
    <w:p/>
    <w:p>
      <w:pPr>
        <w:jc w:val="center"/>
        <w:shd w:val="clear" w:color="auto" w:fill="1F497D"/>
      </w:pPr>
      <w:r>
        <w:rPr>
          <w:rFonts w:ascii="Arial" w:hAnsi="Arial"/>
          <w:b/>
          <w:color w:val="FFFFFF"/>
          <w:sz w:val="22"/>
        </w:rPr>
        <w:t>▸ PROBLEMA CENTRAL: Las empresas que evalúan invertir en Venezuela carecen de un instrumento cuantitativo, objetivo, actualizable en alta frecuencia y construido exclusivamente con fuentes independientes del gobierno venezolano, que integre datos alternativos de Big Data para medir de forma continua el balance riesgo-oportunidad y que emita alertas oportunas sobre cambios internos que afecten esa ecuación. ◂</w:t>
      </w:r>
    </w:p>
    <w:p/>
    <w:p>
      <w:pPr>
        <w:spacing w:before="160" w:after="80"/>
      </w:pPr>
      <w:r>
        <w:rPr>
          <w:rFonts w:ascii="Arial" w:hAnsi="Arial"/>
          <w:b/>
          <w:color w:val="2E75B6"/>
          <w:sz w:val="22"/>
        </w:rPr>
        <w:t>CAUSAS / RAÍCES (ramas inferiores del árbol)</w:t>
      </w:r>
    </w:p>
    <w:tbl>
      <w:tblPr>
        <w:tblStyle w:val="TableGrid"/>
        <w:tblW w:type="auto" w:w="0"/>
        <w:tblLook w:firstColumn="1" w:firstRow="1" w:lastColumn="0" w:lastRow="0" w:noHBand="0" w:noVBand="1" w:val="04A0"/>
      </w:tblPr>
      <w:tblGrid>
        <w:gridCol w:w="4561"/>
        <w:gridCol w:w="4561"/>
      </w:tblGrid>
      <w:tr>
        <w:tc>
          <w:tcPr>
            <w:tcW w:type="dxa" w:w="4561"/>
            <w:shd w:val="clear" w:color="auto" w:fill="375623"/>
          </w:tcPr>
          <w:p>
            <w:pPr>
              <w:jc w:val="center"/>
            </w:pPr>
            <w:r>
              <w:rPr>
                <w:rFonts w:ascii="Arial" w:hAnsi="Arial"/>
                <w:b/>
                <w:color w:val="FFFFFF"/>
                <w:sz w:val="18"/>
              </w:rPr>
              <w:t>CAUSA</w:t>
            </w:r>
          </w:p>
        </w:tc>
        <w:tc>
          <w:tcPr>
            <w:tcW w:type="dxa" w:w="4561"/>
            <w:shd w:val="clear" w:color="auto" w:fill="375623"/>
          </w:tcPr>
          <w:p>
            <w:pPr>
              <w:jc w:val="center"/>
            </w:pPr>
            <w:r>
              <w:rPr>
                <w:rFonts w:ascii="Arial" w:hAnsi="Arial"/>
                <w:b/>
                <w:color w:val="FFFFFF"/>
                <w:sz w:val="18"/>
              </w:rPr>
              <w:t>DESCRIPCIÓN</w:t>
            </w:r>
          </w:p>
        </w:tc>
      </w:tr>
      <w:tr>
        <w:tc>
          <w:tcPr>
            <w:tcW w:type="dxa" w:w="4561"/>
            <w:shd w:val="clear" w:color="auto" w:fill="E2EFDA"/>
          </w:tcPr>
          <w:p>
            <w:r>
              <w:rPr>
                <w:rFonts w:ascii="Arial" w:hAnsi="Arial"/>
                <w:b/>
                <w:sz w:val="18"/>
              </w:rPr>
              <w:t>Causa 1 — Colapso estadístico oficial</w:t>
            </w:r>
          </w:p>
        </w:tc>
        <w:tc>
          <w:tcPr>
            <w:tcW w:type="dxa" w:w="4561"/>
          </w:tcPr>
          <w:p>
            <w:r>
              <w:rPr>
                <w:rFonts w:ascii="Arial" w:hAnsi="Arial"/>
                <w:sz w:val="18"/>
              </w:rPr>
              <w:t>El Banco Central de Venezuela suspendió la publicación de estadísticas macroeconómicas regulares entre 2015 y 2019. Las cifras publicadas desde entonces son cuestionadas sistemáticamente por el FMI, el Banco Mundial y la academia internacional, con brechas que duplican los datos oficiales.</w:t>
            </w:r>
          </w:p>
        </w:tc>
      </w:tr>
      <w:tr>
        <w:tc>
          <w:tcPr>
            <w:tcW w:type="dxa" w:w="4561"/>
            <w:shd w:val="clear" w:color="auto" w:fill="E2EFDA"/>
          </w:tcPr>
          <w:p>
            <w:r>
              <w:rPr>
                <w:rFonts w:ascii="Arial" w:hAnsi="Arial"/>
                <w:b/>
                <w:sz w:val="18"/>
              </w:rPr>
              <w:t>Causa 2 — Ausencia de índice compuesto específico para Venezuela</w:t>
            </w:r>
          </w:p>
        </w:tc>
        <w:tc>
          <w:tcPr>
            <w:tcW w:type="dxa" w:w="4561"/>
          </w:tcPr>
          <w:p>
            <w:r>
              <w:rPr>
                <w:rFonts w:ascii="Arial" w:hAnsi="Arial"/>
                <w:sz w:val="18"/>
              </w:rPr>
              <w:t>No existe en la literatura académica indexada un índice compuesto diseñado para la toma de decisiones de inversión empresarial en Venezuela con metodología replicable y fuentes verificables. El Doing Business del Banco Mundial fue descontinuado en 2021.</w:t>
            </w:r>
          </w:p>
        </w:tc>
      </w:tr>
      <w:tr>
        <w:tc>
          <w:tcPr>
            <w:tcW w:type="dxa" w:w="4561"/>
            <w:shd w:val="clear" w:color="auto" w:fill="E2EFDA"/>
          </w:tcPr>
          <w:p>
            <w:r>
              <w:rPr>
                <w:rFonts w:ascii="Arial" w:hAnsi="Arial"/>
                <w:b/>
                <w:sz w:val="18"/>
              </w:rPr>
              <w:t>Causa 3 — Subutilización de datos alternativos disponibles</w:t>
            </w:r>
          </w:p>
        </w:tc>
        <w:tc>
          <w:tcPr>
            <w:tcW w:type="dxa" w:w="4561"/>
          </w:tcPr>
          <w:p>
            <w:r>
              <w:rPr>
                <w:rFonts w:ascii="Arial" w:hAnsi="Arial"/>
                <w:sz w:val="18"/>
              </w:rPr>
              <w:t>Fuentes como imágenes satelitales VIIRS de la NASA (proxy de PIB), datos on-chain de criptomonedas, rastreo AIS de tráfico marítimo y análisis de Google Trends están disponibles públicamente pero no han sido sistematizadas en ningún indicador económico para Venezuela.</w:t>
            </w:r>
          </w:p>
        </w:tc>
      </w:tr>
      <w:tr>
        <w:tc>
          <w:tcPr>
            <w:tcW w:type="dxa" w:w="4561"/>
            <w:shd w:val="clear" w:color="auto" w:fill="E2EFDA"/>
          </w:tcPr>
          <w:p>
            <w:r>
              <w:rPr>
                <w:rFonts w:ascii="Arial" w:hAnsi="Arial"/>
                <w:b/>
                <w:sz w:val="18"/>
              </w:rPr>
              <w:t>Causa 4 — Sanciones internacionales volátiles e impredecibles</w:t>
            </w:r>
          </w:p>
        </w:tc>
        <w:tc>
          <w:tcPr>
            <w:tcW w:type="dxa" w:w="4561"/>
          </w:tcPr>
          <w:p>
            <w:r>
              <w:rPr>
                <w:rFonts w:ascii="Arial" w:hAnsi="Arial"/>
                <w:sz w:val="18"/>
              </w:rPr>
              <w:t>Las sanciones OFAC sobre Venezuela cambiaron al menos cuatro veces entre 2019 y 2026, creando un entorno regulatorio inestable sin herramienta que cuantifique su intensidad como variable continua en un modelo de decisión.</w:t>
            </w:r>
          </w:p>
        </w:tc>
      </w:tr>
      <w:tr>
        <w:tc>
          <w:tcPr>
            <w:tcW w:type="dxa" w:w="4561"/>
            <w:shd w:val="clear" w:color="auto" w:fill="E2EFDA"/>
          </w:tcPr>
          <w:p>
            <w:r>
              <w:rPr>
                <w:rFonts w:ascii="Arial" w:hAnsi="Arial"/>
                <w:b/>
                <w:sz w:val="18"/>
              </w:rPr>
              <w:t>Causa 5 — Economía informal no capturada por indicadores tradicionales</w:t>
            </w:r>
          </w:p>
        </w:tc>
        <w:tc>
          <w:tcPr>
            <w:tcW w:type="dxa" w:w="4561"/>
          </w:tcPr>
          <w:p>
            <w:r>
              <w:rPr>
                <w:rFonts w:ascii="Arial" w:hAnsi="Arial"/>
                <w:sz w:val="18"/>
              </w:rPr>
              <w:t>Más del 50 % de la economía venezolana es informal. El uso de USDT y otras stablecoins alcanzó $9,7 mil millones en el segundo trimestre de 2025. El 90 % de las remesas ($4,2 mil millones en 2022) fluyen por Zelle. Estas señales son invisibles para los indicadores convencionales.</w:t>
            </w:r>
          </w:p>
        </w:tc>
      </w:tr>
    </w:tbl>
    <w:p>
      <w:pPr>
        <w:pBdr>
          <w:bottom w:val="single" w:sz="6" w:space="1" w:color="1F497D"/>
        </w:pBdr>
        <w:spacing w:before="80" w:after="80"/>
      </w:pPr>
    </w:p>
    <w:p>
      <w:pPr>
        <w:spacing w:before="240" w:after="120"/>
        <w:shd w:val="clear" w:color="auto" w:fill="1F497D"/>
      </w:pPr>
      <w:r>
        <w:rPr>
          <w:rFonts w:ascii="Arial" w:hAnsi="Arial"/>
          <w:b/>
          <w:color w:val="FFFFFF"/>
          <w:sz w:val="26"/>
        </w:rPr>
        <w:t>ELEMENTO 4: Declaración de Objetivos (SMART — Taxonomía de Bloom)</w:t>
      </w:r>
    </w:p>
    <w:p>
      <w:pPr>
        <w:spacing w:before="160" w:after="80"/>
      </w:pPr>
      <w:r>
        <w:rPr>
          <w:rFonts w:ascii="Arial" w:hAnsi="Arial"/>
          <w:b/>
          <w:color w:val="2E75B6"/>
          <w:sz w:val="22"/>
        </w:rPr>
        <w:t>Objetivo General</w:t>
      </w:r>
    </w:p>
    <w:p>
      <w:pPr>
        <w:spacing w:after="200"/>
        <w:ind w:left="283"/>
        <w:jc w:val="both"/>
        <w:shd w:val="clear" w:color="auto" w:fill="D9E1F2"/>
      </w:pPr>
      <w:r>
        <w:rPr>
          <w:rFonts w:ascii="Arial" w:hAnsi="Arial"/>
          <w:b/>
          <w:sz w:val="22"/>
        </w:rPr>
        <w:t>Diseñar, construir, validar y desplegar la Plataforma de Inteligencia de Inversión IMIV-VEN + SATV para Venezuela, integrando fuentes de datos no convencionales —imágenes satelitales nocturnas de la NASA, datos on-chain de criptomonedas, rastreo marítimo AIS, búsquedas digitales de Google Trends y remesas digitales— con indicadores institucionales internacionales independientes, mediante una arquitectura de Big Data basada en Análisis de Componentes Principales (PCA) y Proceso Analítico Jerárquico (AHP), para generar señales cuantitativas estratégicas (trimestrales) y operativas de alerta temprana (semanales o mensuales) que asistan a directivos empresariales en la toma de decisiones de inversión en Venezuela durante el período junio de 2026 a junio de 2027.</w:t>
      </w:r>
    </w:p>
    <w:p/>
    <w:p>
      <w:pPr>
        <w:spacing w:before="160" w:after="80"/>
      </w:pPr>
      <w:r>
        <w:rPr>
          <w:rFonts w:ascii="Arial" w:hAnsi="Arial"/>
          <w:b/>
          <w:color w:val="2E75B6"/>
          <w:sz w:val="22"/>
        </w:rPr>
        <w:t>Objetivos Específicos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rFonts w:ascii="Arial" w:hAnsi="Arial"/>
                <w:b/>
                <w:color w:val="FFFFFF"/>
                <w:sz w:val="18"/>
              </w:rPr>
              <w:t>OBJ.</w:t>
            </w:r>
          </w:p>
        </w:tc>
        <w:tc>
          <w:tcPr>
            <w:tcW w:type="dxa" w:w="2280"/>
            <w:shd w:val="clear" w:color="auto" w:fill="1F497D"/>
          </w:tcPr>
          <w:p>
            <w:pPr>
              <w:jc w:val="center"/>
            </w:pPr>
            <w:r>
              <w:rPr>
                <w:rFonts w:ascii="Arial" w:hAnsi="Arial"/>
                <w:b/>
                <w:color w:val="FFFFFF"/>
                <w:sz w:val="18"/>
              </w:rPr>
              <w:t>BLOOM</w:t>
            </w:r>
          </w:p>
        </w:tc>
        <w:tc>
          <w:tcPr>
            <w:tcW w:type="dxa" w:w="2280"/>
            <w:shd w:val="clear" w:color="auto" w:fill="1F497D"/>
          </w:tcPr>
          <w:p>
            <w:pPr>
              <w:jc w:val="center"/>
            </w:pPr>
            <w:r>
              <w:rPr>
                <w:rFonts w:ascii="Arial" w:hAnsi="Arial"/>
                <w:b/>
                <w:color w:val="FFFFFF"/>
                <w:sz w:val="18"/>
              </w:rPr>
              <w:t>ENUNCIADO (SMART)</w:t>
            </w:r>
          </w:p>
        </w:tc>
        <w:tc>
          <w:tcPr>
            <w:tcW w:type="dxa" w:w="2280"/>
            <w:shd w:val="clear" w:color="auto" w:fill="1F497D"/>
          </w:tcPr>
          <w:p>
            <w:pPr>
              <w:jc w:val="center"/>
            </w:pPr>
            <w:r>
              <w:rPr>
                <w:rFonts w:ascii="Arial" w:hAnsi="Arial"/>
                <w:b/>
                <w:color w:val="FFFFFF"/>
                <w:sz w:val="18"/>
              </w:rPr>
              <w:t>CRITERIOS SMART</w:t>
            </w:r>
          </w:p>
        </w:tc>
      </w:tr>
      <w:tr>
        <w:tc>
          <w:tcPr>
            <w:tcW w:type="dxa" w:w="2280"/>
            <w:shd w:val="clear" w:color="auto" w:fill="D9E1F2"/>
          </w:tcPr>
          <w:p>
            <w:r>
              <w:rPr>
                <w:rFonts w:ascii="Arial" w:hAnsi="Arial"/>
                <w:b/>
                <w:sz w:val="18"/>
              </w:rPr>
              <w:t>OE1</w:t>
            </w:r>
          </w:p>
        </w:tc>
        <w:tc>
          <w:tcPr>
            <w:tcW w:type="dxa" w:w="2280"/>
          </w:tcPr>
          <w:p>
            <w:r>
              <w:rPr>
                <w:rFonts w:ascii="Arial" w:hAnsi="Arial"/>
                <w:i/>
                <w:sz w:val="16"/>
              </w:rPr>
              <w:t>Recordar / Comprender</w:t>
            </w:r>
          </w:p>
        </w:tc>
        <w:tc>
          <w:tcPr>
            <w:tcW w:type="dxa" w:w="2280"/>
          </w:tcPr>
          <w:p>
            <w:r>
              <w:rPr>
                <w:rFonts w:ascii="Arial" w:hAnsi="Arial"/>
                <w:sz w:val="18"/>
              </w:rPr>
              <w:t>Identificar y caracterizar las fuentes de datos internacionales independientes disponibles para medir la actividad económica, política, regulatoria, social y financiera de Venezuela entre 2013 y 2027, clasificándolas según su tipo, frecuencia de actualización, confiabilidad y accesibilidad programática.</w:t>
            </w:r>
          </w:p>
        </w:tc>
        <w:tc>
          <w:tcPr>
            <w:tcW w:type="dxa" w:w="2280"/>
          </w:tcPr>
          <w:p>
            <w:r>
              <w:rPr>
                <w:rFonts w:ascii="Arial" w:hAnsi="Arial"/>
                <w:sz w:val="16"/>
              </w:rPr>
              <w:t>Específico: Catálogo de mínimo 25 fuentes en 6 categorías. Medible: Matriz de metadatos con URL, frecuencia, formato y nivel de confiabilidad (1–5). Alcanzable: Todas las fuentes son públicas y gratuitas. Relevante: Base de todo el proyecto. Temporal: Completar en meses 1–2.</w:t>
            </w:r>
          </w:p>
        </w:tc>
      </w:tr>
      <w:tr>
        <w:tc>
          <w:tcPr>
            <w:tcW w:type="dxa" w:w="2280"/>
            <w:shd w:val="clear" w:color="auto" w:fill="D9E1F2"/>
          </w:tcPr>
          <w:p>
            <w:r>
              <w:rPr>
                <w:rFonts w:ascii="Arial" w:hAnsi="Arial"/>
                <w:b/>
                <w:sz w:val="18"/>
              </w:rPr>
              <w:t>OE2</w:t>
            </w:r>
          </w:p>
        </w:tc>
        <w:tc>
          <w:tcPr>
            <w:tcW w:type="dxa" w:w="2280"/>
          </w:tcPr>
          <w:p>
            <w:r>
              <w:rPr>
                <w:rFonts w:ascii="Arial" w:hAnsi="Arial"/>
                <w:i/>
                <w:sz w:val="16"/>
              </w:rPr>
              <w:t>Aplicar / Analizar</w:t>
            </w:r>
          </w:p>
        </w:tc>
        <w:tc>
          <w:tcPr>
            <w:tcW w:type="dxa" w:w="2280"/>
          </w:tcPr>
          <w:p>
            <w:r>
              <w:rPr>
                <w:rFonts w:ascii="Arial" w:hAnsi="Arial"/>
                <w:sz w:val="18"/>
              </w:rPr>
              <w:t>Construir un pipeline automatizado de ingesta, limpieza e integración de datos heterogéneos que produzca un dataset multidimensional consolidado para Venezuela con cobertura 2013–2027, incluyendo datos satelitales VIIRS, indicadores institucionales, variables financieras, proxies digitales y datos on-chain de criptomonedas.</w:t>
            </w:r>
          </w:p>
        </w:tc>
        <w:tc>
          <w:tcPr>
            <w:tcW w:type="dxa" w:w="2280"/>
          </w:tcPr>
          <w:p>
            <w:r>
              <w:rPr>
                <w:rFonts w:ascii="Arial" w:hAnsi="Arial"/>
                <w:sz w:val="16"/>
              </w:rPr>
              <w:t>Específico: Dataset con mínimo 6 dimensiones y 30 variables. Medible: Archivo Parquet con log de reproducibilidad. Alcanzable: Python, Google Earth Engine, APIs públicas. Relevante: Sin datos no hay índice. Temporal: Meses 2–4.</w:t>
            </w:r>
          </w:p>
        </w:tc>
      </w:tr>
      <w:tr>
        <w:tc>
          <w:tcPr>
            <w:tcW w:type="dxa" w:w="2280"/>
            <w:shd w:val="clear" w:color="auto" w:fill="D9E1F2"/>
          </w:tcPr>
          <w:p>
            <w:r>
              <w:rPr>
                <w:rFonts w:ascii="Arial" w:hAnsi="Arial"/>
                <w:b/>
                <w:sz w:val="18"/>
              </w:rPr>
              <w:t>OE3</w:t>
            </w:r>
          </w:p>
        </w:tc>
        <w:tc>
          <w:tcPr>
            <w:tcW w:type="dxa" w:w="2280"/>
          </w:tcPr>
          <w:p>
            <w:r>
              <w:rPr>
                <w:rFonts w:ascii="Arial" w:hAnsi="Arial"/>
                <w:i/>
                <w:sz w:val="16"/>
              </w:rPr>
              <w:t>Analizar / Evaluar</w:t>
            </w:r>
          </w:p>
        </w:tc>
        <w:tc>
          <w:tcPr>
            <w:tcW w:type="dxa" w:w="2280"/>
          </w:tcPr>
          <w:p>
            <w:r>
              <w:rPr>
                <w:rFonts w:ascii="Arial" w:hAnsi="Arial"/>
                <w:sz w:val="18"/>
              </w:rPr>
              <w:t>Desarrollar el modelo matemático del IMIV-VEN mediante PCA para determinar la estructura empírica de los datos y validar las ponderaciones con AHP consultando a un panel de mínimo siete expertos en economía venezolana y riesgo de inversión en mercados emergentes.</w:t>
            </w:r>
          </w:p>
        </w:tc>
        <w:tc>
          <w:tcPr>
            <w:tcW w:type="dxa" w:w="2280"/>
          </w:tcPr>
          <w:p>
            <w:r>
              <w:rPr>
                <w:rFonts w:ascii="Arial" w:hAnsi="Arial"/>
                <w:sz w:val="16"/>
              </w:rPr>
              <w:t>Específico: Modelo PCA + AHP con análisis de sensibilidad. Medible: Varianza explicada ≥ 70 %. Ratio de consistencia AHP ≤ 0,1. Alcanzable: scikit-learn, formulario a expertos. Relevante: Determina la solidez académica. Temporal: Meses 4–6.</w:t>
            </w:r>
          </w:p>
        </w:tc>
      </w:tr>
      <w:tr>
        <w:tc>
          <w:tcPr>
            <w:tcW w:type="dxa" w:w="2280"/>
            <w:shd w:val="clear" w:color="auto" w:fill="D9E1F2"/>
          </w:tcPr>
          <w:p>
            <w:r>
              <w:rPr>
                <w:rFonts w:ascii="Arial" w:hAnsi="Arial"/>
                <w:b/>
                <w:sz w:val="18"/>
              </w:rPr>
              <w:t>OE4</w:t>
            </w:r>
          </w:p>
        </w:tc>
        <w:tc>
          <w:tcPr>
            <w:tcW w:type="dxa" w:w="2280"/>
          </w:tcPr>
          <w:p>
            <w:r>
              <w:rPr>
                <w:rFonts w:ascii="Arial" w:hAnsi="Arial"/>
                <w:i/>
                <w:sz w:val="16"/>
              </w:rPr>
              <w:t>Crear</w:t>
            </w:r>
          </w:p>
        </w:tc>
        <w:tc>
          <w:tcPr>
            <w:tcW w:type="dxa" w:w="2280"/>
          </w:tcPr>
          <w:p>
            <w:r>
              <w:rPr>
                <w:rFonts w:ascii="Arial" w:hAnsi="Arial"/>
                <w:sz w:val="18"/>
              </w:rPr>
              <w:t>Desarrollar el módulo SATV de alertas tempranas que monitoree fuentes de alta frecuencia y emita notificaciones estructuradas en tres niveles de severidad cuando se detecten cambios abruptos en variables internas de Venezuela, con backtesting sobre el período histórico 2019–2026.</w:t>
            </w:r>
          </w:p>
        </w:tc>
        <w:tc>
          <w:tcPr>
            <w:tcW w:type="dxa" w:w="2280"/>
          </w:tcPr>
          <w:p>
            <w:r>
              <w:rPr>
                <w:rFonts w:ascii="Arial" w:hAnsi="Arial"/>
                <w:sz w:val="16"/>
              </w:rPr>
              <w:t>Específico: Módulo funcional con reglas de detección documentadas. Medible: Precisión del backtesting ≥ 70 % en eventos conocidos. Alcanzable: Python (statsmodels, pytrends, requests). Relevante: Diferenciador clave frente a indicadores existentes. Temporal: Meses 5–7.</w:t>
            </w:r>
          </w:p>
        </w:tc>
      </w:tr>
      <w:tr>
        <w:tc>
          <w:tcPr>
            <w:tcW w:type="dxa" w:w="2280"/>
            <w:shd w:val="clear" w:color="auto" w:fill="D9E1F2"/>
          </w:tcPr>
          <w:p>
            <w:r>
              <w:rPr>
                <w:rFonts w:ascii="Arial" w:hAnsi="Arial"/>
                <w:b/>
                <w:sz w:val="18"/>
              </w:rPr>
              <w:t>OE5</w:t>
            </w:r>
          </w:p>
        </w:tc>
        <w:tc>
          <w:tcPr>
            <w:tcW w:type="dxa" w:w="2280"/>
          </w:tcPr>
          <w:p>
            <w:r>
              <w:rPr>
                <w:rFonts w:ascii="Arial" w:hAnsi="Arial"/>
                <w:i/>
                <w:sz w:val="16"/>
              </w:rPr>
              <w:t>Evaluar</w:t>
            </w:r>
          </w:p>
        </w:tc>
        <w:tc>
          <w:tcPr>
            <w:tcW w:type="dxa" w:w="2280"/>
          </w:tcPr>
          <w:p>
            <w:r>
              <w:rPr>
                <w:rFonts w:ascii="Arial" w:hAnsi="Arial"/>
                <w:sz w:val="18"/>
              </w:rPr>
              <w:t>Validar la capacidad predictiva del IMIV-VEN mediante la correlación de su serie histórica con los flujos de Inversión Extranjera Directa registrados en Venezuela por UNCTAD y CEPAL entre 2013 y 2025, y mediante análisis cualitativo de eventos conocidos (sanciones 2019, apertura Chevron 2022, captura Maduro 2026).</w:t>
            </w:r>
          </w:p>
        </w:tc>
        <w:tc>
          <w:tcPr>
            <w:tcW w:type="dxa" w:w="2280"/>
          </w:tcPr>
          <w:p>
            <w:r>
              <w:rPr>
                <w:rFonts w:ascii="Arial" w:hAnsi="Arial"/>
                <w:sz w:val="16"/>
              </w:rPr>
              <w:t>Específico: Test de correlación Spearman entre IMIV-VEN e IED anual. Medible: p-valor &lt; 0,05. Análisis de 3 eventos históricos. Alcanzable: IED disponible en UNCTAD WIR (serie pública). Relevante: Convierte el índice en herramienta académicamente rigurosa. Temporal: Meses 7–9.</w:t>
            </w:r>
          </w:p>
        </w:tc>
      </w:tr>
      <w:tr>
        <w:tc>
          <w:tcPr>
            <w:tcW w:type="dxa" w:w="2280"/>
            <w:shd w:val="clear" w:color="auto" w:fill="D9E1F2"/>
          </w:tcPr>
          <w:p>
            <w:r>
              <w:rPr>
                <w:rFonts w:ascii="Arial" w:hAnsi="Arial"/>
                <w:b/>
                <w:sz w:val="18"/>
              </w:rPr>
              <w:t>OE6</w:t>
            </w:r>
          </w:p>
        </w:tc>
        <w:tc>
          <w:tcPr>
            <w:tcW w:type="dxa" w:w="2280"/>
          </w:tcPr>
          <w:p>
            <w:r>
              <w:rPr>
                <w:rFonts w:ascii="Arial" w:hAnsi="Arial"/>
                <w:i/>
                <w:sz w:val="16"/>
              </w:rPr>
              <w:t>Crear</w:t>
            </w:r>
          </w:p>
        </w:tc>
        <w:tc>
          <w:tcPr>
            <w:tcW w:type="dxa" w:w="2280"/>
          </w:tcPr>
          <w:p>
            <w:r>
              <w:rPr>
                <w:rFonts w:ascii="Arial" w:hAnsi="Arial"/>
                <w:sz w:val="18"/>
              </w:rPr>
              <w:t>Diseñar e implementar un dashboard ejecutivo interactivo que presente el IMIV-VEN global, sus seis dimensiones, la serie histórica y el panel de alertas SATV de forma comprensible para directivos sin formación técnica, con actualización programada desde fuentes públicas.</w:t>
            </w:r>
          </w:p>
        </w:tc>
        <w:tc>
          <w:tcPr>
            <w:tcW w:type="dxa" w:w="2280"/>
          </w:tcPr>
          <w:p>
            <w:r>
              <w:rPr>
                <w:rFonts w:ascii="Arial" w:hAnsi="Arial"/>
                <w:sz w:val="16"/>
              </w:rPr>
              <w:t>Específico: Dashboard con mínimo 6 visualizaciones y 3 filtros interactivos. Medible: Tiempo de carga &lt; 5 seg. Prueba de usabilidad con 5 usuarios. Alcanzable: Python Dash / Plotly o Power BI. Relevante: Hace el índice utilizable en el mundo real. Temporal: Meses 9–11.</w:t>
            </w:r>
          </w:p>
        </w:tc>
      </w:tr>
    </w:tbl>
    <w:p>
      <w:pPr>
        <w:pBdr>
          <w:bottom w:val="single" w:sz="6" w:space="1" w:color="1F497D"/>
        </w:pBdr>
        <w:spacing w:before="80" w:after="80"/>
      </w:pPr>
    </w:p>
    <w:p>
      <w:pPr>
        <w:spacing w:before="240" w:after="120"/>
        <w:shd w:val="clear" w:color="auto" w:fill="1F497D"/>
      </w:pPr>
      <w:r>
        <w:rPr>
          <w:rFonts w:ascii="Arial" w:hAnsi="Arial"/>
          <w:b/>
          <w:color w:val="FFFFFF"/>
          <w:sz w:val="26"/>
        </w:rPr>
        <w:t>ELEMENTO 5: Justificación del Problema</w:t>
      </w:r>
    </w:p>
    <w:p>
      <w:pPr>
        <w:spacing w:before="160" w:after="80"/>
      </w:pPr>
      <w:r>
        <w:rPr>
          <w:rFonts w:ascii="Arial" w:hAnsi="Arial"/>
          <w:b/>
          <w:color w:val="2E75B6"/>
          <w:sz w:val="22"/>
        </w:rPr>
        <w:t>Contexto: el momento histórico más relevante para Venezuela en tres décadas</w:t>
      </w:r>
    </w:p>
    <w:p>
      <w:pPr>
        <w:spacing w:after="120"/>
        <w:jc w:val="both"/>
      </w:pPr>
      <w:r>
        <w:rPr>
          <w:rFonts w:ascii="Arial" w:hAnsi="Arial"/>
          <w:b w:val="0"/>
          <w:sz w:val="22"/>
        </w:rPr>
        <w:t>El 3 de enero de 2026, la captura de Nicolás Maduro por fuerzas especiales de los Estados Unidos transformó radicalmente el escenario venezolano. La vicepresidenta Delcy Rodríguez asumió la presidencia interina en Caracas. Los mercados financieros reaccionaron de inmediato: el spread EMBI venezolano, que en enero de 2025 alcanzaba 23.452 puntos básicos, se redujo aproximadamente a la mitad, cerrando el primer trimestre de 2026 en torno a 8.973 puntos (Rio Times, Q1 2026). Es la señal de mercado más significativa sobre Venezuela en una década y ocurre sin que exista ningún instrumento independiente que guíe a las empresas para interpretarla y actuar sobre ella.</w:t>
      </w:r>
    </w:p>
    <w:p>
      <w:pPr>
        <w:spacing w:after="160"/>
        <w:ind w:left="170"/>
        <w:jc w:val="both"/>
      </w:pPr>
      <w:r>
        <w:rPr>
          <w:rFonts w:ascii="Arial" w:hAnsi="Arial"/>
          <w:b/>
          <w:sz w:val="22"/>
        </w:rPr>
        <w:t xml:space="preserve">1. Vacío informativo crítico y demostrable: </w:t>
      </w:r>
      <w:r>
        <w:rPr>
          <w:rFonts w:ascii="Arial" w:hAnsi="Arial"/>
          <w:sz w:val="22"/>
        </w:rPr>
        <w:t>El BCV no publicó estadísticas macroeconómicas regulares entre 2015 y 2019. Para 2024, el gobierno reportó inflación del 48 %, el FMI proyectó cifras superiores al 60 % y fuentes como el Observatorio Venezolano de Finanzas registraron tasas aún más elevadas. Esta brecha no es un detalle metodológico: es la razón por la que ninguna empresa puede basar una decisión de inversión en datos oficiales venezolanos. El IMIV-VEN resuelve este problema usando exclusivamente fuentes externas independientes.</w:t>
      </w:r>
    </w:p>
    <w:p>
      <w:pPr>
        <w:spacing w:after="160"/>
        <w:ind w:left="170"/>
        <w:jc w:val="both"/>
      </w:pPr>
      <w:r>
        <w:rPr>
          <w:rFonts w:ascii="Arial" w:hAnsi="Arial"/>
          <w:b/>
          <w:sz w:val="22"/>
        </w:rPr>
        <w:t xml:space="preserve">2. Vacío académico real y verificable: </w:t>
      </w:r>
      <w:r>
        <w:rPr>
          <w:rFonts w:ascii="Arial" w:hAnsi="Arial"/>
          <w:sz w:val="22"/>
        </w:rPr>
        <w:t>Una revisión sistemática de la literatura en Google Scholar, SSRN y los repositorios del Banco Mundial y el FMI confirma que no existe un índice compuesto diseñado específicamente para la toma de decisiones de inversión empresarial en Venezuela con metodología replicable, fuentes independientes y un módulo de alertas en tiempo real. El Doing Business del Banco Mundial, que parcialmente cumplía esta función a nivel global, fue descontinuado en 2021. La propuesta cubre un vacío real y verificable.</w:t>
      </w:r>
    </w:p>
    <w:p>
      <w:pPr>
        <w:spacing w:after="160"/>
        <w:ind w:left="170"/>
        <w:jc w:val="both"/>
      </w:pPr>
      <w:r>
        <w:rPr>
          <w:rFonts w:ascii="Arial" w:hAnsi="Arial"/>
          <w:b/>
          <w:sz w:val="22"/>
        </w:rPr>
        <w:t xml:space="preserve">3. La revolución de los datos alternativos ya tiene respaldo académico: </w:t>
      </w:r>
      <w:r>
        <w:rPr>
          <w:rFonts w:ascii="Arial" w:hAnsi="Arial"/>
          <w:sz w:val="22"/>
        </w:rPr>
        <w:t>El FMI publicó en 2022 el documento "Measuring Quarterly Economic Growth from Outer Space", que demuestra que las imágenes satelitales VIIRS predicen el crecimiento trimestral del PIB con mayor precisión que los datos oficiales en países con estadísticas débiles. Los estudios de Chainalysis y el Wilson Center estiman que el 10 % de la población venezolana posee activos cripto y que la economía informal cripto alcanzó USD 9,7 mil millones en el segundo trimestre de 2025. El 90 % de las remesas (USD 4,2 mil millones en 2022) fluyen por Zelle según el Inter-American Dialogue. El IMIV-VEN convierte estas señales dispersas en un indicador unificado, aplicando metodología ya validada internacionalmente.</w:t>
      </w:r>
    </w:p>
    <w:p>
      <w:pPr>
        <w:spacing w:after="160"/>
        <w:ind w:left="170"/>
        <w:jc w:val="both"/>
      </w:pPr>
      <w:r>
        <w:rPr>
          <w:rFonts w:ascii="Arial" w:hAnsi="Arial"/>
          <w:b/>
          <w:sz w:val="22"/>
        </w:rPr>
        <w:t xml:space="preserve">4. Pertinencia directa con la Especialización en Big Data e Inteligencia de Negocios: </w:t>
      </w:r>
      <w:r>
        <w:rPr>
          <w:rFonts w:ascii="Arial" w:hAnsi="Arial"/>
          <w:sz w:val="22"/>
        </w:rPr>
        <w:t>El IMIV-VEN + SATV aplica de manera integral el conjunto de competencias del programa: ingesta automatizada de datos heterogéneos (geoespaciales, financieros, on-chain, textuales), análisis estadístico multivariado (PCA), validación experta (AHP), desarrollo de pipelines reproducibles (Python + GitHub), construcción de modelos de detección de anomalías (SATV) y diseño de interfaces de inteligencia de negocio (dashboard). Es el proyecto más completo que puede presentarse dentro del perfil de esta especialización.</w:t>
      </w:r>
    </w:p>
    <w:p>
      <w:pPr>
        <w:spacing w:after="160"/>
        <w:ind w:left="170"/>
        <w:jc w:val="both"/>
      </w:pPr>
      <w:r>
        <w:rPr>
          <w:rFonts w:ascii="Arial" w:hAnsi="Arial"/>
          <w:b/>
          <w:sz w:val="22"/>
        </w:rPr>
        <w:t xml:space="preserve">5. Escalabilidad metodológica e impacto internacional: </w:t>
      </w:r>
      <w:r>
        <w:rPr>
          <w:rFonts w:ascii="Arial" w:hAnsi="Arial"/>
          <w:sz w:val="22"/>
        </w:rPr>
        <w:t>El marco desarrollado para Venezuela puede extenderse a Nicaragua, Cuba, Myanmar, Irán, Siria y otros países con estadísticas débiles o gobiernos autoritarios. Esto transforma el proyecto de un ejercicio nacional a una plantilla metodológica de valor internacional, potencialmente publicable en revistas como el Journal of Development Economics, el Latin American Research Review o la Revista CEPAL.</w:t>
      </w:r>
    </w:p>
    <w:p>
      <w:pPr>
        <w:pBdr>
          <w:bottom w:val="single" w:sz="6" w:space="1" w:color="1F497D"/>
        </w:pBdr>
        <w:spacing w:before="80" w:after="80"/>
      </w:pPr>
    </w:p>
    <w:p>
      <w:pPr>
        <w:spacing w:before="240" w:after="120"/>
        <w:shd w:val="clear" w:color="auto" w:fill="1F497D"/>
      </w:pPr>
      <w:r>
        <w:rPr>
          <w:rFonts w:ascii="Arial" w:hAnsi="Arial"/>
          <w:b/>
          <w:color w:val="FFFFFF"/>
          <w:sz w:val="26"/>
        </w:rPr>
        <w:t>ELEMENTO 6: Búsqueda Bibliográfica y Fuentes de Información</w:t>
      </w:r>
    </w:p>
    <w:p>
      <w:pPr>
        <w:spacing w:after="120"/>
        <w:jc w:val="both"/>
      </w:pPr>
      <w:r>
        <w:rPr>
          <w:rFonts w:ascii="Arial" w:hAnsi="Arial"/>
          <w:b w:val="0"/>
          <w:sz w:val="22"/>
        </w:rPr>
        <w:t>Esta sección documenta las fuentes de información que se utilizarán en el proyecto. Están organizadas en dos bloques: (A) referencias académicas y de organismos internacionales que fundamentan la metodología, y (B) fuentes de datos primarias, todas públicas, gratuitas y accesibles programáticamente, ninguna dependiente del gobierno venezolano.</w:t>
      </w:r>
    </w:p>
    <w:p>
      <w:pPr>
        <w:spacing w:before="160" w:after="80"/>
      </w:pPr>
      <w:r>
        <w:rPr>
          <w:rFonts w:ascii="Arial" w:hAnsi="Arial"/>
          <w:b/>
          <w:color w:val="2E75B6"/>
          <w:sz w:val="22"/>
        </w:rPr>
        <w:t>A. Referencias académicas y metodológicas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Pr>
                <w:rFonts w:ascii="Arial" w:hAnsi="Arial"/>
                <w:b/>
                <w:color w:val="FFFFFF"/>
                <w:sz w:val="18"/>
              </w:rPr>
              <w:t>AUTOR / FUENTE</w:t>
            </w:r>
          </w:p>
        </w:tc>
        <w:tc>
          <w:tcPr>
            <w:tcW w:type="dxa" w:w="2280"/>
            <w:shd w:val="clear" w:color="auto" w:fill="1F497D"/>
          </w:tcPr>
          <w:p>
            <w:pPr>
              <w:jc w:val="center"/>
            </w:pPr>
            <w:r>
              <w:rPr>
                <w:rFonts w:ascii="Arial" w:hAnsi="Arial"/>
                <w:b/>
                <w:color w:val="FFFFFF"/>
                <w:sz w:val="18"/>
              </w:rPr>
              <w:t>REFERENCIA COMPLETA</w:t>
            </w:r>
          </w:p>
        </w:tc>
        <w:tc>
          <w:tcPr>
            <w:tcW w:type="dxa" w:w="2280"/>
            <w:shd w:val="clear" w:color="auto" w:fill="1F497D"/>
          </w:tcPr>
          <w:p>
            <w:pPr>
              <w:jc w:val="center"/>
            </w:pPr>
            <w:r>
              <w:rPr>
                <w:rFonts w:ascii="Arial" w:hAnsi="Arial"/>
                <w:b/>
                <w:color w:val="FFFFFF"/>
                <w:sz w:val="18"/>
              </w:rPr>
              <w:t>RELEVANCIA PARA EL PROYECTO</w:t>
            </w:r>
          </w:p>
        </w:tc>
        <w:tc>
          <w:tcPr>
            <w:tcW w:type="dxa" w:w="2280"/>
            <w:shd w:val="clear" w:color="auto" w:fill="1F497D"/>
          </w:tcPr>
          <w:p>
            <w:pPr>
              <w:jc w:val="center"/>
            </w:pPr>
            <w:r>
              <w:rPr>
                <w:rFonts w:ascii="Arial" w:hAnsi="Arial"/>
                <w:b/>
                <w:color w:val="FFFFFF"/>
                <w:sz w:val="18"/>
              </w:rPr>
              <w:t>ACCESO</w:t>
            </w:r>
          </w:p>
        </w:tc>
      </w:tr>
      <w:tr>
        <w:tc>
          <w:tcPr>
            <w:tcW w:type="dxa" w:w="2280"/>
            <w:shd w:val="clear" w:color="auto" w:fill="D9E1F2"/>
          </w:tcPr>
          <w:p>
            <w:r>
              <w:rPr>
                <w:rFonts w:ascii="Arial" w:hAnsi="Arial"/>
                <w:b/>
                <w:sz w:val="16"/>
              </w:rPr>
              <w:t>OCDE / JRC (2008)</w:t>
            </w:r>
          </w:p>
        </w:tc>
        <w:tc>
          <w:tcPr>
            <w:tcW w:type="dxa" w:w="2280"/>
          </w:tcPr>
          <w:p>
            <w:r>
              <w:rPr>
                <w:rFonts w:ascii="Arial" w:hAnsi="Arial"/>
                <w:sz w:val="16"/>
              </w:rPr>
              <w:t>Handbook on Constructing Composite Indicators: Methodology and User Guide. OECD Publishing.</w:t>
            </w:r>
          </w:p>
        </w:tc>
        <w:tc>
          <w:tcPr>
            <w:tcW w:type="dxa" w:w="2280"/>
          </w:tcPr>
          <w:p>
            <w:r>
              <w:rPr>
                <w:rFonts w:ascii="Arial" w:hAnsi="Arial"/>
                <w:sz w:val="16"/>
              </w:rPr>
              <w:t>Manual estándar mundial para índices compuestos. Cubre PCA, AHP, normalización, análisis de sensibilidad. Es la guía metodológica fundamental del IMIV-VEN.</w:t>
            </w:r>
          </w:p>
        </w:tc>
        <w:tc>
          <w:tcPr>
            <w:tcW w:type="dxa" w:w="2280"/>
          </w:tcPr>
          <w:p>
            <w:r>
              <w:rPr>
                <w:rFonts w:ascii="Arial" w:hAnsi="Arial"/>
                <w:sz w:val="16"/>
              </w:rPr>
              <w:t>oecd.org (acceso libre en PDF)</w:t>
            </w:r>
          </w:p>
        </w:tc>
      </w:tr>
      <w:tr>
        <w:tc>
          <w:tcPr>
            <w:tcW w:type="dxa" w:w="2280"/>
            <w:shd w:val="clear" w:color="auto" w:fill="D9E1F2"/>
          </w:tcPr>
          <w:p>
            <w:r>
              <w:rPr>
                <w:rFonts w:ascii="Arial" w:hAnsi="Arial"/>
                <w:b/>
                <w:sz w:val="16"/>
              </w:rPr>
              <w:t>FMI Working Paper (2022)</w:t>
            </w:r>
          </w:p>
        </w:tc>
        <w:tc>
          <w:tcPr>
            <w:tcW w:type="dxa" w:w="2280"/>
          </w:tcPr>
          <w:p>
            <w:r>
              <w:rPr>
                <w:rFonts w:ascii="Arial" w:hAnsi="Arial"/>
                <w:sz w:val="16"/>
              </w:rPr>
              <w:t>Measuring Quarterly Economic Growth from Outer Space. IMF WP Vol. 2022, Issue 109.</w:t>
            </w:r>
          </w:p>
        </w:tc>
        <w:tc>
          <w:tcPr>
            <w:tcW w:type="dxa" w:w="2280"/>
          </w:tcPr>
          <w:p>
            <w:r>
              <w:rPr>
                <w:rFonts w:ascii="Arial" w:hAnsi="Arial"/>
                <w:sz w:val="16"/>
              </w:rPr>
              <w:t>Valida las imágenes satelitales VIIRS como predictor de crecimiento del PIB. Metodología directamente replicable para Venezuela.</w:t>
            </w:r>
          </w:p>
        </w:tc>
        <w:tc>
          <w:tcPr>
            <w:tcW w:type="dxa" w:w="2280"/>
          </w:tcPr>
          <w:p>
            <w:r>
              <w:rPr>
                <w:rFonts w:ascii="Arial" w:hAnsi="Arial"/>
                <w:sz w:val="16"/>
              </w:rPr>
              <w:t>elibrary.imf.org</w:t>
            </w:r>
          </w:p>
        </w:tc>
      </w:tr>
      <w:tr>
        <w:tc>
          <w:tcPr>
            <w:tcW w:type="dxa" w:w="2280"/>
            <w:shd w:val="clear" w:color="auto" w:fill="D9E1F2"/>
          </w:tcPr>
          <w:p>
            <w:r>
              <w:rPr>
                <w:rFonts w:ascii="Arial" w:hAnsi="Arial"/>
                <w:b/>
                <w:sz w:val="16"/>
              </w:rPr>
              <w:t>Nakazawa, T. — Banco de Japón (2022)</w:t>
            </w:r>
          </w:p>
        </w:tc>
        <w:tc>
          <w:tcPr>
            <w:tcW w:type="dxa" w:w="2280"/>
          </w:tcPr>
          <w:p>
            <w:r>
              <w:rPr>
                <w:rFonts w:ascii="Arial" w:hAnsi="Arial"/>
                <w:sz w:val="16"/>
              </w:rPr>
              <w:t>Constructing GDP Nowcasting Models Using Alternative Data.</w:t>
            </w:r>
          </w:p>
        </w:tc>
        <w:tc>
          <w:tcPr>
            <w:tcW w:type="dxa" w:w="2280"/>
          </w:tcPr>
          <w:p>
            <w:r>
              <w:rPr>
                <w:rFonts w:ascii="Arial" w:hAnsi="Arial"/>
                <w:sz w:val="16"/>
              </w:rPr>
              <w:t>Marco técnico del módulo SATV: nowcasting con Google Trends, tráfico aéreo y datos satelitales.</w:t>
            </w:r>
          </w:p>
        </w:tc>
        <w:tc>
          <w:tcPr>
            <w:tcW w:type="dxa" w:w="2280"/>
          </w:tcPr>
          <w:p>
            <w:r>
              <w:rPr>
                <w:rFonts w:ascii="Arial" w:hAnsi="Arial"/>
                <w:sz w:val="16"/>
              </w:rPr>
              <w:t>boj.or.jp</w:t>
            </w:r>
          </w:p>
        </w:tc>
      </w:tr>
      <w:tr>
        <w:tc>
          <w:tcPr>
            <w:tcW w:type="dxa" w:w="2280"/>
            <w:shd w:val="clear" w:color="auto" w:fill="D9E1F2"/>
          </w:tcPr>
          <w:p>
            <w:r>
              <w:rPr>
                <w:rFonts w:ascii="Arial" w:hAnsi="Arial"/>
                <w:b/>
                <w:sz w:val="16"/>
              </w:rPr>
              <w:t>PLOS One (2025)</w:t>
            </w:r>
          </w:p>
        </w:tc>
        <w:tc>
          <w:tcPr>
            <w:tcW w:type="dxa" w:w="2280"/>
          </w:tcPr>
          <w:p>
            <w:r>
              <w:rPr>
                <w:rFonts w:ascii="Arial" w:hAnsi="Arial"/>
                <w:sz w:val="16"/>
              </w:rPr>
              <w:t>Shedding light on development: Leveraging the new nightlights data to measure economic progress.</w:t>
            </w:r>
          </w:p>
        </w:tc>
        <w:tc>
          <w:tcPr>
            <w:tcW w:type="dxa" w:w="2280"/>
          </w:tcPr>
          <w:p>
            <w:r>
              <w:rPr>
                <w:rFonts w:ascii="Arial" w:hAnsi="Arial"/>
                <w:sz w:val="16"/>
              </w:rPr>
              <w:t>Confirma la superioridad de VIIRS sobre DMSP en países de bajos ingresos con estadísticas débiles.</w:t>
            </w:r>
          </w:p>
        </w:tc>
        <w:tc>
          <w:tcPr>
            <w:tcW w:type="dxa" w:w="2280"/>
          </w:tcPr>
          <w:p>
            <w:r>
              <w:rPr>
                <w:rFonts w:ascii="Arial" w:hAnsi="Arial"/>
                <w:sz w:val="16"/>
              </w:rPr>
              <w:t>journals.plos.org</w:t>
            </w:r>
          </w:p>
        </w:tc>
      </w:tr>
      <w:tr>
        <w:tc>
          <w:tcPr>
            <w:tcW w:type="dxa" w:w="2280"/>
            <w:shd w:val="clear" w:color="auto" w:fill="D9E1F2"/>
          </w:tcPr>
          <w:p>
            <w:r>
              <w:rPr>
                <w:rFonts w:ascii="Arial" w:hAnsi="Arial"/>
                <w:b/>
                <w:sz w:val="16"/>
              </w:rPr>
              <w:t>Saaty, T. L. (1980)</w:t>
            </w:r>
          </w:p>
        </w:tc>
        <w:tc>
          <w:tcPr>
            <w:tcW w:type="dxa" w:w="2280"/>
          </w:tcPr>
          <w:p>
            <w:r>
              <w:rPr>
                <w:rFonts w:ascii="Arial" w:hAnsi="Arial"/>
                <w:sz w:val="16"/>
              </w:rPr>
              <w:t>The Analytic Hierarchy Process. McGraw-Hill.</w:t>
            </w:r>
          </w:p>
        </w:tc>
        <w:tc>
          <w:tcPr>
            <w:tcW w:type="dxa" w:w="2280"/>
          </w:tcPr>
          <w:p>
            <w:r>
              <w:rPr>
                <w:rFonts w:ascii="Arial" w:hAnsi="Arial"/>
                <w:sz w:val="16"/>
              </w:rPr>
              <w:t>Referencia fundacional del método AHP. Establece el ratio de consistencia CR &lt; 0,1 como criterio de validez.</w:t>
            </w:r>
          </w:p>
        </w:tc>
        <w:tc>
          <w:tcPr>
            <w:tcW w:type="dxa" w:w="2280"/>
          </w:tcPr>
          <w:p>
            <w:r>
              <w:rPr>
                <w:rFonts w:ascii="Arial" w:hAnsi="Arial"/>
                <w:sz w:val="16"/>
              </w:rPr>
              <w:t>Disponible en Google Scholar</w:t>
            </w:r>
          </w:p>
        </w:tc>
      </w:tr>
      <w:tr>
        <w:tc>
          <w:tcPr>
            <w:tcW w:type="dxa" w:w="2280"/>
            <w:shd w:val="clear" w:color="auto" w:fill="D9E1F2"/>
          </w:tcPr>
          <w:p>
            <w:r>
              <w:rPr>
                <w:rFonts w:ascii="Arial" w:hAnsi="Arial"/>
                <w:b/>
                <w:sz w:val="16"/>
              </w:rPr>
              <w:t>SECO Suiza (2025)</w:t>
            </w:r>
          </w:p>
        </w:tc>
        <w:tc>
          <w:tcPr>
            <w:tcW w:type="dxa" w:w="2280"/>
          </w:tcPr>
          <w:p>
            <w:r>
              <w:rPr>
                <w:rFonts w:ascii="Arial" w:hAnsi="Arial"/>
                <w:sz w:val="16"/>
              </w:rPr>
              <w:t>Economic Report 2024–2025 Venezuela. State Secretariat for Economic Affairs.</w:t>
            </w:r>
          </w:p>
        </w:tc>
        <w:tc>
          <w:tcPr>
            <w:tcW w:type="dxa" w:w="2280"/>
          </w:tcPr>
          <w:p>
            <w:r>
              <w:rPr>
                <w:rFonts w:ascii="Arial" w:hAnsi="Arial"/>
                <w:sz w:val="16"/>
              </w:rPr>
              <w:t>Informe independiente con datos macro verificados para Venezuela: PIB, inflación, balanza de pagos.</w:t>
            </w:r>
          </w:p>
        </w:tc>
        <w:tc>
          <w:tcPr>
            <w:tcW w:type="dxa" w:w="2280"/>
          </w:tcPr>
          <w:p>
            <w:r>
              <w:rPr>
                <w:rFonts w:ascii="Arial" w:hAnsi="Arial"/>
                <w:sz w:val="16"/>
              </w:rPr>
              <w:t>seco.admin.ch</w:t>
            </w:r>
          </w:p>
        </w:tc>
      </w:tr>
      <w:tr>
        <w:tc>
          <w:tcPr>
            <w:tcW w:type="dxa" w:w="2280"/>
            <w:shd w:val="clear" w:color="auto" w:fill="D9E1F2"/>
          </w:tcPr>
          <w:p>
            <w:r>
              <w:rPr>
                <w:rFonts w:ascii="Arial" w:hAnsi="Arial"/>
                <w:b/>
                <w:sz w:val="16"/>
              </w:rPr>
              <w:t>Wilson Center (2024)</w:t>
            </w:r>
          </w:p>
        </w:tc>
        <w:tc>
          <w:tcPr>
            <w:tcW w:type="dxa" w:w="2280"/>
          </w:tcPr>
          <w:p>
            <w:r>
              <w:rPr>
                <w:rFonts w:ascii="Arial" w:hAnsi="Arial"/>
                <w:sz w:val="16"/>
              </w:rPr>
              <w:t>Crypto in Venezuela: Two Sides of a Coin.</w:t>
            </w:r>
          </w:p>
        </w:tc>
        <w:tc>
          <w:tcPr>
            <w:tcW w:type="dxa" w:w="2280"/>
          </w:tcPr>
          <w:p>
            <w:r>
              <w:rPr>
                <w:rFonts w:ascii="Arial" w:hAnsi="Arial"/>
                <w:sz w:val="16"/>
              </w:rPr>
              <w:t>~10 % de la población con activos cripto; economía informal cripto de USD 9,7 mil millones en Q2 2025.</w:t>
            </w:r>
          </w:p>
        </w:tc>
        <w:tc>
          <w:tcPr>
            <w:tcW w:type="dxa" w:w="2280"/>
          </w:tcPr>
          <w:p>
            <w:r>
              <w:rPr>
                <w:rFonts w:ascii="Arial" w:hAnsi="Arial"/>
                <w:sz w:val="16"/>
              </w:rPr>
              <w:t>wilsoncenter.org</w:t>
            </w:r>
          </w:p>
        </w:tc>
      </w:tr>
      <w:tr>
        <w:tc>
          <w:tcPr>
            <w:tcW w:type="dxa" w:w="2280"/>
            <w:shd w:val="clear" w:color="auto" w:fill="D9E1F2"/>
          </w:tcPr>
          <w:p>
            <w:r>
              <w:rPr>
                <w:rFonts w:ascii="Arial" w:hAnsi="Arial"/>
                <w:b/>
                <w:sz w:val="16"/>
              </w:rPr>
              <w:t>Goldman Sachs AM (2026)</w:t>
            </w:r>
          </w:p>
        </w:tc>
        <w:tc>
          <w:tcPr>
            <w:tcW w:type="dxa" w:w="2280"/>
          </w:tcPr>
          <w:p>
            <w:r>
              <w:rPr>
                <w:rFonts w:ascii="Arial" w:hAnsi="Arial"/>
                <w:sz w:val="16"/>
              </w:rPr>
              <w:t>Market Brief: Venezuela, Geopolitical Flashpoints and Investment Implications.</w:t>
            </w:r>
          </w:p>
        </w:tc>
        <w:tc>
          <w:tcPr>
            <w:tcW w:type="dxa" w:w="2280"/>
          </w:tcPr>
          <w:p>
            <w:r>
              <w:rPr>
                <w:rFonts w:ascii="Arial" w:hAnsi="Arial"/>
                <w:sz w:val="16"/>
              </w:rPr>
              <w:t>303 Gbl de reservas probadas; implicaciones de inversión post-Maduro.</w:t>
            </w:r>
          </w:p>
        </w:tc>
        <w:tc>
          <w:tcPr>
            <w:tcW w:type="dxa" w:w="2280"/>
          </w:tcPr>
          <w:p>
            <w:r>
              <w:rPr>
                <w:rFonts w:ascii="Arial" w:hAnsi="Arial"/>
                <w:sz w:val="16"/>
              </w:rPr>
              <w:t>am.gs.com</w:t>
            </w:r>
          </w:p>
        </w:tc>
      </w:tr>
      <w:tr>
        <w:tc>
          <w:tcPr>
            <w:tcW w:type="dxa" w:w="2280"/>
            <w:shd w:val="clear" w:color="auto" w:fill="D9E1F2"/>
          </w:tcPr>
          <w:p>
            <w:r>
              <w:rPr>
                <w:rFonts w:ascii="Arial" w:hAnsi="Arial"/>
                <w:b/>
                <w:sz w:val="16"/>
              </w:rPr>
              <w:t>CFR Expert Brief (2026)</w:t>
            </w:r>
          </w:p>
        </w:tc>
        <w:tc>
          <w:tcPr>
            <w:tcW w:type="dxa" w:w="2280"/>
          </w:tcPr>
          <w:p>
            <w:r>
              <w:rPr>
                <w:rFonts w:ascii="Arial" w:hAnsi="Arial"/>
                <w:sz w:val="16"/>
              </w:rPr>
              <w:t>Assessing Venezuela's Future After Nicolás Maduro's Bold Capture.</w:t>
            </w:r>
          </w:p>
        </w:tc>
        <w:tc>
          <w:tcPr>
            <w:tcW w:type="dxa" w:w="2280"/>
          </w:tcPr>
          <w:p>
            <w:r>
              <w:rPr>
                <w:rFonts w:ascii="Arial" w:hAnsi="Arial"/>
                <w:sz w:val="16"/>
              </w:rPr>
              <w:t>Análisis del escenario post-Maduro y sus implicaciones económicas y políticas.</w:t>
            </w:r>
          </w:p>
        </w:tc>
        <w:tc>
          <w:tcPr>
            <w:tcW w:type="dxa" w:w="2280"/>
          </w:tcPr>
          <w:p>
            <w:r>
              <w:rPr>
                <w:rFonts w:ascii="Arial" w:hAnsi="Arial"/>
                <w:sz w:val="16"/>
              </w:rPr>
              <w:t>cfr.org</w:t>
            </w:r>
          </w:p>
        </w:tc>
      </w:tr>
      <w:tr>
        <w:tc>
          <w:tcPr>
            <w:tcW w:type="dxa" w:w="2280"/>
            <w:shd w:val="clear" w:color="auto" w:fill="D9E1F2"/>
          </w:tcPr>
          <w:p>
            <w:r>
              <w:rPr>
                <w:rFonts w:ascii="Arial" w:hAnsi="Arial"/>
                <w:b/>
                <w:sz w:val="16"/>
              </w:rPr>
              <w:t>Inter-American Dialogue (2023)</w:t>
            </w:r>
          </w:p>
        </w:tc>
        <w:tc>
          <w:tcPr>
            <w:tcW w:type="dxa" w:w="2280"/>
          </w:tcPr>
          <w:p>
            <w:r>
              <w:rPr>
                <w:rFonts w:ascii="Arial" w:hAnsi="Arial"/>
                <w:sz w:val="16"/>
              </w:rPr>
              <w:t>Venezuela: Remittances as a Source of Foreign Exchange and Economic Survival.</w:t>
            </w:r>
          </w:p>
        </w:tc>
        <w:tc>
          <w:tcPr>
            <w:tcW w:type="dxa" w:w="2280"/>
          </w:tcPr>
          <w:p>
            <w:r>
              <w:rPr>
                <w:rFonts w:ascii="Arial" w:hAnsi="Arial"/>
                <w:sz w:val="16"/>
              </w:rPr>
              <w:t>USD 4,2 mil millones en remesas 2022; 29 % de hogares receptores; 90 % vía Zelle; 9 % vía cripto.</w:t>
            </w:r>
          </w:p>
        </w:tc>
        <w:tc>
          <w:tcPr>
            <w:tcW w:type="dxa" w:w="2280"/>
          </w:tcPr>
          <w:p>
            <w:r>
              <w:rPr>
                <w:rFonts w:ascii="Arial" w:hAnsi="Arial"/>
                <w:sz w:val="16"/>
              </w:rPr>
              <w:t>thedialogue.org</w:t>
            </w:r>
          </w:p>
        </w:tc>
      </w:tr>
    </w:tbl>
    <w:p/>
    <w:p>
      <w:pPr>
        <w:spacing w:before="160" w:after="80"/>
      </w:pPr>
      <w:r>
        <w:rPr>
          <w:rFonts w:ascii="Arial" w:hAnsi="Arial"/>
          <w:b/>
          <w:color w:val="2E75B6"/>
          <w:sz w:val="22"/>
        </w:rPr>
        <w:t>B. Fuentes de datos primarias — Públicas, gratuitas e independientes del gobierno venezolano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Pr>
          <w:p>
            <w:pPr>
              <w:jc w:val="center"/>
            </w:pPr>
            <w:r>
              <w:rPr>
                <w:rFonts w:ascii="Arial" w:hAnsi="Arial"/>
                <w:b/>
                <w:color w:val="FFFFFF"/>
                <w:sz w:val="18"/>
              </w:rPr>
              <w:t>FUENTE</w:t>
            </w:r>
          </w:p>
        </w:tc>
        <w:tc>
          <w:tcPr>
            <w:tcW w:type="dxa" w:w="1520"/>
            <w:shd w:val="clear" w:color="auto" w:fill="1F497D"/>
          </w:tcPr>
          <w:p>
            <w:pPr>
              <w:jc w:val="center"/>
            </w:pPr>
            <w:r>
              <w:rPr>
                <w:rFonts w:ascii="Arial" w:hAnsi="Arial"/>
                <w:b/>
                <w:color w:val="FFFFFF"/>
                <w:sz w:val="18"/>
              </w:rPr>
              <w:t>URL / PLATAFORMA</w:t>
            </w:r>
          </w:p>
        </w:tc>
        <w:tc>
          <w:tcPr>
            <w:tcW w:type="dxa" w:w="1520"/>
            <w:shd w:val="clear" w:color="auto" w:fill="1F497D"/>
          </w:tcPr>
          <w:p>
            <w:pPr>
              <w:jc w:val="center"/>
            </w:pPr>
            <w:r>
              <w:rPr>
                <w:rFonts w:ascii="Arial" w:hAnsi="Arial"/>
                <w:b/>
                <w:color w:val="FFFFFF"/>
                <w:sz w:val="18"/>
              </w:rPr>
              <w:t>VARIABLE</w:t>
            </w:r>
          </w:p>
        </w:tc>
        <w:tc>
          <w:tcPr>
            <w:tcW w:type="dxa" w:w="1520"/>
            <w:shd w:val="clear" w:color="auto" w:fill="1F497D"/>
          </w:tcPr>
          <w:p>
            <w:pPr>
              <w:jc w:val="center"/>
            </w:pPr>
            <w:r>
              <w:rPr>
                <w:rFonts w:ascii="Arial" w:hAnsi="Arial"/>
                <w:b/>
                <w:color w:val="FFFFFF"/>
                <w:sz w:val="18"/>
              </w:rPr>
              <w:t>FRECUENCIA</w:t>
            </w:r>
          </w:p>
        </w:tc>
        <w:tc>
          <w:tcPr>
            <w:tcW w:type="dxa" w:w="1520"/>
            <w:shd w:val="clear" w:color="auto" w:fill="1F497D"/>
          </w:tcPr>
          <w:p>
            <w:pPr>
              <w:jc w:val="center"/>
            </w:pPr>
            <w:r>
              <w:rPr>
                <w:rFonts w:ascii="Arial" w:hAnsi="Arial"/>
                <w:b/>
                <w:color w:val="FFFFFF"/>
                <w:sz w:val="18"/>
              </w:rPr>
              <w:t>COBERTURA</w:t>
            </w:r>
          </w:p>
        </w:tc>
        <w:tc>
          <w:tcPr>
            <w:tcW w:type="dxa" w:w="1520"/>
            <w:shd w:val="clear" w:color="auto" w:fill="1F497D"/>
          </w:tcPr>
          <w:p>
            <w:pPr>
              <w:jc w:val="center"/>
            </w:pPr>
            <w:r>
              <w:rPr>
                <w:rFonts w:ascii="Arial" w:hAnsi="Arial"/>
                <w:b/>
                <w:color w:val="FFFFFF"/>
                <w:sz w:val="18"/>
              </w:rPr>
              <w:t>UTILIDAD EN EL PROYECTO</w:t>
            </w:r>
          </w:p>
        </w:tc>
      </w:tr>
      <w:tr>
        <w:tc>
          <w:tcPr>
            <w:tcW w:type="dxa" w:w="1520"/>
            <w:shd w:val="clear" w:color="auto" w:fill="D9E1F2"/>
          </w:tcPr>
          <w:p>
            <w:r>
              <w:rPr>
                <w:rFonts w:ascii="Arial" w:hAnsi="Arial"/>
                <w:b/>
                <w:sz w:val="14"/>
              </w:rPr>
              <w:t>NASA VIIRS / NOAA</w:t>
            </w:r>
          </w:p>
        </w:tc>
        <w:tc>
          <w:tcPr>
            <w:tcW w:type="dxa" w:w="1520"/>
          </w:tcPr>
          <w:p>
            <w:r>
              <w:rPr>
                <w:rFonts w:ascii="Arial" w:hAnsi="Arial"/>
                <w:sz w:val="14"/>
              </w:rPr>
              <w:t>eogdata.mines.edu | Google Earth Engine</w:t>
            </w:r>
          </w:p>
        </w:tc>
        <w:tc>
          <w:tcPr>
            <w:tcW w:type="dxa" w:w="1520"/>
          </w:tcPr>
          <w:p>
            <w:r>
              <w:rPr>
                <w:rFonts w:ascii="Arial" w:hAnsi="Arial"/>
                <w:sz w:val="14"/>
              </w:rPr>
              <w:t>Imágenes de luminosidad nocturna</w:t>
            </w:r>
          </w:p>
        </w:tc>
        <w:tc>
          <w:tcPr>
            <w:tcW w:type="dxa" w:w="1520"/>
          </w:tcPr>
          <w:p>
            <w:r>
              <w:rPr>
                <w:rFonts w:ascii="Arial" w:hAnsi="Arial"/>
                <w:sz w:val="14"/>
              </w:rPr>
              <w:t>Anual / Mensual</w:t>
            </w:r>
          </w:p>
        </w:tc>
        <w:tc>
          <w:tcPr>
            <w:tcW w:type="dxa" w:w="1520"/>
          </w:tcPr>
          <w:p>
            <w:r>
              <w:rPr>
                <w:rFonts w:ascii="Arial" w:hAnsi="Arial"/>
                <w:sz w:val="14"/>
              </w:rPr>
              <w:t>2012–presente</w:t>
            </w:r>
          </w:p>
        </w:tc>
        <w:tc>
          <w:tcPr>
            <w:tcW w:type="dxa" w:w="1520"/>
          </w:tcPr>
          <w:p>
            <w:r>
              <w:rPr>
                <w:rFonts w:ascii="Arial" w:hAnsi="Arial"/>
                <w:sz w:val="14"/>
              </w:rPr>
              <w:t>Proxy del PIB real venezolano sin dependencia de estadísticas oficiales</w:t>
            </w:r>
          </w:p>
        </w:tc>
      </w:tr>
      <w:tr>
        <w:tc>
          <w:tcPr>
            <w:tcW w:type="dxa" w:w="1520"/>
            <w:shd w:val="clear" w:color="auto" w:fill="FFF2CC"/>
          </w:tcPr>
          <w:p>
            <w:r>
              <w:rPr>
                <w:rFonts w:ascii="Arial" w:hAnsi="Arial"/>
                <w:b/>
                <w:sz w:val="14"/>
              </w:rPr>
              <w:t>NASA Earthdata (VNP46A4)</w:t>
            </w:r>
          </w:p>
        </w:tc>
        <w:tc>
          <w:tcPr>
            <w:tcW w:type="dxa" w:w="1520"/>
          </w:tcPr>
          <w:p>
            <w:r>
              <w:rPr>
                <w:rFonts w:ascii="Arial" w:hAnsi="Arial"/>
                <w:sz w:val="14"/>
              </w:rPr>
              <w:t>earthdata.nasa.gov</w:t>
            </w:r>
          </w:p>
        </w:tc>
        <w:tc>
          <w:tcPr>
            <w:tcW w:type="dxa" w:w="1520"/>
          </w:tcPr>
          <w:p>
            <w:r>
              <w:rPr>
                <w:rFonts w:ascii="Arial" w:hAnsi="Arial"/>
                <w:sz w:val="14"/>
              </w:rPr>
              <w:t>Luminosidad nocturna corregida</w:t>
            </w:r>
          </w:p>
        </w:tc>
        <w:tc>
          <w:tcPr>
            <w:tcW w:type="dxa" w:w="1520"/>
          </w:tcPr>
          <w:p>
            <w:r>
              <w:rPr>
                <w:rFonts w:ascii="Arial" w:hAnsi="Arial"/>
                <w:sz w:val="14"/>
              </w:rPr>
              <w:t>Anual</w:t>
            </w:r>
          </w:p>
        </w:tc>
        <w:tc>
          <w:tcPr>
            <w:tcW w:type="dxa" w:w="1520"/>
          </w:tcPr>
          <w:p>
            <w:r>
              <w:rPr>
                <w:rFonts w:ascii="Arial" w:hAnsi="Arial"/>
                <w:sz w:val="14"/>
              </w:rPr>
              <w:t>2012–presente</w:t>
            </w:r>
          </w:p>
        </w:tc>
        <w:tc>
          <w:tcPr>
            <w:tcW w:type="dxa" w:w="1520"/>
          </w:tcPr>
          <w:p>
            <w:r>
              <w:rPr>
                <w:rFonts w:ascii="Arial" w:hAnsi="Arial"/>
                <w:sz w:val="14"/>
              </w:rPr>
              <w:t>Comparaciones interanuales de actividad económica</w:t>
            </w:r>
          </w:p>
        </w:tc>
      </w:tr>
      <w:tr>
        <w:tc>
          <w:tcPr>
            <w:tcW w:type="dxa" w:w="1520"/>
            <w:shd w:val="clear" w:color="auto" w:fill="E2EFDA"/>
          </w:tcPr>
          <w:p>
            <w:r>
              <w:rPr>
                <w:rFonts w:ascii="Arial" w:hAnsi="Arial"/>
                <w:b/>
                <w:sz w:val="14"/>
              </w:rPr>
              <w:t>World Bank Open Data</w:t>
            </w:r>
          </w:p>
        </w:tc>
        <w:tc>
          <w:tcPr>
            <w:tcW w:type="dxa" w:w="1520"/>
          </w:tcPr>
          <w:p>
            <w:r>
              <w:rPr>
                <w:rFonts w:ascii="Arial" w:hAnsi="Arial"/>
                <w:sz w:val="14"/>
              </w:rPr>
              <w:t>data.worldbank.org/country/VE</w:t>
            </w:r>
          </w:p>
        </w:tc>
        <w:tc>
          <w:tcPr>
            <w:tcW w:type="dxa" w:w="1520"/>
          </w:tcPr>
          <w:p>
            <w:r>
              <w:rPr>
                <w:rFonts w:ascii="Arial" w:hAnsi="Arial"/>
                <w:sz w:val="14"/>
              </w:rPr>
              <w:t>150+ indicadores de desarrollo</w:t>
            </w:r>
          </w:p>
        </w:tc>
        <w:tc>
          <w:tcPr>
            <w:tcW w:type="dxa" w:w="1520"/>
          </w:tcPr>
          <w:p>
            <w:r>
              <w:rPr>
                <w:rFonts w:ascii="Arial" w:hAnsi="Arial"/>
                <w:sz w:val="14"/>
              </w:rPr>
              <w:t>Anual</w:t>
            </w:r>
          </w:p>
        </w:tc>
        <w:tc>
          <w:tcPr>
            <w:tcW w:type="dxa" w:w="1520"/>
          </w:tcPr>
          <w:p>
            <w:r>
              <w:rPr>
                <w:rFonts w:ascii="Arial" w:hAnsi="Arial"/>
                <w:sz w:val="14"/>
              </w:rPr>
              <w:t>1960–2024</w:t>
            </w:r>
          </w:p>
        </w:tc>
        <w:tc>
          <w:tcPr>
            <w:tcW w:type="dxa" w:w="1520"/>
          </w:tcPr>
          <w:p>
            <w:r>
              <w:rPr>
                <w:rFonts w:ascii="Arial" w:hAnsi="Arial"/>
                <w:sz w:val="14"/>
              </w:rPr>
              <w:t>Variables macro, infraestructura, gobernanza, comercio</w:t>
            </w:r>
          </w:p>
        </w:tc>
      </w:tr>
      <w:tr>
        <w:tc>
          <w:tcPr>
            <w:tcW w:type="dxa" w:w="1520"/>
            <w:shd w:val="clear" w:color="auto" w:fill="FCE4D6"/>
          </w:tcPr>
          <w:p>
            <w:r>
              <w:rPr>
                <w:rFonts w:ascii="Arial" w:hAnsi="Arial"/>
                <w:b/>
                <w:sz w:val="14"/>
              </w:rPr>
              <w:t>FRED St. Louis Fed</w:t>
            </w:r>
          </w:p>
        </w:tc>
        <w:tc>
          <w:tcPr>
            <w:tcW w:type="dxa" w:w="1520"/>
          </w:tcPr>
          <w:p>
            <w:r>
              <w:rPr>
                <w:rFonts w:ascii="Arial" w:hAnsi="Arial"/>
                <w:sz w:val="14"/>
              </w:rPr>
              <w:t>fred.stlouisfed.org</w:t>
            </w:r>
          </w:p>
        </w:tc>
        <w:tc>
          <w:tcPr>
            <w:tcW w:type="dxa" w:w="1520"/>
          </w:tcPr>
          <w:p>
            <w:r>
              <w:rPr>
                <w:rFonts w:ascii="Arial" w:hAnsi="Arial"/>
                <w:sz w:val="14"/>
              </w:rPr>
              <w:t>95 series económicas Venezuela</w:t>
            </w:r>
          </w:p>
        </w:tc>
        <w:tc>
          <w:tcPr>
            <w:tcW w:type="dxa" w:w="1520"/>
          </w:tcPr>
          <w:p>
            <w:r>
              <w:rPr>
                <w:rFonts w:ascii="Arial" w:hAnsi="Arial"/>
                <w:sz w:val="14"/>
              </w:rPr>
              <w:t>Variable</w:t>
            </w:r>
          </w:p>
        </w:tc>
        <w:tc>
          <w:tcPr>
            <w:tcW w:type="dxa" w:w="1520"/>
          </w:tcPr>
          <w:p>
            <w:r>
              <w:rPr>
                <w:rFonts w:ascii="Arial" w:hAnsi="Arial"/>
                <w:sz w:val="14"/>
              </w:rPr>
              <w:t>1960–presente</w:t>
            </w:r>
          </w:p>
        </w:tc>
        <w:tc>
          <w:tcPr>
            <w:tcW w:type="dxa" w:w="1520"/>
          </w:tcPr>
          <w:p>
            <w:r>
              <w:rPr>
                <w:rFonts w:ascii="Arial" w:hAnsi="Arial"/>
                <w:sz w:val="14"/>
              </w:rPr>
              <w:t>Interfaz API amigable para series de tiempo venezolanas</w:t>
            </w:r>
          </w:p>
        </w:tc>
      </w:tr>
      <w:tr>
        <w:tc>
          <w:tcPr>
            <w:tcW w:type="dxa" w:w="1520"/>
            <w:shd w:val="clear" w:color="auto" w:fill="D9E1F2"/>
          </w:tcPr>
          <w:p>
            <w:r>
              <w:rPr>
                <w:rFonts w:ascii="Arial" w:hAnsi="Arial"/>
                <w:b/>
                <w:sz w:val="14"/>
              </w:rPr>
              <w:t>FMI — World Economic Outlook</w:t>
            </w:r>
          </w:p>
        </w:tc>
        <w:tc>
          <w:tcPr>
            <w:tcW w:type="dxa" w:w="1520"/>
          </w:tcPr>
          <w:p>
            <w:r>
              <w:rPr>
                <w:rFonts w:ascii="Arial" w:hAnsi="Arial"/>
                <w:sz w:val="14"/>
              </w:rPr>
              <w:t>imf.org/en/Publications/WEO</w:t>
            </w:r>
          </w:p>
        </w:tc>
        <w:tc>
          <w:tcPr>
            <w:tcW w:type="dxa" w:w="1520"/>
          </w:tcPr>
          <w:p>
            <w:r>
              <w:rPr>
                <w:rFonts w:ascii="Arial" w:hAnsi="Arial"/>
                <w:sz w:val="14"/>
              </w:rPr>
              <w:t>PIB, inflación, deuda, balanza</w:t>
            </w:r>
          </w:p>
        </w:tc>
        <w:tc>
          <w:tcPr>
            <w:tcW w:type="dxa" w:w="1520"/>
          </w:tcPr>
          <w:p>
            <w:r>
              <w:rPr>
                <w:rFonts w:ascii="Arial" w:hAnsi="Arial"/>
                <w:sz w:val="14"/>
              </w:rPr>
              <w:t>Semestral</w:t>
            </w:r>
          </w:p>
        </w:tc>
        <w:tc>
          <w:tcPr>
            <w:tcW w:type="dxa" w:w="1520"/>
          </w:tcPr>
          <w:p>
            <w:r>
              <w:rPr>
                <w:rFonts w:ascii="Arial" w:hAnsi="Arial"/>
                <w:sz w:val="14"/>
              </w:rPr>
              <w:t>1980–2027</w:t>
            </w:r>
          </w:p>
        </w:tc>
        <w:tc>
          <w:tcPr>
            <w:tcW w:type="dxa" w:w="1520"/>
          </w:tcPr>
          <w:p>
            <w:r>
              <w:rPr>
                <w:rFonts w:ascii="Arial" w:hAnsi="Arial"/>
                <w:sz w:val="14"/>
              </w:rPr>
              <w:t>Proyecciones macro independientes con estimaciones para 2015–2019</w:t>
            </w:r>
          </w:p>
        </w:tc>
      </w:tr>
      <w:tr>
        <w:tc>
          <w:tcPr>
            <w:tcW w:type="dxa" w:w="1520"/>
            <w:shd w:val="clear" w:color="auto" w:fill="FFF2CC"/>
          </w:tcPr>
          <w:p>
            <w:r>
              <w:rPr>
                <w:rFonts w:ascii="Arial" w:hAnsi="Arial"/>
                <w:b/>
                <w:sz w:val="14"/>
              </w:rPr>
              <w:t>EMBI JP Morgan / Statista</w:t>
            </w:r>
          </w:p>
        </w:tc>
        <w:tc>
          <w:tcPr>
            <w:tcW w:type="dxa" w:w="1520"/>
          </w:tcPr>
          <w:p>
            <w:r>
              <w:rPr>
                <w:rFonts w:ascii="Arial" w:hAnsi="Arial"/>
                <w:sz w:val="14"/>
              </w:rPr>
              <w:t>statista.com | riotimesonline.com</w:t>
            </w:r>
          </w:p>
        </w:tc>
        <w:tc>
          <w:tcPr>
            <w:tcW w:type="dxa" w:w="1520"/>
          </w:tcPr>
          <w:p>
            <w:r>
              <w:rPr>
                <w:rFonts w:ascii="Arial" w:hAnsi="Arial"/>
                <w:sz w:val="14"/>
              </w:rPr>
              <w:t>Spread soberano venezolano</w:t>
            </w:r>
          </w:p>
        </w:tc>
        <w:tc>
          <w:tcPr>
            <w:tcW w:type="dxa" w:w="1520"/>
          </w:tcPr>
          <w:p>
            <w:r>
              <w:rPr>
                <w:rFonts w:ascii="Arial" w:hAnsi="Arial"/>
                <w:sz w:val="14"/>
              </w:rPr>
              <w:t>Mensual</w:t>
            </w:r>
          </w:p>
        </w:tc>
        <w:tc>
          <w:tcPr>
            <w:tcW w:type="dxa" w:w="1520"/>
          </w:tcPr>
          <w:p>
            <w:r>
              <w:rPr>
                <w:rFonts w:ascii="Arial" w:hAnsi="Arial"/>
                <w:sz w:val="14"/>
              </w:rPr>
              <w:t>2000–presente</w:t>
            </w:r>
          </w:p>
        </w:tc>
        <w:tc>
          <w:tcPr>
            <w:tcW w:type="dxa" w:w="1520"/>
          </w:tcPr>
          <w:p>
            <w:r>
              <w:rPr>
                <w:rFonts w:ascii="Arial" w:hAnsi="Arial"/>
                <w:sz w:val="14"/>
              </w:rPr>
              <w:t>Variable central de riesgo financiero (8.973 pb en Q1 2026)</w:t>
            </w:r>
          </w:p>
        </w:tc>
      </w:tr>
      <w:tr>
        <w:tc>
          <w:tcPr>
            <w:tcW w:type="dxa" w:w="1520"/>
            <w:shd w:val="clear" w:color="auto" w:fill="D9E1F2"/>
          </w:tcPr>
          <w:p>
            <w:r>
              <w:rPr>
                <w:rFonts w:ascii="Arial" w:hAnsi="Arial"/>
                <w:b/>
                <w:sz w:val="14"/>
              </w:rPr>
              <w:t>Heritage Foundation</w:t>
            </w:r>
          </w:p>
        </w:tc>
        <w:tc>
          <w:tcPr>
            <w:tcW w:type="dxa" w:w="1520"/>
          </w:tcPr>
          <w:p>
            <w:r>
              <w:rPr>
                <w:rFonts w:ascii="Arial" w:hAnsi="Arial"/>
                <w:sz w:val="14"/>
              </w:rPr>
              <w:t>heritage.org/index</w:t>
            </w:r>
          </w:p>
        </w:tc>
        <w:tc>
          <w:tcPr>
            <w:tcW w:type="dxa" w:w="1520"/>
          </w:tcPr>
          <w:p>
            <w:r>
              <w:rPr>
                <w:rFonts w:ascii="Arial" w:hAnsi="Arial"/>
                <w:sz w:val="14"/>
              </w:rPr>
              <w:t>Índice de Libertad Económica</w:t>
            </w:r>
          </w:p>
        </w:tc>
        <w:tc>
          <w:tcPr>
            <w:tcW w:type="dxa" w:w="1520"/>
          </w:tcPr>
          <w:p>
            <w:r>
              <w:rPr>
                <w:rFonts w:ascii="Arial" w:hAnsi="Arial"/>
                <w:sz w:val="14"/>
              </w:rPr>
              <w:t>Anual</w:t>
            </w:r>
          </w:p>
        </w:tc>
        <w:tc>
          <w:tcPr>
            <w:tcW w:type="dxa" w:w="1520"/>
          </w:tcPr>
          <w:p>
            <w:r>
              <w:rPr>
                <w:rFonts w:ascii="Arial" w:hAnsi="Arial"/>
                <w:sz w:val="14"/>
              </w:rPr>
              <w:t>1995–2026</w:t>
            </w:r>
          </w:p>
        </w:tc>
        <w:tc>
          <w:tcPr>
            <w:tcW w:type="dxa" w:w="1520"/>
          </w:tcPr>
          <w:p>
            <w:r>
              <w:rPr>
                <w:rFonts w:ascii="Arial" w:hAnsi="Arial"/>
                <w:sz w:val="14"/>
              </w:rPr>
              <w:t>Venezuela: 27,6/100 en 2025 (puesto 174/180). Dimensión regulatoria</w:t>
            </w:r>
          </w:p>
        </w:tc>
      </w:tr>
      <w:tr>
        <w:tc>
          <w:tcPr>
            <w:tcW w:type="dxa" w:w="1520"/>
            <w:shd w:val="clear" w:color="auto" w:fill="FFF2CC"/>
          </w:tcPr>
          <w:p>
            <w:r>
              <w:rPr>
                <w:rFonts w:ascii="Arial" w:hAnsi="Arial"/>
                <w:b/>
                <w:sz w:val="14"/>
              </w:rPr>
              <w:t>Transparency International</w:t>
            </w:r>
          </w:p>
        </w:tc>
        <w:tc>
          <w:tcPr>
            <w:tcW w:type="dxa" w:w="1520"/>
          </w:tcPr>
          <w:p>
            <w:r>
              <w:rPr>
                <w:rFonts w:ascii="Arial" w:hAnsi="Arial"/>
                <w:sz w:val="14"/>
              </w:rPr>
              <w:t>transparency.org/en/cpi</w:t>
            </w:r>
          </w:p>
        </w:tc>
        <w:tc>
          <w:tcPr>
            <w:tcW w:type="dxa" w:w="1520"/>
          </w:tcPr>
          <w:p>
            <w:r>
              <w:rPr>
                <w:rFonts w:ascii="Arial" w:hAnsi="Arial"/>
                <w:sz w:val="14"/>
              </w:rPr>
              <w:t>Índice de Percepción de Corrupción</w:t>
            </w:r>
          </w:p>
        </w:tc>
        <w:tc>
          <w:tcPr>
            <w:tcW w:type="dxa" w:w="1520"/>
          </w:tcPr>
          <w:p>
            <w:r>
              <w:rPr>
                <w:rFonts w:ascii="Arial" w:hAnsi="Arial"/>
                <w:sz w:val="14"/>
              </w:rPr>
              <w:t>Anual</w:t>
            </w:r>
          </w:p>
        </w:tc>
        <w:tc>
          <w:tcPr>
            <w:tcW w:type="dxa" w:w="1520"/>
          </w:tcPr>
          <w:p>
            <w:r>
              <w:rPr>
                <w:rFonts w:ascii="Arial" w:hAnsi="Arial"/>
                <w:sz w:val="14"/>
              </w:rPr>
              <w:t>1995–2024</w:t>
            </w:r>
          </w:p>
        </w:tc>
        <w:tc>
          <w:tcPr>
            <w:tcW w:type="dxa" w:w="1520"/>
          </w:tcPr>
          <w:p>
            <w:r>
              <w:rPr>
                <w:rFonts w:ascii="Arial" w:hAnsi="Arial"/>
                <w:sz w:val="14"/>
              </w:rPr>
              <w:t>Venezuela: 10/100 en 2024 (puesto 178/180). Dimensión institucional</w:t>
            </w:r>
          </w:p>
        </w:tc>
      </w:tr>
      <w:tr>
        <w:tc>
          <w:tcPr>
            <w:tcW w:type="dxa" w:w="1520"/>
            <w:shd w:val="clear" w:color="auto" w:fill="E2EFDA"/>
          </w:tcPr>
          <w:p>
            <w:r>
              <w:rPr>
                <w:rFonts w:ascii="Arial" w:hAnsi="Arial"/>
                <w:b/>
                <w:sz w:val="14"/>
              </w:rPr>
              <w:t>Freedom House</w:t>
            </w:r>
          </w:p>
        </w:tc>
        <w:tc>
          <w:tcPr>
            <w:tcW w:type="dxa" w:w="1520"/>
          </w:tcPr>
          <w:p>
            <w:r>
              <w:rPr>
                <w:rFonts w:ascii="Arial" w:hAnsi="Arial"/>
                <w:sz w:val="14"/>
              </w:rPr>
              <w:t>freedomhouse.org</w:t>
            </w:r>
          </w:p>
        </w:tc>
        <w:tc>
          <w:tcPr>
            <w:tcW w:type="dxa" w:w="1520"/>
          </w:tcPr>
          <w:p>
            <w:r>
              <w:rPr>
                <w:rFonts w:ascii="Arial" w:hAnsi="Arial"/>
                <w:sz w:val="14"/>
              </w:rPr>
              <w:t>Freedom in the World</w:t>
            </w:r>
          </w:p>
        </w:tc>
        <w:tc>
          <w:tcPr>
            <w:tcW w:type="dxa" w:w="1520"/>
          </w:tcPr>
          <w:p>
            <w:r>
              <w:rPr>
                <w:rFonts w:ascii="Arial" w:hAnsi="Arial"/>
                <w:sz w:val="14"/>
              </w:rPr>
              <w:t>Anual</w:t>
            </w:r>
          </w:p>
        </w:tc>
        <w:tc>
          <w:tcPr>
            <w:tcW w:type="dxa" w:w="1520"/>
          </w:tcPr>
          <w:p>
            <w:r>
              <w:rPr>
                <w:rFonts w:ascii="Arial" w:hAnsi="Arial"/>
                <w:sz w:val="14"/>
              </w:rPr>
              <w:t>1973–2025</w:t>
            </w:r>
          </w:p>
        </w:tc>
        <w:tc>
          <w:tcPr>
            <w:tcW w:type="dxa" w:w="1520"/>
          </w:tcPr>
          <w:p>
            <w:r>
              <w:rPr>
                <w:rFonts w:ascii="Arial" w:hAnsi="Arial"/>
                <w:sz w:val="14"/>
              </w:rPr>
              <w:t>Derechos políticos y libertades civiles</w:t>
            </w:r>
          </w:p>
        </w:tc>
      </w:tr>
      <w:tr>
        <w:tc>
          <w:tcPr>
            <w:tcW w:type="dxa" w:w="1520"/>
            <w:shd w:val="clear" w:color="auto" w:fill="FCE4D6"/>
          </w:tcPr>
          <w:p>
            <w:r>
              <w:rPr>
                <w:rFonts w:ascii="Arial" w:hAnsi="Arial"/>
                <w:b/>
                <w:sz w:val="14"/>
              </w:rPr>
              <w:t>Worldwide Governance Indicators</w:t>
            </w:r>
          </w:p>
        </w:tc>
        <w:tc>
          <w:tcPr>
            <w:tcW w:type="dxa" w:w="1520"/>
          </w:tcPr>
          <w:p>
            <w:r>
              <w:rPr>
                <w:rFonts w:ascii="Arial" w:hAnsi="Arial"/>
                <w:sz w:val="14"/>
              </w:rPr>
              <w:t>info.worldbank.org/governance/wgi</w:t>
            </w:r>
          </w:p>
        </w:tc>
        <w:tc>
          <w:tcPr>
            <w:tcW w:type="dxa" w:w="1520"/>
          </w:tcPr>
          <w:p>
            <w:r>
              <w:rPr>
                <w:rFonts w:ascii="Arial" w:hAnsi="Arial"/>
                <w:sz w:val="14"/>
              </w:rPr>
              <w:t>6 indicadores de gobernanza</w:t>
            </w:r>
          </w:p>
        </w:tc>
        <w:tc>
          <w:tcPr>
            <w:tcW w:type="dxa" w:w="1520"/>
          </w:tcPr>
          <w:p>
            <w:r>
              <w:rPr>
                <w:rFonts w:ascii="Arial" w:hAnsi="Arial"/>
                <w:sz w:val="14"/>
              </w:rPr>
              <w:t>Anual</w:t>
            </w:r>
          </w:p>
        </w:tc>
        <w:tc>
          <w:tcPr>
            <w:tcW w:type="dxa" w:w="1520"/>
          </w:tcPr>
          <w:p>
            <w:r>
              <w:rPr>
                <w:rFonts w:ascii="Arial" w:hAnsi="Arial"/>
                <w:sz w:val="14"/>
              </w:rPr>
              <w:t>1996–2023</w:t>
            </w:r>
          </w:p>
        </w:tc>
        <w:tc>
          <w:tcPr>
            <w:tcW w:type="dxa" w:w="1520"/>
          </w:tcPr>
          <w:p>
            <w:r>
              <w:rPr>
                <w:rFonts w:ascii="Arial" w:hAnsi="Arial"/>
                <w:sz w:val="14"/>
              </w:rPr>
              <w:t>Estado de derecho, control corrupción, calidad regulatoria, estabilidad política</w:t>
            </w:r>
          </w:p>
        </w:tc>
      </w:tr>
      <w:tr>
        <w:tc>
          <w:tcPr>
            <w:tcW w:type="dxa" w:w="1520"/>
            <w:shd w:val="clear" w:color="auto" w:fill="D9E1F2"/>
          </w:tcPr>
          <w:p>
            <w:r>
              <w:rPr>
                <w:rFonts w:ascii="Arial" w:hAnsi="Arial"/>
                <w:b/>
                <w:sz w:val="14"/>
              </w:rPr>
              <w:t>OFAC Treasury</w:t>
            </w:r>
          </w:p>
        </w:tc>
        <w:tc>
          <w:tcPr>
            <w:tcW w:type="dxa" w:w="1520"/>
          </w:tcPr>
          <w:p>
            <w:r>
              <w:rPr>
                <w:rFonts w:ascii="Arial" w:hAnsi="Arial"/>
                <w:sz w:val="14"/>
              </w:rPr>
              <w:t>ofac.treasury.gov</w:t>
            </w:r>
          </w:p>
        </w:tc>
        <w:tc>
          <w:tcPr>
            <w:tcW w:type="dxa" w:w="1520"/>
          </w:tcPr>
          <w:p>
            <w:r>
              <w:rPr>
                <w:rFonts w:ascii="Arial" w:hAnsi="Arial"/>
                <w:sz w:val="14"/>
              </w:rPr>
              <w:t>Sanciones activas sobre Venezuela</w:t>
            </w:r>
          </w:p>
        </w:tc>
        <w:tc>
          <w:tcPr>
            <w:tcW w:type="dxa" w:w="1520"/>
          </w:tcPr>
          <w:p>
            <w:r>
              <w:rPr>
                <w:rFonts w:ascii="Arial" w:hAnsi="Arial"/>
                <w:sz w:val="14"/>
              </w:rPr>
              <w:t>Continua</w:t>
            </w:r>
          </w:p>
        </w:tc>
        <w:tc>
          <w:tcPr>
            <w:tcW w:type="dxa" w:w="1520"/>
          </w:tcPr>
          <w:p>
            <w:r>
              <w:rPr>
                <w:rFonts w:ascii="Arial" w:hAnsi="Arial"/>
                <w:sz w:val="14"/>
              </w:rPr>
              <w:t>2017–presente</w:t>
            </w:r>
          </w:p>
        </w:tc>
        <w:tc>
          <w:tcPr>
            <w:tcW w:type="dxa" w:w="1520"/>
          </w:tcPr>
          <w:p>
            <w:r>
              <w:rPr>
                <w:rFonts w:ascii="Arial" w:hAnsi="Arial"/>
                <w:sz w:val="14"/>
              </w:rPr>
              <w:t>Para construir variable de intensidad de sanciones. Se actualiza en tiempo real</w:t>
            </w:r>
          </w:p>
        </w:tc>
      </w:tr>
      <w:tr>
        <w:tc>
          <w:tcPr>
            <w:tcW w:type="dxa" w:w="1520"/>
            <w:shd w:val="clear" w:color="auto" w:fill="FFF2CC"/>
          </w:tcPr>
          <w:p>
            <w:r>
              <w:rPr>
                <w:rFonts w:ascii="Arial" w:hAnsi="Arial"/>
                <w:b/>
                <w:sz w:val="14"/>
              </w:rPr>
              <w:t>Google Trends API</w:t>
            </w:r>
          </w:p>
        </w:tc>
        <w:tc>
          <w:tcPr>
            <w:tcW w:type="dxa" w:w="1520"/>
          </w:tcPr>
          <w:p>
            <w:r>
              <w:rPr>
                <w:rFonts w:ascii="Arial" w:hAnsi="Arial"/>
                <w:sz w:val="14"/>
              </w:rPr>
              <w:t>trends.google.com</w:t>
            </w:r>
          </w:p>
        </w:tc>
        <w:tc>
          <w:tcPr>
            <w:tcW w:type="dxa" w:w="1520"/>
          </w:tcPr>
          <w:p>
            <w:r>
              <w:rPr>
                <w:rFonts w:ascii="Arial" w:hAnsi="Arial"/>
                <w:sz w:val="14"/>
              </w:rPr>
              <w:t>Búsquedas de términos clave</w:t>
            </w:r>
          </w:p>
        </w:tc>
        <w:tc>
          <w:tcPr>
            <w:tcW w:type="dxa" w:w="1520"/>
          </w:tcPr>
          <w:p>
            <w:r>
              <w:rPr>
                <w:rFonts w:ascii="Arial" w:hAnsi="Arial"/>
                <w:sz w:val="14"/>
              </w:rPr>
              <w:t>Semanal</w:t>
            </w:r>
          </w:p>
        </w:tc>
        <w:tc>
          <w:tcPr>
            <w:tcW w:type="dxa" w:w="1520"/>
          </w:tcPr>
          <w:p>
            <w:r>
              <w:rPr>
                <w:rFonts w:ascii="Arial" w:hAnsi="Arial"/>
                <w:sz w:val="14"/>
              </w:rPr>
              <w:t>2004–presente</w:t>
            </w:r>
          </w:p>
        </w:tc>
        <w:tc>
          <w:tcPr>
            <w:tcW w:type="dxa" w:w="1520"/>
          </w:tcPr>
          <w:p>
            <w:r>
              <w:rPr>
                <w:rFonts w:ascii="Arial" w:hAnsi="Arial"/>
                <w:sz w:val="14"/>
              </w:rPr>
              <w:t>Proxy de condiciones internas: "dólar paralelo Venezuela", "escasez Venezuela", "apagón"</w:t>
            </w:r>
          </w:p>
        </w:tc>
      </w:tr>
      <w:tr>
        <w:tc>
          <w:tcPr>
            <w:tcW w:type="dxa" w:w="1520"/>
            <w:shd w:val="clear" w:color="auto" w:fill="D9E1F2"/>
          </w:tcPr>
          <w:p>
            <w:r>
              <w:rPr>
                <w:rFonts w:ascii="Arial" w:hAnsi="Arial"/>
                <w:b/>
                <w:sz w:val="14"/>
              </w:rPr>
              <w:t>Chainalysis Reports</w:t>
            </w:r>
          </w:p>
        </w:tc>
        <w:tc>
          <w:tcPr>
            <w:tcW w:type="dxa" w:w="1520"/>
          </w:tcPr>
          <w:p>
            <w:r>
              <w:rPr>
                <w:rFonts w:ascii="Arial" w:hAnsi="Arial"/>
                <w:sz w:val="14"/>
              </w:rPr>
              <w:t>chainalysis.com</w:t>
            </w:r>
          </w:p>
        </w:tc>
        <w:tc>
          <w:tcPr>
            <w:tcW w:type="dxa" w:w="1520"/>
          </w:tcPr>
          <w:p>
            <w:r>
              <w:rPr>
                <w:rFonts w:ascii="Arial" w:hAnsi="Arial"/>
                <w:sz w:val="14"/>
              </w:rPr>
              <w:t>Adopción cripto por país</w:t>
            </w:r>
          </w:p>
        </w:tc>
        <w:tc>
          <w:tcPr>
            <w:tcW w:type="dxa" w:w="1520"/>
          </w:tcPr>
          <w:p>
            <w:r>
              <w:rPr>
                <w:rFonts w:ascii="Arial" w:hAnsi="Arial"/>
                <w:sz w:val="14"/>
              </w:rPr>
              <w:t>Anual / Trim.</w:t>
            </w:r>
          </w:p>
        </w:tc>
        <w:tc>
          <w:tcPr>
            <w:tcW w:type="dxa" w:w="1520"/>
          </w:tcPr>
          <w:p>
            <w:r>
              <w:rPr>
                <w:rFonts w:ascii="Arial" w:hAnsi="Arial"/>
                <w:sz w:val="14"/>
              </w:rPr>
              <w:t>2019–presente</w:t>
            </w:r>
          </w:p>
        </w:tc>
        <w:tc>
          <w:tcPr>
            <w:tcW w:type="dxa" w:w="1520"/>
          </w:tcPr>
          <w:p>
            <w:r>
              <w:rPr>
                <w:rFonts w:ascii="Arial" w:hAnsi="Arial"/>
                <w:sz w:val="14"/>
              </w:rPr>
              <w:t>Economía informal cripto USD 9,7B en Q2 2025. Termómetro de dolarización</w:t>
            </w:r>
          </w:p>
        </w:tc>
      </w:tr>
      <w:tr>
        <w:tc>
          <w:tcPr>
            <w:tcW w:type="dxa" w:w="1520"/>
            <w:shd w:val="clear" w:color="auto" w:fill="FFF2CC"/>
          </w:tcPr>
          <w:p>
            <w:r>
              <w:rPr>
                <w:rFonts w:ascii="Arial" w:hAnsi="Arial"/>
                <w:b/>
                <w:sz w:val="14"/>
              </w:rPr>
              <w:t>Marine Traffic (AIS)</w:t>
            </w:r>
          </w:p>
        </w:tc>
        <w:tc>
          <w:tcPr>
            <w:tcW w:type="dxa" w:w="1520"/>
          </w:tcPr>
          <w:p>
            <w:r>
              <w:rPr>
                <w:rFonts w:ascii="Arial" w:hAnsi="Arial"/>
                <w:sz w:val="14"/>
              </w:rPr>
              <w:t>marinetraffic.com</w:t>
            </w:r>
          </w:p>
        </w:tc>
        <w:tc>
          <w:tcPr>
            <w:tcW w:type="dxa" w:w="1520"/>
          </w:tcPr>
          <w:p>
            <w:r>
              <w:rPr>
                <w:rFonts w:ascii="Arial" w:hAnsi="Arial"/>
                <w:sz w:val="14"/>
              </w:rPr>
              <w:t>Tráfico marítimo en puertos VEN</w:t>
            </w:r>
          </w:p>
        </w:tc>
        <w:tc>
          <w:tcPr>
            <w:tcW w:type="dxa" w:w="1520"/>
          </w:tcPr>
          <w:p>
            <w:r>
              <w:rPr>
                <w:rFonts w:ascii="Arial" w:hAnsi="Arial"/>
                <w:sz w:val="14"/>
              </w:rPr>
              <w:t>Tiempo real</w:t>
            </w:r>
          </w:p>
        </w:tc>
        <w:tc>
          <w:tcPr>
            <w:tcW w:type="dxa" w:w="1520"/>
          </w:tcPr>
          <w:p>
            <w:r>
              <w:rPr>
                <w:rFonts w:ascii="Arial" w:hAnsi="Arial"/>
                <w:sz w:val="14"/>
              </w:rPr>
              <w:t>2010–presente</w:t>
            </w:r>
          </w:p>
        </w:tc>
        <w:tc>
          <w:tcPr>
            <w:tcW w:type="dxa" w:w="1520"/>
          </w:tcPr>
          <w:p>
            <w:r>
              <w:rPr>
                <w:rFonts w:ascii="Arial" w:hAnsi="Arial"/>
                <w:sz w:val="14"/>
              </w:rPr>
              <w:t>Proxy de actividad comercial en La Guaira, Puerto Cabello y José</w:t>
            </w:r>
          </w:p>
        </w:tc>
      </w:tr>
      <w:tr>
        <w:tc>
          <w:tcPr>
            <w:tcW w:type="dxa" w:w="1520"/>
            <w:shd w:val="clear" w:color="auto" w:fill="E2EFDA"/>
          </w:tcPr>
          <w:p>
            <w:r>
              <w:rPr>
                <w:rFonts w:ascii="Arial" w:hAnsi="Arial"/>
                <w:b/>
                <w:sz w:val="14"/>
              </w:rPr>
              <w:t>OpenSky Network</w:t>
            </w:r>
          </w:p>
        </w:tc>
        <w:tc>
          <w:tcPr>
            <w:tcW w:type="dxa" w:w="1520"/>
          </w:tcPr>
          <w:p>
            <w:r>
              <w:rPr>
                <w:rFonts w:ascii="Arial" w:hAnsi="Arial"/>
                <w:sz w:val="14"/>
              </w:rPr>
              <w:t>opensky-network.org</w:t>
            </w:r>
          </w:p>
        </w:tc>
        <w:tc>
          <w:tcPr>
            <w:tcW w:type="dxa" w:w="1520"/>
          </w:tcPr>
          <w:p>
            <w:r>
              <w:rPr>
                <w:rFonts w:ascii="Arial" w:hAnsi="Arial"/>
                <w:sz w:val="14"/>
              </w:rPr>
              <w:t>Tráfico aéreo Venezuela</w:t>
            </w:r>
          </w:p>
        </w:tc>
        <w:tc>
          <w:tcPr>
            <w:tcW w:type="dxa" w:w="1520"/>
          </w:tcPr>
          <w:p>
            <w:r>
              <w:rPr>
                <w:rFonts w:ascii="Arial" w:hAnsi="Arial"/>
                <w:sz w:val="14"/>
              </w:rPr>
              <w:t>Tiempo real / Diario</w:t>
            </w:r>
          </w:p>
        </w:tc>
        <w:tc>
          <w:tcPr>
            <w:tcW w:type="dxa" w:w="1520"/>
          </w:tcPr>
          <w:p>
            <w:r>
              <w:rPr>
                <w:rFonts w:ascii="Arial" w:hAnsi="Arial"/>
                <w:sz w:val="14"/>
              </w:rPr>
              <w:t>2019–presente</w:t>
            </w:r>
          </w:p>
        </w:tc>
        <w:tc>
          <w:tcPr>
            <w:tcW w:type="dxa" w:w="1520"/>
          </w:tcPr>
          <w:p>
            <w:r>
              <w:rPr>
                <w:rFonts w:ascii="Arial" w:hAnsi="Arial"/>
                <w:sz w:val="14"/>
              </w:rPr>
              <w:t>Proxy de conectividad internacional y actividad económica aérea</w:t>
            </w:r>
          </w:p>
        </w:tc>
      </w:tr>
      <w:tr>
        <w:tc>
          <w:tcPr>
            <w:tcW w:type="dxa" w:w="1520"/>
            <w:shd w:val="clear" w:color="auto" w:fill="FCE4D6"/>
          </w:tcPr>
          <w:p>
            <w:r>
              <w:rPr>
                <w:rFonts w:ascii="Arial" w:hAnsi="Arial"/>
                <w:b/>
                <w:sz w:val="14"/>
              </w:rPr>
              <w:t>Inter-American Dialogue</w:t>
            </w:r>
          </w:p>
        </w:tc>
        <w:tc>
          <w:tcPr>
            <w:tcW w:type="dxa" w:w="1520"/>
          </w:tcPr>
          <w:p>
            <w:r>
              <w:rPr>
                <w:rFonts w:ascii="Arial" w:hAnsi="Arial"/>
                <w:sz w:val="14"/>
              </w:rPr>
              <w:t>thedialogue.org</w:t>
            </w:r>
          </w:p>
        </w:tc>
        <w:tc>
          <w:tcPr>
            <w:tcW w:type="dxa" w:w="1520"/>
          </w:tcPr>
          <w:p>
            <w:r>
              <w:rPr>
                <w:rFonts w:ascii="Arial" w:hAnsi="Arial"/>
                <w:sz w:val="14"/>
              </w:rPr>
              <w:t>Remesas a Venezuela</w:t>
            </w:r>
          </w:p>
        </w:tc>
        <w:tc>
          <w:tcPr>
            <w:tcW w:type="dxa" w:w="1520"/>
          </w:tcPr>
          <w:p>
            <w:r>
              <w:rPr>
                <w:rFonts w:ascii="Arial" w:hAnsi="Arial"/>
                <w:sz w:val="14"/>
              </w:rPr>
              <w:t>Anual</w:t>
            </w:r>
          </w:p>
        </w:tc>
        <w:tc>
          <w:tcPr>
            <w:tcW w:type="dxa" w:w="1520"/>
          </w:tcPr>
          <w:p>
            <w:r>
              <w:rPr>
                <w:rFonts w:ascii="Arial" w:hAnsi="Arial"/>
                <w:sz w:val="14"/>
              </w:rPr>
              <w:t>2010–presente</w:t>
            </w:r>
          </w:p>
        </w:tc>
        <w:tc>
          <w:tcPr>
            <w:tcW w:type="dxa" w:w="1520"/>
          </w:tcPr>
          <w:p>
            <w:r>
              <w:rPr>
                <w:rFonts w:ascii="Arial" w:hAnsi="Arial"/>
                <w:sz w:val="14"/>
              </w:rPr>
              <w:t>USD 4,2B en remesas 2022; 90 % vía Zelle; 9 % cripto</w:t>
            </w:r>
          </w:p>
        </w:tc>
      </w:tr>
      <w:tr>
        <w:tc>
          <w:tcPr>
            <w:tcW w:type="dxa" w:w="1520"/>
            <w:shd w:val="clear" w:color="auto" w:fill="D9E1F2"/>
          </w:tcPr>
          <w:p>
            <w:r>
              <w:rPr>
                <w:rFonts w:ascii="Arial" w:hAnsi="Arial"/>
                <w:b/>
                <w:sz w:val="14"/>
              </w:rPr>
              <w:t>R4V — ACNUR / OIM</w:t>
            </w:r>
          </w:p>
        </w:tc>
        <w:tc>
          <w:tcPr>
            <w:tcW w:type="dxa" w:w="1520"/>
          </w:tcPr>
          <w:p>
            <w:r>
              <w:rPr>
                <w:rFonts w:ascii="Arial" w:hAnsi="Arial"/>
                <w:sz w:val="14"/>
              </w:rPr>
              <w:t>r4v.info</w:t>
            </w:r>
          </w:p>
        </w:tc>
        <w:tc>
          <w:tcPr>
            <w:tcW w:type="dxa" w:w="1520"/>
          </w:tcPr>
          <w:p>
            <w:r>
              <w:rPr>
                <w:rFonts w:ascii="Arial" w:hAnsi="Arial"/>
                <w:sz w:val="14"/>
              </w:rPr>
              <w:t>Migración venezolana</w:t>
            </w:r>
          </w:p>
        </w:tc>
        <w:tc>
          <w:tcPr>
            <w:tcW w:type="dxa" w:w="1520"/>
          </w:tcPr>
          <w:p>
            <w:r>
              <w:rPr>
                <w:rFonts w:ascii="Arial" w:hAnsi="Arial"/>
                <w:sz w:val="14"/>
              </w:rPr>
              <w:t>Mensual</w:t>
            </w:r>
          </w:p>
        </w:tc>
        <w:tc>
          <w:tcPr>
            <w:tcW w:type="dxa" w:w="1520"/>
          </w:tcPr>
          <w:p>
            <w:r>
              <w:rPr>
                <w:rFonts w:ascii="Arial" w:hAnsi="Arial"/>
                <w:sz w:val="14"/>
              </w:rPr>
              <w:t>2018–presente</w:t>
            </w:r>
          </w:p>
        </w:tc>
        <w:tc>
          <w:tcPr>
            <w:tcW w:type="dxa" w:w="1520"/>
          </w:tcPr>
          <w:p>
            <w:r>
              <w:rPr>
                <w:rFonts w:ascii="Arial" w:hAnsi="Arial"/>
                <w:sz w:val="14"/>
              </w:rPr>
              <w:t>7,7 millones de venezolanos en el exterior. Proxy de deterioro estructural</w:t>
            </w:r>
          </w:p>
        </w:tc>
      </w:tr>
      <w:tr>
        <w:tc>
          <w:tcPr>
            <w:tcW w:type="dxa" w:w="1520"/>
            <w:shd w:val="clear" w:color="auto" w:fill="FFF2CC"/>
          </w:tcPr>
          <w:p>
            <w:r>
              <w:rPr>
                <w:rFonts w:ascii="Arial" w:hAnsi="Arial"/>
                <w:b/>
                <w:sz w:val="14"/>
              </w:rPr>
              <w:t>UNCTAD World Investment Report</w:t>
            </w:r>
          </w:p>
        </w:tc>
        <w:tc>
          <w:tcPr>
            <w:tcW w:type="dxa" w:w="1520"/>
          </w:tcPr>
          <w:p>
            <w:r>
              <w:rPr>
                <w:rFonts w:ascii="Arial" w:hAnsi="Arial"/>
                <w:sz w:val="14"/>
              </w:rPr>
              <w:t>unctad.org</w:t>
            </w:r>
          </w:p>
        </w:tc>
        <w:tc>
          <w:tcPr>
            <w:tcW w:type="dxa" w:w="1520"/>
          </w:tcPr>
          <w:p>
            <w:r>
              <w:rPr>
                <w:rFonts w:ascii="Arial" w:hAnsi="Arial"/>
                <w:sz w:val="14"/>
              </w:rPr>
              <w:t>IED para Venezuela</w:t>
            </w:r>
          </w:p>
        </w:tc>
        <w:tc>
          <w:tcPr>
            <w:tcW w:type="dxa" w:w="1520"/>
          </w:tcPr>
          <w:p>
            <w:r>
              <w:rPr>
                <w:rFonts w:ascii="Arial" w:hAnsi="Arial"/>
                <w:sz w:val="14"/>
              </w:rPr>
              <w:t>Anual</w:t>
            </w:r>
          </w:p>
        </w:tc>
        <w:tc>
          <w:tcPr>
            <w:tcW w:type="dxa" w:w="1520"/>
          </w:tcPr>
          <w:p>
            <w:r>
              <w:rPr>
                <w:rFonts w:ascii="Arial" w:hAnsi="Arial"/>
                <w:sz w:val="14"/>
              </w:rPr>
              <w:t>1990–2024</w:t>
            </w:r>
          </w:p>
        </w:tc>
        <w:tc>
          <w:tcPr>
            <w:tcW w:type="dxa" w:w="1520"/>
          </w:tcPr>
          <w:p>
            <w:r>
              <w:rPr>
                <w:rFonts w:ascii="Arial" w:hAnsi="Arial"/>
                <w:sz w:val="14"/>
              </w:rPr>
              <w:t>Variable de validación del índice: flujos de inversión extranjera directa históricos</w:t>
            </w:r>
          </w:p>
        </w:tc>
      </w:tr>
      <w:tr>
        <w:tc>
          <w:tcPr>
            <w:tcW w:type="dxa" w:w="1520"/>
            <w:shd w:val="clear" w:color="auto" w:fill="D9E1F2"/>
          </w:tcPr>
          <w:p>
            <w:r>
              <w:rPr>
                <w:rFonts w:ascii="Arial" w:hAnsi="Arial"/>
                <w:b/>
                <w:sz w:val="14"/>
              </w:rPr>
              <w:t>CEPAL — División de Inversiones</w:t>
            </w:r>
          </w:p>
        </w:tc>
        <w:tc>
          <w:tcPr>
            <w:tcW w:type="dxa" w:w="1520"/>
          </w:tcPr>
          <w:p>
            <w:r>
              <w:rPr>
                <w:rFonts w:ascii="Arial" w:hAnsi="Arial"/>
                <w:sz w:val="14"/>
              </w:rPr>
              <w:t>cepal.org</w:t>
            </w:r>
          </w:p>
        </w:tc>
        <w:tc>
          <w:tcPr>
            <w:tcW w:type="dxa" w:w="1520"/>
          </w:tcPr>
          <w:p>
            <w:r>
              <w:rPr>
                <w:rFonts w:ascii="Arial" w:hAnsi="Arial"/>
                <w:sz w:val="14"/>
              </w:rPr>
              <w:t>IED en América Latina</w:t>
            </w:r>
          </w:p>
        </w:tc>
        <w:tc>
          <w:tcPr>
            <w:tcW w:type="dxa" w:w="1520"/>
          </w:tcPr>
          <w:p>
            <w:r>
              <w:rPr>
                <w:rFonts w:ascii="Arial" w:hAnsi="Arial"/>
                <w:sz w:val="14"/>
              </w:rPr>
              <w:t>Anual</w:t>
            </w:r>
          </w:p>
        </w:tc>
        <w:tc>
          <w:tcPr>
            <w:tcW w:type="dxa" w:w="1520"/>
          </w:tcPr>
          <w:p>
            <w:r>
              <w:rPr>
                <w:rFonts w:ascii="Arial" w:hAnsi="Arial"/>
                <w:sz w:val="14"/>
              </w:rPr>
              <w:t>1990–2024</w:t>
            </w:r>
          </w:p>
        </w:tc>
        <w:tc>
          <w:tcPr>
            <w:tcW w:type="dxa" w:w="1520"/>
          </w:tcPr>
          <w:p>
            <w:r>
              <w:rPr>
                <w:rFonts w:ascii="Arial" w:hAnsi="Arial"/>
                <w:sz w:val="14"/>
              </w:rPr>
              <w:t>Complementa UNCTAD con análisis regional de IED en Venezuela</w:t>
            </w:r>
          </w:p>
        </w:tc>
      </w:tr>
    </w:tbl>
    <w:p>
      <w:pPr>
        <w:pBdr>
          <w:bottom w:val="single" w:sz="6" w:space="1" w:color="1F497D"/>
        </w:pBdr>
        <w:spacing w:before="80" w:after="80"/>
      </w:pPr>
    </w:p>
    <w:p>
      <w:pPr>
        <w:spacing w:before="240" w:after="120"/>
        <w:shd w:val="clear" w:color="auto" w:fill="1F497D"/>
      </w:pPr>
      <w:r>
        <w:rPr>
          <w:rFonts w:ascii="Arial" w:hAnsi="Arial"/>
          <w:b/>
          <w:color w:val="FFFFFF"/>
          <w:sz w:val="26"/>
        </w:rPr>
        <w:t>ELEMENTO 7: Despliegue de Actividades y Cronograma (Junio 2026 – Junio 2027)</w:t>
      </w:r>
    </w:p>
    <w:p>
      <w:pPr>
        <w:spacing w:after="120"/>
        <w:jc w:val="both"/>
      </w:pPr>
      <w:r>
        <w:rPr>
          <w:rFonts w:ascii="Arial" w:hAnsi="Arial"/>
          <w:b w:val="0"/>
          <w:sz w:val="22"/>
        </w:rPr>
        <w:t>El proyecto se ejecutará en doce meses divididos en ocho fases secuenciales con solapamientos deliberados. A continuación se detalla cada fase con sus actividades, entregables y ubicación en el cronograma.</w:t>
      </w:r>
    </w:p>
    <w:p>
      <w:pPr>
        <w:spacing w:before="160" w:after="80"/>
      </w:pPr>
      <w:r>
        <w:rPr>
          <w:rFonts w:ascii="Arial" w:hAnsi="Arial"/>
          <w:b/>
          <w:color w:val="2E75B6"/>
          <w:sz w:val="22"/>
        </w:rPr>
        <w:t>Fase 1: Fundamentación teórica y catalogación de fuentes  ·  Jun–Jul 2026</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rFonts w:ascii="Arial" w:hAnsi="Arial"/>
                <w:b/>
                <w:color w:val="FFFFFF"/>
                <w:sz w:val="18"/>
              </w:rPr>
              <w:t>ID</w:t>
            </w:r>
          </w:p>
        </w:tc>
        <w:tc>
          <w:tcPr>
            <w:tcW w:type="dxa" w:w="3041"/>
            <w:shd w:val="clear" w:color="auto" w:fill="2E75B6"/>
          </w:tcPr>
          <w:p>
            <w:pPr>
              <w:jc w:val="center"/>
            </w:pPr>
            <w:r>
              <w:rPr>
                <w:rFonts w:ascii="Arial" w:hAnsi="Arial"/>
                <w:b/>
                <w:color w:val="FFFFFF"/>
                <w:sz w:val="18"/>
              </w:rPr>
              <w:t>ACTIVIDAD</w:t>
            </w:r>
          </w:p>
        </w:tc>
        <w:tc>
          <w:tcPr>
            <w:tcW w:type="dxa" w:w="3041"/>
            <w:shd w:val="clear" w:color="auto" w:fill="2E75B6"/>
          </w:tcPr>
          <w:p>
            <w:pPr>
              <w:jc w:val="center"/>
            </w:pPr>
            <w:r>
              <w:rPr>
                <w:rFonts w:ascii="Arial" w:hAnsi="Arial"/>
                <w:b/>
                <w:color w:val="FFFFFF"/>
                <w:sz w:val="18"/>
              </w:rPr>
              <w:t>ENTREGABLE</w:t>
            </w:r>
          </w:p>
        </w:tc>
      </w:tr>
      <w:tr>
        <w:tc>
          <w:tcPr>
            <w:tcW w:type="dxa" w:w="3041"/>
            <w:shd w:val="clear" w:color="auto" w:fill="D9E1F2"/>
          </w:tcPr>
          <w:p>
            <w:r>
              <w:rPr>
                <w:rFonts w:ascii="Arial" w:hAnsi="Arial"/>
                <w:b/>
                <w:sz w:val="18"/>
              </w:rPr>
              <w:t>A1.1</w:t>
            </w:r>
          </w:p>
        </w:tc>
        <w:tc>
          <w:tcPr>
            <w:tcW w:type="dxa" w:w="3041"/>
          </w:tcPr>
          <w:p>
            <w:r>
              <w:rPr>
                <w:rFonts w:ascii="Arial" w:hAnsi="Arial"/>
                <w:sz w:val="18"/>
              </w:rPr>
              <w:t>Revisión sistemática de literatura: índices compuestos, nowcasting, economía venezolana en Google Scholar, SSRN, CEPAL y FMI</w:t>
            </w:r>
          </w:p>
        </w:tc>
        <w:tc>
          <w:tcPr>
            <w:tcW w:type="dxa" w:w="3041"/>
          </w:tcPr>
          <w:p>
            <w:r>
              <w:rPr>
                <w:rFonts w:ascii="Arial" w:hAnsi="Arial"/>
                <w:sz w:val="18"/>
              </w:rPr>
              <w:t>Fichas bibliográficas + marco teórico</w:t>
            </w:r>
          </w:p>
        </w:tc>
      </w:tr>
      <w:tr>
        <w:tc>
          <w:tcPr>
            <w:tcW w:type="dxa" w:w="3041"/>
            <w:shd w:val="clear" w:color="auto" w:fill="D9E1F2"/>
          </w:tcPr>
          <w:p>
            <w:r>
              <w:rPr>
                <w:rFonts w:ascii="Arial" w:hAnsi="Arial"/>
                <w:b/>
                <w:sz w:val="18"/>
              </w:rPr>
              <w:t>A1.2</w:t>
            </w:r>
          </w:p>
        </w:tc>
        <w:tc>
          <w:tcPr>
            <w:tcW w:type="dxa" w:w="3041"/>
          </w:tcPr>
          <w:p>
            <w:r>
              <w:rPr>
                <w:rFonts w:ascii="Arial" w:hAnsi="Arial"/>
                <w:sz w:val="18"/>
              </w:rPr>
              <w:t>Inventario de las 25 fuentes de datos: pruebas de acceso programático a APIs, descarga de muestras y verificación de cobertura temporal</w:t>
            </w:r>
          </w:p>
        </w:tc>
        <w:tc>
          <w:tcPr>
            <w:tcW w:type="dxa" w:w="3041"/>
          </w:tcPr>
          <w:p>
            <w:r>
              <w:rPr>
                <w:rFonts w:ascii="Arial" w:hAnsi="Arial"/>
                <w:sz w:val="18"/>
              </w:rPr>
              <w:t>Catálogo de fuentes con URL, frecuencia y confiabilidad (1–5)</w:t>
            </w:r>
          </w:p>
        </w:tc>
      </w:tr>
      <w:tr>
        <w:tc>
          <w:tcPr>
            <w:tcW w:type="dxa" w:w="3041"/>
            <w:shd w:val="clear" w:color="auto" w:fill="D9E1F2"/>
          </w:tcPr>
          <w:p>
            <w:r>
              <w:rPr>
                <w:rFonts w:ascii="Arial" w:hAnsi="Arial"/>
                <w:b/>
                <w:sz w:val="18"/>
              </w:rPr>
              <w:t>A1.3</w:t>
            </w:r>
          </w:p>
        </w:tc>
        <w:tc>
          <w:tcPr>
            <w:tcW w:type="dxa" w:w="3041"/>
          </w:tcPr>
          <w:p>
            <w:r>
              <w:rPr>
                <w:rFonts w:ascii="Arial" w:hAnsi="Arial"/>
                <w:sz w:val="18"/>
              </w:rPr>
              <w:t>Construcción de la matriz de metadatos: fuente, variable, frecuencia, formato de descarga, URL, restricciones de uso</w:t>
            </w:r>
          </w:p>
        </w:tc>
        <w:tc>
          <w:tcPr>
            <w:tcW w:type="dxa" w:w="3041"/>
          </w:tcPr>
          <w:p>
            <w:r>
              <w:rPr>
                <w:rFonts w:ascii="Arial" w:hAnsi="Arial"/>
                <w:sz w:val="18"/>
              </w:rPr>
              <w:t>Dataset de metadatos en .xlsx, documentado y versionado</w:t>
            </w:r>
          </w:p>
        </w:tc>
      </w:tr>
      <w:tr>
        <w:tc>
          <w:tcPr>
            <w:tcW w:type="dxa" w:w="3041"/>
            <w:shd w:val="clear" w:color="auto" w:fill="D9E1F2"/>
          </w:tcPr>
          <w:p>
            <w:r>
              <w:rPr>
                <w:rFonts w:ascii="Arial" w:hAnsi="Arial"/>
                <w:b/>
                <w:sz w:val="18"/>
              </w:rPr>
              <w:t>A1.4</w:t>
            </w:r>
          </w:p>
        </w:tc>
        <w:tc>
          <w:tcPr>
            <w:tcW w:type="dxa" w:w="3041"/>
          </w:tcPr>
          <w:p>
            <w:r>
              <w:rPr>
                <w:rFonts w:ascii="Arial" w:hAnsi="Arial"/>
                <w:sz w:val="18"/>
              </w:rPr>
              <w:t>Primera reunión formal con el director de tesis: validación del marco teórico y ajuste del plan de trabajo</w:t>
            </w:r>
          </w:p>
        </w:tc>
        <w:tc>
          <w:tcPr>
            <w:tcW w:type="dxa" w:w="3041"/>
          </w:tcPr>
          <w:p>
            <w:r>
              <w:rPr>
                <w:rFonts w:ascii="Arial" w:hAnsi="Arial"/>
                <w:sz w:val="18"/>
              </w:rPr>
              <w:t>Acta de reunión y marco teórico aprobado</w:t>
            </w:r>
          </w:p>
        </w:tc>
      </w:tr>
    </w:tbl>
    <w:p/>
    <w:p>
      <w:pPr>
        <w:spacing w:before="160" w:after="80"/>
      </w:pPr>
      <w:r>
        <w:rPr>
          <w:rFonts w:ascii="Arial" w:hAnsi="Arial"/>
          <w:b/>
          <w:color w:val="2E75B6"/>
          <w:sz w:val="22"/>
        </w:rPr>
        <w:t>Fase 2: Ingesta y construcción del dataset estratégico (IMIV-VEN)  ·  Jul–Sep 2026</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rFonts w:ascii="Arial" w:hAnsi="Arial"/>
                <w:b/>
                <w:color w:val="FFFFFF"/>
                <w:sz w:val="18"/>
              </w:rPr>
              <w:t>ID</w:t>
            </w:r>
          </w:p>
        </w:tc>
        <w:tc>
          <w:tcPr>
            <w:tcW w:type="dxa" w:w="3041"/>
            <w:shd w:val="clear" w:color="auto" w:fill="2E75B6"/>
          </w:tcPr>
          <w:p>
            <w:pPr>
              <w:jc w:val="center"/>
            </w:pPr>
            <w:r>
              <w:rPr>
                <w:rFonts w:ascii="Arial" w:hAnsi="Arial"/>
                <w:b/>
                <w:color w:val="FFFFFF"/>
                <w:sz w:val="18"/>
              </w:rPr>
              <w:t>ACTIVIDAD</w:t>
            </w:r>
          </w:p>
        </w:tc>
        <w:tc>
          <w:tcPr>
            <w:tcW w:type="dxa" w:w="3041"/>
            <w:shd w:val="clear" w:color="auto" w:fill="2E75B6"/>
          </w:tcPr>
          <w:p>
            <w:pPr>
              <w:jc w:val="center"/>
            </w:pPr>
            <w:r>
              <w:rPr>
                <w:rFonts w:ascii="Arial" w:hAnsi="Arial"/>
                <w:b/>
                <w:color w:val="FFFFFF"/>
                <w:sz w:val="18"/>
              </w:rPr>
              <w:t>ENTREGABLE</w:t>
            </w:r>
          </w:p>
        </w:tc>
      </w:tr>
      <w:tr>
        <w:tc>
          <w:tcPr>
            <w:tcW w:type="dxa" w:w="3041"/>
            <w:shd w:val="clear" w:color="auto" w:fill="E2EFDA"/>
          </w:tcPr>
          <w:p>
            <w:r>
              <w:rPr>
                <w:rFonts w:ascii="Arial" w:hAnsi="Arial"/>
                <w:b/>
                <w:sz w:val="18"/>
              </w:rPr>
              <w:t>A2.1</w:t>
            </w:r>
          </w:p>
        </w:tc>
        <w:tc>
          <w:tcPr>
            <w:tcW w:type="dxa" w:w="3041"/>
          </w:tcPr>
          <w:p>
            <w:r>
              <w:rPr>
                <w:rFonts w:ascii="Arial" w:hAnsi="Arial"/>
                <w:sz w:val="18"/>
              </w:rPr>
              <w:t>Descarga y procesamiento de datos satelitales VIIRS para Venezuela 2013–2026 mediante Google Earth Engine: filtro de nubosidad, agregación nacional y exportación en formato CSV</w:t>
            </w:r>
          </w:p>
        </w:tc>
        <w:tc>
          <w:tcPr>
            <w:tcW w:type="dxa" w:w="3041"/>
          </w:tcPr>
          <w:p>
            <w:r>
              <w:rPr>
                <w:rFonts w:ascii="Arial" w:hAnsi="Arial"/>
                <w:sz w:val="18"/>
              </w:rPr>
              <w:t>Dataset VIIRS Venezuela 2013–2026 con cobertura documentada</w:t>
            </w:r>
          </w:p>
        </w:tc>
      </w:tr>
      <w:tr>
        <w:tc>
          <w:tcPr>
            <w:tcW w:type="dxa" w:w="3041"/>
            <w:shd w:val="clear" w:color="auto" w:fill="E2EFDA"/>
          </w:tcPr>
          <w:p>
            <w:r>
              <w:rPr>
                <w:rFonts w:ascii="Arial" w:hAnsi="Arial"/>
                <w:b/>
                <w:sz w:val="18"/>
              </w:rPr>
              <w:t>A2.2</w:t>
            </w:r>
          </w:p>
        </w:tc>
        <w:tc>
          <w:tcPr>
            <w:tcW w:type="dxa" w:w="3041"/>
          </w:tcPr>
          <w:p>
            <w:r>
              <w:rPr>
                <w:rFonts w:ascii="Arial" w:hAnsi="Arial"/>
                <w:sz w:val="18"/>
              </w:rPr>
              <w:t>Extracción programática de indicadores del Banco Mundial (API), FMI WEO, FRED y CEPAL: PIB, inflación, balanza de pagos, IED, remesas</w:t>
            </w:r>
          </w:p>
        </w:tc>
        <w:tc>
          <w:tcPr>
            <w:tcW w:type="dxa" w:w="3041"/>
          </w:tcPr>
          <w:p>
            <w:r>
              <w:rPr>
                <w:rFonts w:ascii="Arial" w:hAnsi="Arial"/>
                <w:sz w:val="18"/>
              </w:rPr>
              <w:t>Dataset macroeconómico consolidado 2013–2026</w:t>
            </w:r>
          </w:p>
        </w:tc>
      </w:tr>
      <w:tr>
        <w:tc>
          <w:tcPr>
            <w:tcW w:type="dxa" w:w="3041"/>
            <w:shd w:val="clear" w:color="auto" w:fill="E2EFDA"/>
          </w:tcPr>
          <w:p>
            <w:r>
              <w:rPr>
                <w:rFonts w:ascii="Arial" w:hAnsi="Arial"/>
                <w:b/>
                <w:sz w:val="18"/>
              </w:rPr>
              <w:t>A2.3</w:t>
            </w:r>
          </w:p>
        </w:tc>
        <w:tc>
          <w:tcPr>
            <w:tcW w:type="dxa" w:w="3041"/>
          </w:tcPr>
          <w:p>
            <w:r>
              <w:rPr>
                <w:rFonts w:ascii="Arial" w:hAnsi="Arial"/>
                <w:sz w:val="18"/>
              </w:rPr>
              <w:t>Consolidación manual de índices anuales: Heritage Foundation, Transparency International, Freedom House y Worldwide Governance Indicators</w:t>
            </w:r>
          </w:p>
        </w:tc>
        <w:tc>
          <w:tcPr>
            <w:tcW w:type="dxa" w:w="3041"/>
          </w:tcPr>
          <w:p>
            <w:r>
              <w:rPr>
                <w:rFonts w:ascii="Arial" w:hAnsi="Arial"/>
                <w:sz w:val="18"/>
              </w:rPr>
              <w:t>Dataset institucional 1995–2026</w:t>
            </w:r>
          </w:p>
        </w:tc>
      </w:tr>
      <w:tr>
        <w:tc>
          <w:tcPr>
            <w:tcW w:type="dxa" w:w="3041"/>
            <w:shd w:val="clear" w:color="auto" w:fill="E2EFDA"/>
          </w:tcPr>
          <w:p>
            <w:r>
              <w:rPr>
                <w:rFonts w:ascii="Arial" w:hAnsi="Arial"/>
                <w:b/>
                <w:sz w:val="18"/>
              </w:rPr>
              <w:t>A2.4</w:t>
            </w:r>
          </w:p>
        </w:tc>
        <w:tc>
          <w:tcPr>
            <w:tcW w:type="dxa" w:w="3041"/>
          </w:tcPr>
          <w:p>
            <w:r>
              <w:rPr>
                <w:rFonts w:ascii="Arial" w:hAnsi="Arial"/>
                <w:sz w:val="18"/>
              </w:rPr>
              <w:t>Ingesta de datos financieros: EMBI (spreads soberanos), bonos venezolanos en mercados secundarios e IED desde UNCTAD</w:t>
            </w:r>
          </w:p>
        </w:tc>
        <w:tc>
          <w:tcPr>
            <w:tcW w:type="dxa" w:w="3041"/>
          </w:tcPr>
          <w:p>
            <w:r>
              <w:rPr>
                <w:rFonts w:ascii="Arial" w:hAnsi="Arial"/>
                <w:sz w:val="18"/>
              </w:rPr>
              <w:t>Dataset financiero para validación del índice</w:t>
            </w:r>
          </w:p>
        </w:tc>
      </w:tr>
      <w:tr>
        <w:tc>
          <w:tcPr>
            <w:tcW w:type="dxa" w:w="3041"/>
            <w:shd w:val="clear" w:color="auto" w:fill="E2EFDA"/>
          </w:tcPr>
          <w:p>
            <w:r>
              <w:rPr>
                <w:rFonts w:ascii="Arial" w:hAnsi="Arial"/>
                <w:b/>
                <w:sz w:val="18"/>
              </w:rPr>
              <w:t>A2.5</w:t>
            </w:r>
          </w:p>
        </w:tc>
        <w:tc>
          <w:tcPr>
            <w:tcW w:type="dxa" w:w="3041"/>
          </w:tcPr>
          <w:p>
            <w:r>
              <w:rPr>
                <w:rFonts w:ascii="Arial" w:hAnsi="Arial"/>
                <w:sz w:val="18"/>
              </w:rPr>
              <w:t>Imputación de datos faltantes para el período BCV 2015–2019 usando estimaciones del FMI y técnicas de interpolación documentadas</w:t>
            </w:r>
          </w:p>
        </w:tc>
        <w:tc>
          <w:tcPr>
            <w:tcW w:type="dxa" w:w="3041"/>
          </w:tcPr>
          <w:p>
            <w:r>
              <w:rPr>
                <w:rFonts w:ascii="Arial" w:hAnsi="Arial"/>
                <w:sz w:val="18"/>
              </w:rPr>
              <w:t>Dataset imputado con método justificado</w:t>
            </w:r>
          </w:p>
        </w:tc>
      </w:tr>
      <w:tr>
        <w:tc>
          <w:tcPr>
            <w:tcW w:type="dxa" w:w="3041"/>
            <w:shd w:val="clear" w:color="auto" w:fill="E2EFDA"/>
          </w:tcPr>
          <w:p>
            <w:r>
              <w:rPr>
                <w:rFonts w:ascii="Arial" w:hAnsi="Arial"/>
                <w:b/>
                <w:sz w:val="18"/>
              </w:rPr>
              <w:t>A2.6</w:t>
            </w:r>
          </w:p>
        </w:tc>
        <w:tc>
          <w:tcPr>
            <w:tcW w:type="dxa" w:w="3041"/>
          </w:tcPr>
          <w:p>
            <w:r>
              <w:rPr>
                <w:rFonts w:ascii="Arial" w:hAnsi="Arial"/>
                <w:sz w:val="18"/>
              </w:rPr>
              <w:t>Normalización Z-score de todas las variables e integración del dataset estratégico final en formato Parquet</w:t>
            </w:r>
          </w:p>
        </w:tc>
        <w:tc>
          <w:tcPr>
            <w:tcW w:type="dxa" w:w="3041"/>
          </w:tcPr>
          <w:p>
            <w:r>
              <w:rPr>
                <w:rFonts w:ascii="Arial" w:hAnsi="Arial"/>
                <w:sz w:val="18"/>
              </w:rPr>
              <w:t>Pipeline documentado en GitHub + dataset estratégico final</w:t>
            </w:r>
          </w:p>
        </w:tc>
      </w:tr>
    </w:tbl>
    <w:p/>
    <w:p>
      <w:pPr>
        <w:spacing w:before="160" w:after="80"/>
      </w:pPr>
      <w:r>
        <w:rPr>
          <w:rFonts w:ascii="Arial" w:hAnsi="Arial"/>
          <w:b/>
          <w:color w:val="2E75B6"/>
          <w:sz w:val="22"/>
        </w:rPr>
        <w:t>Fase 3: Desarrollo del modelo matemático del IMIV-VEN  ·  Sep–Nov 2026</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rFonts w:ascii="Arial" w:hAnsi="Arial"/>
                <w:b/>
                <w:color w:val="FFFFFF"/>
                <w:sz w:val="18"/>
              </w:rPr>
              <w:t>ID</w:t>
            </w:r>
          </w:p>
        </w:tc>
        <w:tc>
          <w:tcPr>
            <w:tcW w:type="dxa" w:w="3041"/>
            <w:shd w:val="clear" w:color="auto" w:fill="2E75B6"/>
          </w:tcPr>
          <w:p>
            <w:pPr>
              <w:jc w:val="center"/>
            </w:pPr>
            <w:r>
              <w:rPr>
                <w:rFonts w:ascii="Arial" w:hAnsi="Arial"/>
                <w:b/>
                <w:color w:val="FFFFFF"/>
                <w:sz w:val="18"/>
              </w:rPr>
              <w:t>ACTIVIDAD</w:t>
            </w:r>
          </w:p>
        </w:tc>
        <w:tc>
          <w:tcPr>
            <w:tcW w:type="dxa" w:w="3041"/>
            <w:shd w:val="clear" w:color="auto" w:fill="2E75B6"/>
          </w:tcPr>
          <w:p>
            <w:pPr>
              <w:jc w:val="center"/>
            </w:pPr>
            <w:r>
              <w:rPr>
                <w:rFonts w:ascii="Arial" w:hAnsi="Arial"/>
                <w:b/>
                <w:color w:val="FFFFFF"/>
                <w:sz w:val="18"/>
              </w:rPr>
              <w:t>ENTREGABLE</w:t>
            </w:r>
          </w:p>
        </w:tc>
      </w:tr>
      <w:tr>
        <w:tc>
          <w:tcPr>
            <w:tcW w:type="dxa" w:w="3041"/>
            <w:shd w:val="clear" w:color="auto" w:fill="FFF2CC"/>
          </w:tcPr>
          <w:p>
            <w:r>
              <w:rPr>
                <w:rFonts w:ascii="Arial" w:hAnsi="Arial"/>
                <w:b/>
                <w:sz w:val="18"/>
              </w:rPr>
              <w:t>A3.1</w:t>
            </w:r>
          </w:p>
        </w:tc>
        <w:tc>
          <w:tcPr>
            <w:tcW w:type="dxa" w:w="3041"/>
          </w:tcPr>
          <w:p>
            <w:r>
              <w:rPr>
                <w:rFonts w:ascii="Arial" w:hAnsi="Arial"/>
                <w:sz w:val="18"/>
              </w:rPr>
              <w:t>Análisis Exploratorio de Datos (EDA): correlaciones, outliers, multicolinealidad y visualizaciones de distribución</w:t>
            </w:r>
          </w:p>
        </w:tc>
        <w:tc>
          <w:tcPr>
            <w:tcW w:type="dxa" w:w="3041"/>
          </w:tcPr>
          <w:p>
            <w:r>
              <w:rPr>
                <w:rFonts w:ascii="Arial" w:hAnsi="Arial"/>
                <w:sz w:val="18"/>
              </w:rPr>
              <w:t>Informe EDA con hallazgos clave</w:t>
            </w:r>
          </w:p>
        </w:tc>
      </w:tr>
      <w:tr>
        <w:tc>
          <w:tcPr>
            <w:tcW w:type="dxa" w:w="3041"/>
            <w:shd w:val="clear" w:color="auto" w:fill="FFF2CC"/>
          </w:tcPr>
          <w:p>
            <w:r>
              <w:rPr>
                <w:rFonts w:ascii="Arial" w:hAnsi="Arial"/>
                <w:b/>
                <w:sz w:val="18"/>
              </w:rPr>
              <w:t>A3.2</w:t>
            </w:r>
          </w:p>
        </w:tc>
        <w:tc>
          <w:tcPr>
            <w:tcW w:type="dxa" w:w="3041"/>
          </w:tcPr>
          <w:p>
            <w:r>
              <w:rPr>
                <w:rFonts w:ascii="Arial" w:hAnsi="Arial"/>
                <w:sz w:val="18"/>
              </w:rPr>
              <w:t>Aplicación de PCA con scikit-learn: componentes principales, varianza explicada, loadings de variables, biplot y scree plot</w:t>
            </w:r>
          </w:p>
        </w:tc>
        <w:tc>
          <w:tcPr>
            <w:tcW w:type="dxa" w:w="3041"/>
          </w:tcPr>
          <w:p>
            <w:r>
              <w:rPr>
                <w:rFonts w:ascii="Arial" w:hAnsi="Arial"/>
                <w:sz w:val="18"/>
              </w:rPr>
              <w:t>Informe PCA + selección de componentes que explican ≥ 70 % de varianza</w:t>
            </w:r>
          </w:p>
        </w:tc>
      </w:tr>
      <w:tr>
        <w:tc>
          <w:tcPr>
            <w:tcW w:type="dxa" w:w="3041"/>
            <w:shd w:val="clear" w:color="auto" w:fill="FFF2CC"/>
          </w:tcPr>
          <w:p>
            <w:r>
              <w:rPr>
                <w:rFonts w:ascii="Arial" w:hAnsi="Arial"/>
                <w:b/>
                <w:sz w:val="18"/>
              </w:rPr>
              <w:t>A3.3</w:t>
            </w:r>
          </w:p>
        </w:tc>
        <w:tc>
          <w:tcPr>
            <w:tcW w:type="dxa" w:w="3041"/>
          </w:tcPr>
          <w:p>
            <w:r>
              <w:rPr>
                <w:rFonts w:ascii="Arial" w:hAnsi="Arial"/>
                <w:sz w:val="18"/>
              </w:rPr>
              <w:t>Diseño del instrumento AHP y selección del panel de expertos: mínimo 7 economistas venezolanos o analistas de riesgo país con publicaciones verificables</w:t>
            </w:r>
          </w:p>
        </w:tc>
        <w:tc>
          <w:tcPr>
            <w:tcW w:type="dxa" w:w="3041"/>
          </w:tcPr>
          <w:p>
            <w:r>
              <w:rPr>
                <w:rFonts w:ascii="Arial" w:hAnsi="Arial"/>
                <w:sz w:val="18"/>
              </w:rPr>
              <w:t>Instrumento AHP + lista de expertos contactados</w:t>
            </w:r>
          </w:p>
        </w:tc>
      </w:tr>
      <w:tr>
        <w:tc>
          <w:tcPr>
            <w:tcW w:type="dxa" w:w="3041"/>
            <w:shd w:val="clear" w:color="auto" w:fill="FFF2CC"/>
          </w:tcPr>
          <w:p>
            <w:r>
              <w:rPr>
                <w:rFonts w:ascii="Arial" w:hAnsi="Arial"/>
                <w:b/>
                <w:sz w:val="18"/>
              </w:rPr>
              <w:t>A3.4</w:t>
            </w:r>
          </w:p>
        </w:tc>
        <w:tc>
          <w:tcPr>
            <w:tcW w:type="dxa" w:w="3041"/>
          </w:tcPr>
          <w:p>
            <w:r>
              <w:rPr>
                <w:rFonts w:ascii="Arial" w:hAnsi="Arial"/>
                <w:sz w:val="18"/>
              </w:rPr>
              <w:t>Aplicación del AHP, verificación del ratio de consistencia (CR &lt; 0,1) y cálculo del vector de ponderaciones mediante media geométrica</w:t>
            </w:r>
          </w:p>
        </w:tc>
        <w:tc>
          <w:tcPr>
            <w:tcW w:type="dxa" w:w="3041"/>
          </w:tcPr>
          <w:p>
            <w:r>
              <w:rPr>
                <w:rFonts w:ascii="Arial" w:hAnsi="Arial"/>
                <w:sz w:val="18"/>
              </w:rPr>
              <w:t>Ponderaciones validadas por expertos</w:t>
            </w:r>
          </w:p>
        </w:tc>
      </w:tr>
      <w:tr>
        <w:tc>
          <w:tcPr>
            <w:tcW w:type="dxa" w:w="3041"/>
            <w:shd w:val="clear" w:color="auto" w:fill="FFF2CC"/>
          </w:tcPr>
          <w:p>
            <w:r>
              <w:rPr>
                <w:rFonts w:ascii="Arial" w:hAnsi="Arial"/>
                <w:b/>
                <w:sz w:val="18"/>
              </w:rPr>
              <w:t>A3.5</w:t>
            </w:r>
          </w:p>
        </w:tc>
        <w:tc>
          <w:tcPr>
            <w:tcW w:type="dxa" w:w="3041"/>
          </w:tcPr>
          <w:p>
            <w:r>
              <w:rPr>
                <w:rFonts w:ascii="Arial" w:hAnsi="Arial"/>
                <w:sz w:val="18"/>
              </w:rPr>
              <w:t>Construcción de la serie histórica IMIV-VEN 2013–2027: combinación PCA + AHP, escala 0–100, señal semaforizada</w:t>
            </w:r>
          </w:p>
        </w:tc>
        <w:tc>
          <w:tcPr>
            <w:tcW w:type="dxa" w:w="3041"/>
          </w:tcPr>
          <w:p>
            <w:r>
              <w:rPr>
                <w:rFonts w:ascii="Arial" w:hAnsi="Arial"/>
                <w:sz w:val="18"/>
              </w:rPr>
              <w:t>Serie histórica IMIV-VEN con visualizaciones de eventos clave</w:t>
            </w:r>
          </w:p>
        </w:tc>
      </w:tr>
      <w:tr>
        <w:tc>
          <w:tcPr>
            <w:tcW w:type="dxa" w:w="3041"/>
            <w:shd w:val="clear" w:color="auto" w:fill="FFF2CC"/>
          </w:tcPr>
          <w:p>
            <w:r>
              <w:rPr>
                <w:rFonts w:ascii="Arial" w:hAnsi="Arial"/>
                <w:b/>
                <w:sz w:val="18"/>
              </w:rPr>
              <w:t>A3.6</w:t>
            </w:r>
          </w:p>
        </w:tc>
        <w:tc>
          <w:tcPr>
            <w:tcW w:type="dxa" w:w="3041"/>
          </w:tcPr>
          <w:p>
            <w:r>
              <w:rPr>
                <w:rFonts w:ascii="Arial" w:hAnsi="Arial"/>
                <w:sz w:val="18"/>
              </w:rPr>
              <w:t>Análisis de sensibilidad: variación de ponderaciones ±20 % y evaluación de robustez del índice</w:t>
            </w:r>
          </w:p>
        </w:tc>
        <w:tc>
          <w:tcPr>
            <w:tcW w:type="dxa" w:w="3041"/>
          </w:tcPr>
          <w:p>
            <w:r>
              <w:rPr>
                <w:rFonts w:ascii="Arial" w:hAnsi="Arial"/>
                <w:sz w:val="18"/>
              </w:rPr>
              <w:t>Informe de sensibilidad con conclusiones sobre estabilidad del modelo</w:t>
            </w:r>
          </w:p>
        </w:tc>
      </w:tr>
    </w:tbl>
    <w:p/>
    <w:p>
      <w:pPr>
        <w:spacing w:before="160" w:after="80"/>
      </w:pPr>
      <w:r>
        <w:rPr>
          <w:rFonts w:ascii="Arial" w:hAnsi="Arial"/>
          <w:b/>
          <w:color w:val="2E75B6"/>
          <w:sz w:val="22"/>
        </w:rPr>
        <w:t>Fase 4: Ingesta del dataset operativo (SATV)  ·  Oct–Nov 2026</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rFonts w:ascii="Arial" w:hAnsi="Arial"/>
                <w:b/>
                <w:color w:val="FFFFFF"/>
                <w:sz w:val="18"/>
              </w:rPr>
              <w:t>ID</w:t>
            </w:r>
          </w:p>
        </w:tc>
        <w:tc>
          <w:tcPr>
            <w:tcW w:type="dxa" w:w="3041"/>
            <w:shd w:val="clear" w:color="auto" w:fill="2E75B6"/>
          </w:tcPr>
          <w:p>
            <w:pPr>
              <w:jc w:val="center"/>
            </w:pPr>
            <w:r>
              <w:rPr>
                <w:rFonts w:ascii="Arial" w:hAnsi="Arial"/>
                <w:b/>
                <w:color w:val="FFFFFF"/>
                <w:sz w:val="18"/>
              </w:rPr>
              <w:t>ACTIVIDAD</w:t>
            </w:r>
          </w:p>
        </w:tc>
        <w:tc>
          <w:tcPr>
            <w:tcW w:type="dxa" w:w="3041"/>
            <w:shd w:val="clear" w:color="auto" w:fill="2E75B6"/>
          </w:tcPr>
          <w:p>
            <w:pPr>
              <w:jc w:val="center"/>
            </w:pPr>
            <w:r>
              <w:rPr>
                <w:rFonts w:ascii="Arial" w:hAnsi="Arial"/>
                <w:b/>
                <w:color w:val="FFFFFF"/>
                <w:sz w:val="18"/>
              </w:rPr>
              <w:t>ENTREGABLE</w:t>
            </w:r>
          </w:p>
        </w:tc>
      </w:tr>
      <w:tr>
        <w:tc>
          <w:tcPr>
            <w:tcW w:type="dxa" w:w="3041"/>
            <w:shd w:val="clear" w:color="auto" w:fill="FCE4D6"/>
          </w:tcPr>
          <w:p>
            <w:r>
              <w:rPr>
                <w:rFonts w:ascii="Arial" w:hAnsi="Arial"/>
                <w:b/>
                <w:sz w:val="18"/>
              </w:rPr>
              <w:t>A4.1</w:t>
            </w:r>
          </w:p>
        </w:tc>
        <w:tc>
          <w:tcPr>
            <w:tcW w:type="dxa" w:w="3041"/>
          </w:tcPr>
          <w:p>
            <w:r>
              <w:rPr>
                <w:rFonts w:ascii="Arial" w:hAnsi="Arial"/>
                <w:sz w:val="18"/>
              </w:rPr>
              <w:t>Configuración de scrapers programados con Python para Google Trends (pytrends): términos clave semanales sobre Venezuela</w:t>
            </w:r>
          </w:p>
        </w:tc>
        <w:tc>
          <w:tcPr>
            <w:tcW w:type="dxa" w:w="3041"/>
          </w:tcPr>
          <w:p>
            <w:r>
              <w:rPr>
                <w:rFonts w:ascii="Arial" w:hAnsi="Arial"/>
                <w:sz w:val="18"/>
              </w:rPr>
              <w:t>Pipeline Google Trends funcional con actualización automática</w:t>
            </w:r>
          </w:p>
        </w:tc>
      </w:tr>
      <w:tr>
        <w:tc>
          <w:tcPr>
            <w:tcW w:type="dxa" w:w="3041"/>
            <w:shd w:val="clear" w:color="auto" w:fill="FCE4D6"/>
          </w:tcPr>
          <w:p>
            <w:r>
              <w:rPr>
                <w:rFonts w:ascii="Arial" w:hAnsi="Arial"/>
                <w:b/>
                <w:sz w:val="18"/>
              </w:rPr>
              <w:t>A4.2</w:t>
            </w:r>
          </w:p>
        </w:tc>
        <w:tc>
          <w:tcPr>
            <w:tcW w:type="dxa" w:w="3041"/>
          </w:tcPr>
          <w:p>
            <w:r>
              <w:rPr>
                <w:rFonts w:ascii="Arial" w:hAnsi="Arial"/>
                <w:sz w:val="18"/>
              </w:rPr>
              <w:t>Ingesta automatizada del registro de sanciones OFAC mediante scraping del sitio ofac.treasury.gov: construcción de variable de intensidad de sanciones</w:t>
            </w:r>
          </w:p>
        </w:tc>
        <w:tc>
          <w:tcPr>
            <w:tcW w:type="dxa" w:w="3041"/>
          </w:tcPr>
          <w:p>
            <w:r>
              <w:rPr>
                <w:rFonts w:ascii="Arial" w:hAnsi="Arial"/>
                <w:sz w:val="18"/>
              </w:rPr>
              <w:t>Variable de intensidad de sanciones 2017–2027</w:t>
            </w:r>
          </w:p>
        </w:tc>
      </w:tr>
      <w:tr>
        <w:tc>
          <w:tcPr>
            <w:tcW w:type="dxa" w:w="3041"/>
            <w:shd w:val="clear" w:color="auto" w:fill="FCE4D6"/>
          </w:tcPr>
          <w:p>
            <w:r>
              <w:rPr>
                <w:rFonts w:ascii="Arial" w:hAnsi="Arial"/>
                <w:b/>
                <w:sz w:val="18"/>
              </w:rPr>
              <w:t>A4.3</w:t>
            </w:r>
          </w:p>
        </w:tc>
        <w:tc>
          <w:tcPr>
            <w:tcW w:type="dxa" w:w="3041"/>
          </w:tcPr>
          <w:p>
            <w:r>
              <w:rPr>
                <w:rFonts w:ascii="Arial" w:hAnsi="Arial"/>
                <w:sz w:val="18"/>
              </w:rPr>
              <w:t>Integración de datos AIS de Marine Traffic y datos de vuelos de OpenSky Network: volúmenes de tráfico en puertos y aeropuertos venezolanos</w:t>
            </w:r>
          </w:p>
        </w:tc>
        <w:tc>
          <w:tcPr>
            <w:tcW w:type="dxa" w:w="3041"/>
          </w:tcPr>
          <w:p>
            <w:r>
              <w:rPr>
                <w:rFonts w:ascii="Arial" w:hAnsi="Arial"/>
                <w:sz w:val="18"/>
              </w:rPr>
              <w:t>Dataset operativo de tráfico marítimo y aéreo</w:t>
            </w:r>
          </w:p>
        </w:tc>
      </w:tr>
      <w:tr>
        <w:tc>
          <w:tcPr>
            <w:tcW w:type="dxa" w:w="3041"/>
            <w:shd w:val="clear" w:color="auto" w:fill="FCE4D6"/>
          </w:tcPr>
          <w:p>
            <w:r>
              <w:rPr>
                <w:rFonts w:ascii="Arial" w:hAnsi="Arial"/>
                <w:b/>
                <w:sz w:val="18"/>
              </w:rPr>
              <w:t>A4.4</w:t>
            </w:r>
          </w:p>
        </w:tc>
        <w:tc>
          <w:tcPr>
            <w:tcW w:type="dxa" w:w="3041"/>
          </w:tcPr>
          <w:p>
            <w:r>
              <w:rPr>
                <w:rFonts w:ascii="Arial" w:hAnsi="Arial"/>
                <w:sz w:val="18"/>
              </w:rPr>
              <w:t>Ingesta de spreads EMBI y precios de bonos soberanos venezolanos en mercados secundarios</w:t>
            </w:r>
          </w:p>
        </w:tc>
        <w:tc>
          <w:tcPr>
            <w:tcW w:type="dxa" w:w="3041"/>
          </w:tcPr>
          <w:p>
            <w:r>
              <w:rPr>
                <w:rFonts w:ascii="Arial" w:hAnsi="Arial"/>
                <w:sz w:val="18"/>
              </w:rPr>
              <w:t>Pipeline financiero operativo con actualización semanal</w:t>
            </w:r>
          </w:p>
        </w:tc>
      </w:tr>
    </w:tbl>
    <w:p/>
    <w:p>
      <w:pPr>
        <w:spacing w:before="160" w:after="80"/>
      </w:pPr>
      <w:r>
        <w:rPr>
          <w:rFonts w:ascii="Arial" w:hAnsi="Arial"/>
          <w:b/>
          <w:color w:val="2E75B6"/>
          <w:sz w:val="22"/>
        </w:rPr>
        <w:t>Fase 5: Desarrollo del módulo de alertas tempranas (SATV)  ·  Nov 2026–Ene 2027</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rFonts w:ascii="Arial" w:hAnsi="Arial"/>
                <w:b/>
                <w:color w:val="FFFFFF"/>
                <w:sz w:val="18"/>
              </w:rPr>
              <w:t>ID</w:t>
            </w:r>
          </w:p>
        </w:tc>
        <w:tc>
          <w:tcPr>
            <w:tcW w:type="dxa" w:w="3041"/>
            <w:shd w:val="clear" w:color="auto" w:fill="2E75B6"/>
          </w:tcPr>
          <w:p>
            <w:pPr>
              <w:jc w:val="center"/>
            </w:pPr>
            <w:r>
              <w:rPr>
                <w:rFonts w:ascii="Arial" w:hAnsi="Arial"/>
                <w:b/>
                <w:color w:val="FFFFFF"/>
                <w:sz w:val="18"/>
              </w:rPr>
              <w:t>ACTIVIDAD</w:t>
            </w:r>
          </w:p>
        </w:tc>
        <w:tc>
          <w:tcPr>
            <w:tcW w:type="dxa" w:w="3041"/>
            <w:shd w:val="clear" w:color="auto" w:fill="2E75B6"/>
          </w:tcPr>
          <w:p>
            <w:pPr>
              <w:jc w:val="center"/>
            </w:pPr>
            <w:r>
              <w:rPr>
                <w:rFonts w:ascii="Arial" w:hAnsi="Arial"/>
                <w:b/>
                <w:color w:val="FFFFFF"/>
                <w:sz w:val="18"/>
              </w:rPr>
              <w:t>ENTREGABLE</w:t>
            </w:r>
          </w:p>
        </w:tc>
      </w:tr>
      <w:tr>
        <w:tc>
          <w:tcPr>
            <w:tcW w:type="dxa" w:w="3041"/>
            <w:shd w:val="clear" w:color="auto" w:fill="D9E1F2"/>
          </w:tcPr>
          <w:p>
            <w:r>
              <w:rPr>
                <w:rFonts w:ascii="Arial" w:hAnsi="Arial"/>
                <w:b/>
                <w:sz w:val="18"/>
              </w:rPr>
              <w:t>A5.1</w:t>
            </w:r>
          </w:p>
        </w:tc>
        <w:tc>
          <w:tcPr>
            <w:tcW w:type="dxa" w:w="3041"/>
          </w:tcPr>
          <w:p>
            <w:r>
              <w:rPr>
                <w:rFonts w:ascii="Arial" w:hAnsi="Arial"/>
                <w:sz w:val="18"/>
              </w:rPr>
              <w:t>Definición de umbrales estadísticos para cada variable del SATV usando Z-score y análisis de series de tiempo (ARIMA / Prophet)</w:t>
            </w:r>
          </w:p>
        </w:tc>
        <w:tc>
          <w:tcPr>
            <w:tcW w:type="dxa" w:w="3041"/>
          </w:tcPr>
          <w:p>
            <w:r>
              <w:rPr>
                <w:rFonts w:ascii="Arial" w:hAnsi="Arial"/>
                <w:sz w:val="18"/>
              </w:rPr>
              <w:t>Umbrales documentados por variable con justificación estadística</w:t>
            </w:r>
          </w:p>
        </w:tc>
      </w:tr>
      <w:tr>
        <w:tc>
          <w:tcPr>
            <w:tcW w:type="dxa" w:w="3041"/>
            <w:shd w:val="clear" w:color="auto" w:fill="D9E1F2"/>
          </w:tcPr>
          <w:p>
            <w:r>
              <w:rPr>
                <w:rFonts w:ascii="Arial" w:hAnsi="Arial"/>
                <w:b/>
                <w:sz w:val="18"/>
              </w:rPr>
              <w:t>A5.2</w:t>
            </w:r>
          </w:p>
        </w:tc>
        <w:tc>
          <w:tcPr>
            <w:tcW w:type="dxa" w:w="3041"/>
          </w:tcPr>
          <w:p>
            <w:r>
              <w:rPr>
                <w:rFonts w:ascii="Arial" w:hAnsi="Arial"/>
                <w:sz w:val="18"/>
              </w:rPr>
              <w:t>Implementación de reglas de detección de anomalías: tres niveles de severidad (informativo, advertencia, crítico) con lógica de activación documentada</w:t>
            </w:r>
          </w:p>
        </w:tc>
        <w:tc>
          <w:tcPr>
            <w:tcW w:type="dxa" w:w="3041"/>
          </w:tcPr>
          <w:p>
            <w:r>
              <w:rPr>
                <w:rFonts w:ascii="Arial" w:hAnsi="Arial"/>
                <w:sz w:val="18"/>
              </w:rPr>
              <w:t>Módulo SATV funcional con reglas en código</w:t>
            </w:r>
          </w:p>
        </w:tc>
      </w:tr>
      <w:tr>
        <w:tc>
          <w:tcPr>
            <w:tcW w:type="dxa" w:w="3041"/>
            <w:shd w:val="clear" w:color="auto" w:fill="D9E1F2"/>
          </w:tcPr>
          <w:p>
            <w:r>
              <w:rPr>
                <w:rFonts w:ascii="Arial" w:hAnsi="Arial"/>
                <w:b/>
                <w:sz w:val="18"/>
              </w:rPr>
              <w:t>A5.3</w:t>
            </w:r>
          </w:p>
        </w:tc>
        <w:tc>
          <w:tcPr>
            <w:tcW w:type="dxa" w:w="3041"/>
          </w:tcPr>
          <w:p>
            <w:r>
              <w:rPr>
                <w:rFonts w:ascii="Arial" w:hAnsi="Arial"/>
                <w:sz w:val="18"/>
              </w:rPr>
              <w:t>Backtesting del SATV sobre el período histórico 2019–2026: verificación de alertas en eventos conocidos (sanciones 2019, apertura Chevron 2022, captura Maduro 2026)</w:t>
            </w:r>
          </w:p>
        </w:tc>
        <w:tc>
          <w:tcPr>
            <w:tcW w:type="dxa" w:w="3041"/>
          </w:tcPr>
          <w:p>
            <w:r>
              <w:rPr>
                <w:rFonts w:ascii="Arial" w:hAnsi="Arial"/>
                <w:sz w:val="18"/>
              </w:rPr>
              <w:t>Informe de backtesting con métricas de precisión y recall</w:t>
            </w:r>
          </w:p>
        </w:tc>
      </w:tr>
      <w:tr>
        <w:tc>
          <w:tcPr>
            <w:tcW w:type="dxa" w:w="3041"/>
            <w:shd w:val="clear" w:color="auto" w:fill="D9E1F2"/>
          </w:tcPr>
          <w:p>
            <w:r>
              <w:rPr>
                <w:rFonts w:ascii="Arial" w:hAnsi="Arial"/>
                <w:b/>
                <w:sz w:val="18"/>
              </w:rPr>
              <w:t>A5.4</w:t>
            </w:r>
          </w:p>
        </w:tc>
        <w:tc>
          <w:tcPr>
            <w:tcW w:type="dxa" w:w="3041"/>
          </w:tcPr>
          <w:p>
            <w:r>
              <w:rPr>
                <w:rFonts w:ascii="Arial" w:hAnsi="Arial"/>
                <w:sz w:val="18"/>
              </w:rPr>
              <w:t>Configuración del sistema de notificaciones: alertas por correo electrónico o Telegram bot con resumen estructurado del evento detectado</w:t>
            </w:r>
          </w:p>
        </w:tc>
        <w:tc>
          <w:tcPr>
            <w:tcW w:type="dxa" w:w="3041"/>
          </w:tcPr>
          <w:p>
            <w:r>
              <w:rPr>
                <w:rFonts w:ascii="Arial" w:hAnsi="Arial"/>
                <w:sz w:val="18"/>
              </w:rPr>
              <w:t>Sistema de notificaciones operativo</w:t>
            </w:r>
          </w:p>
        </w:tc>
      </w:tr>
    </w:tbl>
    <w:p/>
    <w:p>
      <w:pPr>
        <w:spacing w:before="160" w:after="80"/>
      </w:pPr>
      <w:r>
        <w:rPr>
          <w:rFonts w:ascii="Arial" w:hAnsi="Arial"/>
          <w:b/>
          <w:color w:val="2E75B6"/>
          <w:sz w:val="22"/>
        </w:rPr>
        <w:t>Fase 6: Validación empírica del índice  ·  Ene–Mar 2027</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rFonts w:ascii="Arial" w:hAnsi="Arial"/>
                <w:b/>
                <w:color w:val="FFFFFF"/>
                <w:sz w:val="18"/>
              </w:rPr>
              <w:t>ID</w:t>
            </w:r>
          </w:p>
        </w:tc>
        <w:tc>
          <w:tcPr>
            <w:tcW w:type="dxa" w:w="3041"/>
            <w:shd w:val="clear" w:color="auto" w:fill="2E75B6"/>
          </w:tcPr>
          <w:p>
            <w:pPr>
              <w:jc w:val="center"/>
            </w:pPr>
            <w:r>
              <w:rPr>
                <w:rFonts w:ascii="Arial" w:hAnsi="Arial"/>
                <w:b/>
                <w:color w:val="FFFFFF"/>
                <w:sz w:val="18"/>
              </w:rPr>
              <w:t>ACTIVIDAD</w:t>
            </w:r>
          </w:p>
        </w:tc>
        <w:tc>
          <w:tcPr>
            <w:tcW w:type="dxa" w:w="3041"/>
            <w:shd w:val="clear" w:color="auto" w:fill="2E75B6"/>
          </w:tcPr>
          <w:p>
            <w:pPr>
              <w:jc w:val="center"/>
            </w:pPr>
            <w:r>
              <w:rPr>
                <w:rFonts w:ascii="Arial" w:hAnsi="Arial"/>
                <w:b/>
                <w:color w:val="FFFFFF"/>
                <w:sz w:val="18"/>
              </w:rPr>
              <w:t>ENTREGABLE</w:t>
            </w:r>
          </w:p>
        </w:tc>
      </w:tr>
      <w:tr>
        <w:tc>
          <w:tcPr>
            <w:tcW w:type="dxa" w:w="3041"/>
            <w:shd w:val="clear" w:color="auto" w:fill="E2EFDA"/>
          </w:tcPr>
          <w:p>
            <w:r>
              <w:rPr>
                <w:rFonts w:ascii="Arial" w:hAnsi="Arial"/>
                <w:b/>
                <w:sz w:val="18"/>
              </w:rPr>
              <w:t>A6.1</w:t>
            </w:r>
          </w:p>
        </w:tc>
        <w:tc>
          <w:tcPr>
            <w:tcW w:type="dxa" w:w="3041"/>
          </w:tcPr>
          <w:p>
            <w:r>
              <w:rPr>
                <w:rFonts w:ascii="Arial" w:hAnsi="Arial"/>
                <w:sz w:val="18"/>
              </w:rPr>
              <w:t>Descarga de series históricas de IED para Venezuela desde UNCTAD World Investment Report (1990–2024) y CEPAL</w:t>
            </w:r>
          </w:p>
        </w:tc>
        <w:tc>
          <w:tcPr>
            <w:tcW w:type="dxa" w:w="3041"/>
          </w:tcPr>
          <w:p>
            <w:r>
              <w:rPr>
                <w:rFonts w:ascii="Arial" w:hAnsi="Arial"/>
                <w:sz w:val="18"/>
              </w:rPr>
              <w:t>Dataset IED validado con dos fuentes independientes</w:t>
            </w:r>
          </w:p>
        </w:tc>
      </w:tr>
      <w:tr>
        <w:tc>
          <w:tcPr>
            <w:tcW w:type="dxa" w:w="3041"/>
            <w:shd w:val="clear" w:color="auto" w:fill="E2EFDA"/>
          </w:tcPr>
          <w:p>
            <w:r>
              <w:rPr>
                <w:rFonts w:ascii="Arial" w:hAnsi="Arial"/>
                <w:b/>
                <w:sz w:val="18"/>
              </w:rPr>
              <w:t>A6.2</w:t>
            </w:r>
          </w:p>
        </w:tc>
        <w:tc>
          <w:tcPr>
            <w:tcW w:type="dxa" w:w="3041"/>
          </w:tcPr>
          <w:p>
            <w:r>
              <w:rPr>
                <w:rFonts w:ascii="Arial" w:hAnsi="Arial"/>
                <w:sz w:val="18"/>
              </w:rPr>
              <w:t>Cálculo de correlación de Spearman entre IMIV-VEN histórico e IED anual con test de significancia (p-valor &lt; 0,05)</w:t>
            </w:r>
          </w:p>
        </w:tc>
        <w:tc>
          <w:tcPr>
            <w:tcW w:type="dxa" w:w="3041"/>
          </w:tcPr>
          <w:p>
            <w:r>
              <w:rPr>
                <w:rFonts w:ascii="Arial" w:hAnsi="Arial"/>
                <w:sz w:val="18"/>
              </w:rPr>
              <w:t>Informe estadístico de correlación con interpretación</w:t>
            </w:r>
          </w:p>
        </w:tc>
      </w:tr>
      <w:tr>
        <w:tc>
          <w:tcPr>
            <w:tcW w:type="dxa" w:w="3041"/>
            <w:shd w:val="clear" w:color="auto" w:fill="E2EFDA"/>
          </w:tcPr>
          <w:p>
            <w:r>
              <w:rPr>
                <w:rFonts w:ascii="Arial" w:hAnsi="Arial"/>
                <w:b/>
                <w:sz w:val="18"/>
              </w:rPr>
              <w:t>A6.3</w:t>
            </w:r>
          </w:p>
        </w:tc>
        <w:tc>
          <w:tcPr>
            <w:tcW w:type="dxa" w:w="3041"/>
          </w:tcPr>
          <w:p>
            <w:r>
              <w:rPr>
                <w:rFonts w:ascii="Arial" w:hAnsi="Arial"/>
                <w:sz w:val="18"/>
              </w:rPr>
              <w:t>Análisis cualitativo por eventos: verificación de que el IMIV-VEN se comporta coherentemente con las sanciones 2019, la apertura Chevron 2022 y la captura de Maduro 2026</w:t>
            </w:r>
          </w:p>
        </w:tc>
        <w:tc>
          <w:tcPr>
            <w:tcW w:type="dxa" w:w="3041"/>
          </w:tcPr>
          <w:p>
            <w:r>
              <w:rPr>
                <w:rFonts w:ascii="Arial" w:hAnsi="Arial"/>
                <w:sz w:val="18"/>
              </w:rPr>
              <w:t>Análisis histórico con visualizaciones anotadas</w:t>
            </w:r>
          </w:p>
        </w:tc>
      </w:tr>
      <w:tr>
        <w:tc>
          <w:tcPr>
            <w:tcW w:type="dxa" w:w="3041"/>
            <w:shd w:val="clear" w:color="auto" w:fill="E2EFDA"/>
          </w:tcPr>
          <w:p>
            <w:r>
              <w:rPr>
                <w:rFonts w:ascii="Arial" w:hAnsi="Arial"/>
                <w:b/>
                <w:sz w:val="18"/>
              </w:rPr>
              <w:t>A6.4</w:t>
            </w:r>
          </w:p>
        </w:tc>
        <w:tc>
          <w:tcPr>
            <w:tcW w:type="dxa" w:w="3041"/>
          </w:tcPr>
          <w:p>
            <w:r>
              <w:rPr>
                <w:rFonts w:ascii="Arial" w:hAnsi="Arial"/>
                <w:sz w:val="18"/>
              </w:rPr>
              <w:t>Redacción del capítulo de validación: resultados, limitaciones metodológicas y discusión académica</w:t>
            </w:r>
          </w:p>
        </w:tc>
        <w:tc>
          <w:tcPr>
            <w:tcW w:type="dxa" w:w="3041"/>
          </w:tcPr>
          <w:p>
            <w:r>
              <w:rPr>
                <w:rFonts w:ascii="Arial" w:hAnsi="Arial"/>
                <w:sz w:val="18"/>
              </w:rPr>
              <w:t>Capítulo de validación listo para revisión del director</w:t>
            </w:r>
          </w:p>
        </w:tc>
      </w:tr>
    </w:tbl>
    <w:p/>
    <w:p>
      <w:pPr>
        <w:spacing w:before="160" w:after="80"/>
      </w:pPr>
      <w:r>
        <w:rPr>
          <w:rFonts w:ascii="Arial" w:hAnsi="Arial"/>
          <w:b/>
          <w:color w:val="2E75B6"/>
          <w:sz w:val="22"/>
        </w:rPr>
        <w:t>Fase 7: Dashboard ejecutivo interactivo  ·  Mar–May 2027</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rFonts w:ascii="Arial" w:hAnsi="Arial"/>
                <w:b/>
                <w:color w:val="FFFFFF"/>
                <w:sz w:val="18"/>
              </w:rPr>
              <w:t>ID</w:t>
            </w:r>
          </w:p>
        </w:tc>
        <w:tc>
          <w:tcPr>
            <w:tcW w:type="dxa" w:w="3041"/>
            <w:shd w:val="clear" w:color="auto" w:fill="2E75B6"/>
          </w:tcPr>
          <w:p>
            <w:pPr>
              <w:jc w:val="center"/>
            </w:pPr>
            <w:r>
              <w:rPr>
                <w:rFonts w:ascii="Arial" w:hAnsi="Arial"/>
                <w:b/>
                <w:color w:val="FFFFFF"/>
                <w:sz w:val="18"/>
              </w:rPr>
              <w:t>ACTIVIDAD</w:t>
            </w:r>
          </w:p>
        </w:tc>
        <w:tc>
          <w:tcPr>
            <w:tcW w:type="dxa" w:w="3041"/>
            <w:shd w:val="clear" w:color="auto" w:fill="2E75B6"/>
          </w:tcPr>
          <w:p>
            <w:pPr>
              <w:jc w:val="center"/>
            </w:pPr>
            <w:r>
              <w:rPr>
                <w:rFonts w:ascii="Arial" w:hAnsi="Arial"/>
                <w:b/>
                <w:color w:val="FFFFFF"/>
                <w:sz w:val="18"/>
              </w:rPr>
              <w:t>ENTREGABLE</w:t>
            </w:r>
          </w:p>
        </w:tc>
      </w:tr>
      <w:tr>
        <w:tc>
          <w:tcPr>
            <w:tcW w:type="dxa" w:w="3041"/>
            <w:shd w:val="clear" w:color="auto" w:fill="FFF2CC"/>
          </w:tcPr>
          <w:p>
            <w:r>
              <w:rPr>
                <w:rFonts w:ascii="Arial" w:hAnsi="Arial"/>
                <w:b/>
                <w:sz w:val="18"/>
              </w:rPr>
              <w:t>A7.1</w:t>
            </w:r>
          </w:p>
        </w:tc>
        <w:tc>
          <w:tcPr>
            <w:tcW w:type="dxa" w:w="3041"/>
          </w:tcPr>
          <w:p>
            <w:r>
              <w:rPr>
                <w:rFonts w:ascii="Arial" w:hAnsi="Arial"/>
                <w:sz w:val="18"/>
              </w:rPr>
              <w:t>Diseño de wireframes del dashboard: layout ejecutivo, visualizaciones requeridas, panel de alertas SATV y guía de lectura</w:t>
            </w:r>
          </w:p>
        </w:tc>
        <w:tc>
          <w:tcPr>
            <w:tcW w:type="dxa" w:w="3041"/>
          </w:tcPr>
          <w:p>
            <w:r>
              <w:rPr>
                <w:rFonts w:ascii="Arial" w:hAnsi="Arial"/>
                <w:sz w:val="18"/>
              </w:rPr>
              <w:t>Wireframes aprobados por el director y por usuarios de prueba</w:t>
            </w:r>
          </w:p>
        </w:tc>
      </w:tr>
      <w:tr>
        <w:tc>
          <w:tcPr>
            <w:tcW w:type="dxa" w:w="3041"/>
            <w:shd w:val="clear" w:color="auto" w:fill="FFF2CC"/>
          </w:tcPr>
          <w:p>
            <w:r>
              <w:rPr>
                <w:rFonts w:ascii="Arial" w:hAnsi="Arial"/>
                <w:b/>
                <w:sz w:val="18"/>
              </w:rPr>
              <w:t>A7.2</w:t>
            </w:r>
          </w:p>
        </w:tc>
        <w:tc>
          <w:tcPr>
            <w:tcW w:type="dxa" w:w="3041"/>
          </w:tcPr>
          <w:p>
            <w:r>
              <w:rPr>
                <w:rFonts w:ascii="Arial" w:hAnsi="Arial"/>
                <w:sz w:val="18"/>
              </w:rPr>
              <w:t>Desarrollo técnico del dashboard con Python Dash y Plotly: gauge central, gráfico de radar por dimensiones, serie histórica con anotaciones, mapa de calor geográfico y panel de alertas</w:t>
            </w:r>
          </w:p>
        </w:tc>
        <w:tc>
          <w:tcPr>
            <w:tcW w:type="dxa" w:w="3041"/>
          </w:tcPr>
          <w:p>
            <w:r>
              <w:rPr>
                <w:rFonts w:ascii="Arial" w:hAnsi="Arial"/>
                <w:sz w:val="18"/>
              </w:rPr>
              <w:t>Dashboard v1.0 funcional localmente</w:t>
            </w:r>
          </w:p>
        </w:tc>
      </w:tr>
      <w:tr>
        <w:tc>
          <w:tcPr>
            <w:tcW w:type="dxa" w:w="3041"/>
            <w:shd w:val="clear" w:color="auto" w:fill="FFF2CC"/>
          </w:tcPr>
          <w:p>
            <w:r>
              <w:rPr>
                <w:rFonts w:ascii="Arial" w:hAnsi="Arial"/>
                <w:b/>
                <w:sz w:val="18"/>
              </w:rPr>
              <w:t>A7.3</w:t>
            </w:r>
          </w:p>
        </w:tc>
        <w:tc>
          <w:tcPr>
            <w:tcW w:type="dxa" w:w="3041"/>
          </w:tcPr>
          <w:p>
            <w:r>
              <w:rPr>
                <w:rFonts w:ascii="Arial" w:hAnsi="Arial"/>
                <w:sz w:val="18"/>
              </w:rPr>
              <w:t>Implementación de actualización automática: APIs del Banco Mundial, Google Trends y OFAC se actualizan programáticamente en el dashboard</w:t>
            </w:r>
          </w:p>
        </w:tc>
        <w:tc>
          <w:tcPr>
            <w:tcW w:type="dxa" w:w="3041"/>
          </w:tcPr>
          <w:p>
            <w:r>
              <w:rPr>
                <w:rFonts w:ascii="Arial" w:hAnsi="Arial"/>
                <w:sz w:val="18"/>
              </w:rPr>
              <w:t>Script de actualización automática integrado al dashboard</w:t>
            </w:r>
          </w:p>
        </w:tc>
      </w:tr>
      <w:tr>
        <w:tc>
          <w:tcPr>
            <w:tcW w:type="dxa" w:w="3041"/>
            <w:shd w:val="clear" w:color="auto" w:fill="FFF2CC"/>
          </w:tcPr>
          <w:p>
            <w:r>
              <w:rPr>
                <w:rFonts w:ascii="Arial" w:hAnsi="Arial"/>
                <w:b/>
                <w:sz w:val="18"/>
              </w:rPr>
              <w:t>A7.4</w:t>
            </w:r>
          </w:p>
        </w:tc>
        <w:tc>
          <w:tcPr>
            <w:tcW w:type="dxa" w:w="3041"/>
          </w:tcPr>
          <w:p>
            <w:r>
              <w:rPr>
                <w:rFonts w:ascii="Arial" w:hAnsi="Arial"/>
                <w:sz w:val="18"/>
              </w:rPr>
              <w:t>Prueba de usabilidad con cinco directivos del perfil objetivo: evaluación de comprensión, velocidad de interpretación y satisfacción</w:t>
            </w:r>
          </w:p>
        </w:tc>
        <w:tc>
          <w:tcPr>
            <w:tcW w:type="dxa" w:w="3041"/>
          </w:tcPr>
          <w:p>
            <w:r>
              <w:rPr>
                <w:rFonts w:ascii="Arial" w:hAnsi="Arial"/>
                <w:sz w:val="18"/>
              </w:rPr>
              <w:t>Informe de usabilidad + dashboard v2.0 con ajustes incorporados</w:t>
            </w:r>
          </w:p>
        </w:tc>
      </w:tr>
    </w:tbl>
    <w:p/>
    <w:p>
      <w:pPr>
        <w:spacing w:before="160" w:after="80"/>
      </w:pPr>
      <w:r>
        <w:rPr>
          <w:rFonts w:ascii="Arial" w:hAnsi="Arial"/>
          <w:b/>
          <w:color w:val="2E75B6"/>
          <w:sz w:val="22"/>
        </w:rPr>
        <w:t>Fase 8: Redacción final, validación y defensa  ·  Abr–Jun 2027</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rFonts w:ascii="Arial" w:hAnsi="Arial"/>
                <w:b/>
                <w:color w:val="FFFFFF"/>
                <w:sz w:val="18"/>
              </w:rPr>
              <w:t>ID</w:t>
            </w:r>
          </w:p>
        </w:tc>
        <w:tc>
          <w:tcPr>
            <w:tcW w:type="dxa" w:w="3041"/>
            <w:shd w:val="clear" w:color="auto" w:fill="2E75B6"/>
          </w:tcPr>
          <w:p>
            <w:pPr>
              <w:jc w:val="center"/>
            </w:pPr>
            <w:r>
              <w:rPr>
                <w:rFonts w:ascii="Arial" w:hAnsi="Arial"/>
                <w:b/>
                <w:color w:val="FFFFFF"/>
                <w:sz w:val="18"/>
              </w:rPr>
              <w:t>ACTIVIDAD</w:t>
            </w:r>
          </w:p>
        </w:tc>
        <w:tc>
          <w:tcPr>
            <w:tcW w:type="dxa" w:w="3041"/>
            <w:shd w:val="clear" w:color="auto" w:fill="2E75B6"/>
          </w:tcPr>
          <w:p>
            <w:pPr>
              <w:jc w:val="center"/>
            </w:pPr>
            <w:r>
              <w:rPr>
                <w:rFonts w:ascii="Arial" w:hAnsi="Arial"/>
                <w:b/>
                <w:color w:val="FFFFFF"/>
                <w:sz w:val="18"/>
              </w:rPr>
              <w:t>ENTREGABLE</w:t>
            </w:r>
          </w:p>
        </w:tc>
      </w:tr>
      <w:tr>
        <w:tc>
          <w:tcPr>
            <w:tcW w:type="dxa" w:w="3041"/>
            <w:shd w:val="clear" w:color="auto" w:fill="2E75B6"/>
          </w:tcPr>
          <w:p>
            <w:r>
              <w:rPr>
                <w:rFonts w:ascii="Arial" w:hAnsi="Arial"/>
                <w:b/>
                <w:sz w:val="18"/>
              </w:rPr>
              <w:t>A8.1</w:t>
            </w:r>
          </w:p>
        </w:tc>
        <w:tc>
          <w:tcPr>
            <w:tcW w:type="dxa" w:w="3041"/>
          </w:tcPr>
          <w:p>
            <w:r>
              <w:rPr>
                <w:rFonts w:ascii="Arial" w:hAnsi="Arial"/>
                <w:sz w:val="18"/>
              </w:rPr>
              <w:t>Redacción integral del documento de tesis: introducción, marco teórico, metodología, resultados, validación y conclusiones</w:t>
            </w:r>
          </w:p>
        </w:tc>
        <w:tc>
          <w:tcPr>
            <w:tcW w:type="dxa" w:w="3041"/>
          </w:tcPr>
          <w:p>
            <w:r>
              <w:rPr>
                <w:rFonts w:ascii="Arial" w:hAnsi="Arial"/>
                <w:sz w:val="18"/>
              </w:rPr>
              <w:t>Documento de tesis v1.0 completo</w:t>
            </w:r>
          </w:p>
        </w:tc>
      </w:tr>
      <w:tr>
        <w:tc>
          <w:tcPr>
            <w:tcW w:type="dxa" w:w="3041"/>
            <w:shd w:val="clear" w:color="auto" w:fill="2E75B6"/>
          </w:tcPr>
          <w:p>
            <w:r>
              <w:rPr>
                <w:rFonts w:ascii="Arial" w:hAnsi="Arial"/>
                <w:b/>
                <w:sz w:val="18"/>
              </w:rPr>
              <w:t>A8.2</w:t>
            </w:r>
          </w:p>
        </w:tc>
        <w:tc>
          <w:tcPr>
            <w:tcW w:type="dxa" w:w="3041"/>
          </w:tcPr>
          <w:p>
            <w:r>
              <w:rPr>
                <w:rFonts w:ascii="Arial" w:hAnsi="Arial"/>
                <w:sz w:val="18"/>
              </w:rPr>
              <w:t>Revisión por pares y por el director de tesis: incorporación de retroalimentación y ajustes al documento</w:t>
            </w:r>
          </w:p>
        </w:tc>
        <w:tc>
          <w:tcPr>
            <w:tcW w:type="dxa" w:w="3041"/>
          </w:tcPr>
          <w:p>
            <w:r>
              <w:rPr>
                <w:rFonts w:ascii="Arial" w:hAnsi="Arial"/>
                <w:sz w:val="18"/>
              </w:rPr>
              <w:t>Documento de tesis v2.0 revisado</w:t>
            </w:r>
          </w:p>
        </w:tc>
      </w:tr>
      <w:tr>
        <w:tc>
          <w:tcPr>
            <w:tcW w:type="dxa" w:w="3041"/>
            <w:shd w:val="clear" w:color="auto" w:fill="2E75B6"/>
          </w:tcPr>
          <w:p>
            <w:r>
              <w:rPr>
                <w:rFonts w:ascii="Arial" w:hAnsi="Arial"/>
                <w:b/>
                <w:sz w:val="18"/>
              </w:rPr>
              <w:t>A8.3</w:t>
            </w:r>
          </w:p>
        </w:tc>
        <w:tc>
          <w:tcPr>
            <w:tcW w:type="dxa" w:w="3041"/>
          </w:tcPr>
          <w:p>
            <w:r>
              <w:rPr>
                <w:rFonts w:ascii="Arial" w:hAnsi="Arial"/>
                <w:sz w:val="18"/>
              </w:rPr>
              <w:t>Preparación de la presentación de defensa: diapositivas, narrativa y simulacro de preguntas del jurado</w:t>
            </w:r>
          </w:p>
        </w:tc>
        <w:tc>
          <w:tcPr>
            <w:tcW w:type="dxa" w:w="3041"/>
          </w:tcPr>
          <w:p>
            <w:r>
              <w:rPr>
                <w:rFonts w:ascii="Arial" w:hAnsi="Arial"/>
                <w:sz w:val="18"/>
              </w:rPr>
              <w:t>Presentación de defensa lista</w:t>
            </w:r>
          </w:p>
        </w:tc>
      </w:tr>
      <w:tr>
        <w:tc>
          <w:tcPr>
            <w:tcW w:type="dxa" w:w="3041"/>
            <w:shd w:val="clear" w:color="auto" w:fill="2E75B6"/>
          </w:tcPr>
          <w:p>
            <w:r>
              <w:rPr>
                <w:rFonts w:ascii="Arial" w:hAnsi="Arial"/>
                <w:b/>
                <w:sz w:val="18"/>
              </w:rPr>
              <w:t>A8.4</w:t>
            </w:r>
          </w:p>
        </w:tc>
        <w:tc>
          <w:tcPr>
            <w:tcW w:type="dxa" w:w="3041"/>
          </w:tcPr>
          <w:p>
            <w:r>
              <w:rPr>
                <w:rFonts w:ascii="Arial" w:hAnsi="Arial"/>
                <w:sz w:val="18"/>
              </w:rPr>
              <w:t>Defensa pública de la tesis y entrega del documento final</w:t>
            </w:r>
          </w:p>
        </w:tc>
        <w:tc>
          <w:tcPr>
            <w:tcW w:type="dxa" w:w="3041"/>
          </w:tcPr>
          <w:p>
            <w:r>
              <w:rPr>
                <w:rFonts w:ascii="Arial" w:hAnsi="Arial"/>
                <w:sz w:val="18"/>
              </w:rPr>
              <w:t>Tesis defendida y aprobada — Junio 2027</w:t>
            </w:r>
          </w:p>
        </w:tc>
      </w:tr>
    </w:tbl>
    <w:p/>
    <w:p>
      <w:pPr>
        <w:spacing w:before="160" w:after="80"/>
      </w:pPr>
      <w:r>
        <w:rPr>
          <w:rFonts w:ascii="Arial" w:hAnsi="Arial"/>
          <w:b/>
          <w:color w:val="2E75B6"/>
          <w:sz w:val="22"/>
        </w:rPr>
        <w:t>Cronograma de Gantt — 12 Meses (Junio 2026 – Junio 2027)</w:t>
      </w:r>
    </w:p>
    <w:tbl>
      <w:tblPr>
        <w:tblStyle w:val="TableGrid"/>
        <w:tblW w:type="auto" w:w="0"/>
        <w:tblLook w:firstColumn="1" w:firstRow="1" w:lastColumn="0" w:lastRow="0" w:noHBand="0" w:noVBand="1" w:val="04A0"/>
      </w:tblPr>
      <w:tblGrid>
        <w:gridCol w:w="702"/>
        <w:gridCol w:w="702"/>
        <w:gridCol w:w="702"/>
        <w:gridCol w:w="702"/>
        <w:gridCol w:w="702"/>
        <w:gridCol w:w="702"/>
        <w:gridCol w:w="702"/>
        <w:gridCol w:w="702"/>
        <w:gridCol w:w="702"/>
        <w:gridCol w:w="702"/>
        <w:gridCol w:w="702"/>
        <w:gridCol w:w="702"/>
        <w:gridCol w:w="702"/>
      </w:tblGrid>
      <w:tr>
        <w:tc>
          <w:tcPr>
            <w:tcW w:type="dxa" w:w="702"/>
            <w:shd w:val="clear" w:color="auto" w:fill="1F497D"/>
          </w:tcPr>
          <w:p>
            <w:pPr>
              <w:jc w:val="center"/>
            </w:pPr>
            <w:r>
              <w:rPr>
                <w:rFonts w:ascii="Arial" w:hAnsi="Arial"/>
                <w:b/>
                <w:color w:val="FFFFFF"/>
                <w:sz w:val="18"/>
              </w:rPr>
              <w:t>FASE / ACTIVIDAD</w:t>
            </w:r>
          </w:p>
        </w:tc>
        <w:tc>
          <w:tcPr>
            <w:tcW w:type="dxa" w:w="702"/>
            <w:shd w:val="clear" w:color="auto" w:fill="1F497D"/>
          </w:tcPr>
          <w:p>
            <w:pPr>
              <w:jc w:val="center"/>
            </w:pPr>
            <w:r>
              <w:rPr>
                <w:rFonts w:ascii="Arial" w:hAnsi="Arial"/>
                <w:b/>
                <w:color w:val="FFFFFF"/>
                <w:sz w:val="18"/>
              </w:rPr>
              <w:t>Jun</w:t>
              <w:br/>
              <w:t>26</w:t>
            </w:r>
          </w:p>
        </w:tc>
        <w:tc>
          <w:tcPr>
            <w:tcW w:type="dxa" w:w="702"/>
            <w:shd w:val="clear" w:color="auto" w:fill="1F497D"/>
          </w:tcPr>
          <w:p>
            <w:pPr>
              <w:jc w:val="center"/>
            </w:pPr>
            <w:r>
              <w:rPr>
                <w:rFonts w:ascii="Arial" w:hAnsi="Arial"/>
                <w:b/>
                <w:color w:val="FFFFFF"/>
                <w:sz w:val="18"/>
              </w:rPr>
              <w:t>Jul</w:t>
              <w:br/>
              <w:t>26</w:t>
            </w:r>
          </w:p>
        </w:tc>
        <w:tc>
          <w:tcPr>
            <w:tcW w:type="dxa" w:w="702"/>
            <w:shd w:val="clear" w:color="auto" w:fill="1F497D"/>
          </w:tcPr>
          <w:p>
            <w:pPr>
              <w:jc w:val="center"/>
            </w:pPr>
            <w:r>
              <w:rPr>
                <w:rFonts w:ascii="Arial" w:hAnsi="Arial"/>
                <w:b/>
                <w:color w:val="FFFFFF"/>
                <w:sz w:val="18"/>
              </w:rPr>
              <w:t>Ago</w:t>
              <w:br/>
              <w:t>26</w:t>
            </w:r>
          </w:p>
        </w:tc>
        <w:tc>
          <w:tcPr>
            <w:tcW w:type="dxa" w:w="702"/>
            <w:shd w:val="clear" w:color="auto" w:fill="1F497D"/>
          </w:tcPr>
          <w:p>
            <w:pPr>
              <w:jc w:val="center"/>
            </w:pPr>
            <w:r>
              <w:rPr>
                <w:rFonts w:ascii="Arial" w:hAnsi="Arial"/>
                <w:b/>
                <w:color w:val="FFFFFF"/>
                <w:sz w:val="18"/>
              </w:rPr>
              <w:t>Sep</w:t>
              <w:br/>
              <w:t>26</w:t>
            </w:r>
          </w:p>
        </w:tc>
        <w:tc>
          <w:tcPr>
            <w:tcW w:type="dxa" w:w="702"/>
            <w:shd w:val="clear" w:color="auto" w:fill="1F497D"/>
          </w:tcPr>
          <w:p>
            <w:pPr>
              <w:jc w:val="center"/>
            </w:pPr>
            <w:r>
              <w:rPr>
                <w:rFonts w:ascii="Arial" w:hAnsi="Arial"/>
                <w:b/>
                <w:color w:val="FFFFFF"/>
                <w:sz w:val="18"/>
              </w:rPr>
              <w:t>Oct</w:t>
              <w:br/>
              <w:t>26</w:t>
            </w:r>
          </w:p>
        </w:tc>
        <w:tc>
          <w:tcPr>
            <w:tcW w:type="dxa" w:w="702"/>
            <w:shd w:val="clear" w:color="auto" w:fill="1F497D"/>
          </w:tcPr>
          <w:p>
            <w:pPr>
              <w:jc w:val="center"/>
            </w:pPr>
            <w:r>
              <w:rPr>
                <w:rFonts w:ascii="Arial" w:hAnsi="Arial"/>
                <w:b/>
                <w:color w:val="FFFFFF"/>
                <w:sz w:val="18"/>
              </w:rPr>
              <w:t>Nov</w:t>
              <w:br/>
              <w:t>26</w:t>
            </w:r>
          </w:p>
        </w:tc>
        <w:tc>
          <w:tcPr>
            <w:tcW w:type="dxa" w:w="702"/>
            <w:shd w:val="clear" w:color="auto" w:fill="1F497D"/>
          </w:tcPr>
          <w:p>
            <w:pPr>
              <w:jc w:val="center"/>
            </w:pPr>
            <w:r>
              <w:rPr>
                <w:rFonts w:ascii="Arial" w:hAnsi="Arial"/>
                <w:b/>
                <w:color w:val="FFFFFF"/>
                <w:sz w:val="18"/>
              </w:rPr>
              <w:t>Dic</w:t>
              <w:br/>
              <w:t>26</w:t>
            </w:r>
          </w:p>
        </w:tc>
        <w:tc>
          <w:tcPr>
            <w:tcW w:type="dxa" w:w="702"/>
            <w:shd w:val="clear" w:color="auto" w:fill="1F497D"/>
          </w:tcPr>
          <w:p>
            <w:pPr>
              <w:jc w:val="center"/>
            </w:pPr>
            <w:r>
              <w:rPr>
                <w:rFonts w:ascii="Arial" w:hAnsi="Arial"/>
                <w:b/>
                <w:color w:val="FFFFFF"/>
                <w:sz w:val="18"/>
              </w:rPr>
              <w:t>Ene</w:t>
              <w:br/>
              <w:t>27</w:t>
            </w:r>
          </w:p>
        </w:tc>
        <w:tc>
          <w:tcPr>
            <w:tcW w:type="dxa" w:w="702"/>
            <w:shd w:val="clear" w:color="auto" w:fill="1F497D"/>
          </w:tcPr>
          <w:p>
            <w:pPr>
              <w:jc w:val="center"/>
            </w:pPr>
            <w:r>
              <w:rPr>
                <w:rFonts w:ascii="Arial" w:hAnsi="Arial"/>
                <w:b/>
                <w:color w:val="FFFFFF"/>
                <w:sz w:val="18"/>
              </w:rPr>
              <w:t>Feb</w:t>
              <w:br/>
              <w:t>27</w:t>
            </w:r>
          </w:p>
        </w:tc>
        <w:tc>
          <w:tcPr>
            <w:tcW w:type="dxa" w:w="702"/>
            <w:shd w:val="clear" w:color="auto" w:fill="1F497D"/>
          </w:tcPr>
          <w:p>
            <w:pPr>
              <w:jc w:val="center"/>
            </w:pPr>
            <w:r>
              <w:rPr>
                <w:rFonts w:ascii="Arial" w:hAnsi="Arial"/>
                <w:b/>
                <w:color w:val="FFFFFF"/>
                <w:sz w:val="18"/>
              </w:rPr>
              <w:t>Mar</w:t>
              <w:br/>
              <w:t>27</w:t>
            </w:r>
          </w:p>
        </w:tc>
        <w:tc>
          <w:tcPr>
            <w:tcW w:type="dxa" w:w="702"/>
            <w:shd w:val="clear" w:color="auto" w:fill="1F497D"/>
          </w:tcPr>
          <w:p>
            <w:pPr>
              <w:jc w:val="center"/>
            </w:pPr>
            <w:r>
              <w:rPr>
                <w:rFonts w:ascii="Arial" w:hAnsi="Arial"/>
                <w:b/>
                <w:color w:val="FFFFFF"/>
                <w:sz w:val="18"/>
              </w:rPr>
              <w:t>Abr</w:t>
              <w:br/>
              <w:t>27</w:t>
            </w:r>
          </w:p>
        </w:tc>
        <w:tc>
          <w:tcPr>
            <w:tcW w:type="dxa" w:w="702"/>
            <w:shd w:val="clear" w:color="auto" w:fill="1F497D"/>
          </w:tcPr>
          <w:p>
            <w:pPr>
              <w:jc w:val="center"/>
            </w:pPr>
            <w:r>
              <w:rPr>
                <w:rFonts w:ascii="Arial" w:hAnsi="Arial"/>
                <w:b/>
                <w:color w:val="FFFFFF"/>
                <w:sz w:val="18"/>
              </w:rPr>
              <w:t>May-Jun</w:t>
              <w:br/>
              <w:t>27</w:t>
            </w:r>
          </w:p>
        </w:tc>
      </w:tr>
      <w:tr>
        <w:tc>
          <w:tcPr>
            <w:tcW w:type="dxa" w:w="702"/>
            <w:shd w:val="clear" w:color="auto" w:fill="D9E1F2"/>
          </w:tcPr>
          <w:p>
            <w:r>
              <w:rPr>
                <w:rFonts w:ascii="Arial" w:hAnsi="Arial"/>
                <w:b/>
                <w:sz w:val="14"/>
              </w:rPr>
              <w:t>Fase 1 — Fundamentación y fuentes</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r>
      <w:tr>
        <w:tc>
          <w:tcPr>
            <w:tcW w:type="dxa" w:w="702"/>
            <w:shd w:val="clear" w:color="auto" w:fill="D9E1F2"/>
          </w:tcPr>
          <w:p>
            <w:r>
              <w:rPr>
                <w:rFonts w:ascii="Arial" w:hAnsi="Arial"/>
                <w:b/>
                <w:sz w:val="14"/>
              </w:rPr>
              <w:t>Fase 2 — Dataset estratégico (IMIV-VEN)</w:t>
            </w:r>
          </w:p>
        </w:tc>
        <w:tc>
          <w:tcPr>
            <w:tcW w:type="dxa" w:w="702"/>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r>
      <w:tr>
        <w:tc>
          <w:tcPr>
            <w:tcW w:type="dxa" w:w="702"/>
            <w:shd w:val="clear" w:color="auto" w:fill="D9E1F2"/>
          </w:tcPr>
          <w:p>
            <w:r>
              <w:rPr>
                <w:rFonts w:ascii="Arial" w:hAnsi="Arial"/>
                <w:b/>
                <w:sz w:val="14"/>
              </w:rPr>
              <w:t>Fase 3 — Modelo matemático IMIV-VEN</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r>
      <w:tr>
        <w:tc>
          <w:tcPr>
            <w:tcW w:type="dxa" w:w="702"/>
            <w:shd w:val="clear" w:color="auto" w:fill="D9E1F2"/>
          </w:tcPr>
          <w:p>
            <w:r>
              <w:rPr>
                <w:rFonts w:ascii="Arial" w:hAnsi="Arial"/>
                <w:b/>
                <w:sz w:val="14"/>
              </w:rPr>
              <w:t>Fase 4 — Dataset operativo (SATV)</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r>
      <w:tr>
        <w:tc>
          <w:tcPr>
            <w:tcW w:type="dxa" w:w="702"/>
            <w:shd w:val="clear" w:color="auto" w:fill="D9E1F2"/>
          </w:tcPr>
          <w:p>
            <w:r>
              <w:rPr>
                <w:rFonts w:ascii="Arial" w:hAnsi="Arial"/>
                <w:b/>
                <w:sz w:val="14"/>
              </w:rPr>
              <w:t>Fase 5 — Módulo alertas tempranas SATV</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r>
      <w:tr>
        <w:tc>
          <w:tcPr>
            <w:tcW w:type="dxa" w:w="702"/>
            <w:shd w:val="clear" w:color="auto" w:fill="D9E1F2"/>
          </w:tcPr>
          <w:p>
            <w:r>
              <w:rPr>
                <w:rFonts w:ascii="Arial" w:hAnsi="Arial"/>
                <w:b/>
                <w:sz w:val="14"/>
              </w:rPr>
              <w:t>Fase 6 — Validación empírica</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tcPr>
          <w:p>
            <w:r>
              <w:rPr>
                <w:sz w:val="14"/>
              </w:rPr>
              <w:t xml:space="preserve"> </w:t>
            </w:r>
          </w:p>
        </w:tc>
        <w:tc>
          <w:tcPr>
            <w:tcW w:type="dxa" w:w="702"/>
          </w:tcPr>
          <w:p>
            <w:r>
              <w:rPr>
                <w:sz w:val="14"/>
              </w:rPr>
              <w:t xml:space="preserve"> </w:t>
            </w:r>
          </w:p>
        </w:tc>
      </w:tr>
      <w:tr>
        <w:tc>
          <w:tcPr>
            <w:tcW w:type="dxa" w:w="702"/>
            <w:shd w:val="clear" w:color="auto" w:fill="D9E1F2"/>
          </w:tcPr>
          <w:p>
            <w:r>
              <w:rPr>
                <w:rFonts w:ascii="Arial" w:hAnsi="Arial"/>
                <w:b/>
                <w:sz w:val="14"/>
              </w:rPr>
              <w:t>Fase 7 — Dashboard ejecutivo</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tcPr>
          <w:p>
            <w:r>
              <w:rPr>
                <w:sz w:val="14"/>
              </w:rPr>
              <w:t xml:space="preserve"> </w:t>
            </w:r>
          </w:p>
        </w:tc>
      </w:tr>
      <w:tr>
        <w:tc>
          <w:tcPr>
            <w:tcW w:type="dxa" w:w="702"/>
            <w:shd w:val="clear" w:color="auto" w:fill="D9E1F2"/>
          </w:tcPr>
          <w:p>
            <w:r>
              <w:rPr>
                <w:rFonts w:ascii="Arial" w:hAnsi="Arial"/>
                <w:b/>
                <w:sz w:val="14"/>
              </w:rPr>
              <w:t>Fase 8 — Redacción y defensa</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r>
      <w:tr>
        <w:tc>
          <w:tcPr>
            <w:tcW w:type="dxa" w:w="702"/>
            <w:shd w:val="clear" w:color="auto" w:fill="D9E1F2"/>
          </w:tcPr>
          <w:p>
            <w:r>
              <w:rPr>
                <w:rFonts w:ascii="Arial" w:hAnsi="Arial"/>
                <w:b/>
                <w:sz w:val="14"/>
              </w:rPr>
              <w:t>Redacción paralela de capítulos</w:t>
            </w:r>
          </w:p>
        </w:tc>
        <w:tc>
          <w:tcPr>
            <w:tcW w:type="dxa" w:w="702"/>
          </w:tcPr>
          <w:p>
            <w:r>
              <w:rPr>
                <w:sz w:val="14"/>
              </w:rPr>
              <w:t xml:space="preserve"> </w:t>
            </w:r>
          </w:p>
        </w:tc>
        <w:tc>
          <w:tcPr>
            <w:tcW w:type="dxa" w:w="702"/>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shd w:val="clear" w:color="auto" w:fill="2E75B6"/>
          </w:tcPr>
          <w:p>
            <w:r>
              <w:rPr>
                <w:sz w:val="14"/>
              </w:rPr>
              <w:t xml:space="preserve"> </w:t>
            </w:r>
          </w:p>
        </w:tc>
        <w:tc>
          <w:tcPr>
            <w:tcW w:type="dxa" w:w="702"/>
          </w:tcPr>
          <w:p>
            <w:r>
              <w:rPr>
                <w:sz w:val="14"/>
              </w:rPr>
              <w:t xml:space="preserve"> </w:t>
            </w:r>
          </w:p>
        </w:tc>
      </w:tr>
    </w:tbl>
    <w:p>
      <w:pPr>
        <w:pBdr>
          <w:bottom w:val="single" w:sz="6" w:space="1" w:color="1F497D"/>
        </w:pBdr>
        <w:spacing w:before="80" w:after="80"/>
      </w:pPr>
    </w:p>
    <w:p>
      <w:pPr>
        <w:spacing w:before="240" w:after="120"/>
        <w:shd w:val="clear" w:color="auto" w:fill="1F497D"/>
      </w:pPr>
      <w:r>
        <w:rPr>
          <w:rFonts w:ascii="Arial" w:hAnsi="Arial"/>
          <w:b/>
          <w:color w:val="FFFFFF"/>
          <w:sz w:val="26"/>
        </w:rPr>
        <w:t>ELEMENTO 8: Historias de Usuario</w:t>
      </w:r>
    </w:p>
    <w:p>
      <w:pPr>
        <w:spacing w:before="160" w:after="80"/>
      </w:pPr>
      <w:r>
        <w:rPr>
          <w:rFonts w:ascii="Arial" w:hAnsi="Arial"/>
          <w:b/>
          <w:color w:val="2E75B6"/>
          <w:sz w:val="22"/>
        </w:rPr>
        <w:t>HU-01: Catálogo de fuentes de datos alternativas e independientes</w:t>
      </w:r>
    </w:p>
    <w:tbl>
      <w:tblPr>
        <w:tblStyle w:val="TableGrid"/>
        <w:tblW w:type="auto" w:w="0"/>
        <w:tblLook w:firstColumn="1" w:firstRow="1" w:lastColumn="0" w:lastRow="0" w:noHBand="0" w:noVBand="1" w:val="04A0"/>
      </w:tblPr>
      <w:tblGrid>
        <w:gridCol w:w="9122"/>
      </w:tblGrid>
      <w:tr>
        <w:tc>
          <w:tcPr>
            <w:tcW w:type="dxa" w:w="9122"/>
            <w:shd w:val="clear" w:color="auto" w:fill="1F497D"/>
          </w:tcPr>
          <w:p>
            <w:r>
              <w:rPr>
                <w:rFonts w:ascii="Arial" w:hAnsi="Arial"/>
                <w:b/>
                <w:color w:val="FFFFFF"/>
                <w:sz w:val="18"/>
              </w:rPr>
              <w:t>CONSTRUCCIÓN DE LA HISTORIA DE USUARIO</w:t>
            </w:r>
          </w:p>
        </w:tc>
      </w:tr>
      <w:tr>
        <w:tc>
          <w:tcPr>
            <w:tcW w:type="dxa" w:w="9122"/>
            <w:shd w:val="clear" w:color="auto" w:fill="EBF3FB"/>
          </w:tcPr>
          <w:p>
            <w:r>
              <w:rPr>
                <w:rFonts w:ascii="Arial" w:hAnsi="Arial"/>
                <w:i/>
                <w:sz w:val="20"/>
              </w:rPr>
              <w:t>Yo como analista de inteligencia de negocios del equipo de investigación quiero tener un catálogo completo, verificado y documentado de todas las fuentes de datos disponibles para Venezuela, para poder seleccionar con criterio técnico las variables más confiables e independientes del gobierno venezolano.</w:t>
            </w:r>
          </w:p>
        </w:tc>
      </w:tr>
      <w:tr>
        <w:tc>
          <w:tcPr>
            <w:tcW w:type="dxa" w:w="9122"/>
          </w:tcPr>
          <w:p>
            <w:r>
              <w:rPr>
                <w:rFonts w:ascii="Arial" w:hAnsi="Arial"/>
                <w:b/>
                <w:sz w:val="18"/>
              </w:rPr>
              <w:t>CRITERIOS DE ACEPTACIÓN:</w:t>
              <w:br/>
            </w:r>
            <w:r>
              <w:rPr>
                <w:rFonts w:ascii="Arial" w:hAnsi="Arial"/>
                <w:sz w:val="18"/>
              </w:rPr>
              <w:t>Criterio 1: El catálogo incluye mínimo 25 fuentes clasificadas en seis categorías: satelital, macroeconómica, institucional, financiera, digital e informal.</w:t>
              <w:br/>
            </w:r>
            <w:r>
              <w:rPr>
                <w:rFonts w:ascii="Arial" w:hAnsi="Arial"/>
                <w:sz w:val="18"/>
              </w:rPr>
              <w:t>Criterio 2: Cada fuente documenta: URL exacta de acceso, variable asociada, período de cobertura, frecuencia de actualización, formato de descarga y nivel de confiabilidad en escala 1–5.</w:t>
              <w:br/>
            </w:r>
            <w:r>
              <w:rPr>
                <w:rFonts w:ascii="Arial" w:hAnsi="Arial"/>
                <w:sz w:val="18"/>
              </w:rPr>
              <w:t>Criterio 3: Se excluyen y señalan explícitamente todas las fuentes del gobierno venezolano (BCV, INE, PDVSA) sin respaldo externo verificable.</w:t>
              <w:br/>
            </w:r>
            <w:r>
              <w:rPr>
                <w:rFonts w:ascii="Arial" w:hAnsi="Arial"/>
                <w:sz w:val="18"/>
              </w:rPr>
              <w:t>Criterio 4: El catálogo está disponible en formato .xlsx en el repositorio GitHub del proyecto y referenciado en el capítulo metodológico de la tesis.</w:t>
              <w:br/>
            </w:r>
          </w:p>
        </w:tc>
      </w:tr>
    </w:tbl>
    <w:p/>
    <w:p>
      <w:pPr>
        <w:spacing w:before="160" w:after="80"/>
      </w:pPr>
      <w:r>
        <w:rPr>
          <w:rFonts w:ascii="Arial" w:hAnsi="Arial"/>
          <w:b/>
          <w:color w:val="2E75B6"/>
          <w:sz w:val="22"/>
        </w:rPr>
        <w:t>HU-02: Dataset de luminosidad nocturna VIIRS para Venezuela 2013–2026</w:t>
      </w:r>
    </w:p>
    <w:tbl>
      <w:tblPr>
        <w:tblStyle w:val="TableGrid"/>
        <w:tblW w:type="auto" w:w="0"/>
        <w:tblLook w:firstColumn="1" w:firstRow="1" w:lastColumn="0" w:lastRow="0" w:noHBand="0" w:noVBand="1" w:val="04A0"/>
      </w:tblPr>
      <w:tblGrid>
        <w:gridCol w:w="9122"/>
      </w:tblGrid>
      <w:tr>
        <w:tc>
          <w:tcPr>
            <w:tcW w:type="dxa" w:w="9122"/>
            <w:shd w:val="clear" w:color="auto" w:fill="1F497D"/>
          </w:tcPr>
          <w:p>
            <w:r>
              <w:rPr>
                <w:rFonts w:ascii="Arial" w:hAnsi="Arial"/>
                <w:b/>
                <w:color w:val="FFFFFF"/>
                <w:sz w:val="18"/>
              </w:rPr>
              <w:t>CONSTRUCCIÓN DE LA HISTORIA DE USUARIO</w:t>
            </w:r>
          </w:p>
        </w:tc>
      </w:tr>
      <w:tr>
        <w:tc>
          <w:tcPr>
            <w:tcW w:type="dxa" w:w="9122"/>
            <w:shd w:val="clear" w:color="auto" w:fill="EBF3FB"/>
          </w:tcPr>
          <w:p>
            <w:r>
              <w:rPr>
                <w:rFonts w:ascii="Arial" w:hAnsi="Arial"/>
                <w:i/>
                <w:sz w:val="20"/>
              </w:rPr>
              <w:t>Yo como analista de datos geoespaciales del proyecto quiero descargar y procesar series de tiempo de luminosidad nocturna VIIRS para Venezuela desde 2013 hasta 2026, para contar con un proxy objetivo e independiente de la actividad económica real venezolana que no dependa en absoluto de estadísticas oficiales.</w:t>
            </w:r>
          </w:p>
        </w:tc>
      </w:tr>
      <w:tr>
        <w:tc>
          <w:tcPr>
            <w:tcW w:type="dxa" w:w="9122"/>
          </w:tcPr>
          <w:p>
            <w:r>
              <w:rPr>
                <w:rFonts w:ascii="Arial" w:hAnsi="Arial"/>
                <w:b/>
                <w:sz w:val="18"/>
              </w:rPr>
              <w:t>CRITERIOS DE ACEPTACIÓN:</w:t>
              <w:br/>
            </w:r>
            <w:r>
              <w:rPr>
                <w:rFonts w:ascii="Arial" w:hAnsi="Arial"/>
                <w:sz w:val="18"/>
              </w:rPr>
              <w:t>Criterio 1: Se descargan datos anuales del producto VNP46A4 de NASA Earthdata o mediante Google Earth Engine para el polígono completo de Venezuela.</w:t>
              <w:br/>
            </w:r>
            <w:r>
              <w:rPr>
                <w:rFonts w:ascii="Arial" w:hAnsi="Arial"/>
                <w:sz w:val="18"/>
              </w:rPr>
              <w:t>Criterio 2: El dataset cubre el período 2013–2026 con datos anuales o mensuales según disponibilidad.</w:t>
              <w:br/>
            </w:r>
            <w:r>
              <w:rPr>
                <w:rFonts w:ascii="Arial" w:hAnsi="Arial"/>
                <w:sz w:val="18"/>
              </w:rPr>
              <w:t>Criterio 3: Se aplica filtro de nubosidad y se documenta el porcentaje de cobertura válida por año.</w:t>
              <w:br/>
            </w:r>
            <w:r>
              <w:rPr>
                <w:rFonts w:ascii="Arial" w:hAnsi="Arial"/>
                <w:sz w:val="18"/>
              </w:rPr>
              <w:t>Criterio 4: Los datos se agregan a nivel país (promedio y suma del radiance) y se exportan en CSV estandarizado con metadatos.</w:t>
              <w:br/>
            </w:r>
            <w:r>
              <w:rPr>
                <w:rFonts w:ascii="Arial" w:hAnsi="Arial"/>
                <w:sz w:val="18"/>
              </w:rPr>
              <w:t>Criterio 5: Se genera un mapa de luminosidad nocturna de Venezuela por año, visualizando la caída económica 2013–2020 y la recuperación parcial posterior.</w:t>
              <w:br/>
            </w:r>
          </w:p>
        </w:tc>
      </w:tr>
    </w:tbl>
    <w:p/>
    <w:p>
      <w:pPr>
        <w:spacing w:before="160" w:after="80"/>
      </w:pPr>
      <w:r>
        <w:rPr>
          <w:rFonts w:ascii="Arial" w:hAnsi="Arial"/>
          <w:b/>
          <w:color w:val="2E75B6"/>
          <w:sz w:val="22"/>
        </w:rPr>
        <w:t>HU-03: Pipeline automatizado de integración de fuentes</w:t>
      </w:r>
    </w:p>
    <w:tbl>
      <w:tblPr>
        <w:tblStyle w:val="TableGrid"/>
        <w:tblW w:type="auto" w:w="0"/>
        <w:tblLook w:firstColumn="1" w:firstRow="1" w:lastColumn="0" w:lastRow="0" w:noHBand="0" w:noVBand="1" w:val="04A0"/>
      </w:tblPr>
      <w:tblGrid>
        <w:gridCol w:w="9122"/>
      </w:tblGrid>
      <w:tr>
        <w:tc>
          <w:tcPr>
            <w:tcW w:type="dxa" w:w="9122"/>
            <w:shd w:val="clear" w:color="auto" w:fill="1F497D"/>
          </w:tcPr>
          <w:p>
            <w:r>
              <w:rPr>
                <w:rFonts w:ascii="Arial" w:hAnsi="Arial"/>
                <w:b/>
                <w:color w:val="FFFFFF"/>
                <w:sz w:val="18"/>
              </w:rPr>
              <w:t>CONSTRUCCIÓN DE LA HISTORIA DE USUARIO</w:t>
            </w:r>
          </w:p>
        </w:tc>
      </w:tr>
      <w:tr>
        <w:tc>
          <w:tcPr>
            <w:tcW w:type="dxa" w:w="9122"/>
            <w:shd w:val="clear" w:color="auto" w:fill="EBF3FB"/>
          </w:tcPr>
          <w:p>
            <w:r>
              <w:rPr>
                <w:rFonts w:ascii="Arial" w:hAnsi="Arial"/>
                <w:i/>
                <w:sz w:val="20"/>
              </w:rPr>
              <w:t>Yo como ingeniero de datos del proyecto quiero construir un pipeline automatizado en Python que integre todas las fuentes de datos en un dataset único, limpio y normalizado, para garantizar la reproducibilidad del proceso y facilitar las actualizaciones futuras del índice sin intervención manual.</w:t>
            </w:r>
          </w:p>
        </w:tc>
      </w:tr>
      <w:tr>
        <w:tc>
          <w:tcPr>
            <w:tcW w:type="dxa" w:w="9122"/>
          </w:tcPr>
          <w:p>
            <w:r>
              <w:rPr>
                <w:rFonts w:ascii="Arial" w:hAnsi="Arial"/>
                <w:b/>
                <w:sz w:val="18"/>
              </w:rPr>
              <w:t>CRITERIOS DE ACEPTACIÓN:</w:t>
              <w:br/>
            </w:r>
            <w:r>
              <w:rPr>
                <w:rFonts w:ascii="Arial" w:hAnsi="Arial"/>
                <w:sz w:val="18"/>
              </w:rPr>
              <w:t>Criterio 1: El pipeline está desarrollado en Python 3.11+ con scripts documentados y versionados en GitHub.</w:t>
              <w:br/>
            </w:r>
            <w:r>
              <w:rPr>
                <w:rFonts w:ascii="Arial" w:hAnsi="Arial"/>
                <w:sz w:val="18"/>
              </w:rPr>
              <w:t>Criterio 2: Integra mínimo cinco APIs o fuentes programáticas: Banco Mundial, FRED, NASA Earthdata, OFAC (scraping) y Google Trends.</w:t>
              <w:br/>
            </w:r>
            <w:r>
              <w:rPr>
                <w:rFonts w:ascii="Arial" w:hAnsi="Arial"/>
                <w:sz w:val="18"/>
              </w:rPr>
              <w:t>Criterio 3: Implementa imputación documentada de datos faltantes para el período BCV 2015–2019 usando estimaciones del FMI.</w:t>
              <w:br/>
            </w:r>
            <w:r>
              <w:rPr>
                <w:rFonts w:ascii="Arial" w:hAnsi="Arial"/>
                <w:sz w:val="18"/>
              </w:rPr>
              <w:t>Criterio 4: Genera el dataset final en formato Parquet con log de reproducibilidad que registra cada paso de transformación.</w:t>
              <w:br/>
            </w:r>
            <w:r>
              <w:rPr>
                <w:rFonts w:ascii="Arial" w:hAnsi="Arial"/>
                <w:sz w:val="18"/>
              </w:rPr>
              <w:t>Criterio 5: El pipeline puede re-ejecutarse en menos de 30 minutos produciendo resultados idénticos (reproducibilidad verificada).</w:t>
              <w:br/>
            </w:r>
          </w:p>
        </w:tc>
      </w:tr>
    </w:tbl>
    <w:p/>
    <w:p>
      <w:pPr>
        <w:spacing w:before="160" w:after="80"/>
      </w:pPr>
      <w:r>
        <w:rPr>
          <w:rFonts w:ascii="Arial" w:hAnsi="Arial"/>
          <w:b/>
          <w:color w:val="2E75B6"/>
          <w:sz w:val="22"/>
        </w:rPr>
        <w:t>HU-04: Análisis de Componentes Principales del dataset estratégico</w:t>
      </w:r>
    </w:p>
    <w:tbl>
      <w:tblPr>
        <w:tblStyle w:val="TableGrid"/>
        <w:tblW w:type="auto" w:w="0"/>
        <w:tblLook w:firstColumn="1" w:firstRow="1" w:lastColumn="0" w:lastRow="0" w:noHBand="0" w:noVBand="1" w:val="04A0"/>
      </w:tblPr>
      <w:tblGrid>
        <w:gridCol w:w="9122"/>
      </w:tblGrid>
      <w:tr>
        <w:tc>
          <w:tcPr>
            <w:tcW w:type="dxa" w:w="9122"/>
            <w:shd w:val="clear" w:color="auto" w:fill="1F497D"/>
          </w:tcPr>
          <w:p>
            <w:r>
              <w:rPr>
                <w:rFonts w:ascii="Arial" w:hAnsi="Arial"/>
                <w:b/>
                <w:color w:val="FFFFFF"/>
                <w:sz w:val="18"/>
              </w:rPr>
              <w:t>CONSTRUCCIÓN DE LA HISTORIA DE USUARIO</w:t>
            </w:r>
          </w:p>
        </w:tc>
      </w:tr>
      <w:tr>
        <w:tc>
          <w:tcPr>
            <w:tcW w:type="dxa" w:w="9122"/>
            <w:shd w:val="clear" w:color="auto" w:fill="EBF3FB"/>
          </w:tcPr>
          <w:p>
            <w:r>
              <w:rPr>
                <w:rFonts w:ascii="Arial" w:hAnsi="Arial"/>
                <w:i/>
                <w:sz w:val="20"/>
              </w:rPr>
              <w:t>Yo como científico de datos del proyecto quiero aplicar PCA al dataset multidimensional de Venezuela para identificar la estructura empírica de los datos y determinar qué variables explican más la varianza del sistema económico venezolano, de forma que las ponderaciones del índice tengan respaldo estadístico.</w:t>
            </w:r>
          </w:p>
        </w:tc>
      </w:tr>
      <w:tr>
        <w:tc>
          <w:tcPr>
            <w:tcW w:type="dxa" w:w="9122"/>
          </w:tcPr>
          <w:p>
            <w:r>
              <w:rPr>
                <w:rFonts w:ascii="Arial" w:hAnsi="Arial"/>
                <w:b/>
                <w:sz w:val="18"/>
              </w:rPr>
              <w:t>CRITERIOS DE ACEPTACIÓN:</w:t>
              <w:br/>
            </w:r>
            <w:r>
              <w:rPr>
                <w:rFonts w:ascii="Arial" w:hAnsi="Arial"/>
                <w:sz w:val="18"/>
              </w:rPr>
              <w:t>Criterio 1: El PCA se ejecuta con scikit-learn sobre el dataset normalizado, con y sin variables macroeconómicas tradicionales para comparar la contribución de los datos alternativos.</w:t>
              <w:br/>
            </w:r>
            <w:r>
              <w:rPr>
                <w:rFonts w:ascii="Arial" w:hAnsi="Arial"/>
                <w:sz w:val="18"/>
              </w:rPr>
              <w:t>Criterio 2: Se seleccionan los componentes que explican en conjunto ≥ 70 % de la varianza total acumulada.</w:t>
              <w:br/>
            </w:r>
            <w:r>
              <w:rPr>
                <w:rFonts w:ascii="Arial" w:hAnsi="Arial"/>
                <w:sz w:val="18"/>
              </w:rPr>
              <w:t>Criterio 3: Se genera un biplot de variables y un scree plot documentando el codo de varianza.</w:t>
              <w:br/>
            </w:r>
            <w:r>
              <w:rPr>
                <w:rFonts w:ascii="Arial" w:hAnsi="Arial"/>
                <w:sz w:val="18"/>
              </w:rPr>
              <w:t>Criterio 4: Los loadings de cada variable se presentan en tabla y sirven como insumo para proponer las ponderaciones iniciales del índice.</w:t>
              <w:br/>
            </w:r>
          </w:p>
        </w:tc>
      </w:tr>
    </w:tbl>
    <w:p/>
    <w:p>
      <w:pPr>
        <w:spacing w:before="160" w:after="80"/>
      </w:pPr>
      <w:r>
        <w:rPr>
          <w:rFonts w:ascii="Arial" w:hAnsi="Arial"/>
          <w:b/>
          <w:color w:val="2E75B6"/>
          <w:sz w:val="22"/>
        </w:rPr>
        <w:t>HU-05: Módulo SATV de alertas tempranas con backtesting</w:t>
      </w:r>
    </w:p>
    <w:tbl>
      <w:tblPr>
        <w:tblStyle w:val="TableGrid"/>
        <w:tblW w:type="auto" w:w="0"/>
        <w:tblLook w:firstColumn="1" w:firstRow="1" w:lastColumn="0" w:lastRow="0" w:noHBand="0" w:noVBand="1" w:val="04A0"/>
      </w:tblPr>
      <w:tblGrid>
        <w:gridCol w:w="9122"/>
      </w:tblGrid>
      <w:tr>
        <w:tc>
          <w:tcPr>
            <w:tcW w:type="dxa" w:w="9122"/>
            <w:shd w:val="clear" w:color="auto" w:fill="1F497D"/>
          </w:tcPr>
          <w:p>
            <w:r>
              <w:rPr>
                <w:rFonts w:ascii="Arial" w:hAnsi="Arial"/>
                <w:b/>
                <w:color w:val="FFFFFF"/>
                <w:sz w:val="18"/>
              </w:rPr>
              <w:t>CONSTRUCCIÓN DE LA HISTORIA DE USUARIO</w:t>
            </w:r>
          </w:p>
        </w:tc>
      </w:tr>
      <w:tr>
        <w:tc>
          <w:tcPr>
            <w:tcW w:type="dxa" w:w="9122"/>
            <w:shd w:val="clear" w:color="auto" w:fill="EBF3FB"/>
          </w:tcPr>
          <w:p>
            <w:r>
              <w:rPr>
                <w:rFonts w:ascii="Arial" w:hAnsi="Arial"/>
                <w:i/>
                <w:sz w:val="20"/>
              </w:rPr>
              <w:t>Yo como ingeniero de datos del proyecto quiero desarrollar el módulo SATV que detecte automáticamente cambios abruptos en las variables de alta frecuencia de Venezuela y emita alertas en tres niveles de severidad, para que los directivos empresariales puedan reaccionar ante cambios internos del país sin esperar la actualización trimestral del IMIV-VEN.</w:t>
            </w:r>
          </w:p>
        </w:tc>
      </w:tr>
      <w:tr>
        <w:tc>
          <w:tcPr>
            <w:tcW w:type="dxa" w:w="9122"/>
          </w:tcPr>
          <w:p>
            <w:r>
              <w:rPr>
                <w:rFonts w:ascii="Arial" w:hAnsi="Arial"/>
                <w:b/>
                <w:sz w:val="18"/>
              </w:rPr>
              <w:t>CRITERIOS DE ACEPTACIÓN:</w:t>
              <w:br/>
            </w:r>
            <w:r>
              <w:rPr>
                <w:rFonts w:ascii="Arial" w:hAnsi="Arial"/>
                <w:sz w:val="18"/>
              </w:rPr>
              <w:t>Criterio 1: El módulo monitorea mínimo cuatro fuentes de alta frecuencia: Google Trends, OFAC, Marine Traffic y EMBI.</w:t>
              <w:br/>
            </w:r>
            <w:r>
              <w:rPr>
                <w:rFonts w:ascii="Arial" w:hAnsi="Arial"/>
                <w:sz w:val="18"/>
              </w:rPr>
              <w:t>Criterio 2: Los umbrales de detección se definen con Z-score ≥ 2,0 para alertas de advertencia y ≥ 3,0 para alertas críticas.</w:t>
              <w:br/>
            </w:r>
            <w:r>
              <w:rPr>
                <w:rFonts w:ascii="Arial" w:hAnsi="Arial"/>
                <w:sz w:val="18"/>
              </w:rPr>
              <w:t>Criterio 3: El backtesting sobre 2019–2026 detecta correctamente al menos tres eventos conocidos: sanciones 2019, apertura Chevron 2022 y captura Maduro 2026, con precisión ≥ 70 %.</w:t>
              <w:br/>
            </w:r>
            <w:r>
              <w:rPr>
                <w:rFonts w:ascii="Arial" w:hAnsi="Arial"/>
                <w:sz w:val="18"/>
              </w:rPr>
              <w:t>Criterio 4: Las alertas se envían automáticamente por correo electrónico o Telegram con un resumen estructurado del evento detectado y su nivel de severidad.</w:t>
              <w:br/>
            </w:r>
          </w:p>
        </w:tc>
      </w:tr>
    </w:tbl>
    <w:p/>
    <w:p>
      <w:pPr>
        <w:spacing w:before="160" w:after="80"/>
      </w:pPr>
      <w:r>
        <w:rPr>
          <w:rFonts w:ascii="Arial" w:hAnsi="Arial"/>
          <w:b/>
          <w:color w:val="2E75B6"/>
          <w:sz w:val="22"/>
        </w:rPr>
        <w:t>HU-06: Serie histórica del IMIV-VEN con anotaciones de eventos</w:t>
      </w:r>
    </w:p>
    <w:tbl>
      <w:tblPr>
        <w:tblStyle w:val="TableGrid"/>
        <w:tblW w:type="auto" w:w="0"/>
        <w:tblLook w:firstColumn="1" w:firstRow="1" w:lastColumn="0" w:lastRow="0" w:noHBand="0" w:noVBand="1" w:val="04A0"/>
      </w:tblPr>
      <w:tblGrid>
        <w:gridCol w:w="9122"/>
      </w:tblGrid>
      <w:tr>
        <w:tc>
          <w:tcPr>
            <w:tcW w:type="dxa" w:w="9122"/>
            <w:shd w:val="clear" w:color="auto" w:fill="1F497D"/>
          </w:tcPr>
          <w:p>
            <w:r>
              <w:rPr>
                <w:rFonts w:ascii="Arial" w:hAnsi="Arial"/>
                <w:b/>
                <w:color w:val="FFFFFF"/>
                <w:sz w:val="18"/>
              </w:rPr>
              <w:t>CONSTRUCCIÓN DE LA HISTORIA DE USUARIO</w:t>
            </w:r>
          </w:p>
        </w:tc>
      </w:tr>
      <w:tr>
        <w:tc>
          <w:tcPr>
            <w:tcW w:type="dxa" w:w="9122"/>
            <w:shd w:val="clear" w:color="auto" w:fill="EBF3FB"/>
          </w:tcPr>
          <w:p>
            <w:r>
              <w:rPr>
                <w:rFonts w:ascii="Arial" w:hAnsi="Arial"/>
                <w:i/>
                <w:sz w:val="20"/>
              </w:rPr>
              <w:t>Yo como analista cuantitativo del proyecto quiero calcular el valor del IMIV-VEN para cada trimestre entre 2013 y 2027 y presentarlo en un gráfico de serie temporal con anotaciones de eventos clave, para demostrar que el índice captura correctamente los ciclos de deterioro y recuperación económica venezolana.</w:t>
            </w:r>
          </w:p>
        </w:tc>
      </w:tr>
      <w:tr>
        <w:tc>
          <w:tcPr>
            <w:tcW w:type="dxa" w:w="9122"/>
          </w:tcPr>
          <w:p>
            <w:r>
              <w:rPr>
                <w:rFonts w:ascii="Arial" w:hAnsi="Arial"/>
                <w:b/>
                <w:sz w:val="18"/>
              </w:rPr>
              <w:t>CRITERIOS DE ACEPTACIÓN:</w:t>
              <w:br/>
            </w:r>
            <w:r>
              <w:rPr>
                <w:rFonts w:ascii="Arial" w:hAnsi="Arial"/>
                <w:sz w:val="18"/>
              </w:rPr>
              <w:t>Criterio 1: El IMIV-VEN se calcula como suma ponderada de los seis sub-índices dimensionales normalizados, en escala 0–100.</w:t>
              <w:br/>
            </w:r>
            <w:r>
              <w:rPr>
                <w:rFonts w:ascii="Arial" w:hAnsi="Arial"/>
                <w:sz w:val="18"/>
              </w:rPr>
              <w:t>Criterio 2: La serie histórica cubre mínimo 2013–2025 con valor trimestral disponible.</w:t>
              <w:br/>
            </w:r>
            <w:r>
              <w:rPr>
                <w:rFonts w:ascii="Arial" w:hAnsi="Arial"/>
                <w:sz w:val="18"/>
              </w:rPr>
              <w:t>Criterio 3: El índice muestra caída pronunciada en 2016–2018 (crisis máxima), recuperación parcial en 2021–2022 (apertura económica y Chevron), y nueva señal ascendente en 2026 (post-Maduro).</w:t>
              <w:br/>
            </w:r>
            <w:r>
              <w:rPr>
                <w:rFonts w:ascii="Arial" w:hAnsi="Arial"/>
                <w:sz w:val="18"/>
              </w:rPr>
              <w:t>Criterio 4: Se calcula el índice con y sin datos alternativos (VIIRS y cripto) para demostrar cuantitativamente el valor añadido de las fuentes no convencionales.</w:t>
              <w:br/>
            </w:r>
          </w:p>
        </w:tc>
      </w:tr>
    </w:tbl>
    <w:p/>
    <w:p>
      <w:pPr>
        <w:spacing w:before="160" w:after="80"/>
      </w:pPr>
      <w:r>
        <w:rPr>
          <w:rFonts w:ascii="Arial" w:hAnsi="Arial"/>
          <w:b/>
          <w:color w:val="2E75B6"/>
          <w:sz w:val="22"/>
        </w:rPr>
        <w:t>HU-07: Dashboard ejecutivo del IMIV-VEN + SATV</w:t>
      </w:r>
    </w:p>
    <w:tbl>
      <w:tblPr>
        <w:tblStyle w:val="TableGrid"/>
        <w:tblW w:type="auto" w:w="0"/>
        <w:tblLook w:firstColumn="1" w:firstRow="1" w:lastColumn="0" w:lastRow="0" w:noHBand="0" w:noVBand="1" w:val="04A0"/>
      </w:tblPr>
      <w:tblGrid>
        <w:gridCol w:w="9122"/>
      </w:tblGrid>
      <w:tr>
        <w:tc>
          <w:tcPr>
            <w:tcW w:type="dxa" w:w="9122"/>
            <w:shd w:val="clear" w:color="auto" w:fill="1F497D"/>
          </w:tcPr>
          <w:p>
            <w:r>
              <w:rPr>
                <w:rFonts w:ascii="Arial" w:hAnsi="Arial"/>
                <w:b/>
                <w:color w:val="FFFFFF"/>
                <w:sz w:val="18"/>
              </w:rPr>
              <w:t>CONSTRUCCIÓN DE LA HISTORIA DE USUARIO</w:t>
            </w:r>
          </w:p>
        </w:tc>
      </w:tr>
      <w:tr>
        <w:tc>
          <w:tcPr>
            <w:tcW w:type="dxa" w:w="9122"/>
            <w:shd w:val="clear" w:color="auto" w:fill="EBF3FB"/>
          </w:tcPr>
          <w:p>
            <w:r>
              <w:rPr>
                <w:rFonts w:ascii="Arial" w:hAnsi="Arial"/>
                <w:i/>
                <w:sz w:val="20"/>
              </w:rPr>
              <w:t>Yo como directivo empresarial usuario del sistema quiero acceder a un dashboard visual e interactivo que muestre el IMIV-VEN actual, el desglose por dimensiones y las alertas activas del SATV, para tomar decisiones informadas de inversión en Venezuela en menos de dos minutos sin necesitar conocimientos técnicos de estadística o economía.</w:t>
            </w:r>
          </w:p>
        </w:tc>
      </w:tr>
      <w:tr>
        <w:tc>
          <w:tcPr>
            <w:tcW w:type="dxa" w:w="9122"/>
          </w:tcPr>
          <w:p>
            <w:r>
              <w:rPr>
                <w:rFonts w:ascii="Arial" w:hAnsi="Arial"/>
                <w:b/>
                <w:sz w:val="18"/>
              </w:rPr>
              <w:t>CRITERIOS DE ACEPTACIÓN:</w:t>
              <w:br/>
            </w:r>
            <w:r>
              <w:rPr>
                <w:rFonts w:ascii="Arial" w:hAnsi="Arial"/>
                <w:sz w:val="18"/>
              </w:rPr>
              <w:t>Criterio 1: El dashboard presenta el IMIV-VEN global en formato gauge (velocímetro) con escala de colores rojo 0–33 / amarillo 34–66 / verde 67–100.</w:t>
              <w:br/>
            </w:r>
            <w:r>
              <w:rPr>
                <w:rFonts w:ascii="Arial" w:hAnsi="Arial"/>
                <w:sz w:val="18"/>
              </w:rPr>
              <w:t>Criterio 2: Muestra el desglose por seis dimensiones en gráfico de radar y barras comparativas.</w:t>
              <w:br/>
            </w:r>
            <w:r>
              <w:rPr>
                <w:rFonts w:ascii="Arial" w:hAnsi="Arial"/>
                <w:sz w:val="18"/>
              </w:rPr>
              <w:t>Criterio 3: La serie histórica 2013–2026 se visualiza como línea de tiempo con anotaciones de eventos políticos y económicos clave.</w:t>
              <w:br/>
            </w:r>
            <w:r>
              <w:rPr>
                <w:rFonts w:ascii="Arial" w:hAnsi="Arial"/>
                <w:sz w:val="18"/>
              </w:rPr>
              <w:t>Criterio 4: El panel SATV muestra las alertas activas ordenadas por severidad con descripción del evento detectado y la fuente que lo originó.</w:t>
              <w:br/>
            </w:r>
            <w:r>
              <w:rPr>
                <w:rFonts w:ascii="Arial" w:hAnsi="Arial"/>
                <w:sz w:val="18"/>
              </w:rPr>
              <w:t>Criterio 5: El dashboard carga en menos de cinco segundos desde navegador web y no requiere instalación de software adicional.</w:t>
              <w:br/>
            </w:r>
            <w:r>
              <w:rPr>
                <w:rFonts w:ascii="Arial" w:hAnsi="Arial"/>
                <w:sz w:val="18"/>
              </w:rPr>
              <w:t>Criterio 6: Incluye una sección de "Guía de lectura" que explica qué significa cada nivel del índice y qué decisiones empresariales se asocian a cada señal.</w:t>
              <w:br/>
            </w:r>
          </w:p>
        </w:tc>
      </w:tr>
    </w:tbl>
    <w:p/>
    <w:p>
      <w:pPr>
        <w:pBdr>
          <w:bottom w:val="single" w:sz="6" w:space="1" w:color="1F497D"/>
        </w:pBdr>
        <w:spacing w:before="80" w:after="80"/>
      </w:pPr>
    </w:p>
    <w:p>
      <w:pPr>
        <w:jc w:val="center"/>
      </w:pPr>
      <w:r>
        <w:rPr>
          <w:rFonts w:ascii="Arial" w:hAnsi="Arial"/>
          <w:b/>
          <w:color w:val="1F497D"/>
          <w:sz w:val="22"/>
        </w:rPr>
        <w:t>Todas las fuentes utilizadas en este proyecto son públicas, gratuitas y 100 % independientes del gobierno venezolano. El IMIV-VEN + SATV es replicable, extensible y diseñado para ser el instrumento de referencia para la toma de decisiones de inversión empresarial en Venezuela durante el período de transición 2026–2027 y más allá.</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