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6B7C5C"/>
          <w:spacing w:val="80"/>
          <w:sz w:val="18"/>
          <w:szCs w:val="18"/>
        </w:rPr>
        <w:t xml:space="preserve">TORRE PALMAS · WEB APP</w:t>
      </w:r>
    </w:p>
    <w:p>
      <w:pPr>
        <w:pStyle w:val="Heading1"/>
        <w:spacing w:after="60" w:before="0"/>
      </w:pPr>
      <w:r>
        <w:rPr>
          <w:rFonts w:ascii="Calibri" w:cs="Calibri" w:eastAsia="Calibri" w:hAnsi="Calibri"/>
          <w:b/>
          <w:bCs/>
          <w:color w:val="14994B"/>
          <w:sz w:val="40"/>
          <w:szCs w:val="40"/>
        </w:rPr>
        <w:t xml:space="preserve">Estructura del MVP</w:t>
      </w:r>
    </w:p>
    <w:p>
      <w:pPr>
        <w:spacing w:after="280" w:before="0"/>
      </w:pPr>
      <w:r>
        <w:rPr>
          <w:rFonts w:ascii="Calibri" w:cs="Calibri" w:eastAsia="Calibri" w:hAnsi="Calibri"/>
          <w:i/>
          <w:iCs/>
          <w:color w:val="4A5446"/>
          <w:sz w:val="22"/>
          <w:szCs w:val="22"/>
        </w:rPr>
        <w:t xml:space="preserve">Reserva de salas con 4 roles, flujo guiado y bolsa de horas por usuario.</w:t>
      </w:r>
    </w:p>
    <w:p>
      <w:pPr>
        <w:pStyle w:val="Heading2"/>
        <w:spacing w:after="100" w:before="60"/>
      </w:pPr>
      <w:r>
        <w:rPr>
          <w:rFonts w:ascii="Calibri" w:cs="Calibri" w:eastAsia="Calibri" w:hAnsi="Calibri"/>
          <w:b/>
          <w:bCs/>
          <w:color w:val="1A1F18"/>
          <w:sz w:val="24"/>
          <w:szCs w:val="24"/>
        </w:rPr>
        <w:t xml:space="preserve">01 · Sistema de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994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994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Permisos clave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7A3B"/>
                <w:sz w:val="20"/>
                <w:szCs w:val="20"/>
              </w:rPr>
              <w:t xml:space="preserve">1. Administrador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F18"/>
                <w:sz w:val="20"/>
                <w:szCs w:val="20"/>
              </w:rPr>
              <w:t xml:space="preserve">Control total: usuarios, roles, salas y configuración del sistema.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FE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7A3B"/>
                <w:sz w:val="20"/>
                <w:szCs w:val="20"/>
              </w:rPr>
              <w:t xml:space="preserve">2. Recepcionista Jefe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FE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F18"/>
                <w:sz w:val="20"/>
                <w:szCs w:val="20"/>
              </w:rPr>
              <w:t xml:space="preserve">Reserva salas, edita características y modifica reservas existentes.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7A3B"/>
                <w:sz w:val="20"/>
                <w:szCs w:val="20"/>
              </w:rPr>
              <w:t xml:space="preserve">3. Recepcionista General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F18"/>
                <w:sz w:val="20"/>
                <w:szCs w:val="20"/>
              </w:rPr>
              <w:t xml:space="preserve">Solo lectura: consulta horarios y quién reservó cada sala.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FE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7A3B"/>
                <w:sz w:val="20"/>
                <w:szCs w:val="20"/>
              </w:rPr>
              <w:t xml:space="preserve">4. Usuario</w:t>
            </w:r>
          </w:p>
        </w:tc>
        <w:tc>
          <w:tcPr>
            <w:tcW w:type="dxa" w:w="7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FE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F18"/>
                <w:sz w:val="20"/>
                <w:szCs w:val="20"/>
              </w:rPr>
              <w:t xml:space="preserve">Reserva sus propias salas dentro del límite de horas asignado.</w:t>
            </w:r>
          </w:p>
        </w:tc>
      </w:tr>
    </w:tbl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1A1F18"/>
          <w:sz w:val="24"/>
          <w:szCs w:val="24"/>
        </w:rPr>
        <w:t xml:space="preserve">02 · Categorías de capacidad de sala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994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1–4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994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5–8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994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9–15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994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15–30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A5446"/>
                <w:sz w:val="18"/>
                <w:szCs w:val="18"/>
              </w:rPr>
              <w:t xml:space="preserve">Íntima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A5446"/>
                <w:sz w:val="18"/>
                <w:szCs w:val="18"/>
              </w:rPr>
              <w:t xml:space="preserve">Estándar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A5446"/>
                <w:sz w:val="18"/>
                <w:szCs w:val="18"/>
              </w:rPr>
              <w:t xml:space="preserve">Grande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A5446"/>
                <w:sz w:val="18"/>
                <w:szCs w:val="18"/>
              </w:rPr>
              <w:t xml:space="preserve">Auditorio</w:t>
            </w:r>
          </w:p>
        </w:tc>
      </w:tr>
    </w:tbl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1A1F18"/>
          <w:sz w:val="24"/>
          <w:szCs w:val="24"/>
        </w:rPr>
        <w:t xml:space="preserve">03 · Mapa de flujo de reserva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0"/>
        <w:gridCol w:w="1600"/>
        <w:gridCol w:w="290"/>
        <w:gridCol w:w="1600"/>
        <w:gridCol w:w="290"/>
        <w:gridCol w:w="1600"/>
        <w:gridCol w:w="290"/>
        <w:gridCol w:w="1600"/>
      </w:tblGrid>
      <w:tr>
        <w:tc>
          <w:tcPr>
            <w:tcW w:type="dxa" w:w="1600"/>
            <w:tcBorders>
              <w:top w:val="single" w:color="14994B" w:sz="4"/>
              <w:left w:val="single" w:color="14994B" w:sz="4"/>
              <w:bottom w:val="single" w:color="14994B" w:sz="4"/>
              <w:right w:val="single" w:color="14994B" w:sz="4"/>
            </w:tcBorders>
            <w:shd w:fill="D8F0E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0E7A3B"/>
                <w:sz w:val="36"/>
                <w:szCs w:val="36"/>
              </w:rPr>
              <w:t xml:space="preserve">1</w:t>
            </w:r>
          </w:p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F18"/>
                <w:sz w:val="20"/>
                <w:szCs w:val="20"/>
              </w:rPr>
              <w:t xml:space="preserve">Día y hora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A5446"/>
                <w:sz w:val="16"/>
                <w:szCs w:val="16"/>
              </w:rPr>
              <w:t xml:space="preserve">Selecciona fecha y horario.</w:t>
            </w:r>
          </w:p>
        </w:tc>
        <w:tc>
          <w:tcPr>
            <w:tcW w:type="dxa" w:w="2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C5C"/>
                <w:sz w:val="32"/>
                <w:szCs w:val="32"/>
              </w:rPr>
              <w:t xml:space="preserve">→</w:t>
            </w:r>
          </w:p>
        </w:tc>
        <w:tc>
          <w:tcPr>
            <w:tcW w:type="dxa" w:w="1600"/>
            <w:tcBorders>
              <w:top w:val="single" w:color="14994B" w:sz="4"/>
              <w:left w:val="single" w:color="14994B" w:sz="4"/>
              <w:bottom w:val="single" w:color="14994B" w:sz="4"/>
              <w:right w:val="single" w:color="14994B" w:sz="4"/>
            </w:tcBorders>
            <w:shd w:fill="D8F0E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0E7A3B"/>
                <w:sz w:val="36"/>
                <w:szCs w:val="36"/>
              </w:rPr>
              <w:t xml:space="preserve">2</w:t>
            </w:r>
          </w:p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F18"/>
                <w:sz w:val="20"/>
                <w:szCs w:val="20"/>
              </w:rPr>
              <w:t xml:space="preserve">Personas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A5446"/>
                <w:sz w:val="16"/>
                <w:szCs w:val="16"/>
              </w:rPr>
              <w:t xml:space="preserve">¿Cuántos asisten? (1-30)</w:t>
            </w:r>
          </w:p>
        </w:tc>
        <w:tc>
          <w:tcPr>
            <w:tcW w:type="dxa" w:w="2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C5C"/>
                <w:sz w:val="32"/>
                <w:szCs w:val="32"/>
              </w:rPr>
              <w:t xml:space="preserve">→</w:t>
            </w:r>
          </w:p>
        </w:tc>
        <w:tc>
          <w:tcPr>
            <w:tcW w:type="dxa" w:w="1600"/>
            <w:tcBorders>
              <w:top w:val="single" w:color="14994B" w:sz="4"/>
              <w:left w:val="single" w:color="14994B" w:sz="4"/>
              <w:bottom w:val="single" w:color="14994B" w:sz="4"/>
              <w:right w:val="single" w:color="14994B" w:sz="4"/>
            </w:tcBorders>
            <w:shd w:fill="D8F0E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0E7A3B"/>
                <w:sz w:val="36"/>
                <w:szCs w:val="36"/>
              </w:rPr>
              <w:t xml:space="preserve">3</w:t>
            </w:r>
          </w:p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F18"/>
                <w:sz w:val="20"/>
                <w:szCs w:val="20"/>
              </w:rPr>
              <w:t xml:space="preserve">Encargado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A5446"/>
                <w:sz w:val="16"/>
                <w:szCs w:val="16"/>
              </w:rPr>
              <w:t xml:space="preserve">Nombre del responsable.</w:t>
            </w:r>
          </w:p>
        </w:tc>
        <w:tc>
          <w:tcPr>
            <w:tcW w:type="dxa" w:w="2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C5C"/>
                <w:sz w:val="32"/>
                <w:szCs w:val="32"/>
              </w:rPr>
              <w:t xml:space="preserve">→</w:t>
            </w:r>
          </w:p>
        </w:tc>
        <w:tc>
          <w:tcPr>
            <w:tcW w:type="dxa" w:w="1600"/>
            <w:tcBorders>
              <w:top w:val="single" w:color="14994B" w:sz="4"/>
              <w:left w:val="single" w:color="14994B" w:sz="4"/>
              <w:bottom w:val="single" w:color="14994B" w:sz="4"/>
              <w:right w:val="single" w:color="14994B" w:sz="4"/>
            </w:tcBorders>
            <w:shd w:fill="D8F0E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0E7A3B"/>
                <w:sz w:val="36"/>
                <w:szCs w:val="36"/>
              </w:rPr>
              <w:t xml:space="preserve">4</w:t>
            </w:r>
          </w:p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F18"/>
                <w:sz w:val="20"/>
                <w:szCs w:val="20"/>
              </w:rPr>
              <w:t xml:space="preserve">Sala disponible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A5446"/>
                <w:sz w:val="16"/>
                <w:szCs w:val="16"/>
              </w:rPr>
              <w:t xml:space="preserve">Solo opciones libres.</w:t>
            </w:r>
          </w:p>
        </w:tc>
        <w:tc>
          <w:tcPr>
            <w:tcW w:type="dxa" w:w="2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C5C"/>
                <w:sz w:val="32"/>
                <w:szCs w:val="32"/>
              </w:rPr>
              <w:t xml:space="preserve">→</w:t>
            </w:r>
          </w:p>
        </w:tc>
        <w:tc>
          <w:tcPr>
            <w:tcW w:type="dxa" w:w="1600"/>
            <w:tcBorders>
              <w:top w:val="single" w:color="14994B" w:sz="4"/>
              <w:left w:val="single" w:color="14994B" w:sz="4"/>
              <w:bottom w:val="single" w:color="14994B" w:sz="4"/>
              <w:right w:val="single" w:color="14994B" w:sz="4"/>
            </w:tcBorders>
            <w:shd w:fill="D8F0E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0E7A3B"/>
                <w:sz w:val="36"/>
                <w:szCs w:val="36"/>
              </w:rPr>
              <w:t xml:space="preserve">5</w:t>
            </w:r>
          </w:p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F18"/>
                <w:sz w:val="20"/>
                <w:szCs w:val="20"/>
              </w:rPr>
              <w:t xml:space="preserve">Confirmar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A5446"/>
                <w:sz w:val="16"/>
                <w:szCs w:val="16"/>
              </w:rPr>
              <w:t xml:space="preserve">Asigna y bloquea horario.</w:t>
            </w:r>
          </w:p>
        </w:tc>
      </w:tr>
    </w:tbl>
    <w:p>
      <w:pPr>
        <w:spacing w:after="80" w:before="120"/>
        <w:jc w:val="center"/>
      </w:pPr>
      <w:r>
        <w:rPr>
          <w:rFonts w:ascii="Calibri" w:cs="Calibri" w:eastAsia="Calibri" w:hAnsi="Calibri"/>
          <w:i/>
          <w:iCs/>
          <w:color w:val="0E7A3B"/>
          <w:sz w:val="18"/>
          <w:szCs w:val="18"/>
        </w:rPr>
        <w:t xml:space="preserve">Resultado: la sala queda bloqueada y aparece en el panel de los recepcionistas.</w:t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1A1F18"/>
          <w:sz w:val="24"/>
          <w:szCs w:val="24"/>
        </w:rPr>
        <w:t xml:space="preserve">04 · Bolsa de horas y cobros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7280"/>
      </w:tblGrid>
      <w:tr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7A3B"/>
                <w:sz w:val="20"/>
                <w:szCs w:val="20"/>
              </w:rPr>
              <w:t xml:space="preserve">Asignación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5446"/>
                <w:sz w:val="20"/>
                <w:szCs w:val="20"/>
              </w:rPr>
              <w:t xml:space="preserve">El admin define cuántas horas al mes recibe cada usuario.</w:t>
            </w:r>
          </w:p>
        </w:tc>
      </w:tr>
      <w:tr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FE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7A3B"/>
                <w:sz w:val="20"/>
                <w:szCs w:val="20"/>
              </w:rPr>
              <w:t xml:space="preserve">Avisos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FE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5446"/>
                <w:sz w:val="20"/>
                <w:szCs w:val="20"/>
              </w:rPr>
              <w:t xml:space="preserve">Notificación al 80%, al 100% y al primer minuto excedido.</w:t>
            </w:r>
          </w:p>
        </w:tc>
      </w:tr>
      <w:tr>
        <w:tc>
          <w:tcPr>
            <w:tcW w:type="dxa" w:w="2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7A3B"/>
                <w:sz w:val="20"/>
                <w:szCs w:val="20"/>
              </w:rPr>
              <w:t xml:space="preserve">Cobro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5446"/>
                <w:sz w:val="20"/>
                <w:szCs w:val="20"/>
              </w:rPr>
              <w:t xml:space="preserve">Las horas excedidas generan cargo registrado. Pagos: Fase 2.</w:t>
            </w:r>
          </w:p>
        </w:tc>
      </w:tr>
    </w:tbl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1A1F18"/>
          <w:sz w:val="24"/>
          <w:szCs w:val="24"/>
        </w:rPr>
        <w:t xml:space="preserve">05 · Stack técnico</w:t>
      </w:r>
    </w:p>
    <w:p>
      <w:pPr>
        <w:spacing w:after="30" w:before="60"/>
        <w:jc w:val="left"/>
      </w:pPr>
      <w:r>
        <w:rPr>
          <w:rFonts w:ascii="Calibri" w:cs="Calibri" w:eastAsia="Calibri" w:hAnsi="Calibri"/>
          <w:color w:val="1A1F18"/>
          <w:sz w:val="22"/>
          <w:szCs w:val="22"/>
        </w:rPr>
        <w:t xml:space="preserve">· Frontend: HTML + CSS + Vanilla JS, integrado al diseño de Torre Palmas.</w:t>
      </w:r>
    </w:p>
    <w:p>
      <w:pPr>
        <w:spacing w:after="30" w:before="60"/>
        <w:jc w:val="left"/>
      </w:pPr>
      <w:r>
        <w:rPr>
          <w:rFonts w:ascii="Calibri" w:cs="Calibri" w:eastAsia="Calibri" w:hAnsi="Calibri"/>
          <w:color w:val="1A1F18"/>
          <w:sz w:val="22"/>
          <w:szCs w:val="22"/>
        </w:rPr>
        <w:t xml:space="preserve">· Backend: Supabase (Postgres + Auth + Realtime + Storage).</w:t>
      </w:r>
    </w:p>
    <w:p>
      <w:pPr>
        <w:spacing w:after="30" w:before="60"/>
        <w:jc w:val="left"/>
      </w:pPr>
      <w:r>
        <w:rPr>
          <w:rFonts w:ascii="Calibri" w:cs="Calibri" w:eastAsia="Calibri" w:hAnsi="Calibri"/>
          <w:color w:val="1A1F18"/>
          <w:sz w:val="22"/>
          <w:szCs w:val="22"/>
        </w:rPr>
        <w:t xml:space="preserve">· 5 tablas: users, rooms, reservations, role_permissions, usage_log.</w:t>
      </w:r>
    </w:p>
    <w:p>
      <w:pPr>
        <w:spacing w:after="200" w:before="60"/>
        <w:jc w:val="left"/>
      </w:pPr>
      <w:r>
        <w:rPr>
          <w:rFonts w:ascii="Calibri" w:cs="Calibri" w:eastAsia="Calibri" w:hAnsi="Calibri"/>
          <w:color w:val="1A1F18"/>
          <w:sz w:val="22"/>
          <w:szCs w:val="22"/>
        </w:rPr>
        <w:t xml:space="preserve">· Plan gratuito de Supabase soporta el MVP durante la validación.</w:t>
      </w:r>
    </w:p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1A1F18"/>
          <w:sz w:val="24"/>
          <w:szCs w:val="24"/>
        </w:rPr>
        <w:t xml:space="preserve">06 · Cross-platform desde día uno</w:t>
      </w:r>
    </w:p>
    <w:p>
      <w:pPr>
        <w:spacing w:after="160" w:before="60"/>
        <w:jc w:val="left"/>
      </w:pPr>
      <w:r>
        <w:rPr>
          <w:rFonts w:ascii="Calibri" w:cs="Calibri" w:eastAsia="Calibri" w:hAnsi="Calibri"/>
          <w:i/>
          <w:iCs/>
          <w:color w:val="4A5446"/>
          <w:sz w:val="22"/>
          <w:szCs w:val="22"/>
        </w:rPr>
        <w:t xml:space="preserve">El backend en Supabase es el centro: web y móvil consumen la misma API. Esto significa que cuando llegue el momento de tener una app móvil, no rehacemos nada del backend — solo construimos un cliente adicional.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5"/>
        <w:gridCol w:w="3050"/>
        <w:gridCol w:w="3125"/>
      </w:tblGrid>
      <w:tr>
        <w:tc>
          <w:tcPr>
            <w:tcW w:type="dxa" w:w="3125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050"/>
            <w:tcBorders>
              <w:top w:val="single" w:color="0E7A3B" w:sz="4"/>
              <w:left w:val="single" w:color="0E7A3B" w:sz="4"/>
              <w:bottom w:val="single" w:color="0E7A3B" w:sz="4"/>
              <w:right w:val="single" w:color="0E7A3B" w:sz="4"/>
            </w:tcBorders>
            <w:shd w:fill="0E7A3B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SUPABASE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8F0E2"/>
                <w:sz w:val="16"/>
                <w:szCs w:val="16"/>
              </w:rPr>
              <w:t xml:space="preserve">Postgres · Auth · Realtime · Storage</w:t>
            </w:r>
          </w:p>
        </w:tc>
        <w:tc>
          <w:tcPr>
            <w:tcW w:type="dxa" w:w="3125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93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C5C"/>
                <w:sz w:val="16"/>
                <w:szCs w:val="16"/>
              </w:rPr>
              <w:t xml:space="preserve">misma API REST y Realtime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100"/>
        <w:gridCol w:w="3000"/>
        <w:gridCol w:w="100"/>
        <w:gridCol w:w="3050"/>
      </w:tblGrid>
      <w:tr>
        <w:tc>
          <w:tcPr>
            <w:tcW w:type="dxa" w:w="3050"/>
            <w:tcBorders>
              <w:top w:val="single" w:color="EAEFE6" w:sz="4"/>
              <w:left w:val="single" w:color="EAEFE6" w:sz="4"/>
              <w:bottom w:val="single" w:color="EAEFE6" w:sz="4"/>
              <w:right w:val="single" w:color="EAEFE6" w:sz="4"/>
            </w:tcBorders>
            <w:shd w:fill="EAEFE6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F18"/>
                <w:sz w:val="22"/>
                <w:szCs w:val="22"/>
              </w:rPr>
              <w:t xml:space="preserve">WEB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A5446"/>
                <w:sz w:val="16"/>
                <w:szCs w:val="16"/>
              </w:rPr>
              <w:t xml:space="preserve">Vercel · Marketing + App</w:t>
            </w:r>
          </w:p>
        </w:tc>
        <w:tc>
          <w:tcPr>
            <w:tcW w:type="dxa" w:w="1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050"/>
            <w:tcBorders>
              <w:top w:val="single" w:color="EAEFE6" w:sz="4"/>
              <w:left w:val="single" w:color="EAEFE6" w:sz="4"/>
              <w:bottom w:val="single" w:color="EAEFE6" w:sz="4"/>
              <w:right w:val="single" w:color="EAEFE6" w:sz="4"/>
            </w:tcBorders>
            <w:shd w:fill="EAEFE6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F18"/>
                <w:sz w:val="22"/>
                <w:szCs w:val="22"/>
              </w:rPr>
              <w:t xml:space="preserve">MÓVIL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A5446"/>
                <w:sz w:val="16"/>
                <w:szCs w:val="16"/>
              </w:rPr>
              <w:t xml:space="preserve">PWA / Capacitor / Expo</w:t>
            </w:r>
          </w:p>
        </w:tc>
        <w:tc>
          <w:tcPr>
            <w:tcW w:type="dxa" w:w="1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050"/>
            <w:tcBorders>
              <w:top w:val="single" w:color="EAEFE6" w:sz="4"/>
              <w:left w:val="single" w:color="EAEFE6" w:sz="4"/>
              <w:bottom w:val="single" w:color="EAEFE6" w:sz="4"/>
              <w:right w:val="single" w:color="EAEFE6" w:sz="4"/>
            </w:tcBorders>
            <w:shd w:fill="EAEFE6" w:val="clear"/>
            <w:tcMar>
              <w:top w:type="dxa" w:w="130"/>
              <w:left w:type="dxa" w:w="130"/>
              <w:bottom w:type="dxa" w:w="130"/>
              <w:right w:type="dxa" w:w="130"/>
            </w:tcMar>
            <w:vAlign w:val="center"/>
          </w:tcPr>
          <w:p>
            <w:pPr>
              <w:spacing w:after="5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F18"/>
                <w:sz w:val="22"/>
                <w:szCs w:val="22"/>
              </w:rPr>
              <w:t xml:space="preserve">FUTURO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A5446"/>
                <w:sz w:val="16"/>
                <w:szCs w:val="16"/>
              </w:rPr>
              <w:t xml:space="preserve">CRM · Admin · API pública</w:t>
            </w:r>
          </w:p>
        </w:tc>
      </w:tr>
    </w:tbl>
    <w:p>
      <w:pPr>
        <w:spacing w:after="120" w:before="60"/>
        <w:jc w:val="left"/>
      </w:pPr>
      <w:r>
        <w:rPr>
          <w:rFonts w:ascii="Calibri" w:cs="Calibri" w:eastAsia="Calibri" w:hAnsi="Calibri"/>
          <w:color w:val="1A1F18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A1F18"/>
          <w:sz w:val="20"/>
          <w:szCs w:val="20"/>
        </w:rPr>
        <w:t xml:space="preserve">Hosting recomendado por componente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4460"/>
      </w:tblGrid>
      <w:tr>
        <w:trPr>
          <w:tblHeader/>
        </w:trP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994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994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Hosting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994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 qué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7A3B"/>
                <w:sz w:val="20"/>
                <w:szCs w:val="20"/>
              </w:rPr>
              <w:t xml:space="preserve">Sitio marketing actual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4A5446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5446"/>
                <w:sz w:val="20"/>
                <w:szCs w:val="20"/>
              </w:rPr>
              <w:t xml:space="preserve">Estático, ya en producción. Sin necesidad de migrar.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FE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7A3B"/>
                <w:sz w:val="20"/>
                <w:szCs w:val="20"/>
              </w:rPr>
              <w:t xml:space="preserve">Web App de reservas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FE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4A5446"/>
                <w:sz w:val="20"/>
                <w:szCs w:val="20"/>
              </w:rPr>
              <w:t xml:space="preserve">Vercel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FE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5446"/>
                <w:sz w:val="20"/>
                <w:szCs w:val="20"/>
              </w:rPr>
              <w:t xml:space="preserve">Preview por rama, CDN edge, funciones serverless, mejor DX.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7A3B"/>
                <w:sz w:val="20"/>
                <w:szCs w:val="20"/>
              </w:rPr>
              <w:t xml:space="preserve">Backend / datos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4A5446"/>
                <w:sz w:val="20"/>
                <w:szCs w:val="20"/>
              </w:rPr>
              <w:t xml:space="preserve">Supabase</w:t>
            </w:r>
          </w:p>
        </w:tc>
        <w:tc>
          <w:tcPr>
            <w:tcW w:type="dxa" w:w="4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5446"/>
                <w:sz w:val="20"/>
                <w:szCs w:val="20"/>
              </w:rPr>
              <w:t xml:space="preserve">Auth + DB + Realtime en un solo servicio. Plan gratuito generoso.</w:t>
            </w:r>
          </w:p>
        </w:tc>
      </w:tr>
    </w:tbl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1A1F18"/>
          <w:sz w:val="24"/>
          <w:szCs w:val="24"/>
        </w:rPr>
        <w:t xml:space="preserve">07 · Roadmap móvil (3 etapas)</w:t>
      </w:r>
    </w:p>
    <w:p>
      <w:pPr>
        <w:spacing w:after="160" w:before="60"/>
        <w:jc w:val="left"/>
      </w:pPr>
      <w:r>
        <w:rPr>
          <w:rFonts w:ascii="Calibri" w:cs="Calibri" w:eastAsia="Calibri" w:hAnsi="Calibri"/>
          <w:i/>
          <w:iCs/>
          <w:color w:val="4A5446"/>
          <w:sz w:val="22"/>
          <w:szCs w:val="22"/>
        </w:rPr>
        <w:t xml:space="preserve">Empezamos por PWA (cero costo) y solo escalamos a app nativa si la tracción lo justifica. Sin tomar decisiones prematuras.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5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994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994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994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4994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obtienes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7A3B"/>
                <w:sz w:val="20"/>
                <w:szCs w:val="20"/>
              </w:rPr>
              <w:t xml:space="preserve">1. PWA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5446"/>
                <w:sz w:val="20"/>
                <w:szCs w:val="20"/>
              </w:rPr>
              <w:t xml:space="preserve">Web App + manifest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4A5446"/>
                <w:sz w:val="20"/>
                <w:szCs w:val="20"/>
              </w:rPr>
              <w:t xml:space="preserve">1-2 días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5446"/>
                <w:sz w:val="20"/>
                <w:szCs w:val="20"/>
              </w:rPr>
              <w:t xml:space="preserve">Instalable desde Safari/Chrome. Sin tiendas. Sin costo extra.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FE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7A3B"/>
                <w:sz w:val="20"/>
                <w:szCs w:val="20"/>
              </w:rPr>
              <w:t xml:space="preserve">2. Capacitor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FE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5446"/>
                <w:sz w:val="20"/>
                <w:szCs w:val="20"/>
              </w:rPr>
              <w:t xml:space="preserve">Web → App nativa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FE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4A5446"/>
                <w:sz w:val="20"/>
                <w:szCs w:val="20"/>
              </w:rPr>
              <w:t xml:space="preserve">1-2 semanas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EFE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5446"/>
                <w:sz w:val="20"/>
                <w:szCs w:val="20"/>
              </w:rPr>
              <w:t xml:space="preserve">App en App Store y Play Store. Reutiliza 95% del código web.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7A3B"/>
                <w:sz w:val="20"/>
                <w:szCs w:val="20"/>
              </w:rPr>
              <w:t xml:space="preserve">3. React Native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5446"/>
                <w:sz w:val="20"/>
                <w:szCs w:val="20"/>
              </w:rPr>
              <w:t xml:space="preserve">App nativa real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4A5446"/>
                <w:sz w:val="20"/>
                <w:szCs w:val="20"/>
              </w:rPr>
              <w:t xml:space="preserve">4-6 semanas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4A5446"/>
                <w:sz w:val="20"/>
                <w:szCs w:val="20"/>
              </w:rPr>
              <w:t xml:space="preserve">UX premium nativa. Sólo si Capacitor no alcanza.</w:t>
            </w:r>
          </w:p>
        </w:tc>
      </w:tr>
    </w:tbl>
    <w:p>
      <w:pPr>
        <w:pStyle w:val="Heading2"/>
        <w:spacing w:after="100" w:before="320"/>
      </w:pPr>
      <w:r>
        <w:rPr>
          <w:rFonts w:ascii="Calibri" w:cs="Calibri" w:eastAsia="Calibri" w:hAnsi="Calibri"/>
          <w:b/>
          <w:bCs/>
          <w:color w:val="1A1F18"/>
          <w:sz w:val="24"/>
          <w:szCs w:val="24"/>
        </w:rPr>
        <w:t xml:space="preserve">Próximos pasos</w:t>
      </w:r>
    </w:p>
    <w:p>
      <w:pPr>
        <w:spacing w:after="30" w:before="60"/>
        <w:jc w:val="left"/>
      </w:pPr>
      <w:r>
        <w:rPr>
          <w:rFonts w:ascii="Calibri" w:cs="Calibri" w:eastAsia="Calibri" w:hAnsi="Calibri"/>
          <w:color w:val="1A1F18"/>
          <w:sz w:val="22"/>
          <w:szCs w:val="22"/>
        </w:rPr>
        <w:t xml:space="preserve">· Confirmar alcance con el equipo y aprobar dependencias.</w:t>
      </w:r>
    </w:p>
    <w:p>
      <w:pPr>
        <w:spacing w:after="30" w:before="60"/>
        <w:jc w:val="left"/>
      </w:pPr>
      <w:r>
        <w:rPr>
          <w:rFonts w:ascii="Calibri" w:cs="Calibri" w:eastAsia="Calibri" w:hAnsi="Calibri"/>
          <w:color w:val="1A1F18"/>
          <w:sz w:val="22"/>
          <w:szCs w:val="22"/>
        </w:rPr>
        <w:t xml:space="preserve">· Crear proyecto Supabase (esquema, RLS y datos semilla).</w:t>
      </w:r>
    </w:p>
    <w:p>
      <w:pPr>
        <w:spacing w:after="30" w:before="60"/>
        <w:jc w:val="left"/>
      </w:pPr>
      <w:r>
        <w:rPr>
          <w:rFonts w:ascii="Calibri" w:cs="Calibri" w:eastAsia="Calibri" w:hAnsi="Calibri"/>
          <w:color w:val="1A1F18"/>
          <w:sz w:val="22"/>
          <w:szCs w:val="22"/>
        </w:rPr>
        <w:t xml:space="preserve">· Construir el MVP web en 4 a 6 semanas (Vercel + Supabase, PWA-ready).</w:t>
      </w:r>
    </w:p>
    <w:p>
      <w:pPr>
        <w:spacing w:after="30" w:before="60"/>
        <w:jc w:val="left"/>
      </w:pPr>
      <w:r>
        <w:rPr>
          <w:rFonts w:ascii="Calibri" w:cs="Calibri" w:eastAsia="Calibri" w:hAnsi="Calibri"/>
          <w:color w:val="1A1F18"/>
          <w:sz w:val="22"/>
          <w:szCs w:val="22"/>
        </w:rPr>
        <w:t xml:space="preserve">· Evaluar Capacitor para tienda de apps después de los primeros 3 meses.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6B7C5C"/>
        <w:sz w:val="16"/>
        <w:szCs w:val="16"/>
      </w:rPr>
      <w:t xml:space="preserve">Torre Palmas · Web App MVP · Junio 2026 · pág. </w:t>
    </w:r>
    <w:r>
      <w:rPr>
        <w:rFonts w:ascii="Calibri" w:cs="Calibri" w:eastAsia="Calibri" w:hAnsi="Calibri"/>
        <w:i/>
        <w:iCs/>
        <w:color w:val="6B7C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499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A1F1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Torre Palmas Web App — Estructura y Flujo</dc:title>
  <dc:creator>Torre Palmas</dc:creator>
  <cp:lastModifiedBy>Un-named</cp:lastModifiedBy>
  <cp:revision>1</cp:revision>
  <dcterms:created xsi:type="dcterms:W3CDTF">2026-06-18T19:28:49.899Z</dcterms:created>
  <dcterms:modified xsi:type="dcterms:W3CDTF">2026-06-18T19:28:50.073Z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