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160" w:before="0" w:lineRule="auto"/>
              <w:jc w:val="center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NOME:Felipe Campestrini Saran                                                                               Nº 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(S):45 999515457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E-MAIL:felipe.saran@escola.pr.gov.br/felipfs12345@gmail.com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1f1f1f"/>
                <w:sz w:val="22"/>
                <w:szCs w:val="22"/>
                <w:rtl w:val="0"/>
              </w:rPr>
              <w:t xml:space="preserve">desenvolvimento de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TURMA:2° F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ALUNO(s) É OBRIGATÓRIO EM ANEXO AO PRÉ-PROJETO, NO MÍNIMO UMA TELA DE INTERFACE (TELA PRINCIPAL) JUNTO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do projeto:ULTRAMAQ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</w:t>
      </w:r>
    </w:p>
    <w:tbl>
      <w:tblPr>
        <w:tblStyle w:val="Table4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plataforma da marca ULTRAMAQ® oferece um serviço completo e especializado no suporte a máquinas industriais. Especializada na venda de peças licenciadas, oferece também suporte técnico para clientes durante manutenções e facilita o agendamento de visitas dos técnicos, garantindo assim um serviço eficiente e personalizado. Com um conhecimento aprofundado sobre os modelos de máquinas disponíveis, a ULTRAMAQ® se destaca pela sua dedicação em manter operações industriais funcionando de maneira confiável e eficaz.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6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Uma possível melhoria para a plataforma da marca ULTRAMAQ® seria a implementação de um sistema integrado de monitoramento remoto das máquinas. Ao conectar os equipamentos a uma rede IoT (Internet das Coisas), seria viável coletar dados em tempo real sobre o desempenho e a condição operacional das máquinas. Isso permitiria à ULTRAMAQ® oferecer um serviço proativo de manutenção preditiva, identificando potenciais falhas antes que elas ocorram. Além disso, a plataforma poderia utilizar inteligência artificial para analisar esses dados e fornecer recomendações precisas aos técnicos, otimizando assim o tempo de resposta e aumentando a eficiência operacional para seus clientes.</w:t>
            </w:r>
          </w:p>
          <w:p w:rsidR="00000000" w:rsidDel="00000000" w:rsidP="00000000" w:rsidRDefault="00000000" w:rsidRPr="00000000" w14:paraId="00000018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113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APARECIDA DA SILVA FERREIRA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APARECIDA DA SILVA FERREIRA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JEAN CLEVERSON PRATAS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objetivo principal da ULTRAMAQ® é aprimorar continuamente a experiência do cliente e a eficiência operacional através da implementação de uma plataforma integrada que ofereça vendas de peças licenciadas, suporte técnico especializado durante manutenções e agendamento facilitado de visitas técnicas. Este objetivo visa não apenas garantir a disponibilidade constante das máquinas industriais, mas também fortalecer o relacionamento com os clientes ao proporcionar um serviço de alta qualidade e confiabilidade.</w:t>
            </w:r>
          </w:p>
          <w:p w:rsidR="00000000" w:rsidDel="00000000" w:rsidP="00000000" w:rsidRDefault="00000000" w:rsidRPr="00000000" w14:paraId="00000027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Melhorar a disponibilidade de peças licenciadas: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Expandir e diversificar o estoque de peças para garantir prontidão no atendimento às necessidades dos clientes.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Aprimorar o suporte ao cliente: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Implementar um sistema de suporte técnico ágil e eficiente, com foco na resolução rápida de problemas e no aumento da satisfação do cliente.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Desenvolver um sistema de agendamento eficaz: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Criar uma plataforma online intuitiva para que os clientes possam agendar visitas técnicas de forma simples e rápida.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Implementar monitoramento remoto das máquinas: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Integrar tecnologias de IoT para monitorar o desempenho das máquinas em tempo real, possibilitando a detecção precoce de falhas e a manutenção preditiva.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Oferecer treinamento contínuo para técnicos: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programas de capacitação para os técnicos, garantindo que estejam sempre atualizados com as últimas tecnologias e práticas de manutenção.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Aumentar a eficiência operacional: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Utilizar dados analíticos para identificar oportunidades de melhoria nos processos internos, visando otimizar recursos e reduzir custos operacionais.</w:t>
            </w:r>
          </w:p>
          <w:p w:rsidR="00000000" w:rsidDel="00000000" w:rsidP="00000000" w:rsidRDefault="00000000" w:rsidRPr="00000000" w14:paraId="00000030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2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160" w:before="0" w:line="36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das necessidades:</w:t>
            </w:r>
          </w:p>
          <w:p w:rsidR="00000000" w:rsidDel="00000000" w:rsidP="00000000" w:rsidRDefault="00000000" w:rsidRPr="00000000" w14:paraId="0000003B">
            <w:pPr>
              <w:spacing w:after="160" w:before="0" w:line="36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devido a modelos atuais de webshop o site que já existe está desatualizado e em mãos de terceiros</w:t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160" w:before="0" w:lineRule="auto"/>
              <w:rPr>
                <w:rFonts w:ascii="Arial" w:cs="Arial" w:eastAsia="Arial" w:hAnsi="Arial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d93ee"/>
                <w:u w:val="single"/>
                <w:rtl w:val="0"/>
              </w:rPr>
              <w:t xml:space="preserve">Google Acadêmico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Portal da CAPES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SciELO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Academia.Edu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BDTD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Science.gov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Eric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E-Journals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Redalyc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hd w:fill="f5f5f5" w:val="clear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7"/>
        <w:gridCol w:w="2484"/>
        <w:gridCol w:w="1744"/>
        <w:tblGridChange w:id="0">
          <w:tblGrid>
            <w:gridCol w:w="4757"/>
            <w:gridCol w:w="2484"/>
            <w:gridCol w:w="17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5C">
            <w:pPr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160" w:before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1134" w:top="1701" w:left="1701" w:right="1134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Black">
    <w:embedRegular w:fontKey="{00000000-0000-0000-0000-000000000000}" r:id="rId9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67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80"/>
      <w:gridCol w:w="5528"/>
      <w:gridCol w:w="1559"/>
      <w:tblGridChange w:id="0">
        <w:tblGrid>
          <w:gridCol w:w="1980"/>
          <w:gridCol w:w="5528"/>
          <w:gridCol w:w="1559"/>
        </w:tblGrid>
      </w:tblGridChange>
    </w:tblGrid>
    <w:tr>
      <w:trPr>
        <w:cantSplit w:val="0"/>
        <w:trHeight w:val="1550" w:hRule="atLeast"/>
        <w:tblHeader w:val="0"/>
      </w:trPr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047750" cy="97155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62626"/>
              <w:sz w:val="28"/>
              <w:szCs w:val="28"/>
              <w:u w:val="none"/>
              <w:shd w:fill="auto" w:val="clear"/>
              <w:vertAlign w:val="baseline"/>
            </w:rPr>
          </w:pPr>
          <w:hyperlink r:id="rId2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262626"/>
                <w:sz w:val="28"/>
                <w:szCs w:val="28"/>
                <w:highlight w:val="white"/>
                <w:u w:val="single"/>
                <w:vertAlign w:val="baseline"/>
                <w:rtl w:val="0"/>
              </w:rPr>
              <w:t xml:space="preserve">CARMELO PERRONE C E PE EF M PROFIS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ANÁLISE DE PROJETO E SISTEMA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90575" cy="75247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nit.br/blog/melhores-sites-para-pesquisa-academica#science" TargetMode="External"/><Relationship Id="rId10" Type="http://schemas.openxmlformats.org/officeDocument/2006/relationships/hyperlink" Target="https://www.unit.br/blog/melhores-sites-para-pesquisa-academica#bdtd" TargetMode="External"/><Relationship Id="rId13" Type="http://schemas.openxmlformats.org/officeDocument/2006/relationships/hyperlink" Target="https://www.unit.br/blog/melhores-sites-para-pesquisa-academica#e-journals" TargetMode="External"/><Relationship Id="rId12" Type="http://schemas.openxmlformats.org/officeDocument/2006/relationships/hyperlink" Target="https://www.unit.br/blog/melhores-sites-para-pesquisa-academica#er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nit.br/blog/melhores-sites-para-pesquisa-academica#academia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www.unit.br/blog/melhores-sites-para-pesquisa-academica#redalyc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unit.br/blog/melhores-sites-para-pesquisa-academica#google" TargetMode="External"/><Relationship Id="rId7" Type="http://schemas.openxmlformats.org/officeDocument/2006/relationships/hyperlink" Target="https://www.unit.br/blog/melhores-sites-para-pesquisa-academica#portal" TargetMode="External"/><Relationship Id="rId8" Type="http://schemas.openxmlformats.org/officeDocument/2006/relationships/hyperlink" Target="https://www.unit.br/blog/melhores-sites-para-pesquisa-academica#sciel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ArialBlack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KSOProductBuildVer">
    <vt:lpwstr>1046-11.1.0.9505</vt:lpwstr>
  </property>
  <property fmtid="{D5CDD505-2E9C-101B-9397-08002B2CF9AE}" pid="6" name="LinksUpToDate">
    <vt:lpwstr>false</vt:lpwstr>
  </property>
  <property fmtid="{D5CDD505-2E9C-101B-9397-08002B2CF9AE}" pid="7" name="ScaleCrop">
    <vt:lpwstr>false</vt:lpwstr>
  </property>
  <property fmtid="{D5CDD505-2E9C-101B-9397-08002B2CF9AE}" pid="8" name="ShareDoc">
    <vt:lpwstr>false</vt:lpwstr>
  </property>
</Properties>
</file>