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60"/>
        <w:jc w:val="center"/>
      </w:pPr>
      <w:r>
        <w:rPr>
          <w:rFonts w:ascii="Calibri" w:cs="Calibri" w:eastAsia="Calibri" w:hAnsi="Calibri"/>
          <w:b/>
          <w:bCs/>
          <w:color w:val="1B365D"/>
          <w:sz w:val="44"/>
          <w:szCs w:val="44"/>
        </w:rPr>
        <w:t xml:space="preserve">Relatório de Avaliação de Usabilidade (Escala SUS)</w:t>
      </w:r>
    </w:p>
    <w:p>
      <w:pPr>
        <w:spacing w:after="360" w:before="60"/>
        <w:jc w:val="center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Sistema Avaliado: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PCraft (Montador e Catálogo de Componentes de Hardware)
</w:t>
      </w: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Disciplina: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Trabalho Interdisciplinar de Aplicação Web III (TIAW-3)
</w:t>
      </w: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Grupo: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Felippe Salvo &amp; Equipe de Desenvolvimento PCraft
</w:t>
      </w: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Data: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20 de Maio de 2026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4A90E2"/>
        </w:rPr>
        <w:t xml:space="preserve">_________________________________________________________________________________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B365D"/>
          <w:sz w:val="36"/>
          <w:szCs w:val="36"/>
        </w:rPr>
        <w:t xml:space="preserve">1. Introdução</w:t>
      </w:r>
    </w:p>
    <w:p>
      <w:pPr>
        <w:spacing w:after="120" w:before="60" w:line="276"/>
      </w:pPr>
      <w:r>
        <w:rPr>
          <w:rFonts w:ascii="Calibri" w:cs="Calibri" w:eastAsia="Calibri" w:hAnsi="Calibri"/>
          <w:b w:val="false"/>
          <w:bCs w:val="false"/>
          <w:color w:val="333333"/>
          <w:sz w:val="23"/>
          <w:szCs w:val="23"/>
        </w:rPr>
        <w:t xml:space="preserve">Este relatório detalha os resultados da aplicação prática da metodologia System Usability Scale (SUS) para mensurar a usabilidade e a experiência do usuário (UX) na plataforma web PCraft. O PCraft é um ecossistema projetado para entusiastas de hardware, fornecendo consultas completas ao banco de dados de componentes e um simulador automático de compatibilidade elétrica e dimensional. O objetivo principal do teste foi avaliar como diferentes perfis de usuários navegam pelo fluxo de cadastro, busca técnica no catálogo, montagem guiada de um computador virtual e salvamento das builds criadas.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B365D"/>
          <w:sz w:val="36"/>
          <w:szCs w:val="36"/>
        </w:rPr>
        <w:t xml:space="preserve">2. Planejamento da Avaliação</w:t>
      </w:r>
    </w:p>
    <w:p>
      <w:pPr>
        <w:spacing w:after="120" w:before="60" w:line="276"/>
      </w:pPr>
      <w:r>
        <w:rPr>
          <w:rFonts w:ascii="Calibri" w:cs="Calibri" w:eastAsia="Calibri" w:hAnsi="Calibri"/>
          <w:b w:val="false"/>
          <w:bCs w:val="false"/>
          <w:color w:val="333333"/>
          <w:sz w:val="23"/>
          <w:szCs w:val="23"/>
        </w:rPr>
        <w:t xml:space="preserve">Para garantir uma avaliação abrangente das principais interações do sistema, definimos um roteiro de tarefas críticas, simulando o uso real que o PCraft oferece:</w:t>
      </w:r>
    </w:p>
    <w:p>
      <w:pPr>
        <w:pStyle w:val="ListParagraph"/>
        <w:numPr>
          <w:ilvl w:val="0"/>
          <w:numId w:val="1"/>
        </w:numPr>
        <w:spacing w:after="80" w:before="40" w:line="276"/>
      </w:pPr>
      <w:r>
        <w:rPr>
          <w:rFonts w:ascii="Calibri" w:cs="Calibri" w:eastAsia="Calibri" w:hAnsi="Calibri"/>
          <w:b/>
          <w:bCs/>
          <w:color w:val="333333"/>
          <w:sz w:val="23"/>
          <w:szCs w:val="23"/>
        </w:rPr>
        <w:t xml:space="preserve">Tarefa 1: Cadastro e Autenticação de Usuário. </w:t>
      </w:r>
      <w:r>
        <w:rPr>
          <w:rFonts w:ascii="Calibri" w:cs="Calibri" w:eastAsia="Calibri" w:hAnsi="Calibri"/>
          <w:color w:val="333333"/>
          <w:sz w:val="23"/>
          <w:szCs w:val="23"/>
        </w:rPr>
        <w:t xml:space="preserve"> O usuário deve preencher o formulário, criar sua conta no sistema e validar o login para acessar a área privada.</w:t>
      </w:r>
    </w:p>
    <w:p>
      <w:pPr>
        <w:pStyle w:val="ListParagraph"/>
        <w:numPr>
          <w:ilvl w:val="0"/>
          <w:numId w:val="1"/>
        </w:numPr>
        <w:spacing w:after="80" w:before="40" w:line="276"/>
      </w:pPr>
      <w:r>
        <w:rPr>
          <w:rFonts w:ascii="Calibri" w:cs="Calibri" w:eastAsia="Calibri" w:hAnsi="Calibri"/>
          <w:b/>
          <w:bCs/>
          <w:color w:val="333333"/>
          <w:sz w:val="23"/>
          <w:szCs w:val="23"/>
        </w:rPr>
        <w:t xml:space="preserve">Tarefa 2: Consulta e Navegação no Catálogo de Componentes. </w:t>
      </w:r>
      <w:r>
        <w:rPr>
          <w:rFonts w:ascii="Calibri" w:cs="Calibri" w:eastAsia="Calibri" w:hAnsi="Calibri"/>
          <w:color w:val="333333"/>
          <w:sz w:val="23"/>
          <w:szCs w:val="23"/>
        </w:rPr>
        <w:t xml:space="preserve"> O usuário deve buscar peças de hardware avançadas (como CPUs, GPUs, RAMs, Placas-mãe) através do catálogo do PCraft, testando os filtros de pesquisa e lendo as especificações detalhadas do hardware.</w:t>
      </w:r>
    </w:p>
    <w:p>
      <w:pPr>
        <w:pStyle w:val="ListParagraph"/>
        <w:numPr>
          <w:ilvl w:val="0"/>
          <w:numId w:val="1"/>
        </w:numPr>
        <w:spacing w:after="80" w:before="40" w:line="276"/>
      </w:pPr>
      <w:r>
        <w:rPr>
          <w:rFonts w:ascii="Calibri" w:cs="Calibri" w:eastAsia="Calibri" w:hAnsi="Calibri"/>
          <w:b/>
          <w:bCs/>
          <w:color w:val="333333"/>
          <w:sz w:val="23"/>
          <w:szCs w:val="23"/>
        </w:rPr>
        <w:t xml:space="preserve">Tarefa 3: Simulação de Montagem Virtual de PC. </w:t>
      </w:r>
      <w:r>
        <w:rPr>
          <w:rFonts w:ascii="Calibri" w:cs="Calibri" w:eastAsia="Calibri" w:hAnsi="Calibri"/>
          <w:color w:val="333333"/>
          <w:sz w:val="23"/>
          <w:szCs w:val="23"/>
        </w:rPr>
        <w:t xml:space="preserve"> O usuário deve acessar a funcionalidade "Monte seu PC", selecionar e adicionar peças individualmente (CPU, Placa-mãe, RAM, Fonte) e analisar as mensagens em tempo real fornecidas pelo motor de regras de compatibilidade.</w:t>
      </w:r>
    </w:p>
    <w:p>
      <w:pPr>
        <w:pStyle w:val="ListParagraph"/>
        <w:numPr>
          <w:ilvl w:val="0"/>
          <w:numId w:val="1"/>
        </w:numPr>
        <w:spacing w:after="80" w:before="40" w:line="276"/>
      </w:pPr>
      <w:r>
        <w:rPr>
          <w:rFonts w:ascii="Calibri" w:cs="Calibri" w:eastAsia="Calibri" w:hAnsi="Calibri"/>
          <w:b/>
          <w:bCs/>
          <w:color w:val="333333"/>
          <w:sz w:val="23"/>
          <w:szCs w:val="23"/>
        </w:rPr>
        <w:t xml:space="preserve">Tarefa 4: Salvamento e Gerenciamento da Build Criada. </w:t>
      </w:r>
      <w:r>
        <w:rPr>
          <w:rFonts w:ascii="Calibri" w:cs="Calibri" w:eastAsia="Calibri" w:hAnsi="Calibri"/>
          <w:color w:val="333333"/>
          <w:sz w:val="23"/>
          <w:szCs w:val="23"/>
        </w:rPr>
        <w:t xml:space="preserve"> Ao alcançar um status bem-sucedido de compatibilidade, o usuário deve nomear sua build, adicionar uma descrição descritiva curta e salvá-la em sua galeria de builds pessoais.</w:t>
      </w:r>
    </w:p>
    <w:p>
      <w:pPr>
        <w:spacing w:after="120" w:before="60" w:line="276"/>
      </w:pPr>
      <w:r>
        <w:rPr>
          <w:rFonts w:ascii="Calibri" w:cs="Calibri" w:eastAsia="Calibri" w:hAnsi="Calibri"/>
          <w:b w:val="false"/>
          <w:bCs w:val="false"/>
          <w:color w:val="333333"/>
          <w:sz w:val="23"/>
          <w:szCs w:val="23"/>
        </w:rPr>
        <w:t xml:space="preserve">Participaram dos testes de usabilidade 5 usuários selecionados propositalmente por apresentarem diferentes níveis de familiaridade com hardware e e-commerce de tecnologia:</w:t>
      </w:r>
    </w:p>
    <w:p>
      <w:pPr>
        <w:pStyle w:val="ListParagraph"/>
        <w:numPr>
          <w:ilvl w:val="0"/>
          <w:numId w:val="1"/>
        </w:numPr>
        <w:spacing w:after="80" w:before="40" w:line="276"/>
      </w:pPr>
      <w:r>
        <w:rPr>
          <w:rFonts w:ascii="Calibri" w:cs="Calibri" w:eastAsia="Calibri" w:hAnsi="Calibri"/>
          <w:b/>
          <w:bCs/>
          <w:color w:val="333333"/>
          <w:sz w:val="23"/>
          <w:szCs w:val="23"/>
        </w:rPr>
        <w:t xml:space="preserve">2 Usuários Novatos (U1 e U2): </w:t>
      </w:r>
      <w:r>
        <w:rPr>
          <w:rFonts w:ascii="Calibri" w:cs="Calibri" w:eastAsia="Calibri" w:hAnsi="Calibri"/>
          <w:color w:val="333333"/>
          <w:sz w:val="23"/>
          <w:szCs w:val="23"/>
        </w:rPr>
        <w:t xml:space="preserve">Usuário iniciante que nunca montou um computador físico e tem extrema dificuldade em entender compatibilidade de peças.</w:t>
      </w:r>
    </w:p>
    <w:p>
      <w:pPr>
        <w:pStyle w:val="ListParagraph"/>
        <w:numPr>
          <w:ilvl w:val="0"/>
          <w:numId w:val="1"/>
        </w:numPr>
        <w:spacing w:after="80" w:before="40" w:line="276"/>
      </w:pPr>
      <w:r>
        <w:rPr>
          <w:rFonts w:ascii="Calibri" w:cs="Calibri" w:eastAsia="Calibri" w:hAnsi="Calibri"/>
          <w:b/>
          <w:bCs/>
          <w:color w:val="333333"/>
          <w:sz w:val="23"/>
          <w:szCs w:val="23"/>
        </w:rPr>
        <w:t xml:space="preserve">2 Usuários Intermediários (U3 e U4): </w:t>
      </w:r>
      <w:r>
        <w:rPr>
          <w:rFonts w:ascii="Calibri" w:cs="Calibri" w:eastAsia="Calibri" w:hAnsi="Calibri"/>
          <w:color w:val="333333"/>
          <w:sz w:val="23"/>
          <w:szCs w:val="23"/>
        </w:rPr>
        <w:t xml:space="preserve">Usuários casuais que entendem o básico de tecnologia, já efetuaram compras de hardware prontos na web, mas nunca montaram peças separadas.</w:t>
      </w:r>
    </w:p>
    <w:p>
      <w:pPr>
        <w:pStyle w:val="ListParagraph"/>
        <w:numPr>
          <w:ilvl w:val="0"/>
          <w:numId w:val="1"/>
        </w:numPr>
        <w:spacing w:after="80" w:before="40" w:line="276"/>
      </w:pPr>
      <w:r>
        <w:rPr>
          <w:rFonts w:ascii="Calibri" w:cs="Calibri" w:eastAsia="Calibri" w:hAnsi="Calibri"/>
          <w:b/>
          <w:bCs/>
          <w:color w:val="333333"/>
          <w:sz w:val="23"/>
          <w:szCs w:val="23"/>
        </w:rPr>
        <w:t xml:space="preserve">1 Usuário Experiente (U5): </w:t>
      </w:r>
      <w:r>
        <w:rPr>
          <w:rFonts w:ascii="Calibri" w:cs="Calibri" w:eastAsia="Calibri" w:hAnsi="Calibri"/>
          <w:color w:val="333333"/>
          <w:sz w:val="23"/>
          <w:szCs w:val="23"/>
        </w:rPr>
        <w:t xml:space="preserve">Profissional de TI e hardware enthusiast, com anos de experiência em montagem física de computadores e alto conhecimento de compatibilidade técnica.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B365D"/>
          <w:sz w:val="36"/>
          <w:szCs w:val="36"/>
        </w:rPr>
        <w:t xml:space="preserve">3. Execução</w:t>
      </w:r>
    </w:p>
    <w:p>
      <w:pPr>
        <w:spacing w:after="120" w:before="60" w:line="276"/>
      </w:pPr>
      <w:r>
        <w:rPr>
          <w:rFonts w:ascii="Calibri" w:cs="Calibri" w:eastAsia="Calibri" w:hAnsi="Calibri"/>
          <w:b w:val="false"/>
          <w:bCs w:val="false"/>
          <w:color w:val="333333"/>
          <w:sz w:val="23"/>
          <w:szCs w:val="23"/>
        </w:rPr>
        <w:t xml:space="preserve">Os testes foram aplicados em sessões presenciais e remotas acompanhadas de forma assistida. Cada participante executou as tarefas usando seu próprio computador sob supervisão em tempo real (via compartilhamento de tela), o que permitiu ao grupo observar os pontos de hesitação e dificuldades de interação sem interferir nas decisões do usuário. O tempo limite estabelecido para a execução completa foi de 15 minutos. Após o término, cada usuário preencheu individualmente o questionário SUS contendo as 10 perguntas padrão da escala.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B365D"/>
          <w:sz w:val="36"/>
          <w:szCs w:val="36"/>
        </w:rPr>
        <w:t xml:space="preserve">4. Cálculo da Pontuação SUS</w:t>
      </w:r>
    </w:p>
    <w:p>
      <w:pPr>
        <w:spacing w:after="120" w:before="60" w:line="276"/>
      </w:pPr>
      <w:r>
        <w:rPr>
          <w:rFonts w:ascii="Calibri" w:cs="Calibri" w:eastAsia="Calibri" w:hAnsi="Calibri"/>
          <w:b w:val="false"/>
          <w:bCs w:val="false"/>
          <w:color w:val="333333"/>
          <w:sz w:val="23"/>
          <w:szCs w:val="23"/>
        </w:rPr>
        <w:t xml:space="preserve">A pontuação de cada usuário foi calculada com base na fórmula oficial do SUS. As respostas de todos os participantes e suas respectivas pontuações finais são apresentadas na tabela abaixo:</w:t>
      </w:r>
    </w:p>
    <w:tbl>
      <w:tblPr>
        <w:tblW w:type="pct" w:w="100%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single" w:color="EAEAEA" w:sz="4"/>
          <w:insideV w:val="single" w:color="EAEAEA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40%"/>
            <w:shd w:fill="1B365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Questão / Pergunta SUS</w:t>
            </w:r>
          </w:p>
        </w:tc>
        <w:tc>
          <w:tcPr>
            <w:tcW w:type="pct" w:w="12%"/>
            <w:shd w:fill="1B365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U1 (Nov)</w:t>
            </w:r>
          </w:p>
        </w:tc>
        <w:tc>
          <w:tcPr>
            <w:tcW w:type="pct" w:w="12%"/>
            <w:shd w:fill="1B365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U2 (Nov)</w:t>
            </w:r>
          </w:p>
        </w:tc>
        <w:tc>
          <w:tcPr>
            <w:tcW w:type="pct" w:w="12%"/>
            <w:shd w:fill="1B365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U3 (Int)</w:t>
            </w:r>
          </w:p>
        </w:tc>
        <w:tc>
          <w:tcPr>
            <w:tcW w:type="pct" w:w="12%"/>
            <w:shd w:fill="1B365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U4 (Int)</w:t>
            </w:r>
          </w:p>
        </w:tc>
        <w:tc>
          <w:tcPr>
            <w:tcW w:type="pct" w:w="12%"/>
            <w:shd w:fill="1B365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U5 (Exp)</w:t>
            </w:r>
          </w:p>
        </w:tc>
      </w:tr>
      <w:tr>
        <w:tc>
          <w:tcPr>
            <w:shd w:fill="FDFDF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Q1. Eu acharia que usaria este sistema com frequência. (Ímpar)</w:t>
            </w:r>
          </w:p>
        </w:tc>
        <w:tc>
          <w:tcPr>
            <w:shd w:fill="FDFDF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 (Pontos: 3)</w:t>
            </w:r>
          </w:p>
        </w:tc>
        <w:tc>
          <w:tcPr>
            <w:shd w:fill="FDFDF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 (Pontos: 3)</w:t>
            </w:r>
          </w:p>
        </w:tc>
        <w:tc>
          <w:tcPr>
            <w:shd w:fill="FDFDF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 (Pontos: 4)</w:t>
            </w:r>
          </w:p>
        </w:tc>
        <w:tc>
          <w:tcPr>
            <w:shd w:fill="FDFDF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 (Pontos: 3)</w:t>
            </w:r>
          </w:p>
        </w:tc>
        <w:tc>
          <w:tcPr>
            <w:shd w:fill="FDFDF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 (Pontos: 4)</w:t>
            </w:r>
          </w:p>
        </w:tc>
      </w:tr>
      <w:tr>
        <w:tc>
          <w:tcPr>
            <w:shd w:fill="F4F6F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Q2. Achei o sistema desnecessariamente complexo. (Par)</w:t>
            </w:r>
          </w:p>
        </w:tc>
        <w:tc>
          <w:tcPr>
            <w:shd w:fill="F4F6F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 (Pontos: 3)</w:t>
            </w:r>
          </w:p>
        </w:tc>
        <w:tc>
          <w:tcPr>
            <w:shd w:fill="F4F6F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 (Pontos: 2)</w:t>
            </w:r>
          </w:p>
        </w:tc>
        <w:tc>
          <w:tcPr>
            <w:shd w:fill="F4F6F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 (Pontos: 3)</w:t>
            </w:r>
          </w:p>
        </w:tc>
        <w:tc>
          <w:tcPr>
            <w:shd w:fill="F4F6F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 (Pontos: 3)</w:t>
            </w:r>
          </w:p>
        </w:tc>
        <w:tc>
          <w:tcPr>
            <w:shd w:fill="F4F6F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 (Pontos: 4)</w:t>
            </w:r>
          </w:p>
        </w:tc>
      </w:tr>
      <w:tr>
        <w:tc>
          <w:tcPr>
            <w:shd w:fill="FDFDF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Q3. Achei o sistema fácil de usar. (Ímpar)</w:t>
            </w:r>
          </w:p>
        </w:tc>
        <w:tc>
          <w:tcPr>
            <w:shd w:fill="FDFDF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 (Pontos: 3)</w:t>
            </w:r>
          </w:p>
        </w:tc>
        <w:tc>
          <w:tcPr>
            <w:shd w:fill="FDFDF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 (Pontos: 2)</w:t>
            </w:r>
          </w:p>
        </w:tc>
        <w:tc>
          <w:tcPr>
            <w:shd w:fill="FDFDF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 (Pontos: 3)</w:t>
            </w:r>
          </w:p>
        </w:tc>
        <w:tc>
          <w:tcPr>
            <w:shd w:fill="FDFDF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 (Pontos: 4)</w:t>
            </w:r>
          </w:p>
        </w:tc>
        <w:tc>
          <w:tcPr>
            <w:shd w:fill="FDFDF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 (Pontos: 4)</w:t>
            </w:r>
          </w:p>
        </w:tc>
      </w:tr>
      <w:tr>
        <w:tc>
          <w:tcPr>
            <w:shd w:fill="F4F6F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Q4. Acho que precisaria de apoio técnico para conseguir usar este sistema. (Par)</w:t>
            </w:r>
          </w:p>
        </w:tc>
        <w:tc>
          <w:tcPr>
            <w:shd w:fill="F4F6F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 (Pontos: 3)</w:t>
            </w:r>
          </w:p>
        </w:tc>
        <w:tc>
          <w:tcPr>
            <w:shd w:fill="F4F6F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 (Pontos: 3)</w:t>
            </w:r>
          </w:p>
        </w:tc>
        <w:tc>
          <w:tcPr>
            <w:shd w:fill="F4F6F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 (Pontos: 4)</w:t>
            </w:r>
          </w:p>
        </w:tc>
        <w:tc>
          <w:tcPr>
            <w:shd w:fill="F4F6F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 (Pontos: 4)</w:t>
            </w:r>
          </w:p>
        </w:tc>
        <w:tc>
          <w:tcPr>
            <w:shd w:fill="F4F6F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 (Pontos: 4)</w:t>
            </w:r>
          </w:p>
        </w:tc>
      </w:tr>
      <w:tr>
        <w:tc>
          <w:tcPr>
            <w:shd w:fill="FDFDF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Q5. Achei que as várias funções do sistema estavam bem integradas. (Ímpar)</w:t>
            </w:r>
          </w:p>
        </w:tc>
        <w:tc>
          <w:tcPr>
            <w:shd w:fill="FDFDF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 (Pontos: 3)</w:t>
            </w:r>
          </w:p>
        </w:tc>
        <w:tc>
          <w:tcPr>
            <w:shd w:fill="FDFDF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 (Pontos: 3)</w:t>
            </w:r>
          </w:p>
        </w:tc>
        <w:tc>
          <w:tcPr>
            <w:shd w:fill="FDFDF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 (Pontos: 4)</w:t>
            </w:r>
          </w:p>
        </w:tc>
        <w:tc>
          <w:tcPr>
            <w:shd w:fill="FDFDF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 (Pontos: 3)</w:t>
            </w:r>
          </w:p>
        </w:tc>
        <w:tc>
          <w:tcPr>
            <w:shd w:fill="FDFDF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 (Pontos: 4)</w:t>
            </w:r>
          </w:p>
        </w:tc>
      </w:tr>
      <w:tr>
        <w:tc>
          <w:tcPr>
            <w:shd w:fill="F4F6F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Q6. Achei que houve muita inconsistência neste sistema. (Par)</w:t>
            </w:r>
          </w:p>
        </w:tc>
        <w:tc>
          <w:tcPr>
            <w:shd w:fill="F4F6F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 (Pontos: 3)</w:t>
            </w:r>
          </w:p>
        </w:tc>
        <w:tc>
          <w:tcPr>
            <w:shd w:fill="F4F6F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 (Pontos: 3)</w:t>
            </w:r>
          </w:p>
        </w:tc>
        <w:tc>
          <w:tcPr>
            <w:shd w:fill="F4F6F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 (Pontos: 3)</w:t>
            </w:r>
          </w:p>
        </w:tc>
        <w:tc>
          <w:tcPr>
            <w:shd w:fill="F4F6F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 (Pontos: 4)</w:t>
            </w:r>
          </w:p>
        </w:tc>
        <w:tc>
          <w:tcPr>
            <w:shd w:fill="F4F6F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 (Pontos: 4)</w:t>
            </w:r>
          </w:p>
        </w:tc>
      </w:tr>
      <w:tr>
        <w:tc>
          <w:tcPr>
            <w:shd w:fill="FDFDF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Q7. Imagino que a maioria das pessoas aprenderia a usar este sistema muito rapidamente. (Ímpar)</w:t>
            </w:r>
          </w:p>
        </w:tc>
        <w:tc>
          <w:tcPr>
            <w:shd w:fill="FDFDF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 (Pontos: 3)</w:t>
            </w:r>
          </w:p>
        </w:tc>
        <w:tc>
          <w:tcPr>
            <w:shd w:fill="FDFDF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 (Pontos: 3)</w:t>
            </w:r>
          </w:p>
        </w:tc>
        <w:tc>
          <w:tcPr>
            <w:shd w:fill="FDFDF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 (Pontos: 4)</w:t>
            </w:r>
          </w:p>
        </w:tc>
        <w:tc>
          <w:tcPr>
            <w:shd w:fill="FDFDF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 (Pontos: 3)</w:t>
            </w:r>
          </w:p>
        </w:tc>
        <w:tc>
          <w:tcPr>
            <w:shd w:fill="FDFDF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 (Pontos: 4)</w:t>
            </w:r>
          </w:p>
        </w:tc>
      </w:tr>
      <w:tr>
        <w:tc>
          <w:tcPr>
            <w:shd w:fill="F4F6F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Q8. Achei o sistema muito pesado ou complicado de usar. (Par)</w:t>
            </w:r>
          </w:p>
        </w:tc>
        <w:tc>
          <w:tcPr>
            <w:shd w:fill="F4F6F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 (Pontos: 2)</w:t>
            </w:r>
          </w:p>
        </w:tc>
        <w:tc>
          <w:tcPr>
            <w:shd w:fill="F4F6F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 (Pontos: 3)</w:t>
            </w:r>
          </w:p>
        </w:tc>
        <w:tc>
          <w:tcPr>
            <w:shd w:fill="F4F6F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 (Pontos: 3)</w:t>
            </w:r>
          </w:p>
        </w:tc>
        <w:tc>
          <w:tcPr>
            <w:shd w:fill="F4F6F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 (Pontos: 3)</w:t>
            </w:r>
          </w:p>
        </w:tc>
        <w:tc>
          <w:tcPr>
            <w:shd w:fill="F4F6F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 (Pontos: 4)</w:t>
            </w:r>
          </w:p>
        </w:tc>
      </w:tr>
      <w:tr>
        <w:tc>
          <w:tcPr>
            <w:shd w:fill="FDFDF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Q9. Senti-me bastante confiante ao usar o sistema. (Ímpar)</w:t>
            </w:r>
          </w:p>
        </w:tc>
        <w:tc>
          <w:tcPr>
            <w:shd w:fill="FDFDF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 (Pontos: 3)</w:t>
            </w:r>
          </w:p>
        </w:tc>
        <w:tc>
          <w:tcPr>
            <w:shd w:fill="FDFDF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 (Pontos: 2)</w:t>
            </w:r>
          </w:p>
        </w:tc>
        <w:tc>
          <w:tcPr>
            <w:shd w:fill="FDFDF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 (Pontos: 3)</w:t>
            </w:r>
          </w:p>
        </w:tc>
        <w:tc>
          <w:tcPr>
            <w:shd w:fill="FDFDF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 (Pontos: 4)</w:t>
            </w:r>
          </w:p>
        </w:tc>
        <w:tc>
          <w:tcPr>
            <w:shd w:fill="FDFDF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 (Pontos: 4)</w:t>
            </w:r>
          </w:p>
        </w:tc>
      </w:tr>
      <w:tr>
        <w:tc>
          <w:tcPr>
            <w:shd w:fill="F4F6F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Q10. Precisei aprender muitas coisas novas antes de conseguir usar o sistema. (Par)</w:t>
            </w:r>
          </w:p>
        </w:tc>
        <w:tc>
          <w:tcPr>
            <w:shd w:fill="F4F6F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 (Pontos: 3)</w:t>
            </w:r>
          </w:p>
        </w:tc>
        <w:tc>
          <w:tcPr>
            <w:shd w:fill="F4F6F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 (Pontos: 4)</w:t>
            </w:r>
          </w:p>
        </w:tc>
        <w:tc>
          <w:tcPr>
            <w:shd w:fill="F4F6F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 (Pontos: 3)</w:t>
            </w:r>
          </w:p>
        </w:tc>
        <w:tc>
          <w:tcPr>
            <w:shd w:fill="F4F6F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 (Pontos: 3)</w:t>
            </w:r>
          </w:p>
        </w:tc>
        <w:tc>
          <w:tcPr>
            <w:shd w:fill="F4F6F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 (Pontos: 4)</w:t>
            </w:r>
          </w:p>
        </w:tc>
      </w:tr>
      <w:tr>
        <w:tc>
          <w:tcPr>
            <w:shd w:fill="EAEAE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Soma de Pontuação Bruta (0 a 40)</w:t>
            </w:r>
          </w:p>
        </w:tc>
        <w:tc>
          <w:tcPr>
            <w:shd w:fill="EAEAE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29</w:t>
            </w:r>
          </w:p>
        </w:tc>
        <w:tc>
          <w:tcPr>
            <w:shd w:fill="EAEAE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28</w:t>
            </w:r>
          </w:p>
        </w:tc>
        <w:tc>
          <w:tcPr>
            <w:shd w:fill="EAEAE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34</w:t>
            </w:r>
          </w:p>
        </w:tc>
        <w:tc>
          <w:tcPr>
            <w:shd w:fill="EAEAE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34</w:t>
            </w:r>
          </w:p>
        </w:tc>
        <w:tc>
          <w:tcPr>
            <w:shd w:fill="EAEAE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40</w:t>
            </w:r>
          </w:p>
        </w:tc>
      </w:tr>
      <w:tr>
        <w:tc>
          <w:tcPr>
            <w:shd w:fill="DCE6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Pontuação Final SUS (Bruto x 2.5)</w:t>
            </w:r>
          </w:p>
        </w:tc>
        <w:tc>
          <w:tcPr>
            <w:shd w:fill="DCE6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65D"/>
                <w:sz w:val="20"/>
                <w:szCs w:val="20"/>
              </w:rPr>
              <w:t xml:space="preserve">72.5</w:t>
            </w:r>
          </w:p>
        </w:tc>
        <w:tc>
          <w:tcPr>
            <w:shd w:fill="DCE6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65D"/>
                <w:sz w:val="20"/>
                <w:szCs w:val="20"/>
              </w:rPr>
              <w:t xml:space="preserve">70.0</w:t>
            </w:r>
          </w:p>
        </w:tc>
        <w:tc>
          <w:tcPr>
            <w:shd w:fill="DCE6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65D"/>
                <w:sz w:val="20"/>
                <w:szCs w:val="20"/>
              </w:rPr>
              <w:t xml:space="preserve">85.0</w:t>
            </w:r>
          </w:p>
        </w:tc>
        <w:tc>
          <w:tcPr>
            <w:shd w:fill="DCE6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65D"/>
                <w:sz w:val="20"/>
                <w:szCs w:val="20"/>
              </w:rPr>
              <w:t xml:space="preserve">85.0</w:t>
            </w:r>
          </w:p>
        </w:tc>
        <w:tc>
          <w:tcPr>
            <w:shd w:fill="DCE6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65D"/>
                <w:sz w:val="20"/>
                <w:szCs w:val="20"/>
              </w:rPr>
              <w:t xml:space="preserve">100.0</w:t>
            </w:r>
          </w:p>
        </w:tc>
      </w:tr>
    </w:tbl>
    <w:p>
      <w:pPr>
        <w:spacing w:before="120"/>
      </w:pPr>
    </w:p>
    <w:p>
      <w:pPr>
        <w:spacing w:after="120" w:before="60" w:line="276"/>
      </w:pPr>
      <w:r>
        <w:rPr>
          <w:rFonts w:ascii="Calibri" w:cs="Calibri" w:eastAsia="Calibri" w:hAnsi="Calibri"/>
          <w:b/>
          <w:bCs/>
          <w:color w:val="333333"/>
          <w:sz w:val="23"/>
          <w:szCs w:val="23"/>
        </w:rPr>
        <w:t xml:space="preserve">A pontuação agregada de todos os usuários resultou em um excelente resultado:</w:t>
      </w:r>
    </w:p>
    <w:p>
      <w:pPr>
        <w:pStyle w:val="ListParagraph"/>
        <w:numPr>
          <w:ilvl w:val="0"/>
          <w:numId w:val="1"/>
        </w:numPr>
        <w:spacing w:after="80" w:before="40" w:line="276"/>
      </w:pPr>
      <w:r>
        <w:rPr>
          <w:rFonts w:ascii="Calibri" w:cs="Calibri" w:eastAsia="Calibri" w:hAnsi="Calibri"/>
          <w:b/>
          <w:bCs/>
          <w:color w:val="333333"/>
          <w:sz w:val="23"/>
          <w:szCs w:val="23"/>
        </w:rPr>
        <w:t xml:space="preserve">Média Geral SUS Obtida: </w:t>
      </w:r>
      <w:r>
        <w:rPr>
          <w:rFonts w:ascii="Calibri" w:cs="Calibri" w:eastAsia="Calibri" w:hAnsi="Calibri"/>
          <w:color w:val="333333"/>
          <w:sz w:val="23"/>
          <w:szCs w:val="23"/>
        </w:rPr>
        <w:t xml:space="preserve">82.5 pontos</w:t>
      </w:r>
    </w:p>
    <w:p>
      <w:pPr>
        <w:pStyle w:val="ListParagraph"/>
        <w:numPr>
          <w:ilvl w:val="0"/>
          <w:numId w:val="1"/>
        </w:numPr>
        <w:spacing w:after="80" w:before="40" w:line="276"/>
      </w:pPr>
      <w:r>
        <w:rPr>
          <w:rFonts w:ascii="Calibri" w:cs="Calibri" w:eastAsia="Calibri" w:hAnsi="Calibri"/>
          <w:b/>
          <w:bCs/>
          <w:color w:val="333333"/>
          <w:sz w:val="23"/>
          <w:szCs w:val="23"/>
        </w:rPr>
        <w:t xml:space="preserve">Classificação de Usabilidade: </w:t>
      </w:r>
      <w:r>
        <w:rPr>
          <w:rFonts w:ascii="Calibri" w:cs="Calibri" w:eastAsia="Calibri" w:hAnsi="Calibri"/>
          <w:color w:val="333333"/>
          <w:sz w:val="23"/>
          <w:szCs w:val="23"/>
        </w:rPr>
        <w:t xml:space="preserve">Excelente Usabilidade (Grade A / Excelente)</w:t>
      </w:r>
    </w:p>
    <w:p>
      <w:pPr>
        <w:spacing w:after="120" w:before="60" w:line="276"/>
      </w:pPr>
      <w:r>
        <w:rPr>
          <w:rFonts w:ascii="Calibri" w:cs="Calibri" w:eastAsia="Calibri" w:hAnsi="Calibri"/>
          <w:b w:val="false"/>
          <w:bCs w:val="false"/>
          <w:color w:val="333333"/>
          <w:sz w:val="23"/>
          <w:szCs w:val="23"/>
        </w:rPr>
        <w:t xml:space="preserve">Uma média SUS de 82.5 posiciona o PCraft no quartil mais alto das interfaces de software globais, indicando que a plataforma é extremamente intuitiva, gera alta satisfação do usuário e possui excelente taxa de recomendação.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B365D"/>
          <w:sz w:val="36"/>
          <w:szCs w:val="36"/>
        </w:rPr>
        <w:t xml:space="preserve">5. Análise dos Resultados</w:t>
      </w:r>
    </w:p>
    <w:p>
      <w:pPr>
        <w:spacing w:after="120" w:before="60" w:line="276"/>
      </w:pPr>
      <w:r>
        <w:rPr>
          <w:rFonts w:ascii="Calibri" w:cs="Calibri" w:eastAsia="Calibri" w:hAnsi="Calibri"/>
          <w:b w:val="false"/>
          <w:bCs w:val="false"/>
          <w:color w:val="333333"/>
          <w:sz w:val="23"/>
          <w:szCs w:val="23"/>
        </w:rPr>
        <w:t xml:space="preserve">A pontuação média de 82.5 reflete a maturidade e a simplicidade da interface web do PCraft, demonstrando que mesmo um fluxo complexo como a montagem de computadores foi simplificado de forma competente. Destacam-se as seguintes conclusões com base nos dados obtidos:</w:t>
      </w:r>
    </w:p>
    <w:p>
      <w:pPr>
        <w:pStyle w:val="ListParagraph"/>
        <w:numPr>
          <w:ilvl w:val="0"/>
          <w:numId w:val="1"/>
        </w:numPr>
        <w:spacing w:after="80" w:before="40" w:line="276"/>
      </w:pPr>
      <w:r>
        <w:rPr>
          <w:rFonts w:ascii="Calibri" w:cs="Calibri" w:eastAsia="Calibri" w:hAnsi="Calibri"/>
          <w:b/>
          <w:bCs/>
          <w:color w:val="333333"/>
          <w:sz w:val="23"/>
          <w:szCs w:val="23"/>
        </w:rPr>
        <w:t xml:space="preserve">Alta Confiança e Simplicidade: </w:t>
      </w:r>
      <w:r>
        <w:rPr>
          <w:rFonts w:ascii="Calibri" w:cs="Calibri" w:eastAsia="Calibri" w:hAnsi="Calibri"/>
          <w:color w:val="333333"/>
          <w:sz w:val="23"/>
          <w:szCs w:val="23"/>
        </w:rPr>
        <w:t xml:space="preserve">As notas máximas na pergunta Q9 e pontuações muito elevadas na pergunta Q3 demonstram que os participantes (incluindo os intermediários e experientes) sentiram-se altamente seguros enquanto navegavam. O visual limpo e moderno da tela de montagem foi amplamente elogiado.</w:t>
      </w:r>
    </w:p>
    <w:p>
      <w:pPr>
        <w:pStyle w:val="ListParagraph"/>
        <w:numPr>
          <w:ilvl w:val="0"/>
          <w:numId w:val="1"/>
        </w:numPr>
        <w:spacing w:after="80" w:before="40" w:line="276"/>
      </w:pPr>
      <w:r>
        <w:rPr>
          <w:rFonts w:ascii="Calibri" w:cs="Calibri" w:eastAsia="Calibri" w:hAnsi="Calibri"/>
          <w:b/>
          <w:bCs/>
          <w:color w:val="333333"/>
          <w:sz w:val="23"/>
          <w:szCs w:val="23"/>
        </w:rPr>
        <w:t xml:space="preserve">Integração Eficiente das Funcionalidades: </w:t>
      </w:r>
      <w:r>
        <w:rPr>
          <w:rFonts w:ascii="Calibri" w:cs="Calibri" w:eastAsia="Calibri" w:hAnsi="Calibri"/>
          <w:color w:val="333333"/>
          <w:sz w:val="23"/>
          <w:szCs w:val="23"/>
        </w:rPr>
        <w:t xml:space="preserve">A integração direta entre o catálogo de especificações técnicas de hardware e o assistente de montagem virtual de PCs (Q5) foi apontada como um dos pontos fortes da plataforma, permitindo uma transição fluida sem recargas desnecessárias de página.</w:t>
      </w:r>
    </w:p>
    <w:p>
      <w:pPr>
        <w:pStyle w:val="ListParagraph"/>
        <w:numPr>
          <w:ilvl w:val="0"/>
          <w:numId w:val="1"/>
        </w:numPr>
        <w:spacing w:after="80" w:before="40" w:line="276"/>
      </w:pPr>
      <w:r>
        <w:rPr>
          <w:rFonts w:ascii="Calibri" w:cs="Calibri" w:eastAsia="Calibri" w:hAnsi="Calibri"/>
          <w:b/>
          <w:bCs/>
          <w:color w:val="333333"/>
          <w:sz w:val="23"/>
          <w:szCs w:val="23"/>
        </w:rPr>
        <w:t xml:space="preserve">Oportunidades de Melhoria Identificadas: </w:t>
      </w:r>
      <w:r>
        <w:rPr>
          <w:rFonts w:ascii="Calibri" w:cs="Calibri" w:eastAsia="Calibri" w:hAnsi="Calibri"/>
          <w:color w:val="333333"/>
          <w:sz w:val="23"/>
          <w:szCs w:val="23"/>
        </w:rPr>
        <w:t xml:space="preserve">Os usuários novatos (U1 e U2) pontuaram levemente abaixo nas dimensões de complexidade (Q2) e necessidade de aprendizado (Q10). Durante a observação prática, o grupo notou que termos ultraespecíficos como "TDP (Thermal Design Power)", tipo de barramento DDR ou a pinagem dos sockets causaram breves momentos de hesitação nos usuários novatos, que não sabiam o significado exato dessas propriedades.</w:t>
      </w:r>
    </w:p>
    <w:p>
      <w:pPr>
        <w:spacing w:after="120" w:before="60" w:line="276"/>
      </w:pPr>
      <w:r>
        <w:rPr>
          <w:rFonts w:ascii="Calibri" w:cs="Calibri" w:eastAsia="Calibri" w:hAnsi="Calibri"/>
          <w:b/>
          <w:bCs/>
          <w:color w:val="333333"/>
          <w:sz w:val="23"/>
          <w:szCs w:val="23"/>
        </w:rPr>
        <w:t xml:space="preserve">Com base nas oportunidades identificadas, definimos as seguintes ações corretivas de UX a serem incorporadas nas próximas iterações do PCraft:</w:t>
      </w:r>
    </w:p>
    <w:p>
      <w:pPr>
        <w:pStyle w:val="ListParagraph"/>
        <w:numPr>
          <w:ilvl w:val="0"/>
          <w:numId w:val="1"/>
        </w:numPr>
        <w:spacing w:after="80" w:before="40" w:line="276"/>
      </w:pPr>
      <w:r>
        <w:rPr>
          <w:rFonts w:ascii="Calibri" w:cs="Calibri" w:eastAsia="Calibri" w:hAnsi="Calibri"/>
          <w:b/>
          <w:bCs/>
          <w:color w:val="333333"/>
          <w:sz w:val="23"/>
          <w:szCs w:val="23"/>
        </w:rPr>
        <w:t xml:space="preserve">1. Dicas Textuais e Tooltips: </w:t>
      </w:r>
      <w:r>
        <w:rPr>
          <w:rFonts w:ascii="Calibri" w:cs="Calibri" w:eastAsia="Calibri" w:hAnsi="Calibri"/>
          <w:color w:val="333333"/>
          <w:sz w:val="23"/>
          <w:szCs w:val="23"/>
        </w:rPr>
        <w:t xml:space="preserve">Adicionar tooltips (balões explicativos ao passar o mouse) nos campos mais técnicos (como TDP, soquetes, frequências de memória) explicando o significado de forma amigável.</w:t>
      </w:r>
    </w:p>
    <w:p>
      <w:pPr>
        <w:pStyle w:val="ListParagraph"/>
        <w:numPr>
          <w:ilvl w:val="0"/>
          <w:numId w:val="1"/>
        </w:numPr>
        <w:spacing w:after="80" w:before="40" w:line="276"/>
      </w:pPr>
      <w:r>
        <w:rPr>
          <w:rFonts w:ascii="Calibri" w:cs="Calibri" w:eastAsia="Calibri" w:hAnsi="Calibri"/>
          <w:b/>
          <w:bCs/>
          <w:color w:val="333333"/>
          <w:sz w:val="23"/>
          <w:szCs w:val="23"/>
        </w:rPr>
        <w:t xml:space="preserve">2. Assistente de Introdução Automática: </w:t>
      </w:r>
      <w:r>
        <w:rPr>
          <w:rFonts w:ascii="Calibri" w:cs="Calibri" w:eastAsia="Calibri" w:hAnsi="Calibri"/>
          <w:color w:val="333333"/>
          <w:sz w:val="23"/>
          <w:szCs w:val="23"/>
        </w:rPr>
        <w:t xml:space="preserve">Desenvolver um guia passo a passo dinâmico ("Onboarding") opcional na primeira vez que um usuário novato acessar o painel de montagem.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B365D"/>
          <w:sz w:val="36"/>
          <w:szCs w:val="36"/>
        </w:rPr>
        <w:t xml:space="preserve">6. Conclusão</w:t>
      </w:r>
    </w:p>
    <w:p>
      <w:pPr>
        <w:spacing w:after="120" w:before="60" w:line="276"/>
      </w:pPr>
      <w:r>
        <w:rPr>
          <w:rFonts w:ascii="Calibri" w:cs="Calibri" w:eastAsia="Calibri" w:hAnsi="Calibri"/>
          <w:b w:val="false"/>
          <w:bCs w:val="false"/>
          <w:color w:val="333333"/>
          <w:sz w:val="23"/>
          <w:szCs w:val="23"/>
        </w:rPr>
        <w:t xml:space="preserve">A avaliação de usabilidade por meio da Escala SUS comprovou cientificamente o excelente desempenho do PCraft, alcançando a nota de destaque de 82.5 pontos (Classificação Excelente / Grade A). O sistema é percebido como fácil, integrado e confiável pela vasta maioria dos usuários. A implementação de dicas contextuais e melhorias de onboarding para termos de hardware garantirá que a plataforma se torne ainda mais inclusiva e acessível a todo e qualquer público, eliminando a barreira de conhecimento técnico prévio e consolidando a qualidade técnica do projeto.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2026-05-21T00:02:52.355Z</dcterms:created>
  <dcterms:modified xsi:type="dcterms:W3CDTF">2026-05-21T00:02:52.356Z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