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5mcg5zg77s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0"/>
        <w:gridCol w:w="1155"/>
        <w:gridCol w:w="1170"/>
        <w:gridCol w:w="1095"/>
        <w:gridCol w:w="825"/>
        <w:gridCol w:w="930"/>
        <w:gridCol w:w="2220"/>
        <w:tblGridChange w:id="0">
          <w:tblGrid>
            <w:gridCol w:w="2520"/>
            <w:gridCol w:w="1155"/>
            <w:gridCol w:w="1170"/>
            <w:gridCol w:w="1095"/>
            <w:gridCol w:w="825"/>
            <w:gridCol w:w="930"/>
            <w:gridCol w:w="22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v58k7vhel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ind w:left="720" w:hanging="36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2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cuesta pensar Solucionar innovadoras aunque me gusta pensar en las dificultades que podamos a tener a futuro por esa misma idea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Falta repasar base de datos , pero no es grave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base de que el proyecto tenga buena base , hemos trabajo con documentos y desarrollo durante proyectos de clases , solo faltaria llevarlo a este nivel de proyecto de portafolio un mvp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bueno tener un buen ciclo de desarrollo de proyecto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seguridad es importante en los proyectos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que menos vi fue para dispositivos moviles, pero si tuve un proyecto relacionado al desarrollo para android en una materia 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falta de innovacion sigue presente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hLnNv7yexCy+fsXwgFznAfq6Q==">CgMxLjAyDmguZTVtY2c1emc3N3MwMg1oLnR2NThrN3ZoZWxqOAByITFjVDFUMXR2aEdqcl9HSnl0aWQ1cmQtSzdCQml0UXpXQQ==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