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广州市居民洪涝灾害保险购买意愿研究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摘要</w:t>
      </w:r>
    </w:p>
    <w:p>
      <w:pPr/>
      <w:r>
        <w:rPr>
          <w:rFonts w:ascii="Helvetica Light" w:hAnsi="Helvetica Light" w:cs="Helvetica Light"/>
          <w:sz w:val="24"/>
          <w:sz-cs w:val="24"/>
        </w:rPr>
        <w:t xml:space="preserve">在气候变化背景下，极端降雨事件频发，城市洪涝风险日益成为影响居民生命财产安全的重要因素。广州作为典型的高暴雨暴露城市，居民对洪涝灾害的风险感知及其保险需求具有较强现实意义。本文以广州市居民为研究对象，在半结构式访谈和扎根理论编码的基础上，提炼影响洪涝灾害保险购买意愿的关键因素，并进一步构建二元Logit模型分析居民购买意愿的形成机制。研究发现，从质性材料来看，风险感知、保险认知、传统保险不满和产品设计偏好是影响居民洪涝灾害保险购买意愿的四个核心因素；既有商业保险和自费防灾倾向则表现出一定替代效应。基于此，本文提出优化产品设计、提升保险认知、强化风险沟通和完善市场宣传等建议，以期为洪涝灾害保险推广和城市灾害风险治理提供参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关键词：洪涝灾害保险；购买意愿；风险感知；保险认知；Logit模型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一、引言</w:t>
      </w:r>
    </w:p>
    <w:p>
      <w:pPr/>
      <w:r>
        <w:rPr>
          <w:rFonts w:ascii="Helvetica Light" w:hAnsi="Helvetica Light" w:cs="Helvetica Light"/>
          <w:sz w:val="24"/>
          <w:sz-cs w:val="24"/>
        </w:rPr>
        <w:t xml:space="preserve">近年来，随着极端天气事件增多，城市洪涝灾害频率和强度呈上升趋势。广州地处华南沿海，暴雨、台风和短时强降水事件较为集中，部分区域面临较高的积水和内涝风险。在此背景下，如何通过保险工具分散居民洪涝损失，成为灾害风险管理与社会治理中的重要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与传统财产保险相比，洪涝灾害保险更强调针对特定灾害风险的保障功能，其推广效果不仅取决于产品本身，也与居民的风险认知、保险理解程度及既有保险体验密切相关。然而，居民是否愿意购买洪涝灾害保险，究竟受到哪些因素影响，现有研究在具体城市情境下仍有进一步讨论空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基于此，本文以广州市居民为研究对象，先通过半结构式访谈和扎根理论分析提炼影响居民洪涝灾害保险购买意愿的关键因素，再在此基础上构建实证分析框架。研究的核心目的在于回答以下问题：第一，哪些因素会显著影响广州市居民洪涝灾害保险购买意愿；第二，这些因素在购买意愿形成过程中如何发挥作用；第三，洪涝灾害保险产品设计与市场推广应如何优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二、理论基础与分析框架</w:t>
      </w:r>
    </w:p>
    <w:p>
      <w:pPr/>
      <w:r>
        <w:rPr>
          <w:rFonts w:ascii="Helvetica Light" w:hAnsi="Helvetica Light" w:cs="Helvetica Light"/>
          <w:sz w:val="24"/>
          <w:sz-cs w:val="24"/>
        </w:rPr>
        <w:t xml:space="preserve">居民购买保险本质上是一种风险管理决策行为，其形成过程通常受到风险判断、信息掌握程度、既有经验和产品属性评价等多方面因素共同影响。结合保险需求理论、消费者行为理论及灾害风险治理视角，居民在面对洪涝灾害保险时，一方面会评估风险是否真实存在、是否可能给自己带来损失，另一方面也会考虑保险产品是否值得购买、是否容易理解、是否具备足够可信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文进一步结合访谈材料构建分析框架。居民购买意愿并非单纯由风险暴露决定，而是由风险感知、保险认知、传统保险评价和产品设计偏好共同塑造。具体而言，风险感知是需求形成的前提条件；保险认知影响居民对产品功能和保障机制的理解程度；传统保险不满可能促使居民转向新型保险产品；产品设计偏好则直接决定居民是否愿意为该产品付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三、研究设计</w:t>
      </w:r>
    </w:p>
    <w:p>
      <w:pPr/>
      <w:r>
        <w:rPr>
          <w:rFonts w:ascii="Helvetica Light" w:hAnsi="Helvetica Light" w:cs="Helvetica Light"/>
          <w:sz w:val="24"/>
          <w:sz-cs w:val="24"/>
        </w:rPr>
        <w:t xml:space="preserve">（一）访谈设计与实施</w:t>
      </w:r>
    </w:p>
    <w:p>
      <w:pPr/>
      <w:r>
        <w:rPr>
          <w:rFonts w:ascii="Helvetica Light" w:hAnsi="Helvetica Light" w:cs="Helvetica Light"/>
          <w:sz w:val="24"/>
          <w:sz-cs w:val="24"/>
        </w:rPr>
        <w:t xml:space="preserve">在既有问卷题项难以灵活调整的前提下，本文采用半结构式访谈方法，对广州市居民洪涝灾害保险购买意愿的影响因素进行探索。访谈的主要目的在于识别影响购买意愿形成的核心范畴，为后续变量提炼、模型构建与研究假设提出提供质性依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文采用目的性抽样与差异化抽样相结合的方式，共选取15位受访者进行访谈。其中，8位受访者具有洪涝保险购买经历，7位受访者尚未购买相关产品。样本在学历、职业、年龄和居住区域方面具有一定差异性，有助于从不同社会背景中识别影响购买意愿的典型因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访谈主要围绕六个方面展开：一是受访者对所在区域洪涝风险的主观判断；二是受访者是否具有自身或周边受灾经历；三是受访者是否购买过洪涝保险及其原因；四是受访者对洪涝保险认知程度；五是受访者对传统保险和现有洪涝保险产品的评价；六是受访者未来购买、续保或推荐意愿的变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（二）扎根理论编码过程</w:t>
      </w:r>
    </w:p>
    <w:p>
      <w:pPr/>
      <w:r>
        <w:rPr>
          <w:rFonts w:ascii="Helvetica Light" w:hAnsi="Helvetica Light" w:cs="Helvetica Light"/>
          <w:sz w:val="24"/>
          <w:sz-cs w:val="24"/>
        </w:rPr>
        <w:t xml:space="preserve">本文采用扎根理论的开放编码、主轴编码和选择性编码方法，对访谈文本进行逐步归纳。开放编码阶段，研究者对受访者原始语句进行概念化处理，从中提炼出“感知居住区易涝”“实际损失经历”“认可客观触发赔付”“担忧责任界定不清”“偏好成熟可信产品”等初始概念。主轴编码阶段，将相近概念进一步整合，形成具有解释力的主范畴。最终在选择性编码阶段，提炼出四个核心范畴，即风险感知、保险认知、传统保险不满和产品设计偏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编码结果表明，已购买者通常具有更强烈的风险贴近感，对洪涝风险的现实性判断更明确，也更容易接受保险作为风险转移工具；未购买者则更容易受到信息不足、案例不足、条款复杂和赔付顾虑的影响，因而保持观望。由此可见，居民购买意愿的形成是风险认知、产品理解和市场体验共同作用的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（三）核心范畴提炼</w:t>
      </w:r>
    </w:p>
    <w:p>
      <w:pPr/>
      <w:r>
        <w:rPr>
          <w:rFonts w:ascii="Helvetica Light" w:hAnsi="Helvetica Light" w:cs="Helvetica Light"/>
          <w:sz w:val="24"/>
          <w:sz-cs w:val="24"/>
        </w:rPr>
        <w:t xml:space="preserve">结合编码结果，本文将影响广州市居民洪涝灾害保险购买意愿的因素概括为以下四类：</w:t>
      </w:r>
    </w:p>
    <w:p>
      <w:pPr/>
      <w:r>
        <w:rPr>
          <w:rFonts w:ascii="Helvetica Light" w:hAnsi="Helvetica Light" w:cs="Helvetica Light"/>
          <w:sz w:val="24"/>
          <w:sz-cs w:val="24"/>
        </w:rPr>
        <w:t xml:space="preserve">1. 风险感知。主要表现为居民对居住区域洪涝发生可能性、风险贴近性和潜在损失程度的判断。</w:t>
      </w:r>
    </w:p>
    <w:p>
      <w:pPr/>
      <w:r>
        <w:rPr>
          <w:rFonts w:ascii="Helvetica Light" w:hAnsi="Helvetica Light" w:cs="Helvetica Light"/>
          <w:sz w:val="24"/>
          <w:sz-cs w:val="24"/>
        </w:rPr>
        <w:t xml:space="preserve">2. 保险认知。主要表现为居民对洪涝保险保障内容、赔付逻辑、条款结构及产品用途的了解程度。</w:t>
      </w:r>
    </w:p>
    <w:p>
      <w:pPr/>
      <w:r>
        <w:rPr>
          <w:rFonts w:ascii="Helvetica Light" w:hAnsi="Helvetica Light" w:cs="Helvetica Light"/>
          <w:sz w:val="24"/>
          <w:sz-cs w:val="24"/>
        </w:rPr>
        <w:t xml:space="preserve">3. 传统保险不满。主要表现为居民对传统保险条款复杂、理赔速度慢、责任界定不清等问题的负面评价。</w:t>
      </w:r>
    </w:p>
    <w:p>
      <w:pPr/>
      <w:r>
        <w:rPr>
          <w:rFonts w:ascii="Helvetica Light" w:hAnsi="Helvetica Light" w:cs="Helvetica Light"/>
          <w:sz w:val="24"/>
          <w:sz-cs w:val="24"/>
        </w:rPr>
        <w:t xml:space="preserve">4. 产品设计偏好。主要表现为居民对保费水平、理赔时效、产品透明度、品牌可信度和保障规则简洁性的偏好。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此外，既有商业保险和自费防灾倾向虽然在访谈中多次出现，但更适合在后续模型中作为控制变量纳入分析，而不作为核心解释变量直接进入研究假设。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四、研究假设</w:t>
      </w:r>
    </w:p>
    <w:p>
      <w:pPr/>
      <w:r>
        <w:rPr>
          <w:rFonts w:ascii="Helvetica Light" w:hAnsi="Helvetica Light" w:cs="Helvetica Light"/>
          <w:sz w:val="24"/>
          <w:sz-cs w:val="24"/>
        </w:rPr>
        <w:t xml:space="preserve">H1：风险感知对洪涝灾害保险购买意愿具有显著正向影响。</w:t>
      </w:r>
    </w:p>
    <w:p>
      <w:pPr/>
      <w:r>
        <w:rPr>
          <w:rFonts w:ascii="Helvetica Light" w:hAnsi="Helvetica Light" w:cs="Helvetica Light"/>
          <w:sz w:val="24"/>
          <w:sz-cs w:val="24"/>
        </w:rPr>
        <w:t xml:space="preserve">当居民越强烈地感受到洪涝风险的现实性，或者越明确地认识到风险可能造成财产损失时，越可能产生通过保险分散风险的需求。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H2：保险认知对洪涝灾害保险购买意愿具有显著正向影响。</w:t>
      </w:r>
    </w:p>
    <w:p>
      <w:pPr/>
      <w:r>
        <w:rPr>
          <w:rFonts w:ascii="Helvetica Light" w:hAnsi="Helvetica Light" w:cs="Helvetica Light"/>
          <w:sz w:val="24"/>
          <w:sz-cs w:val="24"/>
        </w:rPr>
        <w:t xml:space="preserve">当居民对洪涝灾害保险的产品机制、赔付规则和保障边界理解越清晰时，其信息不对称和认知障碍越弱，从而更容易形成购买意愿。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H3：传统保险不满对洪涝灾害保险购买意愿具有显著正向影响。</w:t>
      </w:r>
    </w:p>
    <w:p>
      <w:pPr/>
      <w:r>
        <w:rPr>
          <w:rFonts w:ascii="Helvetica Light" w:hAnsi="Helvetica Light" w:cs="Helvetica Light"/>
          <w:sz w:val="24"/>
          <w:sz-cs w:val="24"/>
        </w:rPr>
        <w:t xml:space="preserve">当居民对传统保险理赔慢、条款复杂和责任模糊等问题的不满程度越高时，越可能转向规则更清晰的新型灾害保险产品。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H4：产品设计偏好对洪涝灾害保险购买意愿具有显著正向影响。</w:t>
      </w:r>
    </w:p>
    <w:p>
      <w:pPr/>
      <w:r>
        <w:rPr>
          <w:rFonts w:ascii="Helvetica Light" w:hAnsi="Helvetica Light" w:cs="Helvetica Light"/>
          <w:sz w:val="24"/>
          <w:sz-cs w:val="24"/>
        </w:rPr>
        <w:t xml:space="preserve">当洪涝灾害保险产品在保费、赔付效率、透明度和品牌可信度等方面更符合居民偏好时，其购买意愿会显著提高。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五、实证模型的建立与结果分析</w:t>
      </w:r>
    </w:p>
    <w:p>
      <w:pPr/>
      <w:r>
        <w:rPr>
          <w:rFonts w:ascii="Helvetica Light" w:hAnsi="Helvetica Light" w:cs="Helvetica Light"/>
          <w:sz w:val="24"/>
          <w:sz-cs w:val="24"/>
        </w:rPr>
        <w:t xml:space="preserve">（一）模型建立与变量选取</w:t>
      </w:r>
    </w:p>
    <w:p>
      <w:pPr/>
      <w:r>
        <w:rPr>
          <w:rFonts w:ascii="Helvetica Light" w:hAnsi="Helvetica Light" w:cs="Helvetica Light"/>
          <w:sz w:val="24"/>
          <w:sz-cs w:val="24"/>
        </w:rPr>
        <w:t xml:space="preserve">考虑到居民洪涝灾害保险购买意愿是典型的二分类变量，本文采用二元Logit模型进行分析。设因变量Y表示居民是否具有洪涝灾害保险购买意愿，当受访者愿意购买或准备购买时取值为1，反之取值为0。模型形式如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P(Y_i=1)=exp(β_0+β_1RP_i+β_2IC_i+β_3TD_i+β_4PD_i+β_5X_i) / [1+exp(β_0+β_1RP_i+β_2IC_i+β_3TD_i+β_4PD_i+β_5X_i)]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其中，RP表示风险感知，IC表示保险认知，TD表示传统保险不满，PD表示产品设计偏好，X表示控制变量，β_0为常数项，β_1至β_5为待估参数。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文将风险感知、保险认知、传统保险不满和产品设计偏好作为核心解释变量，同时控制性别、年龄、教育程度、收入水平、受灾经历、既有商业保险和自费防灾倾向等因素，以考察各变量对居民购买意愿的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（二）变量定义</w:t>
      </w:r>
    </w:p>
    <w:p>
      <w:pPr/>
      <w:r>
        <w:rPr>
          <w:rFonts w:ascii="Helvetica Light" w:hAnsi="Helvetica Light" w:cs="Helvetica Light"/>
          <w:sz w:val="24"/>
          <w:sz-cs w:val="24"/>
        </w:rPr>
        <w:t xml:space="preserve">表1 变量定义表</w:t>
      </w:r>
    </w:p>
    <w:p>
      <w:pPr/>
      <w:r>
        <w:rPr>
          <w:rFonts w:ascii="Helvetica Light" w:hAnsi="Helvetica Light" w:cs="Helvetica Light"/>
          <w:sz w:val="24"/>
          <w:sz-cs w:val="24"/>
        </w:rPr>
        <w:t xml:space="preserve">因变量：洪涝灾害保险购买意愿（Y），愿意购买或准备购买=1；不愿意购买或暂不考虑=0。</w:t>
      </w:r>
    </w:p>
    <w:p>
      <w:pPr/>
      <w:r>
        <w:rPr>
          <w:rFonts w:ascii="Helvetica Light" w:hAnsi="Helvetica Light" w:cs="Helvetica Light"/>
          <w:sz w:val="24"/>
          <w:sz-cs w:val="24"/>
        </w:rPr>
        <w:t xml:space="preserve">核心解释变量：风险感知（RP），对洪涝发生概率、损失程度和风险贴近性的综合判断。</w:t>
      </w:r>
    </w:p>
    <w:p>
      <w:pPr/>
      <w:r>
        <w:rPr>
          <w:rFonts w:ascii="Helvetica Light" w:hAnsi="Helvetica Light" w:cs="Helvetica Light"/>
          <w:sz w:val="24"/>
          <w:sz-cs w:val="24"/>
        </w:rPr>
        <w:t xml:space="preserve">核心解释变量：保险认知（IC），对产品保障内容、触发机制与赔付逻辑的了解程度。</w:t>
      </w:r>
    </w:p>
    <w:p>
      <w:pPr/>
      <w:r>
        <w:rPr>
          <w:rFonts w:ascii="Helvetica Light" w:hAnsi="Helvetica Light" w:cs="Helvetica Light"/>
          <w:sz w:val="24"/>
          <w:sz-cs w:val="24"/>
        </w:rPr>
        <w:t xml:space="preserve">核心解释变量：传统保险不满（TD），对传统保险理赔体验、条款复杂性和责任边界的负面评价。</w:t>
      </w:r>
    </w:p>
    <w:p>
      <w:pPr/>
      <w:r>
        <w:rPr>
          <w:rFonts w:ascii="Helvetica Light" w:hAnsi="Helvetica Light" w:cs="Helvetica Light"/>
          <w:sz w:val="24"/>
          <w:sz-cs w:val="24"/>
        </w:rPr>
        <w:t xml:space="preserve">核心解释变量：产品设计偏好（PD），对保费、理赔速度、透明度和品牌可信度的偏好程度。</w:t>
      </w:r>
    </w:p>
    <w:p>
      <w:pPr/>
      <w:r>
        <w:rPr>
          <w:rFonts w:ascii="Helvetica Light" w:hAnsi="Helvetica Light" w:cs="Helvetica Light"/>
          <w:sz w:val="24"/>
          <w:sz-cs w:val="24"/>
        </w:rPr>
        <w:t xml:space="preserve">控制变量：性别（GEN），男=1，女=0。</w:t>
      </w:r>
    </w:p>
    <w:p>
      <w:pPr/>
      <w:r>
        <w:rPr>
          <w:rFonts w:ascii="Helvetica Light" w:hAnsi="Helvetica Light" w:cs="Helvetica Light"/>
          <w:sz w:val="24"/>
          <w:sz-cs w:val="24"/>
        </w:rPr>
        <w:t xml:space="preserve">控制变量：年龄（AGE），按实际年龄或分组赋值。</w:t>
      </w:r>
    </w:p>
    <w:p>
      <w:pPr/>
      <w:r>
        <w:rPr>
          <w:rFonts w:ascii="Helvetica Light" w:hAnsi="Helvetica Light" w:cs="Helvetica Light"/>
          <w:sz w:val="24"/>
          <w:sz-cs w:val="24"/>
        </w:rPr>
        <w:t xml:space="preserve">控制变量：教育程度（EDU），按学历层级赋值。</w:t>
      </w:r>
    </w:p>
    <w:p>
      <w:pPr/>
      <w:r>
        <w:rPr>
          <w:rFonts w:ascii="Helvetica Light" w:hAnsi="Helvetica Light" w:cs="Helvetica Light"/>
          <w:sz w:val="24"/>
          <w:sz-cs w:val="24"/>
        </w:rPr>
        <w:t xml:space="preserve">控制变量：收入水平（INC），按收入区间赋值。</w:t>
      </w:r>
    </w:p>
    <w:p>
      <w:pPr/>
      <w:r>
        <w:rPr>
          <w:rFonts w:ascii="Helvetica Light" w:hAnsi="Helvetica Light" w:cs="Helvetica Light"/>
          <w:sz w:val="24"/>
          <w:sz-cs w:val="24"/>
        </w:rPr>
        <w:t xml:space="preserve">控制变量：受灾经历（EXP），有相关损失或经历=1；无=0。</w:t>
      </w:r>
    </w:p>
    <w:p>
      <w:pPr/>
      <w:r>
        <w:rPr>
          <w:rFonts w:ascii="Helvetica Light" w:hAnsi="Helvetica Light" w:cs="Helvetica Light"/>
          <w:sz w:val="24"/>
          <w:sz-cs w:val="24"/>
        </w:rPr>
        <w:t xml:space="preserve">控制变量：既有商业保险（INS），已购买其他商业保险=1；未购买=0。</w:t>
      </w:r>
    </w:p>
    <w:p>
      <w:pPr/>
      <w:r>
        <w:rPr>
          <w:rFonts w:ascii="Helvetica Light" w:hAnsi="Helvetica Light" w:cs="Helvetica Light"/>
          <w:sz w:val="24"/>
          <w:sz-cs w:val="24"/>
        </w:rPr>
        <w:t xml:space="preserve">控制变量：自费防灾倾向（PRE），倾向自行采取防灾措施=1；否则=0。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（三）模型估计结果</w:t>
      </w:r>
    </w:p>
    <w:p>
      <w:pPr/>
      <w:r>
        <w:rPr>
          <w:rFonts w:ascii="Helvetica Light" w:hAnsi="Helvetica Light" w:cs="Helvetica Light"/>
          <w:sz w:val="24"/>
          <w:sz-cs w:val="24"/>
        </w:rPr>
        <w:t xml:space="preserve">表2 Logit回归结果</w:t>
      </w:r>
    </w:p>
    <w:p>
      <w:pPr/>
      <w:r>
        <w:rPr>
          <w:rFonts w:ascii="Helvetica Light" w:hAnsi="Helvetica Light" w:cs="Helvetica Light"/>
          <w:sz w:val="24"/>
          <w:sz-cs w:val="24"/>
        </w:rPr>
        <w:t xml:space="preserve">风险感知（RP）：[待填]</w:t>
      </w:r>
    </w:p>
    <w:p>
      <w:pPr/>
      <w:r>
        <w:rPr>
          <w:rFonts w:ascii="Helvetica Light" w:hAnsi="Helvetica Light" w:cs="Helvetica Light"/>
          <w:sz w:val="24"/>
          <w:sz-cs w:val="24"/>
        </w:rPr>
        <w:t xml:space="preserve">保险认知（IC）：[待填]</w:t>
      </w:r>
    </w:p>
    <w:p>
      <w:pPr/>
      <w:r>
        <w:rPr>
          <w:rFonts w:ascii="Helvetica Light" w:hAnsi="Helvetica Light" w:cs="Helvetica Light"/>
          <w:sz w:val="24"/>
          <w:sz-cs w:val="24"/>
        </w:rPr>
        <w:t xml:space="preserve">传统保险不满（TD）：[待填]</w:t>
      </w:r>
    </w:p>
    <w:p>
      <w:pPr/>
      <w:r>
        <w:rPr>
          <w:rFonts w:ascii="Helvetica Light" w:hAnsi="Helvetica Light" w:cs="Helvetica Light"/>
          <w:sz w:val="24"/>
          <w:sz-cs w:val="24"/>
        </w:rPr>
        <w:t xml:space="preserve">产品设计偏好（PD）：[待填]</w:t>
      </w:r>
    </w:p>
    <w:p>
      <w:pPr/>
      <w:r>
        <w:rPr>
          <w:rFonts w:ascii="Helvetica Light" w:hAnsi="Helvetica Light" w:cs="Helvetica Light"/>
          <w:sz w:val="24"/>
          <w:sz-cs w:val="24"/>
        </w:rPr>
        <w:t xml:space="preserve">性别（GEN）：[待填]</w:t>
      </w:r>
    </w:p>
    <w:p>
      <w:pPr/>
      <w:r>
        <w:rPr>
          <w:rFonts w:ascii="Helvetica Light" w:hAnsi="Helvetica Light" w:cs="Helvetica Light"/>
          <w:sz w:val="24"/>
          <w:sz-cs w:val="24"/>
        </w:rPr>
        <w:t xml:space="preserve">年龄（AGE）：[待填]</w:t>
      </w:r>
    </w:p>
    <w:p>
      <w:pPr/>
      <w:r>
        <w:rPr>
          <w:rFonts w:ascii="Helvetica Light" w:hAnsi="Helvetica Light" w:cs="Helvetica Light"/>
          <w:sz w:val="24"/>
          <w:sz-cs w:val="24"/>
        </w:rPr>
        <w:t xml:space="preserve">教育程度（EDU）：[待填]</w:t>
      </w:r>
    </w:p>
    <w:p>
      <w:pPr/>
      <w:r>
        <w:rPr>
          <w:rFonts w:ascii="Helvetica Light" w:hAnsi="Helvetica Light" w:cs="Helvetica Light"/>
          <w:sz w:val="24"/>
          <w:sz-cs w:val="24"/>
        </w:rPr>
        <w:t xml:space="preserve">收入水平（INC）：[待填]</w:t>
      </w:r>
    </w:p>
    <w:p>
      <w:pPr/>
      <w:r>
        <w:rPr>
          <w:rFonts w:ascii="Helvetica Light" w:hAnsi="Helvetica Light" w:cs="Helvetica Light"/>
          <w:sz w:val="24"/>
          <w:sz-cs w:val="24"/>
        </w:rPr>
        <w:t xml:space="preserve">受灾经历（EXP）：[待填]</w:t>
      </w:r>
    </w:p>
    <w:p>
      <w:pPr/>
      <w:r>
        <w:rPr>
          <w:rFonts w:ascii="Helvetica Light" w:hAnsi="Helvetica Light" w:cs="Helvetica Light"/>
          <w:sz w:val="24"/>
          <w:sz-cs w:val="24"/>
        </w:rPr>
        <w:t xml:space="preserve">既有商业保险（INS）：[待填]</w:t>
      </w:r>
    </w:p>
    <w:p>
      <w:pPr/>
      <w:r>
        <w:rPr>
          <w:rFonts w:ascii="Helvetica Light" w:hAnsi="Helvetica Light" w:cs="Helvetica Light"/>
          <w:sz w:val="24"/>
          <w:sz-cs w:val="24"/>
        </w:rPr>
        <w:t xml:space="preserve">自费防灾倾向（PRE）：[待填]</w:t>
      </w:r>
    </w:p>
    <w:p>
      <w:pPr/>
      <w:r>
        <w:rPr>
          <w:rFonts w:ascii="Helvetica Light" w:hAnsi="Helvetica Light" w:cs="Helvetica Light"/>
          <w:sz w:val="24"/>
          <w:sz-cs w:val="24"/>
        </w:rPr>
        <w:t xml:space="preserve">常数项：[待填]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（四）结果分析</w:t>
      </w:r>
    </w:p>
    <w:p>
      <w:pPr/>
      <w:r>
        <w:rPr>
          <w:rFonts w:ascii="Helvetica Light" w:hAnsi="Helvetica Light" w:cs="Helvetica Light"/>
          <w:sz w:val="24"/>
          <w:sz-cs w:val="24"/>
        </w:rPr>
        <w:t xml:space="preserve">若风险感知变量系数显著为正，说明居民越强烈地感受到洪涝风险，越可能形成保险购买意愿。这说明风险贴近感和损失预期是推动居民参保的重要动力。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若保险认知变量系数显著为正，说明居民对洪涝灾害保险理解越充分，越容易消除观望心理，进而提升购买意愿。这表明宣传解释和产品教育在市场推广中具有重要作用。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若传统保险不满变量系数显著为正，说明居民对传统保险负面评价越高，越倾向于接受规则更清晰、理赔逻辑更直接的新型保险产品。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若产品设计偏好变量系数显著为正，说明洪涝灾害保险产品只有在保费合理、规则清晰、理赔高效和品牌可信的前提下，才更可能获得居民认可。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控制变量方面，受灾经历和收入水平往往会正向影响购买意愿；既有商业保险和自费防灾倾向可能表现出替代效应，从而削弱新增购买需求。具体结论应结合回归结果进一步讨论。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六、研究结论与政策建议</w:t>
      </w:r>
    </w:p>
    <w:p>
      <w:pPr/>
      <w:r>
        <w:rPr>
          <w:rFonts w:ascii="Helvetica Light" w:hAnsi="Helvetica Light" w:cs="Helvetica Light"/>
          <w:sz w:val="24"/>
          <w:sz-cs w:val="24"/>
        </w:rPr>
        <w:t xml:space="preserve">（一）研究结论</w:t>
      </w:r>
    </w:p>
    <w:p>
      <w:pPr/>
      <w:r>
        <w:rPr>
          <w:rFonts w:ascii="Helvetica Light" w:hAnsi="Helvetica Light" w:cs="Helvetica Light"/>
          <w:sz w:val="24"/>
          <w:sz-cs w:val="24"/>
        </w:rPr>
        <w:t xml:space="preserve">本文基于广州市居民访谈资料和扎根理论编码结果，识别出影响洪涝灾害保险购买意愿的四个核心因素，即风险感知、保险认知、传统保险不满和产品设计偏好。进一步构建的实证分析框架表明，居民保险购买意愿的形成既受到风险暴露和认知水平影响，也受到保险市场既有体验和产品设计质量的共同作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总体而言，居民是否愿意购买洪涝灾害保险，并不只是简单取决于是否处于洪涝高风险区，而是取决于其是否真正感知到风险、是否理解保险、是否信任产品，以及产品设计是否满足现实需求。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（二）政策建议</w:t>
      </w:r>
    </w:p>
    <w:p>
      <w:pPr/>
      <w:r>
        <w:rPr>
          <w:rFonts w:ascii="Helvetica Light" w:hAnsi="Helvetica Light" w:cs="Helvetica Light"/>
          <w:sz w:val="24"/>
          <w:sz-cs w:val="24"/>
        </w:rPr>
        <w:t xml:space="preserve">1. 强化洪涝风险宣传与风险教育。政府和社区应结合区域洪涝案例，加强对居民灾害风险的提示与教育，提高居民对洪涝风险现实性的认识。</w:t>
      </w:r>
    </w:p>
    <w:p>
      <w:pPr/>
      <w:r>
        <w:rPr>
          <w:rFonts w:ascii="Helvetica Light" w:hAnsi="Helvetica Light" w:cs="Helvetica Light"/>
          <w:sz w:val="24"/>
          <w:sz-cs w:val="24"/>
        </w:rPr>
        <w:t xml:space="preserve">2. 提升保险产品认知度。保险机构应通过通俗化表达、案例展示和可视化说明，降低居民理解门槛，增强其对产品保障逻辑和赔付机制的理解。</w:t>
      </w:r>
    </w:p>
    <w:p>
      <w:pPr/>
      <w:r>
        <w:rPr>
          <w:rFonts w:ascii="Helvetica Light" w:hAnsi="Helvetica Light" w:cs="Helvetica Light"/>
          <w:sz w:val="24"/>
          <w:sz-cs w:val="24"/>
        </w:rPr>
        <w:t xml:space="preserve">3. 优化产品设计。应重点围绕保费合理、理赔高效、条款透明和责任清晰等方面改进洪涝灾害保险产品，减少居民对“买了不一定赔”的顾虑。</w:t>
      </w:r>
    </w:p>
    <w:p>
      <w:pPr/>
      <w:r>
        <w:rPr>
          <w:rFonts w:ascii="Helvetica Light" w:hAnsi="Helvetica Light" w:cs="Helvetica Light"/>
          <w:sz w:val="24"/>
          <w:sz-cs w:val="24"/>
        </w:rPr>
        <w:t xml:space="preserve">4. 提升市场公信力。保险机构应强化品牌建设和理赔服务，通过真实赔付案例和社区合作机制增强居民信任。</w:t>
      </w:r>
    </w:p>
    <w:p>
      <w:pPr/>
      <w:r>
        <w:rPr>
          <w:rFonts w:ascii="Helvetica Light" w:hAnsi="Helvetica Light" w:cs="Helvetica Light"/>
          <w:sz w:val="24"/>
          <w:sz-cs w:val="24"/>
        </w:rPr>
        <w:t xml:space="preserve">5. 推动多元协同治理。洪涝灾害保险推广不应仅依赖保险机构单方面努力，还应加强政府、社区和市场主体之间的协同，通过政策支持、宣传引导和产品创新共同提升保险覆盖率。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附录说明</w:t>
      </w:r>
    </w:p>
    <w:p>
      <w:pPr/>
      <w:r>
        <w:rPr>
          <w:rFonts w:ascii="Helvetica Light" w:hAnsi="Helvetica Light" w:cs="Helvetica Light"/>
          <w:sz w:val="24"/>
          <w:sz-cs w:val="24"/>
        </w:rPr>
        <w:t xml:space="preserve">原始文档中的15位受访者访谈实录、开放编码明细、主轴编码与选择性编码结果，可作为本文附录保留，用于支撑正文中的变量提炼、研究假设和实证分析框架。若需正式提交论文，建议将“访谈实录、扎根理论编码与研究假设附件”整体后移至附录部分，以避免正文过于冗长并增强论文结构的学术规范性。</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