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2778"/>
        <w:tblLayout w:type="fixed"/>
        <w:tblLook w:firstRow="1" w:lastRow="0" w:firstColumn="0" w:lastColumn="0" w:noHBand="0" w:noVBand="0" w:val="0020"/>
      </w:tblPr>
      <w:tblGrid>
        <w:gridCol w:w="2090"/>
        <w:gridCol w:w="231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Main effects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Accuracy nudge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(&lt;0.001)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[-0.157, -0.059]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 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(&lt;0.001)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[-0.070, -0.020]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Fact-check 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(&lt;0.001)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[-0.223, -0.188]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Num.Obs.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113934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 Marg.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 Cond.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264904.6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264981.8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2026-04-13T18:54:04Z</dcterms:created>
  <dcterms:modified xsi:type="dcterms:W3CDTF">2026-04-13T18:54:04Z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