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w:t>
            </w:r>
            <w:r w:rsidDel="00000000" w:rsidR="00000000" w:rsidRPr="00000000">
              <w:rPr>
                <w:rFonts w:ascii="Calibri" w:cs="Calibri" w:eastAsia="Calibri" w:hAnsi="Calibri"/>
                <w:color w:val="000000"/>
                <w:rtl w:val="0"/>
              </w:rPr>
              <w:t xml:space="preserve">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11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hbhkx1OHjy7HFvsHg8V7kfaF/A==">CgMxLjA4AHIhMUdaVm9ySHNpMWxQMTZzTEJ6YU95NzVrbnVvMkhIamEx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