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0q5i7mza0v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Andrés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Martínez Mella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PTY4614 - 006V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Desarrollador de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Actualmente llevó 4 años como desarrollador de software, tanto con aplicaciones web como móviles.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tener experiencia en el desarrollo de software, utilizo y creo nuevos modelos de bases de datos a menudo, creando SPs, packages, funciones, etc.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el desarrollo de software la seguridad es demasiado importante, aunque aun me faltan cosas por aprender, tengo un alto dominio de las buenas prácticas que se requieren y conocimiento en prevención de OWASP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Sistemas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realizado distintos tipos de sistemas, cada cual maneja distintas arquitecturas según la necesidad, he trabajado tanto con arquitecturas Cloud como on premise y comunicación entre servidores.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Requerimientos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he desempeñado como freelance, donde he tenido la oportunidad de manejar y gestionar requerimientos, los cuales logro cumplir de manera exitosa.</w:t>
            </w:r>
          </w:p>
        </w:tc>
      </w:tr>
    </w:tbl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6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/nIiYLlh2thCPvLfoJhYqbnbbQ==">CgMxLjAyDmguaTBxNWk3bXphMHY0OAByITE3NW5DblNTZ2laUlRNR3JKV3pmZ1R4ZTMxSXB6bURzRg==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