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:rsidRPr="00AB0FD8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5A473C22" w14:textId="77777777" w:rsidR="00182F2D" w:rsidRDefault="00182F2D" w:rsidP="00182F2D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MX" w:eastAsia="es-CL"/>
              </w:rPr>
            </w:pPr>
            <w:r w:rsidRPr="00182F2D">
              <w:rPr>
                <w:rFonts w:ascii="Calibri" w:hAnsi="Calibri" w:cs="Arial"/>
                <w:i/>
                <w:color w:val="548DD4"/>
                <w:sz w:val="20"/>
                <w:szCs w:val="20"/>
                <w:lang w:val="es-MX" w:eastAsia="es-CL"/>
              </w:rPr>
              <w:t xml:space="preserve">Durante esta etapa, y conforme al </w:t>
            </w:r>
            <w:r w:rsidRPr="00182F2D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MX" w:eastAsia="es-CL"/>
              </w:rPr>
              <w:t>modelo en cascada</w:t>
            </w:r>
            <w:r w:rsidRPr="00182F2D">
              <w:rPr>
                <w:rFonts w:ascii="Calibri" w:hAnsi="Calibri" w:cs="Arial"/>
                <w:i/>
                <w:color w:val="548DD4"/>
                <w:sz w:val="20"/>
                <w:szCs w:val="20"/>
                <w:lang w:val="es-MX" w:eastAsia="es-CL"/>
              </w:rPr>
              <w:t xml:space="preserve">, se han concluido y aprobado las fases de </w:t>
            </w:r>
            <w:r w:rsidRPr="00182F2D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MX" w:eastAsia="es-CL"/>
              </w:rPr>
              <w:t>Requisitos y Análisis</w:t>
            </w:r>
            <w:r w:rsidRPr="00182F2D">
              <w:rPr>
                <w:rFonts w:ascii="Calibri" w:hAnsi="Calibri" w:cs="Arial"/>
                <w:i/>
                <w:color w:val="548DD4"/>
                <w:sz w:val="20"/>
                <w:szCs w:val="20"/>
                <w:lang w:val="es-MX" w:eastAsia="es-CL"/>
              </w:rPr>
              <w:t xml:space="preserve">, con el </w:t>
            </w:r>
            <w:r w:rsidRPr="00182F2D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MX" w:eastAsia="es-CL"/>
              </w:rPr>
              <w:t xml:space="preserve">diseño funcional </w:t>
            </w:r>
            <w:r w:rsidRPr="00182F2D">
              <w:rPr>
                <w:rFonts w:ascii="Calibri" w:hAnsi="Calibri" w:cs="Arial"/>
                <w:i/>
                <w:color w:val="548DD4"/>
                <w:sz w:val="20"/>
                <w:szCs w:val="20"/>
                <w:lang w:val="es-MX" w:eastAsia="es-CL"/>
              </w:rPr>
              <w:t xml:space="preserve">y de datos validado. En </w:t>
            </w:r>
            <w:r w:rsidRPr="00182F2D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MX" w:eastAsia="es-CL"/>
              </w:rPr>
              <w:t>Implementación</w:t>
            </w:r>
            <w:r w:rsidRPr="00182F2D">
              <w:rPr>
                <w:rFonts w:ascii="Calibri" w:hAnsi="Calibri" w:cs="Arial"/>
                <w:i/>
                <w:color w:val="548DD4"/>
                <w:sz w:val="20"/>
                <w:szCs w:val="20"/>
                <w:lang w:val="es-MX" w:eastAsia="es-CL"/>
              </w:rPr>
              <w:t xml:space="preserve">, el </w:t>
            </w:r>
            <w:r w:rsidRPr="00182F2D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MX" w:eastAsia="es-CL"/>
              </w:rPr>
              <w:t>proceso ETL</w:t>
            </w:r>
            <w:r w:rsidRPr="00182F2D">
              <w:rPr>
                <w:rFonts w:ascii="Calibri" w:hAnsi="Calibri" w:cs="Arial"/>
                <w:i/>
                <w:color w:val="548DD4"/>
                <w:sz w:val="20"/>
                <w:szCs w:val="20"/>
                <w:lang w:val="es-MX" w:eastAsia="es-CL"/>
              </w:rPr>
              <w:t xml:space="preserve"> está operativo (ingesta, limpieza y carga de datasets de consumidor y mayorista) con normalización inicial que habilita consultas por fecha, producto, unidad y región/mercado. En el frontend están funcionales Home, Productos (listado y </w:t>
            </w:r>
            <w:r w:rsidRPr="00182F2D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MX" w:eastAsia="es-CL"/>
              </w:rPr>
              <w:t>detalle con gráfico de serie temporal</w:t>
            </w:r>
            <w:r w:rsidRPr="00182F2D">
              <w:rPr>
                <w:rFonts w:ascii="Calibri" w:hAnsi="Calibri" w:cs="Arial"/>
                <w:i/>
                <w:color w:val="548DD4"/>
                <w:sz w:val="20"/>
                <w:szCs w:val="20"/>
                <w:lang w:val="es-MX" w:eastAsia="es-CL"/>
              </w:rPr>
              <w:t xml:space="preserve"> y KPIs básicos), </w:t>
            </w:r>
            <w:r w:rsidRPr="00182F2D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MX" w:eastAsia="es-CL"/>
              </w:rPr>
              <w:t>Acerca</w:t>
            </w:r>
            <w:r w:rsidRPr="00182F2D">
              <w:rPr>
                <w:rFonts w:ascii="Calibri" w:hAnsi="Calibri" w:cs="Arial"/>
                <w:i/>
                <w:color w:val="548DD4"/>
                <w:sz w:val="20"/>
                <w:szCs w:val="20"/>
                <w:lang w:val="es-MX" w:eastAsia="es-CL"/>
              </w:rPr>
              <w:t xml:space="preserve"> y </w:t>
            </w:r>
            <w:r w:rsidRPr="00182F2D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MX" w:eastAsia="es-CL"/>
              </w:rPr>
              <w:t>404</w:t>
            </w:r>
            <w:r w:rsidRPr="00182F2D">
              <w:rPr>
                <w:rFonts w:ascii="Calibri" w:hAnsi="Calibri" w:cs="Arial"/>
                <w:i/>
                <w:color w:val="548DD4"/>
                <w:sz w:val="20"/>
                <w:szCs w:val="20"/>
                <w:lang w:val="es-MX" w:eastAsia="es-CL"/>
              </w:rPr>
              <w:t xml:space="preserve">. La </w:t>
            </w:r>
            <w:r w:rsidRPr="00182F2D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MX" w:eastAsia="es-CL"/>
              </w:rPr>
              <w:t>documentación</w:t>
            </w:r>
            <w:r w:rsidRPr="00182F2D">
              <w:rPr>
                <w:rFonts w:ascii="Calibri" w:hAnsi="Calibri" w:cs="Arial"/>
                <w:i/>
                <w:color w:val="548DD4"/>
                <w:sz w:val="20"/>
                <w:szCs w:val="20"/>
                <w:lang w:val="es-MX" w:eastAsia="es-CL"/>
              </w:rPr>
              <w:t xml:space="preserve"> (ERS, diccionario/normalización, EDA y especificación de dashboards) se encuentra actualizada y respalda lo construido. </w:t>
            </w:r>
          </w:p>
          <w:p w14:paraId="6C70E0C9" w14:textId="57F759FB" w:rsidR="00AB0FD8" w:rsidRPr="00182F2D" w:rsidRDefault="00182F2D" w:rsidP="00182F2D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MX" w:eastAsia="es-CL"/>
              </w:rPr>
            </w:pPr>
            <w:r w:rsidRPr="00182F2D">
              <w:rPr>
                <w:rFonts w:ascii="Calibri" w:hAnsi="Calibri" w:cs="Arial"/>
                <w:i/>
                <w:color w:val="548DD4"/>
                <w:sz w:val="20"/>
                <w:szCs w:val="20"/>
                <w:lang w:val="es-MX" w:eastAsia="es-CL"/>
              </w:rPr>
              <w:t xml:space="preserve">Quedan como </w:t>
            </w:r>
            <w:r w:rsidRPr="00182F2D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MX" w:eastAsia="es-CL"/>
              </w:rPr>
              <w:t>pendientes</w:t>
            </w:r>
            <w:r w:rsidRPr="00182F2D">
              <w:rPr>
                <w:rFonts w:ascii="Calibri" w:hAnsi="Calibri" w:cs="Arial"/>
                <w:i/>
                <w:color w:val="548DD4"/>
                <w:sz w:val="20"/>
                <w:szCs w:val="20"/>
                <w:lang w:val="es-MX" w:eastAsia="es-CL"/>
              </w:rPr>
              <w:t xml:space="preserve"> críticos para cerrar Implementación y preparar Pruebas: robustecer la </w:t>
            </w:r>
            <w:r w:rsidRPr="00182F2D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MX" w:eastAsia="es-CL"/>
              </w:rPr>
              <w:t>normalización</w:t>
            </w:r>
            <w:r w:rsidRPr="00182F2D">
              <w:rPr>
                <w:rFonts w:ascii="Calibri" w:hAnsi="Calibri" w:cs="Arial"/>
                <w:i/>
                <w:color w:val="548DD4"/>
                <w:sz w:val="20"/>
                <w:szCs w:val="20"/>
                <w:lang w:val="es-MX" w:eastAsia="es-CL"/>
              </w:rPr>
              <w:t xml:space="preserve"> (alias de producto y equivalencias de unidades),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val="es-MX" w:eastAsia="es-CL"/>
              </w:rPr>
              <w:t>la comparación de productos de supermercados utilizando web scraping</w:t>
            </w:r>
            <w:r w:rsidRPr="00182F2D">
              <w:rPr>
                <w:rFonts w:ascii="Calibri" w:hAnsi="Calibri" w:cs="Arial"/>
                <w:i/>
                <w:color w:val="548DD4"/>
                <w:sz w:val="20"/>
                <w:szCs w:val="20"/>
                <w:lang w:val="es-MX" w:eastAsia="es-CL"/>
              </w:rPr>
              <w:t xml:space="preserve"> y construir la página de </w:t>
            </w:r>
            <w:r w:rsidRPr="00182F2D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MX" w:eastAsia="es-CL"/>
              </w:rPr>
              <w:t>Dashboards</w:t>
            </w:r>
            <w:r w:rsidRPr="00182F2D">
              <w:rPr>
                <w:rFonts w:ascii="Calibri" w:hAnsi="Calibri" w:cs="Arial"/>
                <w:i/>
                <w:color w:val="548DD4"/>
                <w:sz w:val="20"/>
                <w:szCs w:val="20"/>
                <w:lang w:val="es-MX" w:eastAsia="es-CL"/>
              </w:rPr>
              <w:t xml:space="preserve"> sobre la capa de datos ya estabilizada.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1D31B9A6" w14:textId="7ACC7AD7" w:rsidR="003436AB" w:rsidRPr="003436AB" w:rsidRDefault="003436AB" w:rsidP="003436AB">
            <w:pPr>
              <w:jc w:val="both"/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val="es-MX" w:eastAsia="es-CL"/>
              </w:rPr>
            </w:pPr>
            <w:r w:rsidRPr="003436AB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val="es-MX" w:eastAsia="es-CL"/>
              </w:rPr>
              <w:t xml:space="preserve">Objetivo </w:t>
            </w:r>
            <w:r w:rsidRPr="003436AB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val="es-MX" w:eastAsia="es-CL"/>
              </w:rPr>
              <w:t>general</w:t>
            </w:r>
            <w:r w:rsidRPr="003436AB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val="es-MX" w:eastAsia="es-CL"/>
              </w:rPr>
              <w:t xml:space="preserve">. Completar la fase de </w:t>
            </w:r>
            <w:r w:rsidRPr="003436AB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val="es-MX" w:eastAsia="es-CL"/>
              </w:rPr>
              <w:t>Implementación</w:t>
            </w:r>
            <w:r w:rsidRPr="003436AB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val="es-MX" w:eastAsia="es-CL"/>
              </w:rPr>
              <w:t xml:space="preserve"> y preparar </w:t>
            </w:r>
            <w:r w:rsidRPr="003436AB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val="es-MX" w:eastAsia="es-CL"/>
              </w:rPr>
              <w:t>Pruebas</w:t>
            </w:r>
            <w:r w:rsidRPr="003436AB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val="es-MX" w:eastAsia="es-CL"/>
              </w:rPr>
              <w:t xml:space="preserve"> y </w:t>
            </w:r>
            <w:r w:rsidRPr="003436AB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val="es-MX" w:eastAsia="es-CL"/>
              </w:rPr>
              <w:t>Despliegue</w:t>
            </w:r>
            <w:r w:rsidRPr="003436AB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val="es-MX" w:eastAsia="es-CL"/>
              </w:rPr>
              <w:t xml:space="preserve"> de ComparaYa</w:t>
            </w:r>
            <w:r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val="es-MX" w:eastAsia="es-CL"/>
              </w:rPr>
              <w:t xml:space="preserve">, </w:t>
            </w:r>
            <w:r w:rsidRPr="003436AB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val="es-MX" w:eastAsia="es-CL"/>
              </w:rPr>
              <w:t xml:space="preserve">siguiendo el </w:t>
            </w:r>
            <w:r w:rsidRPr="003436AB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val="es-MX" w:eastAsia="es-CL"/>
              </w:rPr>
              <w:t>modelo en cascada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val="es-MX" w:eastAsia="es-CL"/>
              </w:rPr>
              <w:t xml:space="preserve">. </w:t>
            </w:r>
            <w:r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val="es-MX" w:eastAsia="es-CL"/>
              </w:rPr>
              <w:t>E</w:t>
            </w:r>
            <w:r w:rsidRPr="003436AB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val="es-MX" w:eastAsia="es-CL"/>
              </w:rPr>
              <w:t>ntregando una plataforma consistente, trazable y lista para exponer indicadores y comparaciones de precios.</w:t>
            </w:r>
          </w:p>
          <w:p w14:paraId="1657372D" w14:textId="41584486" w:rsidR="003436AB" w:rsidRDefault="003436AB" w:rsidP="003436AB">
            <w:pPr>
              <w:jc w:val="both"/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val="es-MX" w:eastAsia="es-CL"/>
              </w:rPr>
            </w:pPr>
            <w:r w:rsidRPr="003436AB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val="es-MX" w:eastAsia="es-CL"/>
              </w:rPr>
              <w:t>Objetivos específicos</w:t>
            </w:r>
            <w:r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val="es-MX" w:eastAsia="es-CL"/>
              </w:rPr>
              <w:t>:</w:t>
            </w:r>
          </w:p>
          <w:p w14:paraId="4EACA312" w14:textId="7961A25C" w:rsidR="003436AB" w:rsidRPr="003436AB" w:rsidRDefault="003436AB" w:rsidP="003436A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val="es-MX" w:eastAsia="es-CL"/>
              </w:rPr>
            </w:pPr>
            <w:r w:rsidRPr="003436AB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val="es-MX" w:eastAsia="es-CL"/>
              </w:rPr>
              <w:t>Robustecer la normalización de datos</w:t>
            </w:r>
            <w:r w:rsidRPr="003436AB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val="es-MX" w:eastAsia="es-CL"/>
              </w:rPr>
              <w:t xml:space="preserve"> (catálogo de alias de producto, equivalencias de unidades y controles de calidad) para estabilizar la capa analítica</w:t>
            </w:r>
            <w:r w:rsidRPr="003436AB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val="es-MX" w:eastAsia="es-CL"/>
              </w:rPr>
              <w:t>.</w:t>
            </w:r>
          </w:p>
          <w:p w14:paraId="2C2C1791" w14:textId="4896D60B" w:rsidR="003436AB" w:rsidRPr="003436AB" w:rsidRDefault="003436AB" w:rsidP="003436A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val="es-MX" w:eastAsia="es-CL"/>
              </w:rPr>
            </w:pPr>
            <w:r w:rsidRPr="003436AB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val="es-MX" w:eastAsia="es-CL"/>
              </w:rPr>
              <w:t>I</w:t>
            </w:r>
            <w:r w:rsidRPr="003436AB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val="es-MX" w:eastAsia="es-CL"/>
              </w:rPr>
              <w:t>mplementar el web scraping</w:t>
            </w:r>
            <w:r w:rsidRPr="003436AB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val="es-MX" w:eastAsia="es-CL"/>
              </w:rPr>
              <w:t xml:space="preserve"> periódico que habilite la comparación de productos de supermercados con trazabilidad de origen</w:t>
            </w:r>
            <w:r w:rsidRPr="003436AB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val="es-MX" w:eastAsia="es-CL"/>
              </w:rPr>
              <w:t>.</w:t>
            </w:r>
          </w:p>
          <w:p w14:paraId="798FB72C" w14:textId="4D7248C1" w:rsidR="003436AB" w:rsidRPr="003436AB" w:rsidRDefault="003436AB" w:rsidP="003436A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val="es-MX" w:eastAsia="es-CL"/>
              </w:rPr>
            </w:pPr>
            <w:r w:rsidRPr="003436AB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val="es-MX" w:eastAsia="es-CL"/>
              </w:rPr>
              <w:t>C</w:t>
            </w:r>
            <w:r w:rsidRPr="003436AB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val="es-MX" w:eastAsia="es-CL"/>
              </w:rPr>
              <w:t>onstruir la página de Dashboards</w:t>
            </w:r>
            <w:r w:rsidRPr="003436AB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val="es-MX" w:eastAsia="es-CL"/>
              </w:rPr>
              <w:t xml:space="preserve"> con KPIs, filtros globales y manejo de estados</w:t>
            </w:r>
            <w:r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val="es-MX" w:eastAsia="es-CL"/>
              </w:rPr>
              <w:t>.</w:t>
            </w:r>
          </w:p>
          <w:p w14:paraId="0DD025FA" w14:textId="0830B80E" w:rsidR="00182F2D" w:rsidRPr="003436AB" w:rsidRDefault="003436AB" w:rsidP="003436A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val="es-MX" w:eastAsia="es-CL"/>
              </w:rPr>
            </w:pPr>
            <w:r w:rsidRPr="003436AB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val="es-MX" w:eastAsia="es-CL"/>
              </w:rPr>
              <w:t>E</w:t>
            </w:r>
            <w:r w:rsidRPr="003436AB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val="es-MX" w:eastAsia="es-CL"/>
              </w:rPr>
              <w:t>jecutar pruebas funcionales y no funcionales</w:t>
            </w:r>
            <w:r w:rsidRPr="003436AB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val="es-MX" w:eastAsia="es-CL"/>
              </w:rPr>
              <w:t xml:space="preserve"> (rendimiento, disponibilidad y formato CLP), dejando la documentación actualizada para el pase a producción.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Metodología</w:t>
            </w:r>
          </w:p>
        </w:tc>
        <w:tc>
          <w:tcPr>
            <w:tcW w:w="7111" w:type="dxa"/>
            <w:vAlign w:val="center"/>
          </w:tcPr>
          <w:p w14:paraId="00A6D8B1" w14:textId="77777777" w:rsidR="00BE2115" w:rsidRPr="00BE2115" w:rsidRDefault="00BE2115" w:rsidP="00BE211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MX" w:eastAsia="es-CL"/>
              </w:rPr>
            </w:pPr>
            <w:r w:rsidRPr="00BE2115">
              <w:rPr>
                <w:rFonts w:ascii="Calibri" w:hAnsi="Calibri" w:cs="Arial"/>
                <w:i/>
                <w:color w:val="548DD4"/>
                <w:sz w:val="20"/>
                <w:szCs w:val="20"/>
                <w:lang w:val="es-MX" w:eastAsia="es-CL"/>
              </w:rPr>
              <w:t>Fases: 1) Requisitos, 2) Análisis, 3) Diseño, 4) Implementación, 5) Pruebas, 6) Despliegue y cierre.</w:t>
            </w:r>
          </w:p>
          <w:p w14:paraId="1BD3AE55" w14:textId="77777777" w:rsidR="00BE2115" w:rsidRPr="00BE2115" w:rsidRDefault="00BE2115" w:rsidP="00BE2115">
            <w:pPr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MX" w:eastAsia="es-CL"/>
              </w:rPr>
            </w:pPr>
            <w:r w:rsidRPr="00BE2115">
              <w:rPr>
                <w:rFonts w:ascii="Calibri" w:hAnsi="Calibri" w:cs="Arial"/>
                <w:i/>
                <w:color w:val="548DD4"/>
                <w:sz w:val="20"/>
                <w:szCs w:val="20"/>
                <w:lang w:val="es-MX" w:eastAsia="es-CL"/>
              </w:rPr>
              <w:t>Requisitos: cerrado (ERS, alcance y criterios).</w:t>
            </w:r>
          </w:p>
          <w:p w14:paraId="22D3B6EB" w14:textId="77777777" w:rsidR="00BE2115" w:rsidRPr="00BE2115" w:rsidRDefault="00BE2115" w:rsidP="00BE2115">
            <w:pPr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MX" w:eastAsia="es-CL"/>
              </w:rPr>
            </w:pPr>
            <w:r w:rsidRPr="00BE2115">
              <w:rPr>
                <w:rFonts w:ascii="Calibri" w:hAnsi="Calibri" w:cs="Arial"/>
                <w:i/>
                <w:color w:val="548DD4"/>
                <w:sz w:val="20"/>
                <w:szCs w:val="20"/>
                <w:lang w:val="es-MX" w:eastAsia="es-CL"/>
              </w:rPr>
              <w:t>Análisis: cerrado (fuentes, diccionario inicial, riesgos y supuestos).</w:t>
            </w:r>
          </w:p>
          <w:p w14:paraId="2F1D11A7" w14:textId="77777777" w:rsidR="00BE2115" w:rsidRPr="00BE2115" w:rsidRDefault="00BE2115" w:rsidP="00BE2115">
            <w:pPr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MX" w:eastAsia="es-CL"/>
              </w:rPr>
            </w:pPr>
            <w:r w:rsidRPr="00BE2115">
              <w:rPr>
                <w:rFonts w:ascii="Calibri" w:hAnsi="Calibri" w:cs="Arial"/>
                <w:i/>
                <w:color w:val="548DD4"/>
                <w:sz w:val="20"/>
                <w:szCs w:val="20"/>
                <w:lang w:val="es-MX" w:eastAsia="es-CL"/>
              </w:rPr>
              <w:t>Diseño: cerrado (Home, Productos, Acerca, 404; diseño de datos/ETL; dashboards definidos).</w:t>
            </w:r>
          </w:p>
          <w:p w14:paraId="093AFF50" w14:textId="77777777" w:rsidR="00BE2115" w:rsidRPr="00BE2115" w:rsidRDefault="00BE2115" w:rsidP="00BE2115">
            <w:pPr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MX" w:eastAsia="es-CL"/>
              </w:rPr>
            </w:pPr>
            <w:r w:rsidRPr="00BE2115">
              <w:rPr>
                <w:rFonts w:ascii="Calibri" w:hAnsi="Calibri" w:cs="Arial"/>
                <w:i/>
                <w:color w:val="548DD4"/>
                <w:sz w:val="20"/>
                <w:szCs w:val="20"/>
                <w:lang w:val="es-MX" w:eastAsia="es-CL"/>
              </w:rPr>
              <w:t>Implementación: en curso. Hecho: ETL operativo y front básico. En ejecución: normalización (alias y unidades), web scraping y página de dashboards.</w:t>
            </w:r>
          </w:p>
          <w:p w14:paraId="37614E68" w14:textId="77777777" w:rsidR="00BE2115" w:rsidRPr="00BE2115" w:rsidRDefault="00BE2115" w:rsidP="00BE2115">
            <w:pPr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MX" w:eastAsia="es-CL"/>
              </w:rPr>
            </w:pPr>
            <w:r w:rsidRPr="00BE2115">
              <w:rPr>
                <w:rFonts w:ascii="Calibri" w:hAnsi="Calibri" w:cs="Arial"/>
                <w:i/>
                <w:color w:val="548DD4"/>
                <w:sz w:val="20"/>
                <w:szCs w:val="20"/>
                <w:lang w:val="es-MX" w:eastAsia="es-CL"/>
              </w:rPr>
              <w:t xml:space="preserve">Pruebas: siguiente fase. Alcance: funcionales (RF01 a RF11), no funcionales (respuesta &lt; 3 s, disponibilidad), datos (fechas válidas, precio &gt; 0, duplicados, trazabilidad de </w:t>
            </w:r>
            <w:proofErr w:type="spellStart"/>
            <w:r w:rsidRPr="00BE2115">
              <w:rPr>
                <w:rFonts w:ascii="Calibri" w:hAnsi="Calibri" w:cs="Arial"/>
                <w:i/>
                <w:color w:val="548DD4"/>
                <w:sz w:val="20"/>
                <w:szCs w:val="20"/>
                <w:lang w:val="es-MX" w:eastAsia="es-CL"/>
              </w:rPr>
              <w:t>precio_tipo</w:t>
            </w:r>
            <w:proofErr w:type="spellEnd"/>
            <w:r w:rsidRPr="00BE2115">
              <w:rPr>
                <w:rFonts w:ascii="Calibri" w:hAnsi="Calibri" w:cs="Arial"/>
                <w:i/>
                <w:color w:val="548DD4"/>
                <w:sz w:val="20"/>
                <w:szCs w:val="20"/>
                <w:lang w:val="es-MX" w:eastAsia="es-CL"/>
              </w:rPr>
              <w:t>).</w:t>
            </w:r>
          </w:p>
          <w:p w14:paraId="2B09BFAA" w14:textId="77777777" w:rsidR="00BE2115" w:rsidRPr="00BE2115" w:rsidRDefault="00BE2115" w:rsidP="00BE2115">
            <w:pPr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MX" w:eastAsia="es-CL"/>
              </w:rPr>
            </w:pPr>
            <w:r w:rsidRPr="00BE2115">
              <w:rPr>
                <w:rFonts w:ascii="Calibri" w:hAnsi="Calibri" w:cs="Arial"/>
                <w:i/>
                <w:color w:val="548DD4"/>
                <w:sz w:val="20"/>
                <w:szCs w:val="20"/>
                <w:lang w:val="es-MX" w:eastAsia="es-CL"/>
              </w:rPr>
              <w:t xml:space="preserve">Despliegue y cierre: aprobación, </w:t>
            </w:r>
            <w:proofErr w:type="spellStart"/>
            <w:r w:rsidRPr="00BE2115">
              <w:rPr>
                <w:rFonts w:ascii="Calibri" w:hAnsi="Calibri" w:cs="Arial"/>
                <w:i/>
                <w:color w:val="548DD4"/>
                <w:sz w:val="20"/>
                <w:szCs w:val="20"/>
                <w:lang w:val="es-MX" w:eastAsia="es-CL"/>
              </w:rPr>
              <w:t>checklist</w:t>
            </w:r>
            <w:proofErr w:type="spellEnd"/>
            <w:r w:rsidRPr="00BE2115">
              <w:rPr>
                <w:rFonts w:ascii="Calibri" w:hAnsi="Calibri" w:cs="Arial"/>
                <w:i/>
                <w:color w:val="548DD4"/>
                <w:sz w:val="20"/>
                <w:szCs w:val="20"/>
                <w:lang w:val="es-MX" w:eastAsia="es-CL"/>
              </w:rPr>
              <w:t xml:space="preserve"> y </w:t>
            </w:r>
            <w:proofErr w:type="spellStart"/>
            <w:r w:rsidRPr="00BE2115">
              <w:rPr>
                <w:rFonts w:ascii="Calibri" w:hAnsi="Calibri" w:cs="Arial"/>
                <w:i/>
                <w:color w:val="548DD4"/>
                <w:sz w:val="20"/>
                <w:szCs w:val="20"/>
                <w:lang w:val="es-MX" w:eastAsia="es-CL"/>
              </w:rPr>
              <w:t>rollback</w:t>
            </w:r>
            <w:proofErr w:type="spellEnd"/>
            <w:r w:rsidRPr="00BE2115">
              <w:rPr>
                <w:rFonts w:ascii="Calibri" w:hAnsi="Calibri" w:cs="Arial"/>
                <w:i/>
                <w:color w:val="548DD4"/>
                <w:sz w:val="20"/>
                <w:szCs w:val="20"/>
                <w:lang w:val="es-MX" w:eastAsia="es-CL"/>
              </w:rPr>
              <w:t>.</w:t>
            </w:r>
          </w:p>
          <w:p w14:paraId="0908C15F" w14:textId="242C79A0" w:rsidR="003436AB" w:rsidRPr="00BE2115" w:rsidRDefault="00BE2115" w:rsidP="00585A13">
            <w:pPr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MX" w:eastAsia="es-CL"/>
              </w:rPr>
            </w:pPr>
            <w:r w:rsidRPr="00BE2115">
              <w:rPr>
                <w:rFonts w:ascii="Calibri" w:hAnsi="Calibri" w:cs="Arial"/>
                <w:i/>
                <w:color w:val="548DD4"/>
                <w:sz w:val="20"/>
                <w:szCs w:val="20"/>
                <w:lang w:val="es-MX" w:eastAsia="es-CL"/>
              </w:rPr>
              <w:t>Control: cada fase cierra con acta; cambios por CR; trazabilidad RF-HU-pruebas; riesgos (nombres/unidades, scraping) con mitigación mediante catálogo, equivalencias y monitoreo.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527864F1" w14:textId="160BF99D" w:rsidR="00BE2115" w:rsidRPr="00BE2115" w:rsidRDefault="00BE2115" w:rsidP="00BE2115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E211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Requisitos y Análisis cerrados. ERS y acta de aprobación disponibles.</w:t>
            </w:r>
          </w:p>
          <w:p w14:paraId="00F53578" w14:textId="3E491DE0" w:rsidR="00BE2115" w:rsidRPr="00BE2115" w:rsidRDefault="00BE2115" w:rsidP="00BE2115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E211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Diseño validado: mockups y flujos para Home, Productos, Acerca y 404.</w:t>
            </w:r>
          </w:p>
          <w:p w14:paraId="539AD975" w14:textId="52F93A94" w:rsidR="00BE2115" w:rsidRPr="00BE2115" w:rsidRDefault="00BE2115" w:rsidP="00BE2115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E211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Implementación de datos: ETL operativo con datasets 2025 cargados y normalización inicial aplicada.</w:t>
            </w:r>
          </w:p>
          <w:p w14:paraId="56C38DC4" w14:textId="2F0AF8D8" w:rsidR="00BE2115" w:rsidRPr="00BE2115" w:rsidRDefault="00BE2115" w:rsidP="00BE2115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E211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Frontend navegable: Home, Productos (listado y detalle con gráfico y KPIs), Acerca y 404.</w:t>
            </w:r>
          </w:p>
          <w:p w14:paraId="7326F781" w14:textId="39312FFE" w:rsidR="00BE2115" w:rsidRPr="00BE2115" w:rsidRDefault="00BE2115" w:rsidP="00BE2115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E211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Análisis de datos: informe 2025 con KPIs, </w:t>
            </w:r>
            <w:proofErr w:type="spellStart"/>
            <w:r w:rsidRPr="00BE211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outliers</w:t>
            </w:r>
            <w:proofErr w:type="spellEnd"/>
            <w:r w:rsidRPr="00BE211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(IQR) y series mensuales; figuras de estacionalidad generadas.</w:t>
            </w:r>
          </w:p>
          <w:p w14:paraId="51E5B895" w14:textId="38F20EDE" w:rsidR="0003309E" w:rsidRPr="00BE2115" w:rsidRDefault="00BE2115" w:rsidP="00BE2115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val="es-MX" w:eastAsia="es-CL"/>
              </w:rPr>
            </w:pPr>
            <w:r w:rsidRPr="00BE211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Documentación al día: ERS, Diccionario/Normalización, Especificación de Dashboards y EDA.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EA0C09">
        <w:trPr>
          <w:trHeight w:val="2410"/>
        </w:trPr>
        <w:tc>
          <w:tcPr>
            <w:tcW w:w="1328" w:type="dxa"/>
          </w:tcPr>
          <w:p w14:paraId="29F01B29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Nombra las competencias o unidades de competencias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que se relacionan con las diferentes actividades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requeridas para el desarrollo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 proyecto APT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077" w:type="dxa"/>
          </w:tcPr>
          <w:p w14:paraId="7B4EBE25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la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actividades que se necesitan para desarrollar el proyecto APT. </w:t>
            </w:r>
          </w:p>
        </w:tc>
        <w:tc>
          <w:tcPr>
            <w:tcW w:w="1276" w:type="dxa"/>
          </w:tcPr>
          <w:p w14:paraId="16E191DF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 los recursos necesarios para llevar a cabo las actividades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definidas.</w:t>
            </w:r>
          </w:p>
        </w:tc>
        <w:tc>
          <w:tcPr>
            <w:tcW w:w="1276" w:type="dxa"/>
          </w:tcPr>
          <w:p w14:paraId="66A5D860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 duración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. </w:t>
            </w:r>
          </w:p>
        </w:tc>
        <w:tc>
          <w:tcPr>
            <w:tcW w:w="1275" w:type="dxa"/>
          </w:tcPr>
          <w:p w14:paraId="036AB5D8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Escribe el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nombre del integrante del equipo responsable de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actividad.</w:t>
            </w:r>
          </w:p>
        </w:tc>
        <w:tc>
          <w:tcPr>
            <w:tcW w:w="1276" w:type="dxa"/>
          </w:tcPr>
          <w:p w14:paraId="2FCEC037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las dific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ult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ades o facilitadores que se podrían presentar durante la ejecución de cada una de las actividades propuestas.</w:t>
            </w:r>
          </w:p>
        </w:tc>
        <w:tc>
          <w:tcPr>
            <w:tcW w:w="1418" w:type="dxa"/>
          </w:tcPr>
          <w:p w14:paraId="29B0BFEB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escribe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el estado de avance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 cada actividad.</w:t>
            </w:r>
          </w:p>
          <w:p w14:paraId="7CBF6E36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</w:p>
          <w:p w14:paraId="6D3B922B" w14:textId="77777777" w:rsidR="00FD5149" w:rsidRPr="00CA29F2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Tipos de estado: </w:t>
            </w:r>
          </w:p>
          <w:p w14:paraId="2163602D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curso/ Con retraso/ No iniciado/ Completado/ Ajustada</w:t>
            </w:r>
            <w:r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 </w:t>
            </w:r>
          </w:p>
        </w:tc>
        <w:tc>
          <w:tcPr>
            <w:tcW w:w="850" w:type="dxa"/>
          </w:tcPr>
          <w:p w14:paraId="7C6D6F31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ñala los ajustes o reformulaciones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que has realiza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do. 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gramStart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 acuerdo a</w:t>
            </w:r>
            <w:proofErr w:type="gramEnd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374914" w14:textId="77777777" w:rsidR="00713E68" w:rsidRDefault="00713E68" w:rsidP="0003309E">
      <w:pPr>
        <w:spacing w:after="0" w:line="240" w:lineRule="auto"/>
      </w:pPr>
      <w:r>
        <w:separator/>
      </w:r>
    </w:p>
  </w:endnote>
  <w:endnote w:type="continuationSeparator" w:id="0">
    <w:p w14:paraId="110380C9" w14:textId="77777777" w:rsidR="00713E68" w:rsidRDefault="00713E68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3ABC94" w14:textId="77777777" w:rsidR="00713E68" w:rsidRDefault="00713E68" w:rsidP="0003309E">
      <w:pPr>
        <w:spacing w:after="0" w:line="240" w:lineRule="auto"/>
      </w:pPr>
      <w:r>
        <w:separator/>
      </w:r>
    </w:p>
  </w:footnote>
  <w:footnote w:type="continuationSeparator" w:id="0">
    <w:p w14:paraId="240210C9" w14:textId="77777777" w:rsidR="00713E68" w:rsidRDefault="00713E68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D1F93"/>
    <w:multiLevelType w:val="hybridMultilevel"/>
    <w:tmpl w:val="FD3C77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93130"/>
    <w:multiLevelType w:val="multilevel"/>
    <w:tmpl w:val="887C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CA179D7"/>
    <w:multiLevelType w:val="hybridMultilevel"/>
    <w:tmpl w:val="27C4E1C8"/>
    <w:lvl w:ilvl="0" w:tplc="A00A1B4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F259E"/>
    <w:multiLevelType w:val="hybridMultilevel"/>
    <w:tmpl w:val="C35C21A2"/>
    <w:lvl w:ilvl="0" w:tplc="A00A1B4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40573"/>
    <w:multiLevelType w:val="hybridMultilevel"/>
    <w:tmpl w:val="5C3E17B4"/>
    <w:lvl w:ilvl="0" w:tplc="A00A1B4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06AC0"/>
    <w:multiLevelType w:val="multilevel"/>
    <w:tmpl w:val="35A0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393192">
    <w:abstractNumId w:val="2"/>
  </w:num>
  <w:num w:numId="2" w16cid:durableId="490560950">
    <w:abstractNumId w:val="3"/>
  </w:num>
  <w:num w:numId="3" w16cid:durableId="659037385">
    <w:abstractNumId w:val="0"/>
  </w:num>
  <w:num w:numId="4" w16cid:durableId="1064791812">
    <w:abstractNumId w:val="4"/>
  </w:num>
  <w:num w:numId="5" w16cid:durableId="1826554907">
    <w:abstractNumId w:val="1"/>
  </w:num>
  <w:num w:numId="6" w16cid:durableId="146022302">
    <w:abstractNumId w:val="6"/>
  </w:num>
  <w:num w:numId="7" w16cid:durableId="2398755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182F2D"/>
    <w:rsid w:val="002B310D"/>
    <w:rsid w:val="003436AB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8657B"/>
    <w:rsid w:val="00695E7C"/>
    <w:rsid w:val="006B242E"/>
    <w:rsid w:val="00713E68"/>
    <w:rsid w:val="00806DE0"/>
    <w:rsid w:val="0081536B"/>
    <w:rsid w:val="008479F5"/>
    <w:rsid w:val="0085275A"/>
    <w:rsid w:val="008558A6"/>
    <w:rsid w:val="008F621F"/>
    <w:rsid w:val="009378F7"/>
    <w:rsid w:val="009552E5"/>
    <w:rsid w:val="00976ABB"/>
    <w:rsid w:val="009E52DF"/>
    <w:rsid w:val="00AB0FD8"/>
    <w:rsid w:val="00B31361"/>
    <w:rsid w:val="00B4258F"/>
    <w:rsid w:val="00B8164D"/>
    <w:rsid w:val="00BE1024"/>
    <w:rsid w:val="00BE2115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AB0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876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Gustavo Cartes</cp:lastModifiedBy>
  <cp:revision>5</cp:revision>
  <dcterms:created xsi:type="dcterms:W3CDTF">2022-08-24T18:14:00Z</dcterms:created>
  <dcterms:modified xsi:type="dcterms:W3CDTF">2025-10-02T15:15:00Z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