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Anexo 2.2 — Especificación de Dashboards (ComparaYa)</w:t>
      </w:r>
    </w:p>
    <w:p>
      <w:r>
        <w:rPr>
          <w:i/>
        </w:rPr>
        <w:t>Versión 0.2 · Fecha: 2025-09-17 · Autores: Equipo ComparaYa</w:t>
      </w:r>
    </w:p>
    <w:p>
      <w:pPr>
        <w:pStyle w:val="Heading1"/>
      </w:pPr>
      <w:r>
        <w:t>1. Objetivo</w:t>
      </w:r>
    </w:p>
    <w:p>
      <w:r>
        <w:t>Definir KPIs, gráficos, filtros, agregaciones y reglas de presentación para los dashboards de ComparaYa, alineados a los datasets de Consumidor y Mayorista. Este anexo se basa en los archivos de muestra 2025 compartidos.</w:t>
      </w:r>
    </w:p>
    <w:p>
      <w:pPr>
        <w:pStyle w:val="Heading1"/>
      </w:pPr>
      <w:r>
        <w:t>2. Resumen de Datos de Origen (2025)</w:t>
      </w:r>
    </w:p>
    <w:p>
      <w:pPr>
        <w:pStyle w:val="Heading2"/>
      </w:pPr>
      <w:r>
        <w:t>2.1 Dataset: Consumidor</w:t>
      </w:r>
    </w:p>
    <w:p>
      <w:r>
        <w:t>Filas: 231035 · Columnas: anio, mes, semana, fecha inicio, fecha termino, id region, region, sector, tipo de punto monitoreo, grupo, producto, unidad, precio minimo, precio maximo, precio promedio · Fecha: col='mes' · rango 1970-01-01 → 1970-01-01 · frecuencia estimada: diaria</w:t>
      </w:r>
    </w:p>
    <w:p>
      <w:r>
        <w:t>Producto (muestra): Abastero, Asado Carnicero, Asado de tira, Asiento, Choclillo, Estomaguillo (Tapabarriga), Filete, Ganso</w:t>
      </w:r>
    </w:p>
    <w:p>
      <w:r>
        <w:t>Region (muestra): Región de Coquimbo, Región de Valparaíso, Región del Maule, Región del Biobío, Región de La Araucanía, Región de Los Lagos, Región Metropolitana de Santiago, Región de Arica y Parinacota</w:t>
      </w:r>
    </w:p>
    <w:p>
      <w:r>
        <w:t>Unidad (muestra): $/kilo, $/unidad, $/bandeja 12 unidades, $/bandeja 30 unidades, $/litro, $/botella 900 ml, $/envase 1 kilo, $/envase 400 gramos</w:t>
      </w:r>
    </w:p>
    <w:p>
      <w:pPr>
        <w:pStyle w:val="Heading2"/>
      </w:pPr>
      <w:r>
        <w:t>2.2 Dataset: Mayorista</w:t>
      </w:r>
    </w:p>
    <w:p>
      <w:r>
        <w:t>Filas: 140003 · Columnas: fecha, id region, region, mercado, subsector, producto, variedad / tipo, calidad, unidad de comercializacion, origen, volumen, precio minimo, precio maximo, precio promedio ponderado · Fecha: col='fecha' · rango 2025-01-02 → 2025-09-05 · frecuencia estimada: diaria</w:t>
      </w:r>
    </w:p>
    <w:p>
      <w:r>
        <w:t>Producto (muestra): Acelga, Ají, Ajo, Albahaca, Apio, Arándano (blue), Arveja Verde, Plátano</w:t>
      </w:r>
    </w:p>
    <w:p>
      <w:r>
        <w:t>Region (muestra): Región de Valparaíso, Región del Biobío, Región de Ñuble, Región de Coquimbo, Región Metropolitana de Santiago, Región de La Araucanía, Región de Los Lagos, Región del Maule</w:t>
      </w:r>
    </w:p>
    <w:p>
      <w:r>
        <w:t>Mercado (muestra): Femacal de La Calera, Vega Monumental Concepción, Terminal Hortofrutícola Agro Chillán, Terminal La Palmera de La Serena, Mercado Mayorista Lo Valledor de Santiago, Vega Modelo de Temuco, Feria Lagunitas de Puerto Montt, Vega Central Mapocho de Santiago</w:t>
      </w:r>
    </w:p>
    <w:p>
      <w:pPr>
        <w:pStyle w:val="Heading1"/>
      </w:pPr>
      <w:r>
        <w:t>3. KPIs por Dashboard</w:t>
      </w:r>
    </w:p>
    <w:tbl>
      <w:tblPr>
        <w:tblW w:type="auto" w:w="0"/>
        <w:jc w:val="center"/>
        <w:tblLook w:firstColumn="1" w:firstRow="1" w:lastColumn="0" w:lastRow="0" w:noHBand="0" w:noVBand="1" w:val="04A0"/>
      </w:tblPr>
      <w:tblGrid>
        <w:gridCol w:w="1728"/>
        <w:gridCol w:w="1728"/>
        <w:gridCol w:w="1728"/>
        <w:gridCol w:w="1728"/>
        <w:gridCol w:w="1728"/>
      </w:tblGrid>
      <w:tr>
        <w:tc>
          <w:tcPr>
            <w:tcW w:type="dxa" w:w="1728"/>
          </w:tcPr>
          <w:p>
            <w:r>
              <w:t>Pantalla</w:t>
            </w:r>
          </w:p>
        </w:tc>
        <w:tc>
          <w:tcPr>
            <w:tcW w:type="dxa" w:w="1728"/>
          </w:tcPr>
          <w:p>
            <w:r>
              <w:t>KPI</w:t>
            </w:r>
          </w:p>
        </w:tc>
        <w:tc>
          <w:tcPr>
            <w:tcW w:type="dxa" w:w="1728"/>
          </w:tcPr>
          <w:p>
            <w:r>
              <w:t>Cálculo</w:t>
            </w:r>
          </w:p>
        </w:tc>
        <w:tc>
          <w:tcPr>
            <w:tcW w:type="dxa" w:w="1728"/>
          </w:tcPr>
          <w:p>
            <w:r>
              <w:t>Filtros aplicables</w:t>
            </w:r>
          </w:p>
        </w:tc>
        <w:tc>
          <w:tcPr>
            <w:tcW w:type="dxa" w:w="1728"/>
          </w:tcPr>
          <w:p>
            <w:r>
              <w:t>Notas</w:t>
            </w:r>
          </w:p>
        </w:tc>
      </w:tr>
      <w:tr>
        <w:tc>
          <w:tcPr>
            <w:tcW w:type="dxa" w:w="1728"/>
          </w:tcPr>
          <w:p>
            <w:r>
              <w:t>Dashboard de Precios</w:t>
            </w:r>
          </w:p>
        </w:tc>
        <w:tc>
          <w:tcPr>
            <w:tcW w:type="dxa" w:w="1728"/>
          </w:tcPr>
          <w:p>
            <w:r>
              <w:t>Precio Promedio</w:t>
            </w:r>
          </w:p>
        </w:tc>
        <w:tc>
          <w:tcPr>
            <w:tcW w:type="dxa" w:w="1728"/>
          </w:tcPr>
          <w:p>
            <w:r>
              <w:t>avg(precio) en rango y filtros</w:t>
            </w:r>
          </w:p>
        </w:tc>
        <w:tc>
          <w:tcPr>
            <w:tcW w:type="dxa" w:w="1728"/>
          </w:tcPr>
          <w:p>
            <w:r>
              <w:t>producto, región/mercado, unidad, período, dataset</w:t>
            </w:r>
          </w:p>
        </w:tc>
        <w:tc>
          <w:tcPr>
            <w:tcW w:type="dxa" w:w="1728"/>
          </w:tcPr>
          <w:p>
            <w:r>
              <w:t>Mostrar CLP con separadores; sin redondeo destructivo</w:t>
            </w:r>
          </w:p>
        </w:tc>
      </w:tr>
      <w:tr>
        <w:tc>
          <w:tcPr>
            <w:tcW w:type="dxa" w:w="1728"/>
          </w:tcPr>
          <w:p>
            <w:r>
              <w:t>Dashboard de Precios</w:t>
            </w:r>
          </w:p>
        </w:tc>
        <w:tc>
          <w:tcPr>
            <w:tcW w:type="dxa" w:w="1728"/>
          </w:tcPr>
          <w:p>
            <w:r>
              <w:t>Variación %</w:t>
            </w:r>
          </w:p>
        </w:tc>
        <w:tc>
          <w:tcPr>
            <w:tcW w:type="dxa" w:w="1728"/>
          </w:tcPr>
          <w:p>
            <w:r>
              <w:t>(promedio periodo actual - promedio periodo anterior)/anterior * 100</w:t>
            </w:r>
          </w:p>
        </w:tc>
        <w:tc>
          <w:tcPr>
            <w:tcW w:type="dxa" w:w="1728"/>
          </w:tcPr>
          <w:p>
            <w:r>
              <w:t>mismos filtros + granularidad</w:t>
            </w:r>
          </w:p>
        </w:tc>
        <w:tc>
          <w:tcPr>
            <w:tcW w:type="dxa" w:w="1728"/>
          </w:tcPr>
          <w:p>
            <w:r>
              <w:t>Definir ventanas (mensual/semanal) según dataset</w:t>
            </w:r>
          </w:p>
        </w:tc>
      </w:tr>
      <w:tr>
        <w:tc>
          <w:tcPr>
            <w:tcW w:type="dxa" w:w="1728"/>
          </w:tcPr>
          <w:p>
            <w:r>
              <w:t>Dashboard de Precios</w:t>
            </w:r>
          </w:p>
        </w:tc>
        <w:tc>
          <w:tcPr>
            <w:tcW w:type="dxa" w:w="1728"/>
          </w:tcPr>
          <w:p>
            <w:r>
              <w:t>Mín/Máx</w:t>
            </w:r>
          </w:p>
        </w:tc>
        <w:tc>
          <w:tcPr>
            <w:tcW w:type="dxa" w:w="1728"/>
          </w:tcPr>
          <w:p>
            <w:r>
              <w:t>min(precio), max(precio) en rango</w:t>
            </w:r>
          </w:p>
        </w:tc>
        <w:tc>
          <w:tcPr>
            <w:tcW w:type="dxa" w:w="1728"/>
          </w:tcPr>
          <w:p>
            <w:r>
              <w:t>producto, región/mercado, unidad, período, dataset</w:t>
            </w:r>
          </w:p>
        </w:tc>
        <w:tc>
          <w:tcPr>
            <w:tcW w:type="dxa" w:w="1728"/>
          </w:tcPr>
          <w:p>
            <w:r>
              <w:t>Indicar fecha asociada</w:t>
            </w:r>
          </w:p>
        </w:tc>
      </w:tr>
      <w:tr>
        <w:tc>
          <w:tcPr>
            <w:tcW w:type="dxa" w:w="1728"/>
          </w:tcPr>
          <w:p>
            <w:r>
              <w:t>Detalle de Producto</w:t>
            </w:r>
          </w:p>
        </w:tc>
        <w:tc>
          <w:tcPr>
            <w:tcW w:type="dxa" w:w="1728"/>
          </w:tcPr>
          <w:p>
            <w:r>
              <w:t>Precio Actual</w:t>
            </w:r>
          </w:p>
        </w:tc>
        <w:tc>
          <w:tcPr>
            <w:tcW w:type="dxa" w:w="1728"/>
          </w:tcPr>
          <w:p>
            <w:r>
              <w:t>último valor disponible</w:t>
            </w:r>
          </w:p>
        </w:tc>
        <w:tc>
          <w:tcPr>
            <w:tcW w:type="dxa" w:w="1728"/>
          </w:tcPr>
          <w:p>
            <w:r>
              <w:t>producto, región/mercado, unidad</w:t>
            </w:r>
          </w:p>
        </w:tc>
        <w:tc>
          <w:tcPr>
            <w:tcW w:type="dxa" w:w="1728"/>
          </w:tcPr>
          <w:p>
            <w:r>
              <w:t>Si faltan datos recientes, indicar fecha real</w:t>
            </w:r>
          </w:p>
        </w:tc>
      </w:tr>
      <w:tr>
        <w:tc>
          <w:tcPr>
            <w:tcW w:type="dxa" w:w="1728"/>
          </w:tcPr>
          <w:p>
            <w:r>
              <w:t>Comparador</w:t>
            </w:r>
          </w:p>
        </w:tc>
        <w:tc>
          <w:tcPr>
            <w:tcW w:type="dxa" w:w="1728"/>
          </w:tcPr>
          <w:p>
            <w:r>
              <w:t>Diferencia absoluta</w:t>
            </w:r>
          </w:p>
        </w:tc>
        <w:tc>
          <w:tcPr>
            <w:tcW w:type="dxa" w:w="1728"/>
          </w:tcPr>
          <w:p>
            <w:r>
              <w:t>promedio(A) - promedio(B)</w:t>
            </w:r>
          </w:p>
        </w:tc>
        <w:tc>
          <w:tcPr>
            <w:tcW w:type="dxa" w:w="1728"/>
          </w:tcPr>
          <w:p>
            <w:r>
              <w:t>producto A/B, región/mercado, unidad, período</w:t>
            </w:r>
          </w:p>
        </w:tc>
        <w:tc>
          <w:tcPr>
            <w:tcW w:type="dxa" w:w="1728"/>
          </w:tcPr>
          <w:p>
            <w:r>
              <w:t>Signo y color semántico</w:t>
            </w:r>
          </w:p>
        </w:tc>
      </w:tr>
      <w:tr>
        <w:tc>
          <w:tcPr>
            <w:tcW w:type="dxa" w:w="1728"/>
          </w:tcPr>
          <w:p>
            <w:r>
              <w:t>Comparador</w:t>
            </w:r>
          </w:p>
        </w:tc>
        <w:tc>
          <w:tcPr>
            <w:tcW w:type="dxa" w:w="1728"/>
          </w:tcPr>
          <w:p>
            <w:r>
              <w:t>Diferencia %</w:t>
            </w:r>
          </w:p>
        </w:tc>
        <w:tc>
          <w:tcPr>
            <w:tcW w:type="dxa" w:w="1728"/>
          </w:tcPr>
          <w:p>
            <w:r>
              <w:t>(promedio(A) - promedio(B)) / promedio(B) * 100</w:t>
            </w:r>
          </w:p>
        </w:tc>
        <w:tc>
          <w:tcPr>
            <w:tcW w:type="dxa" w:w="1728"/>
          </w:tcPr>
          <w:p>
            <w:r>
              <w:t>producto A/B, región/mercado, unidad, período</w:t>
            </w:r>
          </w:p>
        </w:tc>
        <w:tc>
          <w:tcPr>
            <w:tcW w:type="dxa" w:w="1728"/>
          </w:tcPr>
          <w:p>
            <w:r>
              <w:t>Mostrar también ratio A/B</w:t>
            </w:r>
          </w:p>
        </w:tc>
      </w:tr>
    </w:tbl>
    <w:p>
      <w:pPr>
        <w:pStyle w:val="Heading1"/>
      </w:pPr>
      <w:r>
        <w:t>4. Gráficos y Componentes</w:t>
      </w:r>
    </w:p>
    <w:p>
      <w:r>
        <w:t>• Serie temporal (línea): precio vs fecha; leyenda clickable; tooltip {fecha, precio, unidad, región/mercado}.</w:t>
        <w:br/>
        <w:t>• Barras por región/mercado: distribución del precio medio en el rango.</w:t>
        <w:br/>
        <w:t>• Tabla de datos: paginación (50), orden por columna, exportación futura.</w:t>
        <w:br/>
        <w:t>• Panel de KPIs: promedio, variación %, mínimo, máximo, precio actual.</w:t>
      </w:r>
    </w:p>
    <w:p>
      <w:pPr>
        <w:pStyle w:val="Heading1"/>
      </w:pPr>
      <w:r>
        <w:t>5. Filtros y Parámetros</w:t>
      </w:r>
    </w:p>
    <w:tbl>
      <w:tblPr>
        <w:tblW w:type="auto" w:w="0"/>
        <w:tblLook w:firstColumn="1" w:firstRow="1" w:lastColumn="0" w:lastRow="0" w:noHBand="0" w:noVBand="1" w:val="04A0"/>
      </w:tblPr>
      <w:tblGrid>
        <w:gridCol w:w="2160"/>
        <w:gridCol w:w="2160"/>
        <w:gridCol w:w="2160"/>
        <w:gridCol w:w="2160"/>
      </w:tblGrid>
      <w:tr>
        <w:tc>
          <w:tcPr>
            <w:tcW w:type="dxa" w:w="2160"/>
          </w:tcPr>
          <w:p>
            <w:r>
              <w:t>Filtro</w:t>
            </w:r>
          </w:p>
        </w:tc>
        <w:tc>
          <w:tcPr>
            <w:tcW w:type="dxa" w:w="2160"/>
          </w:tcPr>
          <w:p>
            <w:r>
              <w:t>Tipo</w:t>
            </w:r>
          </w:p>
        </w:tc>
        <w:tc>
          <w:tcPr>
            <w:tcW w:type="dxa" w:w="2160"/>
          </w:tcPr>
          <w:p>
            <w:r>
              <w:t>Valores/Reglas</w:t>
            </w:r>
          </w:p>
        </w:tc>
        <w:tc>
          <w:tcPr>
            <w:tcW w:type="dxa" w:w="2160"/>
          </w:tcPr>
          <w:p>
            <w:r>
              <w:t>Notas</w:t>
            </w:r>
          </w:p>
        </w:tc>
      </w:tr>
      <w:tr>
        <w:tc>
          <w:tcPr>
            <w:tcW w:type="dxa" w:w="2160"/>
          </w:tcPr>
          <w:p>
            <w:r>
              <w:t>Dataset</w:t>
            </w:r>
          </w:p>
        </w:tc>
        <w:tc>
          <w:tcPr>
            <w:tcW w:type="dxa" w:w="2160"/>
          </w:tcPr>
          <w:p>
            <w:r>
              <w:t>consumidor/mayorista (toggle)</w:t>
            </w:r>
          </w:p>
        </w:tc>
        <w:tc>
          <w:tcPr>
            <w:tcW w:type="dxa" w:w="2160"/>
          </w:tcPr>
          <w:p>
            <w:r>
              <w:t>Aplica a todo el dashboard</w:t>
            </w:r>
          </w:p>
        </w:tc>
        <w:tc>
          <w:tcPr>
            <w:tcW w:type="dxa" w:w="2160"/>
          </w:tcPr>
          <w:p>
            <w:r>
              <w:t>Default: Consumidor</w:t>
            </w:r>
          </w:p>
        </w:tc>
      </w:tr>
      <w:tr>
        <w:tc>
          <w:tcPr>
            <w:tcW w:type="dxa" w:w="2160"/>
          </w:tcPr>
          <w:p>
            <w:r>
              <w:t>Producto</w:t>
            </w:r>
          </w:p>
        </w:tc>
        <w:tc>
          <w:tcPr>
            <w:tcW w:type="dxa" w:w="2160"/>
          </w:tcPr>
          <w:p>
            <w:r>
              <w:t>autocomplete</w:t>
            </w:r>
          </w:p>
        </w:tc>
        <w:tc>
          <w:tcPr>
            <w:tcW w:type="dxa" w:w="2160"/>
          </w:tcPr>
          <w:p>
            <w:r>
              <w:t>Nombre + ID</w:t>
            </w:r>
          </w:p>
        </w:tc>
        <w:tc>
          <w:tcPr>
            <w:tcW w:type="dxa" w:w="2160"/>
          </w:tcPr>
          <w:p>
            <w:r>
              <w:t>Mín. 2 letras, debounce 300 ms</w:t>
            </w:r>
          </w:p>
        </w:tc>
      </w:tr>
      <w:tr>
        <w:tc>
          <w:tcPr>
            <w:tcW w:type="dxa" w:w="2160"/>
          </w:tcPr>
          <w:p>
            <w:r>
              <w:t>Región/Mercado</w:t>
            </w:r>
          </w:p>
        </w:tc>
        <w:tc>
          <w:tcPr>
            <w:tcW w:type="dxa" w:w="2160"/>
          </w:tcPr>
          <w:p>
            <w:r>
              <w:t>select/multi</w:t>
            </w:r>
          </w:p>
        </w:tc>
        <w:tc>
          <w:tcPr>
            <w:tcW w:type="dxa" w:w="2160"/>
          </w:tcPr>
          <w:p>
            <w:r>
              <w:t>Según dataset</w:t>
            </w:r>
          </w:p>
        </w:tc>
        <w:tc>
          <w:tcPr>
            <w:tcW w:type="dxa" w:w="2160"/>
          </w:tcPr>
          <w:p>
            <w:r>
              <w:t>Si no se selecciona, ‘Todas’</w:t>
            </w:r>
          </w:p>
        </w:tc>
      </w:tr>
      <w:tr>
        <w:tc>
          <w:tcPr>
            <w:tcW w:type="dxa" w:w="2160"/>
          </w:tcPr>
          <w:p>
            <w:r>
              <w:t>Unidad</w:t>
            </w:r>
          </w:p>
        </w:tc>
        <w:tc>
          <w:tcPr>
            <w:tcW w:type="dxa" w:w="2160"/>
          </w:tcPr>
          <w:p>
            <w:r>
              <w:t>select</w:t>
            </w:r>
          </w:p>
        </w:tc>
        <w:tc>
          <w:tcPr>
            <w:tcW w:type="dxa" w:w="2160"/>
          </w:tcPr>
          <w:p>
            <w:r>
              <w:t>kilo/litro/unidad base</w:t>
            </w:r>
          </w:p>
        </w:tc>
        <w:tc>
          <w:tcPr>
            <w:tcW w:type="dxa" w:w="2160"/>
          </w:tcPr>
          <w:p>
            <w:r>
              <w:t>Convertir si procede (ver diccionario)</w:t>
            </w:r>
          </w:p>
        </w:tc>
      </w:tr>
      <w:tr>
        <w:tc>
          <w:tcPr>
            <w:tcW w:type="dxa" w:w="2160"/>
          </w:tcPr>
          <w:p>
            <w:r>
              <w:t>Período</w:t>
            </w:r>
          </w:p>
        </w:tc>
        <w:tc>
          <w:tcPr>
            <w:tcW w:type="dxa" w:w="2160"/>
          </w:tcPr>
          <w:p>
            <w:r>
              <w:t>date range</w:t>
            </w:r>
          </w:p>
        </w:tc>
        <w:tc>
          <w:tcPr>
            <w:tcW w:type="dxa" w:w="2160"/>
          </w:tcPr>
          <w:p>
            <w:r>
              <w:t>Desde/Hasta</w:t>
            </w:r>
          </w:p>
        </w:tc>
        <w:tc>
          <w:tcPr>
            <w:tcW w:type="dxa" w:w="2160"/>
          </w:tcPr>
          <w:p>
            <w:r>
              <w:t>Presets: 3m/6m/12m</w:t>
            </w:r>
          </w:p>
        </w:tc>
      </w:tr>
      <w:tr>
        <w:tc>
          <w:tcPr>
            <w:tcW w:type="dxa" w:w="2160"/>
          </w:tcPr>
          <w:p>
            <w:r>
              <w:t>Agregación</w:t>
            </w:r>
          </w:p>
        </w:tc>
        <w:tc>
          <w:tcPr>
            <w:tcW w:type="dxa" w:w="2160"/>
          </w:tcPr>
          <w:p>
            <w:r>
              <w:t>radio/select</w:t>
            </w:r>
          </w:p>
        </w:tc>
        <w:tc>
          <w:tcPr>
            <w:tcW w:type="dxa" w:w="2160"/>
          </w:tcPr>
          <w:p>
            <w:r>
              <w:t>promedio/mediana/mín/máx</w:t>
            </w:r>
          </w:p>
        </w:tc>
        <w:tc>
          <w:tcPr>
            <w:tcW w:type="dxa" w:w="2160"/>
          </w:tcPr>
          <w:p>
            <w:r>
              <w:t>Default: promedio</w:t>
            </w:r>
          </w:p>
        </w:tc>
      </w:tr>
      <w:tr>
        <w:tc>
          <w:tcPr>
            <w:tcW w:type="dxa" w:w="2160"/>
          </w:tcPr>
          <w:p>
            <w:r>
              <w:t>Granularidad</w:t>
            </w:r>
          </w:p>
        </w:tc>
        <w:tc>
          <w:tcPr>
            <w:tcW w:type="dxa" w:w="2160"/>
          </w:tcPr>
          <w:p>
            <w:r>
              <w:t>radio/select</w:t>
            </w:r>
          </w:p>
        </w:tc>
        <w:tc>
          <w:tcPr>
            <w:tcW w:type="dxa" w:w="2160"/>
          </w:tcPr>
          <w:p>
            <w:r>
              <w:t>semanal/mensual</w:t>
            </w:r>
          </w:p>
        </w:tc>
        <w:tc>
          <w:tcPr>
            <w:tcW w:type="dxa" w:w="2160"/>
          </w:tcPr>
          <w:p>
            <w:r>
              <w:t>Según frecuencia estimada</w:t>
            </w:r>
          </w:p>
        </w:tc>
      </w:tr>
    </w:tbl>
    <w:p>
      <w:pPr>
        <w:pStyle w:val="Heading1"/>
      </w:pPr>
      <w:r>
        <w:t>6. Reglas de Datos y Formato</w:t>
      </w:r>
    </w:p>
    <w:p>
      <w:r>
        <w:t>• Moneda: CLP. Formato visual: $ 1.234,56. La API entrega precisión original.</w:t>
        <w:br/>
        <w:t>• Valores faltantes: mostrar “—”; no romper la serie; interpolación NO aplicada por defecto.</w:t>
        <w:br/>
        <w:t>• Outliers: destacar con tooltip si exceden ±1.5×IQR (solo visual).</w:t>
        <w:br/>
        <w:t>• Unidades: normalización a unidad base según diccionario; indicar unidad mostrada en leyenda.</w:t>
      </w:r>
    </w:p>
    <w:p>
      <w:pPr>
        <w:pStyle w:val="Heading1"/>
      </w:pPr>
      <w:r>
        <w:t>7. Rendimiento y Estados</w:t>
      </w:r>
    </w:p>
    <w:p>
      <w:r>
        <w:t>• Tiempo de respuesta esperado: &lt; 2 s en consultas típicas; &lt; 300 ms en navegación UI (cambios locales).</w:t>
        <w:br/>
        <w:t>• Cache de últimas consultas (opcional). Debounce 300 ms en autocomplete.</w:t>
        <w:br/>
        <w:t>• Estados: Cargando (skeletons), Sin datos (mensaje y sugerencias), Error API (reintento).</w:t>
      </w:r>
    </w:p>
    <w:p>
      <w:pPr>
        <w:pStyle w:val="Heading1"/>
      </w:pPr>
      <w:r>
        <w:t>8. Criterios de Aceptación</w:t>
      </w:r>
    </w:p>
    <w:p>
      <w:r>
        <w:t>• Aplicar filtros actualiza gráfico, KPIs y tabla de forma sincronizada.</w:t>
      </w:r>
    </w:p>
    <w:p>
      <w:r>
        <w:t>• Al cambiar dataset (Consumidor/Mayorista), se actualizan opciones de región/mercado y la granularidad.</w:t>
      </w:r>
    </w:p>
    <w:p>
      <w:r>
        <w:t>• Formato CLP consistente en KPIs, tooltips y tabla.</w:t>
      </w:r>
    </w:p>
    <w:p>
      <w:r>
        <w:t>• Rango de fechas fuera de cobertura muestra estado ‘sin datos’ con rango disponible.</w:t>
      </w:r>
    </w:p>
    <w:p>
      <w:r>
        <w:t>• Comparador usa filtros comunes y muestra dos series con leyendas distintas.</w:t>
      </w:r>
    </w:p>
    <w:p>
      <w:pPr>
        <w:pStyle w:val="Heading1"/>
      </w:pPr>
      <w:r>
        <w:t>9. Mapeo a API (borrador)</w:t>
      </w:r>
    </w:p>
    <w:p>
      <w:r>
        <w:t>Endpoints sugeridos:</w:t>
        <w:br/>
        <w:t>GET /api/series?dataset={consumidor|mayorista}&amp;producto_id=&amp;region=&amp;unidad=&amp;desde=&amp;hasta=&amp;agg={avg|median|min|max}&amp;gran={sem|mes}</w:t>
        <w:br/>
        <w:t>GET /api/productos?dataset=&amp;q=&amp;page=</w:t>
        <w:br/>
        <w:t>GET /api/comparar?dataset=&amp;producto_a=&amp;producto_b=&amp;region=&amp;unidad=&amp;desde=&amp;hasta=&amp;agg=&amp;gran=</w:t>
      </w:r>
    </w:p>
    <w:p>
      <w:pPr>
        <w:pStyle w:val="Heading1"/>
      </w:pPr>
      <w:r>
        <w:t>10. Trazabilidad a ERS</w:t>
      </w:r>
    </w:p>
    <w:p>
      <w:r>
        <w:t>RF vinculados: RF01, RF02, RF03, RF06, RF07, RF08, RF09, RF10. RNF: RNF01–RNF05, RNF07–RNF10.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