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Anexo 2.6 — Modelo de Datos (ComparaYa)</w:t>
      </w:r>
    </w:p>
    <w:p>
      <w:r>
        <w:t>Versión 1.0 · Fecha: 2025-10-13 · Autores: Equipo ComparaYa</w:t>
      </w:r>
    </w:p>
    <w:p/>
    <w:p>
      <w:pPr>
        <w:pStyle w:val="Heading2"/>
      </w:pPr>
      <w:r>
        <w:t>1. Objetivo</w:t>
      </w:r>
    </w:p>
    <w:p>
      <w:r>
        <w:t>Describir el modelo de datos implementado en la base de datos PostgreSQL de ComparaYa, que soporta la ingesta, almacenamiento y análisis de precios mayoristas y de consumidor, incluyendo los procesos ETL y la trazabilidad de los datos.</w:t>
      </w:r>
    </w:p>
    <w:p>
      <w:pPr>
        <w:pStyle w:val="Heading2"/>
      </w:pPr>
      <w:r>
        <w:t>2. Alcance</w:t>
      </w:r>
    </w:p>
    <w:p>
      <w:r>
        <w:t>El modelo abarca las tablas de hechos, dimensiones, catálogos de referencia y las estructuras de control asociadas a los procesos ETL. No incluye aspectos de frontend ni la API REST.</w:t>
      </w:r>
    </w:p>
    <w:p>
      <w:pPr>
        <w:pStyle w:val="Heading2"/>
      </w:pPr>
      <w:r>
        <w:t>3. Arquitectura General del Modelo</w:t>
      </w:r>
    </w:p>
    <w:p>
      <w:r>
        <w:t>El modelo de datos de ComparaYa adopta un enfoque de esquema en estrella (Star Schema) para optimizar el análisis de precios. Existen dos tablas de hechos principales: PrecioConsumidor y PrecioMayorista, que se relacionan con diversas dimensiones como Región, Producto, Unidad, Mercado y Tiempo. Además, se incluyen tablas de control para los procesos ETL, garantizando trazabilidad y calidad de datos.</w:t>
      </w:r>
    </w:p>
    <w:p>
      <w:pPr>
        <w:pStyle w:val="Heading2"/>
      </w:pPr>
      <w:r>
        <w:t>4. Diagramas ER</w:t>
      </w:r>
    </w:p>
    <w:p>
      <w:r>
        <w:t>A continuación se describe la estructura conceptual del modelo. El diseño sigue un enfoque modular, con submodelos para cada dominio.</w:t>
      </w:r>
    </w:p>
    <w:p>
      <w:r>
        <w:rPr>
          <w:rFonts w:ascii="Courier New" w:hAnsi="Courier New"/>
          <w:sz w:val="18"/>
        </w:rPr>
        <w:t xml:space="preserve">                ┌────────────────────────┐</w:t>
        <w:br/>
        <w:t xml:space="preserve">                │      RegionRef         │</w:t>
        <w:br/>
        <w:t xml:space="preserve">                └────────────┬───────────┘</w:t>
        <w:br/>
        <w:t xml:space="preserve">                             │</w:t>
        <w:br/>
        <w:t xml:space="preserve">                ┌────────────┴────────────┐</w:t>
        <w:br/>
        <w:t xml:space="preserve">                │     PrecioConsumidor    │◄────────┐</w:t>
        <w:br/>
        <w:t xml:space="preserve">                └────────────┬────────────┘         │</w:t>
        <w:br/>
        <w:t xml:space="preserve">                             │                      │</w:t>
        <w:br/>
        <w:t xml:space="preserve">                ┌────────────┴────────────┐          │</w:t>
        <w:br/>
        <w:t xml:space="preserve">                │     PrecioMayorista     │◄────────┘</w:t>
        <w:br/>
        <w:t xml:space="preserve">                └────────────┬────────────┘</w:t>
        <w:br/>
        <w:t xml:space="preserve">                             │</w:t>
        <w:br/>
        <w:t xml:space="preserve">         ┌───────────────────┼───────────────────┐</w:t>
        <w:br/>
        <w:t xml:space="preserve">         │                   │                   │</w:t>
        <w:br/>
        <w:t xml:space="preserve">  UnidadRef*         ProductoRef*          SemanaRef/MercadoRef</w:t>
        <w:br/>
        <w:t xml:space="preserve">  (por dataset)       (por dataset)        (Tiempo/Ubicación)</w:t>
        <w:br/>
      </w:r>
    </w:p>
    <w:p>
      <w:pPr>
        <w:pStyle w:val="Heading2"/>
      </w:pPr>
      <w:r>
        <w:t>5. Definición de Tablas Principales</w:t>
      </w:r>
    </w:p>
    <w:p>
      <w:pPr>
        <w:pStyle w:val="Heading3"/>
      </w:pPr>
      <w:r>
        <w:t>5.1 PrecioConsumidor</w:t>
      </w:r>
    </w:p>
    <w:p>
      <w:r>
        <w:t>Tabla de hechos que almacena los precios semanales del mercado consumidor. Cada registro representa un producto en una región y semana determinadas.</w:t>
      </w:r>
    </w:p>
    <w:p>
      <w:r>
        <w:t>Campos principales:</w:t>
      </w:r>
    </w:p>
    <w:p>
      <w:r>
        <w:t>- semana_id (FK → SemanaRef)</w:t>
        <w:br/>
        <w:t>- region_id (FK → RegionRef)</w:t>
        <w:br/>
        <w:t>- sector_id (FK → SectorRef)</w:t>
        <w:br/>
        <w:t>- tipo_punto_id (FK → TipoPuntoRef)</w:t>
        <w:br/>
        <w:t>- grupo_id (FK → GrupoRef)</w:t>
        <w:br/>
        <w:t>- producto_id (FK → ProductoRefConsumidor)</w:t>
        <w:br/>
        <w:t>- unidad_id (FK → UnidadRefConsumidor)</w:t>
        <w:br/>
        <w:t>- precio_minimo, precio_maximo, precio_promedio (Decimal)</w:t>
      </w:r>
    </w:p>
    <w:p>
      <w:pPr>
        <w:pStyle w:val="Heading3"/>
      </w:pPr>
      <w:r>
        <w:t>5.2 PrecioMayorista</w:t>
      </w:r>
    </w:p>
    <w:p>
      <w:r>
        <w:t>Tabla de hechos que almacena los precios diarios del mercado mayorista. Cada registro vincula producto, mercado, región y unidad de comercialización.</w:t>
      </w:r>
    </w:p>
    <w:p>
      <w:r>
        <w:t>Campos principales:</w:t>
      </w:r>
    </w:p>
    <w:p>
      <w:r>
        <w:t>- fecha (Date)</w:t>
        <w:br/>
        <w:t>- region_id (FK → RegionRef)</w:t>
        <w:br/>
        <w:t>- mercado_id (FK → MercadoRef)</w:t>
        <w:br/>
        <w:t>- subsector_id (FK → SubsectorRef)</w:t>
        <w:br/>
        <w:t>- producto_id (FK → ProductoRefMayorista)</w:t>
        <w:br/>
        <w:t>- variedad_id (FK → VariedadRef)</w:t>
        <w:br/>
        <w:t>- calidad_id (FK → CalidadRef)</w:t>
        <w:br/>
        <w:t>- unidad_id (FK → UnidadRefMayorista)</w:t>
        <w:br/>
        <w:t>- origen_id (FK → OrigenRef)</w:t>
        <w:br/>
        <w:t>- volumen, precio_minimo, precio_maximo, precio_promedio_ponderado</w:t>
      </w:r>
    </w:p>
    <w:p>
      <w:pPr>
        <w:pStyle w:val="Heading3"/>
      </w:pPr>
      <w:r>
        <w:t>5.3 EtlFileManifest / EtlRunLog</w:t>
      </w:r>
    </w:p>
    <w:p>
      <w:r>
        <w:t>Registros de control que documentan la descarga, validación y carga de archivos fuente. Permiten mantener trazabilidad sobre el dataset procesado y su estado.</w:t>
      </w:r>
    </w:p>
    <w:p>
      <w:r>
        <w:t>Campos clave de EtlFileManifest: dataset, anio, url, sha256, fecha_descarga, estado.</w:t>
      </w:r>
    </w:p>
    <w:p>
      <w:r>
        <w:t>Campos clave de EtlRunLog: dataset, etapa, anio, estado, inicio, fin, metricas.</w:t>
      </w:r>
    </w:p>
    <w:p>
      <w:pPr>
        <w:pStyle w:val="Heading2"/>
      </w:pPr>
      <w:r>
        <w:t>6. Reglas de Integridad y Normalización</w:t>
      </w:r>
    </w:p>
    <w:p>
      <w:r>
        <w:t>• Toda relación entre hechos y dimensiones se implementa mediante claves foráneas (FK).</w:t>
        <w:br/>
        <w:t>• Se normalizan productos y unidades en catálogos separados por dataset.</w:t>
        <w:br/>
        <w:t>• Se validan fechas y valores de precios para evitar duplicados y datos inconsistentes.</w:t>
        <w:br/>
        <w:t>• Los índices en campos de búsqueda (producto, región, unidad, fecha) optimizan el rendimiento.</w:t>
      </w:r>
    </w:p>
    <w:p>
      <w:pPr>
        <w:pStyle w:val="Heading2"/>
      </w:pPr>
      <w:r>
        <w:t>7. Consideraciones de Rendimiento</w:t>
      </w:r>
    </w:p>
    <w:p>
      <w:r>
        <w:t>El modelo utiliza índices en las claves primarias y foráneas más consultadas, como fecha, región, producto y unidad. Se contempla la posibilidad de particionar las tablas de hechos por año o dataset en futuras versiones, manteniendo integridad referencial.</w:t>
      </w:r>
    </w:p>
    <w:p>
      <w:pPr>
        <w:pStyle w:val="Heading2"/>
      </w:pPr>
      <w:r>
        <w:t>8. Trazabilidad con el ERS</w:t>
      </w:r>
    </w:p>
    <w:p>
      <w:r>
        <w:t>Este modelo implementa los requisitos funcionales RF04 (Procesamiento ETL), RF05 (Registro de metadatos) y RF06 (Exposición de API), además de los no funcionales RNF01–RNF05 (rendimiento, portabilidad y mantenibilidad).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