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Anexo 2.1 — Mockups y Flujos (ComparaYa)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i w:val="1"/>
          <w:rtl w:val="0"/>
        </w:rPr>
        <w:t xml:space="preserve">Versión 0.2 · Fecha: 2025-09-17 · Autores: Equipo ComparaYa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r w:rsidDel="00000000" w:rsidR="00000000" w:rsidRPr="00000000">
        <w:rPr>
          <w:rtl w:val="0"/>
        </w:rPr>
        <w:t xml:space="preserve">1. Objetivo y Alcance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Definir la experiencia de usuario (UX) y la interfaz (UI) de ComparaYa, incluyendo flujos clave, wireframes de referencia y especificaciones de componentes que servirán como base para diseño visual, desarrollo frontend y validación funcional.</w:t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2. Principios UI/UX y Lineamientos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• Claridad y minimalismo — priorizar lectura de datos y comparaciones.</w:t>
        <w:br w:type="textWrapping"/>
        <w:t xml:space="preserve">• Consistencia — patrones reutilizables y estados coherentes.</w:t>
        <w:br w:type="textWrapping"/>
        <w:t xml:space="preserve">• Accesibilidad — contraste AA, foco visible, navegación con teclado.</w:t>
        <w:br w:type="textWrapping"/>
        <w:t xml:space="preserve">• Mobile-first — diseño responsivo desde 360 px en adelante.</w:t>
        <w:br w:type="textWrapping"/>
        <w:t xml:space="preserve">• Rendimiento — reducir llamadas innecesarias y manejar estados de carga.</w:t>
      </w:r>
    </w:p>
    <w:p w:rsidR="00000000" w:rsidDel="00000000" w:rsidP="00000000" w:rsidRDefault="00000000" w:rsidRPr="00000000" w14:paraId="00000007">
      <w:pPr>
        <w:pStyle w:val="Heading1"/>
        <w:rPr/>
      </w:pPr>
      <w:r w:rsidDel="00000000" w:rsidR="00000000" w:rsidRPr="00000000">
        <w:rPr>
          <w:rtl w:val="0"/>
        </w:rPr>
        <w:t xml:space="preserve">3. Mapa de Navegación (Site Map)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Home → Dashboards → Detalle de producto → Comparador</w:t>
        <w:br w:type="textWrapping"/>
        <w:t xml:space="preserve">Acerca / Metodología de datos / Contacto</w:t>
        <w:br w:type="textWrapping"/>
        <w:t xml:space="preserve">(Insertar diagrama o imagen: assets/ux/sitemap_comparaya.png)</w:t>
      </w:r>
    </w:p>
    <w:p w:rsidR="00000000" w:rsidDel="00000000" w:rsidP="00000000" w:rsidRDefault="00000000" w:rsidRPr="00000000" w14:paraId="00000009">
      <w:pPr>
        <w:pStyle w:val="Heading1"/>
        <w:rPr/>
      </w:pPr>
      <w:r w:rsidDel="00000000" w:rsidR="00000000" w:rsidRPr="00000000">
        <w:rPr>
          <w:rtl w:val="0"/>
        </w:rPr>
        <w:t xml:space="preserve">4. Personas</w:t>
      </w:r>
    </w:p>
    <w:tbl>
      <w:tblPr>
        <w:tblStyle w:val="Table1"/>
        <w:tblW w:w="8640.0" w:type="dxa"/>
        <w:jc w:val="center"/>
        <w:tblLayout w:type="fixed"/>
        <w:tblLook w:val="0400"/>
      </w:tblPr>
      <w:tblGrid>
        <w:gridCol w:w="1728"/>
        <w:gridCol w:w="1728"/>
        <w:gridCol w:w="1728"/>
        <w:gridCol w:w="1728"/>
        <w:gridCol w:w="1728"/>
        <w:tblGridChange w:id="0">
          <w:tblGrid>
            <w:gridCol w:w="1728"/>
            <w:gridCol w:w="1728"/>
            <w:gridCol w:w="1728"/>
            <w:gridCol w:w="1728"/>
            <w:gridCol w:w="17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Objetivos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Motivaciones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Dolores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Tareas clave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Consumidor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Comparar precios rápido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Ahorrar y planificar compras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Datos dispersos y poco claros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Buscar producto, aplicar filtros, ver precio promedio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Mayorista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Analizar tendencias por región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Planificar compra/venta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Falta de series consolidadas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Ver histórico, exportar tabla, comparar 2 productos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Investigador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Obtener series limpias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Estudios/indicadores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Calidad/consistencia variable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Descargar datos, validar cobertura temporal</w:t>
            </w:r>
          </w:p>
        </w:tc>
      </w:tr>
    </w:tbl>
    <w:p w:rsidR="00000000" w:rsidDel="00000000" w:rsidP="00000000" w:rsidRDefault="00000000" w:rsidRPr="00000000" w14:paraId="0000001E">
      <w:pPr>
        <w:pStyle w:val="Heading1"/>
        <w:rPr/>
      </w:pPr>
      <w:r w:rsidDel="00000000" w:rsidR="00000000" w:rsidRPr="00000000">
        <w:rPr>
          <w:rtl w:val="0"/>
        </w:rPr>
        <w:t xml:space="preserve">5. Historias de Usuario (con criterios de aceptación)</w:t>
      </w:r>
    </w:p>
    <w:p w:rsidR="00000000" w:rsidDel="00000000" w:rsidP="00000000" w:rsidRDefault="00000000" w:rsidRPr="00000000" w14:paraId="0000001F">
      <w:pPr>
        <w:pStyle w:val="Heading2"/>
        <w:rPr/>
      </w:pPr>
      <w:r w:rsidDel="00000000" w:rsidR="00000000" w:rsidRPr="00000000">
        <w:rPr>
          <w:rtl w:val="0"/>
        </w:rPr>
        <w:t xml:space="preserve">HU-01: Ver dashboard de un producto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Dado </w:t>
      </w:r>
      <w:r w:rsidDel="00000000" w:rsidR="00000000" w:rsidRPr="00000000">
        <w:rPr>
          <w:rtl w:val="0"/>
        </w:rPr>
        <w:t xml:space="preserve">que estoy en /dashboard</w:t>
        <w:br w:type="textWrapping"/>
      </w:r>
      <w:r w:rsidDel="00000000" w:rsidR="00000000" w:rsidRPr="00000000">
        <w:rPr>
          <w:b w:val="1"/>
          <w:rtl w:val="0"/>
        </w:rPr>
        <w:t xml:space="preserve">Cuando </w:t>
      </w:r>
      <w:r w:rsidDel="00000000" w:rsidR="00000000" w:rsidRPr="00000000">
        <w:rPr>
          <w:rtl w:val="0"/>
        </w:rPr>
        <w:t xml:space="preserve">selecciono un producto, región, unidad y período</w:t>
        <w:br w:type="textWrapping"/>
      </w:r>
      <w:r w:rsidDel="00000000" w:rsidR="00000000" w:rsidRPr="00000000">
        <w:rPr>
          <w:b w:val="1"/>
          <w:rtl w:val="0"/>
        </w:rPr>
        <w:t xml:space="preserve">Entonces </w:t>
      </w:r>
      <w:r w:rsidDel="00000000" w:rsidR="00000000" w:rsidRPr="00000000">
        <w:rPr>
          <w:rtl w:val="0"/>
        </w:rPr>
        <w:t xml:space="preserve">veo el gráfico de la serie y una tabla con los datos filtrados en &lt; 2 s.</w:t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t xml:space="preserve">HU-02: Comparar dos productos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Dado </w:t>
      </w:r>
      <w:r w:rsidDel="00000000" w:rsidR="00000000" w:rsidRPr="00000000">
        <w:rPr>
          <w:rtl w:val="0"/>
        </w:rPr>
        <w:t xml:space="preserve">que estoy en /comparar</w:t>
        <w:br w:type="textWrapping"/>
      </w:r>
      <w:r w:rsidDel="00000000" w:rsidR="00000000" w:rsidRPr="00000000">
        <w:rPr>
          <w:b w:val="1"/>
          <w:rtl w:val="0"/>
        </w:rPr>
        <w:t xml:space="preserve">Cuando </w:t>
      </w:r>
      <w:r w:rsidDel="00000000" w:rsidR="00000000" w:rsidRPr="00000000">
        <w:rPr>
          <w:rtl w:val="0"/>
        </w:rPr>
        <w:t xml:space="preserve">selecciono Producto A y Producto B con filtros comunes</w:t>
        <w:br w:type="textWrapping"/>
      </w:r>
      <w:r w:rsidDel="00000000" w:rsidR="00000000" w:rsidRPr="00000000">
        <w:rPr>
          <w:b w:val="1"/>
          <w:rtl w:val="0"/>
        </w:rPr>
        <w:t xml:space="preserve">Entonces </w:t>
      </w:r>
      <w:r w:rsidDel="00000000" w:rsidR="00000000" w:rsidRPr="00000000">
        <w:rPr>
          <w:rtl w:val="0"/>
        </w:rPr>
        <w:t xml:space="preserve">veo dos series superpuestas y una tabla comparativa con diferencia absoluta y %.</w:t>
      </w:r>
    </w:p>
    <w:p w:rsidR="00000000" w:rsidDel="00000000" w:rsidP="00000000" w:rsidRDefault="00000000" w:rsidRPr="00000000" w14:paraId="00000023">
      <w:pPr>
        <w:pStyle w:val="Heading2"/>
        <w:rPr/>
      </w:pPr>
      <w:r w:rsidDel="00000000" w:rsidR="00000000" w:rsidRPr="00000000">
        <w:rPr>
          <w:rtl w:val="0"/>
        </w:rPr>
        <w:t xml:space="preserve">HU-03: Manejo de estados vacíos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Dado </w:t>
      </w:r>
      <w:r w:rsidDel="00000000" w:rsidR="00000000" w:rsidRPr="00000000">
        <w:rPr>
          <w:rtl w:val="0"/>
        </w:rPr>
        <w:t xml:space="preserve">que aplico filtros sin resultados</w:t>
        <w:br w:type="textWrapping"/>
      </w:r>
      <w:r w:rsidDel="00000000" w:rsidR="00000000" w:rsidRPr="00000000">
        <w:rPr>
          <w:b w:val="1"/>
          <w:rtl w:val="0"/>
        </w:rPr>
        <w:t xml:space="preserve">Cuando </w:t>
      </w:r>
      <w:r w:rsidDel="00000000" w:rsidR="00000000" w:rsidRPr="00000000">
        <w:rPr>
          <w:rtl w:val="0"/>
        </w:rPr>
        <w:t xml:space="preserve">el sistema no encuentra datos</w:t>
        <w:br w:type="textWrapping"/>
      </w:r>
      <w:r w:rsidDel="00000000" w:rsidR="00000000" w:rsidRPr="00000000">
        <w:rPr>
          <w:b w:val="1"/>
          <w:rtl w:val="0"/>
        </w:rPr>
        <w:t xml:space="preserve">Entonces </w:t>
      </w:r>
      <w:r w:rsidDel="00000000" w:rsidR="00000000" w:rsidRPr="00000000">
        <w:rPr>
          <w:rtl w:val="0"/>
        </w:rPr>
        <w:t xml:space="preserve">veo un mensaje claro con sugerencias para ajustar filtros.</w:t>
      </w:r>
    </w:p>
    <w:p w:rsidR="00000000" w:rsidDel="00000000" w:rsidP="00000000" w:rsidRDefault="00000000" w:rsidRPr="00000000" w14:paraId="00000025">
      <w:pPr>
        <w:pStyle w:val="Heading2"/>
        <w:rPr/>
      </w:pPr>
      <w:r w:rsidDel="00000000" w:rsidR="00000000" w:rsidRPr="00000000">
        <w:rPr>
          <w:rtl w:val="0"/>
        </w:rPr>
        <w:t xml:space="preserve">HU-04: Error de API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Dado </w:t>
      </w:r>
      <w:r w:rsidDel="00000000" w:rsidR="00000000" w:rsidRPr="00000000">
        <w:rPr>
          <w:rtl w:val="0"/>
        </w:rPr>
        <w:t xml:space="preserve">que la API responde con error</w:t>
        <w:br w:type="textWrapping"/>
      </w:r>
      <w:r w:rsidDel="00000000" w:rsidR="00000000" w:rsidRPr="00000000">
        <w:rPr>
          <w:b w:val="1"/>
          <w:rtl w:val="0"/>
        </w:rPr>
        <w:t xml:space="preserve">Cuando </w:t>
      </w:r>
      <w:r w:rsidDel="00000000" w:rsidR="00000000" w:rsidRPr="00000000">
        <w:rPr>
          <w:rtl w:val="0"/>
        </w:rPr>
        <w:t xml:space="preserve">intento cargar el dashboard</w:t>
        <w:br w:type="textWrapping"/>
      </w:r>
      <w:r w:rsidDel="00000000" w:rsidR="00000000" w:rsidRPr="00000000">
        <w:rPr>
          <w:b w:val="1"/>
          <w:rtl w:val="0"/>
        </w:rPr>
        <w:t xml:space="preserve">Entonces </w:t>
      </w:r>
      <w:r w:rsidDel="00000000" w:rsidR="00000000" w:rsidRPr="00000000">
        <w:rPr>
          <w:rtl w:val="0"/>
        </w:rPr>
        <w:t xml:space="preserve">veo un mensaje de error y un botón para reintentar.</w:t>
      </w:r>
    </w:p>
    <w:p w:rsidR="00000000" w:rsidDel="00000000" w:rsidP="00000000" w:rsidRDefault="00000000" w:rsidRPr="00000000" w14:paraId="00000027">
      <w:pPr>
        <w:pStyle w:val="Heading1"/>
        <w:rPr/>
      </w:pPr>
      <w:r w:rsidDel="00000000" w:rsidR="00000000" w:rsidRPr="00000000">
        <w:rPr>
          <w:rtl w:val="0"/>
        </w:rPr>
        <w:t xml:space="preserve">6. Flujos de Usuario</w:t>
      </w:r>
    </w:p>
    <w:p w:rsidR="00000000" w:rsidDel="00000000" w:rsidP="00000000" w:rsidRDefault="00000000" w:rsidRPr="00000000" w14:paraId="00000028">
      <w:pPr>
        <w:pStyle w:val="Heading2"/>
        <w:rPr/>
      </w:pPr>
      <w:r w:rsidDel="00000000" w:rsidR="00000000" w:rsidRPr="00000000">
        <w:rPr>
          <w:rtl w:val="0"/>
        </w:rPr>
        <w:t xml:space="preserve">6.1 Flujo — Dashboard de Precios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1) Ingreso a /dashboard → 2) Autocomplete de producto → 3) Selección de región/unidad/período → 4) Clic en Aplicar → 5) Loading (skeleton) → 6) Render gráfico (línea por defecto) + KPIs + tabla → 7) Ajustes de filtros (persisten) → 8) (Opcional) exportación/compartir.</w:t>
      </w:r>
    </w:p>
    <w:p w:rsidR="00000000" w:rsidDel="00000000" w:rsidP="00000000" w:rsidRDefault="00000000" w:rsidRPr="00000000" w14:paraId="0000002A">
      <w:pPr>
        <w:pStyle w:val="Heading2"/>
        <w:rPr/>
      </w:pPr>
      <w:r w:rsidDel="00000000" w:rsidR="00000000" w:rsidRPr="00000000">
        <w:rPr>
          <w:rtl w:val="0"/>
        </w:rPr>
        <w:t xml:space="preserve">6.2 Flujo — Comparador de Productos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1) Ingreso a /comparar → 2) Selección Producto A y B → 3) Filtros comunes → 4) Clic en Aplicar → 5) Loading → 6) Render dos series superpuestas + panel de diferencias → 7) Tabla comparativa → 8) Ajustes de filtros sincronizados.</w:t>
      </w:r>
    </w:p>
    <w:p w:rsidR="00000000" w:rsidDel="00000000" w:rsidP="00000000" w:rsidRDefault="00000000" w:rsidRPr="00000000" w14:paraId="0000002C">
      <w:pPr>
        <w:pStyle w:val="Heading2"/>
        <w:rPr/>
      </w:pPr>
      <w:r w:rsidDel="00000000" w:rsidR="00000000" w:rsidRPr="00000000">
        <w:rPr>
          <w:rtl w:val="0"/>
        </w:rPr>
        <w:t xml:space="preserve">6.3 Estados Vacíos y Errores</w:t>
      </w:r>
    </w:p>
    <w:tbl>
      <w:tblPr>
        <w:tblStyle w:val="Table2"/>
        <w:tblW w:w="8640.0" w:type="dxa"/>
        <w:jc w:val="left"/>
        <w:tblInd w:w="-115.0" w:type="dxa"/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Caso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Disparador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Mensaje/UI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Sin resultados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Filtros sin datos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“No encontramos datos para estos filtros”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Botón Limpiar / Sugerir ampliar período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Error API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HTTP 5xx/timeout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“Ha ocurrido un error. Intenta nuevamente”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Botón Reintentar + enlace a estado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Cargando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Consulta en curso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Skeletons/loader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Cancelar (opcional)</w:t>
            </w:r>
          </w:p>
        </w:tc>
      </w:tr>
    </w:tbl>
    <w:p w:rsidR="00000000" w:rsidDel="00000000" w:rsidP="00000000" w:rsidRDefault="00000000" w:rsidRPr="00000000" w14:paraId="0000003D">
      <w:pPr>
        <w:pStyle w:val="Heading1"/>
        <w:rPr/>
      </w:pPr>
      <w:r w:rsidDel="00000000" w:rsidR="00000000" w:rsidRPr="00000000">
        <w:rPr>
          <w:rtl w:val="0"/>
        </w:rPr>
        <w:t xml:space="preserve">7. Wireframes (Baja Fidelidad)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• Home — hero + buscador de producto.</w:t>
        <w:br w:type="textWrapping"/>
        <w:t xml:space="preserve">• Dashboard — header, filtros (columna/toolbar), KPIs, gráfico, tabla.</w:t>
        <w:br w:type="textWrapping"/>
        <w:t xml:space="preserve">• Comparador — selects Producto A/B (chips), gráfico doble, panel diferencias, tabla.</w:t>
        <w:br w:type="textWrapping"/>
        <w:t xml:space="preserve">(Insertar imágenes: assets/ux/wf_home.png, wf_dashboard.png, wf_comparador.png).</w:t>
      </w:r>
    </w:p>
    <w:p w:rsidR="00000000" w:rsidDel="00000000" w:rsidP="00000000" w:rsidRDefault="00000000" w:rsidRPr="00000000" w14:paraId="0000003F">
      <w:pPr>
        <w:pStyle w:val="Heading1"/>
        <w:rPr/>
      </w:pPr>
      <w:r w:rsidDel="00000000" w:rsidR="00000000" w:rsidRPr="00000000">
        <w:rPr>
          <w:rtl w:val="0"/>
        </w:rPr>
        <w:t xml:space="preserve">8. Mockups Hi‑Fi (referencia)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Enlace Figma (reemplazar): https://figma.com/file/ID_EJEMPLO</w:t>
        <w:br w:type="textWrapping"/>
        <w:t xml:space="preserve">Exportar PNG/SVG de vistas clave e insertarlas en este documento.</w:t>
      </w:r>
    </w:p>
    <w:p w:rsidR="00000000" w:rsidDel="00000000" w:rsidP="00000000" w:rsidRDefault="00000000" w:rsidRPr="00000000" w14:paraId="00000041">
      <w:pPr>
        <w:pStyle w:val="Heading1"/>
        <w:rPr/>
      </w:pPr>
      <w:r w:rsidDel="00000000" w:rsidR="00000000" w:rsidRPr="00000000">
        <w:rPr>
          <w:rtl w:val="0"/>
        </w:rPr>
        <w:t xml:space="preserve">9. Inventario de Componentes y Especificaciones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• Autocomplete de productos: mínimo 2 letras, debounce 300 ms, muestra nombre + unidad principal.</w:t>
        <w:br w:type="textWrapping"/>
        <w:t xml:space="preserve">• Select Región: multiselección, badges removibles.</w:t>
        <w:br w:type="textWrapping"/>
        <w:t xml:space="preserve">• Select Unidad: mapea a la unidad base si procede (ver Diccionario de Datos).</w:t>
        <w:br w:type="textWrapping"/>
        <w:t xml:space="preserve">• Date Range: presets (últ. 3m/6m/12m) + rango personalizado.</w:t>
        <w:br w:type="textWrapping"/>
        <w:t xml:space="preserve">• KPI Cards: promedio, variación %, min/máx del período.</w:t>
        <w:br w:type="textWrapping"/>
        <w:t xml:space="preserve">• Gráfico Temporal: línea por defecto; leyenda clickeable; tooltip {fecha, valor, unidad, región}.</w:t>
        <w:br w:type="textWrapping"/>
        <w:t xml:space="preserve">• Tabla: paginación (50 filas), ordenamiento por columna, exportación (futuro).</w:t>
      </w:r>
    </w:p>
    <w:p w:rsidR="00000000" w:rsidDel="00000000" w:rsidP="00000000" w:rsidRDefault="00000000" w:rsidRPr="00000000" w14:paraId="00000043">
      <w:pPr>
        <w:pStyle w:val="Heading1"/>
        <w:rPr/>
      </w:pPr>
      <w:r w:rsidDel="00000000" w:rsidR="00000000" w:rsidRPr="00000000">
        <w:rPr>
          <w:rtl w:val="0"/>
        </w:rPr>
        <w:t xml:space="preserve">10. Reglas de Datos y Formato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• Moneda: CLP, separador miles punto y decimales coma (ej.: $ 1.234,56).</w:t>
        <w:br w:type="textWrapping"/>
        <w:t xml:space="preserve">• Redondeo: únicamente visual en UI; la API entrega precisión original.</w:t>
        <w:br w:type="textWrapping"/>
        <w:t xml:space="preserve">• Valores faltantes: se muestran como “—” y no interrumpen la serie.</w:t>
        <w:br w:type="textWrapping"/>
        <w:t xml:space="preserve">• Granularidad: semanal/mensual según dataset; se indica en tooltip/leyenda.</w:t>
        <w:br w:type="textWrapping"/>
        <w:t xml:space="preserve">• Zona horaria: America/Santiago para fechas mostradas.</w:t>
      </w:r>
    </w:p>
    <w:p w:rsidR="00000000" w:rsidDel="00000000" w:rsidP="00000000" w:rsidRDefault="00000000" w:rsidRPr="00000000" w14:paraId="00000045">
      <w:pPr>
        <w:pStyle w:val="Heading1"/>
        <w:rPr/>
      </w:pPr>
      <w:r w:rsidDel="00000000" w:rsidR="00000000" w:rsidRPr="00000000">
        <w:rPr>
          <w:rtl w:val="0"/>
        </w:rPr>
        <w:t xml:space="preserve">11. Accesibilidad (WCAG AA)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• Contraste ≥ 4.5:1.</w:t>
        <w:br w:type="textWrapping"/>
        <w:t xml:space="preserve">• Navegación por teclado (Tab/Shift+Tab), foco visible.</w:t>
        <w:br w:type="textWrapping"/>
        <w:t xml:space="preserve">• Roles/labels ARIA en formularios y gráficos.</w:t>
        <w:br w:type="textWrapping"/>
        <w:t xml:space="preserve">• Descripción textual breve para cada gráfico (resumen numérico).</w:t>
      </w:r>
    </w:p>
    <w:p w:rsidR="00000000" w:rsidDel="00000000" w:rsidP="00000000" w:rsidRDefault="00000000" w:rsidRPr="00000000" w14:paraId="00000047">
      <w:pPr>
        <w:pStyle w:val="Heading1"/>
        <w:rPr/>
      </w:pPr>
      <w:r w:rsidDel="00000000" w:rsidR="00000000" w:rsidRPr="00000000">
        <w:rPr>
          <w:rtl w:val="0"/>
        </w:rPr>
        <w:t xml:space="preserve">12. Criterios de Aceptación por Pantalla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• Dashboard: filtros sincronizados con gráfico/tabla; estados vacíos; tiempo de respuesta &lt; 2 s.</w:t>
        <w:br w:type="textWrapping"/>
        <w:t xml:space="preserve">• Comparador: dos series visibles y sincronizadas; diferencias calculadas; manejo de estado sin datos.</w:t>
        <w:br w:type="textWrapping"/>
        <w:t xml:space="preserve">• Mobile: funcional desde 360 px; no overflow horizontal; controles accesibles con pulgar.</w:t>
      </w:r>
    </w:p>
    <w:p w:rsidR="00000000" w:rsidDel="00000000" w:rsidP="00000000" w:rsidRDefault="00000000" w:rsidRPr="00000000" w14:paraId="00000049">
      <w:pPr>
        <w:pStyle w:val="Heading1"/>
        <w:rPr/>
      </w:pPr>
      <w:r w:rsidDel="00000000" w:rsidR="00000000" w:rsidRPr="00000000">
        <w:rPr>
          <w:rtl w:val="0"/>
        </w:rPr>
        <w:t xml:space="preserve">13. Métricas de Éxito (UX)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• Tiempo a primer insight (TTFI) en dashboard &lt; 10 s.</w:t>
        <w:br w:type="textWrapping"/>
        <w:t xml:space="preserve">• Tasa de éxito en comparación (completar flujo sin error) &gt; 95%.</w:t>
        <w:br w:type="textWrapping"/>
        <w:t xml:space="preserve">• Errores de API visibles con recuperación (reintento) &lt; 1% de sesiones.</w:t>
      </w:r>
    </w:p>
    <w:p w:rsidR="00000000" w:rsidDel="00000000" w:rsidP="00000000" w:rsidRDefault="00000000" w:rsidRPr="00000000" w14:paraId="0000004B">
      <w:pPr>
        <w:pStyle w:val="Heading1"/>
        <w:rPr/>
      </w:pPr>
      <w:r w:rsidDel="00000000" w:rsidR="00000000" w:rsidRPr="00000000">
        <w:rPr>
          <w:rtl w:val="0"/>
        </w:rPr>
        <w:t xml:space="preserve">14. Entregables y Artefactos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• Wireframes PNG: assets/ux/wf_*.png</w:t>
        <w:br w:type="textWrapping"/>
        <w:t xml:space="preserve">• Mockups Hi‑Fi: enlace Figma + exportados.</w:t>
        <w:br w:type="textWrapping"/>
        <w:t xml:space="preserve">• Tokens de diseño (opcional): docs/ui/tokens_design.json</w:t>
      </w:r>
    </w:p>
    <w:p w:rsidR="00000000" w:rsidDel="00000000" w:rsidP="00000000" w:rsidRDefault="00000000" w:rsidRPr="00000000" w14:paraId="0000004D">
      <w:pPr>
        <w:pStyle w:val="Heading1"/>
        <w:rPr/>
      </w:pPr>
      <w:r w:rsidDel="00000000" w:rsidR="00000000" w:rsidRPr="00000000">
        <w:rPr>
          <w:rtl w:val="0"/>
        </w:rPr>
        <w:t xml:space="preserve">15. Trazabilidad (ERS)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Este anexo cubre y detalla RF01, RF02, RF03, RF06, RF07, RF08, RF09 y RNF07–RNF10 del ERS.</w:t>
      </w:r>
    </w:p>
    <w:p w:rsidR="00000000" w:rsidDel="00000000" w:rsidP="00000000" w:rsidRDefault="00000000" w:rsidRPr="00000000" w14:paraId="0000004F">
      <w:pPr>
        <w:pStyle w:val="Heading2"/>
        <w:rPr/>
      </w:pPr>
      <w:r w:rsidDel="00000000" w:rsidR="00000000" w:rsidRPr="00000000">
        <w:rPr>
          <w:rtl w:val="0"/>
        </w:rPr>
        <w:t xml:space="preserve">7.1 Home (Desktop) — Hero y KPIs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2957862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2.1-1: Home — Hero con buscador, tabs (Consumidor/Mayorista), gráfico resumen y KPIs.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r w:rsidDel="00000000" w:rsidR="00000000" w:rsidRPr="00000000">
        <w:rPr>
          <w:rtl w:val="0"/>
        </w:rPr>
        <w:t xml:space="preserve">7.2 Home (Desktop) — Lo que puedes hacer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2.1-2: Home — Hero, gráfico resumen y KPIs; buscador por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• Debe mostrar tabs Consumidor/Mayorista y buscador con placeholder.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• Tiempo de respuesta habitual &lt; 2 s al buscar.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• KPIs visibles (Regiones, Productos, Datasets).</w:t>
      </w:r>
    </w:p>
    <w:p w:rsidR="00000000" w:rsidDel="00000000" w:rsidP="00000000" w:rsidRDefault="00000000" w:rsidRPr="00000000" w14:paraId="00000058">
      <w:pPr>
        <w:pStyle w:val="Heading2"/>
        <w:rPr/>
      </w:pPr>
      <w:r w:rsidDel="00000000" w:rsidR="00000000" w:rsidRPr="00000000">
        <w:rPr>
          <w:rtl w:val="0"/>
        </w:rPr>
        <w:t xml:space="preserve">7.3 Home (Desktop) — Cards y pasos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2.1-3: Home — Cards de acciones (Explorar, Series, Comparar) y pasos del flujo.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• Explica pasos: Elige dataset → Filtra → Visualiza.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• Campo de suscripción (simulado) sin envío real en MVP.</w:t>
      </w:r>
    </w:p>
    <w:p w:rsidR="00000000" w:rsidDel="00000000" w:rsidP="00000000" w:rsidRDefault="00000000" w:rsidRPr="00000000" w14:paraId="0000005D">
      <w:pPr>
        <w:pStyle w:val="Heading2"/>
        <w:rPr/>
      </w:pPr>
      <w:r w:rsidDel="00000000" w:rsidR="00000000" w:rsidRPr="00000000">
        <w:rPr>
          <w:rtl w:val="0"/>
        </w:rPr>
        <w:t xml:space="preserve">7.4 Home (Desktop) — Contacto y mapa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2.1-4: Home — Sección de contacto con mapa y footer.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• Datos de contacto visibles y coherentes con ERS.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• Footer con navegación secundaria.</w:t>
      </w:r>
    </w:p>
    <w:p w:rsidR="00000000" w:rsidDel="00000000" w:rsidP="00000000" w:rsidRDefault="00000000" w:rsidRPr="00000000" w14:paraId="00000062">
      <w:pPr>
        <w:pStyle w:val="Heading2"/>
        <w:rPr/>
      </w:pPr>
      <w:r w:rsidDel="00000000" w:rsidR="00000000" w:rsidRPr="00000000">
        <w:rPr>
          <w:rtl w:val="0"/>
        </w:rPr>
        <w:t xml:space="preserve">7.5 Dashboard — Placeholder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2.1-5: Dashboard — Área para KPIs y gráficos (en construcción).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• Se reservará espacio para: Precio promedio, variación %, min/máx y serie temporal.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• Cumplir RNF de rendimiento y estados vacíos.</w:t>
      </w:r>
    </w:p>
    <w:p w:rsidR="00000000" w:rsidDel="00000000" w:rsidP="00000000" w:rsidRDefault="00000000" w:rsidRPr="00000000" w14:paraId="00000067">
      <w:pPr>
        <w:pStyle w:val="Heading2"/>
        <w:rPr/>
      </w:pPr>
      <w:r w:rsidDel="00000000" w:rsidR="00000000" w:rsidRPr="00000000">
        <w:rPr>
          <w:rtl w:val="0"/>
        </w:rPr>
        <w:t xml:space="preserve">7.6 Productos — Catálogo con filtros</w:t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2.1-6: Productos — Listado paginado, filtrado alfabético y dataset toggle.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• Buscar por nombre, ordenar y paginar.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• Botón 'Ver detalle' abre modal/hoja de producto.</w:t>
      </w:r>
    </w:p>
    <w:p w:rsidR="00000000" w:rsidDel="00000000" w:rsidP="00000000" w:rsidRDefault="00000000" w:rsidRPr="00000000" w14:paraId="0000006C">
      <w:pPr>
        <w:pStyle w:val="Heading2"/>
        <w:rPr/>
      </w:pPr>
      <w:r w:rsidDel="00000000" w:rsidR="00000000" w:rsidRPr="00000000">
        <w:rPr>
          <w:rtl w:val="0"/>
        </w:rPr>
        <w:t xml:space="preserve">7.7 Producto — Detalle (modal)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2.1-7: Producto — Detalle con filtros (unidad, región, período) y KPIs.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• Muestra serie temporal y KPIs (actual, promedio, máx, variación%).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• Indica 'Rango disponible' según dataset; tabs Resumen/Series/Tabla.</w:t>
      </w:r>
    </w:p>
    <w:p w:rsidR="00000000" w:rsidDel="00000000" w:rsidP="00000000" w:rsidRDefault="00000000" w:rsidRPr="00000000" w14:paraId="00000071">
      <w:pPr>
        <w:pStyle w:val="Heading2"/>
        <w:rPr/>
      </w:pPr>
      <w:r w:rsidDel="00000000" w:rsidR="00000000" w:rsidRPr="00000000">
        <w:rPr>
          <w:rtl w:val="0"/>
        </w:rPr>
        <w:t xml:space="preserve">7.8 Comparar — Placeholder</w:t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2.1-8: Comparar — Selector de productos/unidades (en construcción).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• Aplicará filtros comunes a ambos productos.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• Mostrará dos series superpuestas y tabla comparativa.</w:t>
      </w:r>
    </w:p>
    <w:p w:rsidR="00000000" w:rsidDel="00000000" w:rsidP="00000000" w:rsidRDefault="00000000" w:rsidRPr="00000000" w14:paraId="00000076">
      <w:pPr>
        <w:pStyle w:val="Heading2"/>
        <w:rPr/>
      </w:pPr>
      <w:r w:rsidDel="00000000" w:rsidR="00000000" w:rsidRPr="00000000">
        <w:rPr>
          <w:rtl w:val="0"/>
        </w:rPr>
        <w:t xml:space="preserve">7.9 Acerca — Hero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2.1-9: Acerca — Presentación de objetivos y KPIs.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• Accesos rápidos a Explorar productos y Ver dashboard.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• Gráfico contextual + KPIs inferiores.</w:t>
      </w:r>
    </w:p>
    <w:p w:rsidR="00000000" w:rsidDel="00000000" w:rsidP="00000000" w:rsidRDefault="00000000" w:rsidRPr="00000000" w14:paraId="0000007B">
      <w:pPr>
        <w:pStyle w:val="Heading2"/>
        <w:rPr/>
      </w:pPr>
      <w:r w:rsidDel="00000000" w:rsidR="00000000" w:rsidRPr="00000000">
        <w:rPr>
          <w:rtl w:val="0"/>
        </w:rPr>
        <w:t xml:space="preserve">7.10 Acerca — Contenido y metodología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2.1-10: Acerca — Cómo funciona, motivos y metodología.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• Explica Integración, Filtros y Confianza en la fuente.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• Sección 'Fuentes y metodología' describe cálculo y trazabilidad.</w:t>
      </w:r>
    </w:p>
    <w:p w:rsidR="00000000" w:rsidDel="00000000" w:rsidP="00000000" w:rsidRDefault="00000000" w:rsidRPr="00000000" w14:paraId="00000080">
      <w:pPr>
        <w:pStyle w:val="Heading2"/>
        <w:rPr/>
      </w:pPr>
      <w:r w:rsidDel="00000000" w:rsidR="00000000" w:rsidRPr="00000000">
        <w:rPr>
          <w:rtl w:val="0"/>
        </w:rPr>
        <w:t xml:space="preserve">7.11 Página 404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i w:val="1"/>
          <w:rtl w:val="0"/>
        </w:rPr>
        <w:t xml:space="preserve">Figura 2.1-11: 404 — Página no encontrada con CTA a inicio.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• Estilo consistente; botón vuelve a Home.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• Cumple con manejo de rutas inexistentes.</w:t>
      </w:r>
    </w:p>
    <w:sectPr>
      <w:headerReference r:id="rId18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5405438</wp:posOffset>
          </wp:positionH>
          <wp:positionV relativeFrom="page">
            <wp:posOffset>171450</wp:posOffset>
          </wp:positionV>
          <wp:extent cx="2333625" cy="418212"/>
          <wp:effectExtent b="0" l="0" r="0" t="0"/>
          <wp:wrapNone/>
          <wp:docPr id="23" name="image9.jpg"/>
          <a:graphic>
            <a:graphicData uri="http://schemas.openxmlformats.org/drawingml/2006/picture">
              <pic:pic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33625" cy="41821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OoIOypCBFpe67T0FvUJsvvrUSQ==">CgMxLjA4AHIhMXpYdEg5bGpSREtRMHI5UmhLcmcwQ2dUNjdrZHpvdGNr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