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Anexo 2.3 — Diccionario de Datos y Normalización (ComparaYa)</w:t>
      </w:r>
    </w:p>
    <w:p>
      <w:r>
        <w:rPr>
          <w:i/>
        </w:rPr>
        <w:t>Versión 0.2 · Fecha: 2025-09-17 · Autores: Equipo ComparaYa</w:t>
      </w:r>
    </w:p>
    <w:p>
      <w:pPr>
        <w:pStyle w:val="Heading1"/>
      </w:pPr>
      <w:r>
        <w:t>1. Objetivo</w:t>
      </w:r>
    </w:p>
    <w:p>
      <w:r>
        <w:t>Definir campos maestros, reglas de significado y política de normalización para integrar datasets de Consumidor y Mayorista. Se aborda la variabilidad entre “precio promedio” vs “precio promedio ponderado” y la heterogeneidad en nombres de productos con separadores como '|' o ' | '.</w:t>
      </w:r>
    </w:p>
    <w:p>
      <w:pPr>
        <w:pStyle w:val="Heading1"/>
      </w:pPr>
      <w:r>
        <w:t>2. Campos Maestros (Esquema Normalizado)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Campo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Valores/Ejemplos</w:t>
            </w:r>
          </w:p>
        </w:tc>
        <w:tc>
          <w:tcPr>
            <w:tcW w:type="dxa" w:w="1728"/>
          </w:tcPr>
          <w:p>
            <w:r>
              <w:t>Origen/Regla</w:t>
            </w:r>
          </w:p>
        </w:tc>
      </w:tr>
      <w:tr>
        <w:tc>
          <w:tcPr>
            <w:tcW w:type="dxa" w:w="1728"/>
          </w:tcPr>
          <w:p>
            <w:r>
              <w:t>dataset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Fuente de datos</w:t>
            </w:r>
          </w:p>
        </w:tc>
        <w:tc>
          <w:tcPr>
            <w:tcW w:type="dxa" w:w="1728"/>
          </w:tcPr>
          <w:p>
            <w:r>
              <w:t>consumidor | mayorista</w:t>
            </w:r>
          </w:p>
        </w:tc>
        <w:tc>
          <w:tcPr>
            <w:tcW w:type="dxa" w:w="1728"/>
          </w:tcPr>
          <w:p>
            <w:r>
              <w:t>Asignado por ETL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Fecha del dato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Mapeo desde columna fecha/periodo</w:t>
            </w:r>
          </w:p>
        </w:tc>
      </w:tr>
      <w:tr>
        <w:tc>
          <w:tcPr>
            <w:tcW w:type="dxa" w:w="1728"/>
          </w:tcPr>
          <w:p>
            <w:r>
              <w:t>producto_raw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Nombre del producto tal como viene</w:t>
            </w:r>
          </w:p>
        </w:tc>
        <w:tc>
          <w:tcPr>
            <w:tcW w:type="dxa" w:w="1728"/>
          </w:tcPr>
          <w:p>
            <w:r>
              <w:t>'Tomate | primera | granel'</w:t>
            </w:r>
          </w:p>
        </w:tc>
        <w:tc>
          <w:tcPr>
            <w:tcW w:type="dxa" w:w="1728"/>
          </w:tcPr>
          <w:p>
            <w:r>
              <w:t>Columna producto original</w:t>
            </w:r>
          </w:p>
        </w:tc>
      </w:tr>
      <w:tr>
        <w:tc>
          <w:tcPr>
            <w:tcW w:type="dxa" w:w="1728"/>
          </w:tcPr>
          <w:p>
            <w:r>
              <w:t>producto_base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Nombre base normalizado</w:t>
            </w:r>
          </w:p>
        </w:tc>
        <w:tc>
          <w:tcPr>
            <w:tcW w:type="dxa" w:w="1728"/>
          </w:tcPr>
          <w:p>
            <w:r>
              <w:t>'Tomate'</w:t>
            </w:r>
          </w:p>
        </w:tc>
        <w:tc>
          <w:tcPr>
            <w:tcW w:type="dxa" w:w="1728"/>
          </w:tcPr>
          <w:p>
            <w:r>
              <w:t>Token 1 tras dividir por '|' y limpiar</w:t>
            </w:r>
          </w:p>
        </w:tc>
      </w:tr>
      <w:tr>
        <w:tc>
          <w:tcPr>
            <w:tcW w:type="dxa" w:w="1728"/>
          </w:tcPr>
          <w:p>
            <w:r>
              <w:t>producto_calidad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Calidad/variedad si existe</w:t>
            </w:r>
          </w:p>
        </w:tc>
        <w:tc>
          <w:tcPr>
            <w:tcW w:type="dxa" w:w="1728"/>
          </w:tcPr>
          <w:p>
            <w:r>
              <w:t>'primera'</w:t>
            </w:r>
          </w:p>
        </w:tc>
        <w:tc>
          <w:tcPr>
            <w:tcW w:type="dxa" w:w="1728"/>
          </w:tcPr>
          <w:p>
            <w:r>
              <w:t>Token 2 si existe</w:t>
            </w:r>
          </w:p>
        </w:tc>
      </w:tr>
      <w:tr>
        <w:tc>
          <w:tcPr>
            <w:tcW w:type="dxa" w:w="1728"/>
          </w:tcPr>
          <w:p>
            <w:r>
              <w:t>producto_presentacion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Formato/presentación</w:t>
            </w:r>
          </w:p>
        </w:tc>
        <w:tc>
          <w:tcPr>
            <w:tcW w:type="dxa" w:w="1728"/>
          </w:tcPr>
          <w:p>
            <w:r>
              <w:t>'granel'</w:t>
            </w:r>
          </w:p>
        </w:tc>
        <w:tc>
          <w:tcPr>
            <w:tcW w:type="dxa" w:w="1728"/>
          </w:tcPr>
          <w:p>
            <w:r>
              <w:t>Token 3 si existe</w:t>
            </w:r>
          </w:p>
        </w:tc>
      </w:tr>
      <w:tr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Región administrativa</w:t>
            </w:r>
          </w:p>
        </w:tc>
        <w:tc>
          <w:tcPr>
            <w:tcW w:type="dxa" w:w="1728"/>
          </w:tcPr>
          <w:p>
            <w:r>
              <w:t>'Región Metropolitana'</w:t>
            </w:r>
          </w:p>
        </w:tc>
        <w:tc>
          <w:tcPr>
            <w:tcW w:type="dxa" w:w="1728"/>
          </w:tcPr>
          <w:p>
            <w:r>
              <w:t>Directo si existe; si no, 'Todas'</w:t>
            </w:r>
          </w:p>
        </w:tc>
      </w:tr>
      <w:tr>
        <w:tc>
          <w:tcPr>
            <w:tcW w:type="dxa" w:w="1728"/>
          </w:tcPr>
          <w:p>
            <w:r>
              <w:t>mercado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Mercado mayorista (si aplica)</w:t>
            </w:r>
          </w:p>
        </w:tc>
        <w:tc>
          <w:tcPr>
            <w:tcW w:type="dxa" w:w="1728"/>
          </w:tcPr>
          <w:p>
            <w:r>
              <w:t>'Lo Valledor'</w:t>
            </w:r>
          </w:p>
        </w:tc>
        <w:tc>
          <w:tcPr>
            <w:tcW w:type="dxa" w:w="1728"/>
          </w:tcPr>
          <w:p>
            <w:r>
              <w:t>Solo para Mayorista</w:t>
            </w:r>
          </w:p>
        </w:tc>
      </w:tr>
      <w:tr>
        <w:tc>
          <w:tcPr>
            <w:tcW w:type="dxa" w:w="1728"/>
          </w:tcPr>
          <w:p>
            <w:r>
              <w:t>unidad_raw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Unidad declarada en fuente</w:t>
            </w:r>
          </w:p>
        </w:tc>
        <w:tc>
          <w:tcPr>
            <w:tcW w:type="dxa" w:w="1728"/>
          </w:tcPr>
          <w:p>
            <w:r>
              <w:t>'kilo','caja 18 kg'</w:t>
            </w:r>
          </w:p>
        </w:tc>
        <w:tc>
          <w:tcPr>
            <w:tcW w:type="dxa" w:w="1728"/>
          </w:tcPr>
          <w:p>
            <w:r>
              <w:t>Columna de unidad</w:t>
            </w:r>
          </w:p>
        </w:tc>
      </w:tr>
      <w:tr>
        <w:tc>
          <w:tcPr>
            <w:tcW w:type="dxa" w:w="1728"/>
          </w:tcPr>
          <w:p>
            <w:r>
              <w:t>unidad_base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Unidad normalizada</w:t>
            </w:r>
          </w:p>
        </w:tc>
        <w:tc>
          <w:tcPr>
            <w:tcW w:type="dxa" w:w="1728"/>
          </w:tcPr>
          <w:p>
            <w:r>
              <w:t>kilo|litro|unidad</w:t>
            </w:r>
          </w:p>
        </w:tc>
        <w:tc>
          <w:tcPr>
            <w:tcW w:type="dxa" w:w="1728"/>
          </w:tcPr>
          <w:p>
            <w:r>
              <w:t>Tabla de equivalencias</w:t>
            </w:r>
          </w:p>
        </w:tc>
      </w:tr>
      <w:tr>
        <w:tc>
          <w:tcPr>
            <w:tcW w:type="dxa" w:w="1728"/>
          </w:tcPr>
          <w:p>
            <w:r>
              <w:t>factor_conversion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Multiplicador a unidad_base</w:t>
            </w:r>
          </w:p>
        </w:tc>
        <w:tc>
          <w:tcPr>
            <w:tcW w:type="dxa" w:w="1728"/>
          </w:tcPr>
          <w:p>
            <w:r>
              <w:t>18.0 (para 'caja 18 kg')</w:t>
            </w:r>
          </w:p>
        </w:tc>
        <w:tc>
          <w:tcPr>
            <w:tcW w:type="dxa" w:w="1728"/>
          </w:tcPr>
          <w:p>
            <w:r>
              <w:t>Tabla de equivalencias</w:t>
            </w:r>
          </w:p>
        </w:tc>
      </w:tr>
      <w:tr>
        <w:tc>
          <w:tcPr>
            <w:tcW w:type="dxa" w:w="1728"/>
          </w:tcPr>
          <w:p>
            <w:r>
              <w:t>precio_valor</w:t>
            </w:r>
          </w:p>
        </w:tc>
        <w:tc>
          <w:tcPr>
            <w:tcW w:type="dxa" w:w="1728"/>
          </w:tcPr>
          <w:p>
            <w:r>
              <w:t>decimal(12,4)</w:t>
            </w:r>
          </w:p>
        </w:tc>
        <w:tc>
          <w:tcPr>
            <w:tcW w:type="dxa" w:w="1728"/>
          </w:tcPr>
          <w:p>
            <w:r>
              <w:t>Precio numérico</w:t>
            </w:r>
          </w:p>
        </w:tc>
        <w:tc>
          <w:tcPr>
            <w:tcW w:type="dxa" w:w="1728"/>
          </w:tcPr>
          <w:p>
            <w:r>
              <w:t>1000.25</w:t>
            </w:r>
          </w:p>
        </w:tc>
        <w:tc>
          <w:tcPr>
            <w:tcW w:type="dxa" w:w="1728"/>
          </w:tcPr>
          <w:p>
            <w:r>
              <w:t>Columna seleccionada</w:t>
            </w:r>
          </w:p>
        </w:tc>
      </w:tr>
      <w:tr>
        <w:tc>
          <w:tcPr>
            <w:tcW w:type="dxa" w:w="1728"/>
          </w:tcPr>
          <w:p>
            <w:r>
              <w:t>precio_tipo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Tipo de precio</w:t>
            </w:r>
          </w:p>
        </w:tc>
        <w:tc>
          <w:tcPr>
            <w:tcW w:type="dxa" w:w="1728"/>
          </w:tcPr>
          <w:p>
            <w:r>
              <w:t>promedio | promedio_ponderado | mínimo | máximo</w:t>
            </w:r>
          </w:p>
        </w:tc>
        <w:tc>
          <w:tcPr>
            <w:tcW w:type="dxa" w:w="1728"/>
          </w:tcPr>
          <w:p>
            <w:r>
              <w:t>Detectado por nombre de columna</w:t>
            </w:r>
          </w:p>
        </w:tc>
      </w:tr>
      <w:tr>
        <w:tc>
          <w:tcPr>
            <w:tcW w:type="dxa" w:w="1728"/>
          </w:tcPr>
          <w:p>
            <w:r>
              <w:t>precio_fuente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Nombre de columna original</w:t>
            </w:r>
          </w:p>
        </w:tc>
        <w:tc>
          <w:tcPr>
            <w:tcW w:type="dxa" w:w="1728"/>
          </w:tcPr>
          <w:p>
            <w:r>
              <w:t>'precio promedio ponderado'</w:t>
            </w:r>
          </w:p>
        </w:tc>
        <w:tc>
          <w:tcPr>
            <w:tcW w:type="dxa" w:w="1728"/>
          </w:tcPr>
          <w:p>
            <w:r>
              <w:t>Columna origen</w:t>
            </w:r>
          </w:p>
        </w:tc>
      </w:tr>
      <w:tr>
        <w:tc>
          <w:tcPr>
            <w:tcW w:type="dxa" w:w="1728"/>
          </w:tcPr>
          <w:p>
            <w:r>
              <w:t>moneda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Moneda del valor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Constante</w:t>
            </w:r>
          </w:p>
        </w:tc>
      </w:tr>
    </w:tbl>
    <w:p>
      <w:pPr>
        <w:pStyle w:val="Heading1"/>
      </w:pPr>
      <w:r>
        <w:t>3. Normalización de Productos</w:t>
      </w:r>
    </w:p>
    <w:p>
      <w:r>
        <w:t>• Separador canónico: '|' (sin espacios). Durante ETL: reemplazar todas las variantes '\s*\|\s*' → '|'.</w:t>
        <w:br/>
        <w:t>• Tokenización: producto_raw.split('|') → [base, calidad, presentación, ...]; trim; lowercase salvo nombres propios.</w:t>
        <w:br/>
        <w:t>• producto_base: catálogo controlado con alias → canónico (ej.: 'tomate ensalada'→'tomate').</w:t>
        <w:br/>
        <w:t>• Si no hay separador, usar todo el texto como producto_base.</w:t>
      </w:r>
    </w:p>
    <w:p>
      <w:pPr>
        <w:pStyle w:val="Heading1"/>
      </w:pPr>
      <w:r>
        <w:t>4. Reglas de Precio (Promedio y Promedio Ponderado)</w:t>
      </w:r>
    </w:p>
    <w:p>
      <w:r>
        <w:t>• Detección: si existe columna que contenga 'ponderado', usarla y etiquetar precio_tipo='promedio_ponderado'. Si no, buscar 'promedio'; en ausencia, usar 'precio'/'valor' y etiquetar como 'promedio'.</w:t>
      </w:r>
    </w:p>
    <w:p>
      <w:r>
        <w:t>• Definiciones: promedio = media aritmética; promedio_ponderado = sum(w_i·x_i)/sum(w_i) con pesos w (p. ej., volumen).</w:t>
      </w:r>
    </w:p>
    <w:p>
      <w:r>
        <w:t>• Comparabilidad: marcar 'flag_ponderado' cuando aplique; mostrar tooltip cuando un período mezcla metodologías.</w:t>
      </w:r>
    </w:p>
    <w:p>
      <w:pPr>
        <w:pStyle w:val="Heading1"/>
      </w:pPr>
      <w:r>
        <w:t>5. Equivalencias de Unidades (ejemplos)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Unidad_fuente</w:t>
            </w:r>
          </w:p>
        </w:tc>
        <w:tc>
          <w:tcPr>
            <w:tcW w:type="dxa" w:w="2160"/>
          </w:tcPr>
          <w:p>
            <w:r>
              <w:t>Equivalencia_valor</w:t>
            </w:r>
          </w:p>
        </w:tc>
        <w:tc>
          <w:tcPr>
            <w:tcW w:type="dxa" w:w="2160"/>
          </w:tcPr>
          <w:p>
            <w:r>
              <w:t>Unidad_base</w:t>
            </w:r>
          </w:p>
        </w:tc>
        <w:tc>
          <w:tcPr>
            <w:tcW w:type="dxa" w:w="2160"/>
          </w:tcPr>
          <w:p>
            <w:r>
              <w:t>Notas</w:t>
            </w:r>
          </w:p>
        </w:tc>
      </w:tr>
      <w:tr>
        <w:tc>
          <w:tcPr>
            <w:tcW w:type="dxa" w:w="2160"/>
          </w:tcPr>
          <w:p>
            <w:r>
              <w:t>kilo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kilo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litro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litro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unidad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unidad</w:t>
            </w:r>
          </w:p>
        </w:tc>
        <w:tc>
          <w:tcPr>
            <w:tcW w:type="dxa" w:w="2160"/>
          </w:tcPr>
          <w:p>
            <w:r>
              <w:t>pieza unitaria</w:t>
            </w:r>
          </w:p>
        </w:tc>
      </w:tr>
      <w:tr>
        <w:tc>
          <w:tcPr>
            <w:tcW w:type="dxa" w:w="2160"/>
          </w:tcPr>
          <w:p>
            <w:r>
              <w:t>caja 18 kg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kilo</w:t>
            </w:r>
          </w:p>
        </w:tc>
        <w:tc>
          <w:tcPr>
            <w:tcW w:type="dxa" w:w="2160"/>
          </w:tcPr>
          <w:p>
            <w:r>
              <w:t>factor_conversion=18</w:t>
            </w:r>
          </w:p>
        </w:tc>
      </w:tr>
      <w:tr>
        <w:tc>
          <w:tcPr>
            <w:tcW w:type="dxa" w:w="2160"/>
          </w:tcPr>
          <w:p>
            <w:r>
              <w:t>caja 10 kg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kilo</w:t>
            </w:r>
          </w:p>
        </w:tc>
        <w:tc>
          <w:tcPr>
            <w:tcW w:type="dxa" w:w="2160"/>
          </w:tcPr>
          <w:p>
            <w:r>
              <w:t>factor_conversion=10</w:t>
            </w:r>
          </w:p>
        </w:tc>
      </w:tr>
    </w:tbl>
    <w:p>
      <w:pPr>
        <w:pStyle w:val="Heading1"/>
      </w:pPr>
      <w:r>
        <w:t>6. Reglas de Transformación (ETL)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Regla_ID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Fórmula/Algoritmo</w:t>
            </w:r>
          </w:p>
        </w:tc>
        <w:tc>
          <w:tcPr>
            <w:tcW w:type="dxa" w:w="1728"/>
          </w:tcPr>
          <w:p>
            <w:r>
              <w:t>Prioridad</w:t>
            </w:r>
          </w:p>
        </w:tc>
        <w:tc>
          <w:tcPr>
            <w:tcW w:type="dxa" w:w="1728"/>
          </w:tcPr>
          <w:p>
            <w:r>
              <w:t>Ejemplo</w:t>
            </w:r>
          </w:p>
        </w:tc>
      </w:tr>
      <w:tr>
        <w:tc>
          <w:tcPr>
            <w:tcW w:type="dxa" w:w="1728"/>
          </w:tcPr>
          <w:p>
            <w:r>
              <w:t>R1</w:t>
            </w:r>
          </w:p>
        </w:tc>
        <w:tc>
          <w:tcPr>
            <w:tcW w:type="dxa" w:w="1728"/>
          </w:tcPr>
          <w:p>
            <w:r>
              <w:t>Normalizar separador en producto</w:t>
            </w:r>
          </w:p>
        </w:tc>
        <w:tc>
          <w:tcPr>
            <w:tcW w:type="dxa" w:w="1728"/>
          </w:tcPr>
          <w:p>
            <w:r>
              <w:t>re.sub(r'\s*\|\s*','|',producto)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'Tomate | primera'→'Tomate|primera'</w:t>
            </w:r>
          </w:p>
        </w:tc>
      </w:tr>
      <w:tr>
        <w:tc>
          <w:tcPr>
            <w:tcW w:type="dxa" w:w="1728"/>
          </w:tcPr>
          <w:p>
            <w:r>
              <w:t>R2</w:t>
            </w:r>
          </w:p>
        </w:tc>
        <w:tc>
          <w:tcPr>
            <w:tcW w:type="dxa" w:w="1728"/>
          </w:tcPr>
          <w:p>
            <w:r>
              <w:t>Tokenizar producto</w:t>
            </w:r>
          </w:p>
        </w:tc>
        <w:tc>
          <w:tcPr>
            <w:tcW w:type="dxa" w:w="1728"/>
          </w:tcPr>
          <w:p>
            <w:r>
              <w:t>split('|') → base,calidad,presentación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'Tomate|primera|granel'</w:t>
            </w:r>
          </w:p>
        </w:tc>
      </w:tr>
      <w:tr>
        <w:tc>
          <w:tcPr>
            <w:tcW w:type="dxa" w:w="1728"/>
          </w:tcPr>
          <w:p>
            <w:r>
              <w:t>R3</w:t>
            </w:r>
          </w:p>
        </w:tc>
        <w:tc>
          <w:tcPr>
            <w:tcW w:type="dxa" w:w="1728"/>
          </w:tcPr>
          <w:p>
            <w:r>
              <w:t>Mapear unidad a base</w:t>
            </w:r>
          </w:p>
        </w:tc>
        <w:tc>
          <w:tcPr>
            <w:tcW w:type="dxa" w:w="1728"/>
          </w:tcPr>
          <w:p>
            <w:r>
              <w:t>tabla equivalencias → (unidad_base,factor)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'caja 18 kg'→(kilo,18)</w:t>
            </w:r>
          </w:p>
        </w:tc>
      </w:tr>
      <w:tr>
        <w:tc>
          <w:tcPr>
            <w:tcW w:type="dxa" w:w="1728"/>
          </w:tcPr>
          <w:p>
            <w:r>
              <w:t>R4</w:t>
            </w:r>
          </w:p>
        </w:tc>
        <w:tc>
          <w:tcPr>
            <w:tcW w:type="dxa" w:w="1728"/>
          </w:tcPr>
          <w:p>
            <w:r>
              <w:t>Seleccionar columna de precio</w:t>
            </w:r>
          </w:p>
        </w:tc>
        <w:tc>
          <w:tcPr>
            <w:tcW w:type="dxa" w:w="1728"/>
          </w:tcPr>
          <w:p>
            <w:r>
              <w:t>ponderado&gt;promedio&gt;precio/valor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si hay ponderado, usarlo</w:t>
            </w:r>
          </w:p>
        </w:tc>
      </w:tr>
      <w:tr>
        <w:tc>
          <w:tcPr>
            <w:tcW w:type="dxa" w:w="1728"/>
          </w:tcPr>
          <w:p>
            <w:r>
              <w:t>R5</w:t>
            </w:r>
          </w:p>
        </w:tc>
        <w:tc>
          <w:tcPr>
            <w:tcW w:type="dxa" w:w="1728"/>
          </w:tcPr>
          <w:p>
            <w:r>
              <w:t>CLP numérico</w:t>
            </w:r>
          </w:p>
        </w:tc>
        <w:tc>
          <w:tcPr>
            <w:tcW w:type="dxa" w:w="1728"/>
          </w:tcPr>
          <w:p>
            <w:r>
              <w:t>parsear string a decimal; remover separadores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'$ 1.234,56'→1234.56</w:t>
            </w:r>
          </w:p>
        </w:tc>
      </w:tr>
      <w:tr>
        <w:tc>
          <w:tcPr>
            <w:tcW w:type="dxa" w:w="1728"/>
          </w:tcPr>
          <w:p>
            <w:r>
              <w:t>R6</w:t>
            </w:r>
          </w:p>
        </w:tc>
        <w:tc>
          <w:tcPr>
            <w:tcW w:type="dxa" w:w="1728"/>
          </w:tcPr>
          <w:p>
            <w:r>
              <w:t>Completar campos faltantes</w:t>
            </w:r>
          </w:p>
        </w:tc>
        <w:tc>
          <w:tcPr>
            <w:tcW w:type="dxa" w:w="1728"/>
          </w:tcPr>
          <w:p>
            <w:r>
              <w:t>mercado solo mayorista; región en ambos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si falta, usar 'Todas'</w:t>
            </w:r>
          </w:p>
        </w:tc>
      </w:tr>
    </w:tbl>
    <w:p>
      <w:pPr>
        <w:pStyle w:val="Heading1"/>
      </w:pPr>
      <w:r>
        <w:t>7. Controles de Calidad de Datos (DQC)</w:t>
      </w:r>
    </w:p>
    <w:p>
      <w:r>
        <w:t>• fecha no nula y dentro de rango (Alta)</w:t>
      </w:r>
    </w:p>
    <w:p>
      <w:r>
        <w:t>• precio_valor &gt; 0 (Alta)</w:t>
      </w:r>
    </w:p>
    <w:p>
      <w:r>
        <w:t>• unidad_base presente y factor_conversion &gt; 0 cuando aplique (Alta)</w:t>
      </w:r>
    </w:p>
    <w:p>
      <w:r>
        <w:t>• producto_base no vacío (Alta)</w:t>
      </w:r>
    </w:p>
    <w:p>
      <w:r>
        <w:t>• sin duplicados exactos (dataset,fecha,producto_base,region/mercado,unidad_base) (Alta)</w:t>
      </w:r>
    </w:p>
    <w:p>
      <w:r>
        <w:t>• flag_ponderado consistente con precio_fuente (Media)</w:t>
      </w:r>
    </w:p>
    <w:p>
      <w:pPr>
        <w:pStyle w:val="Heading1"/>
      </w:pPr>
      <w:r>
        <w:t>8. Catálogos y Alias de Producto (plantilla)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Alias detectado</w:t>
            </w:r>
          </w:p>
        </w:tc>
        <w:tc>
          <w:tcPr>
            <w:tcW w:type="dxa" w:w="2880"/>
          </w:tcPr>
          <w:p>
            <w:r>
              <w:t>Canónico (producto_base)</w:t>
            </w:r>
          </w:p>
        </w:tc>
        <w:tc>
          <w:tcPr>
            <w:tcW w:type="dxa" w:w="2880"/>
          </w:tcPr>
          <w:p>
            <w:r>
              <w:t>Notas</w:t>
            </w:r>
          </w:p>
        </w:tc>
      </w:tr>
      <w:tr>
        <w:tc>
          <w:tcPr>
            <w:tcW w:type="dxa" w:w="2880"/>
          </w:tcPr>
          <w:p>
            <w:r>
              <w:t>tomate ensalada</w:t>
            </w:r>
          </w:p>
        </w:tc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Unificar puntuación y separadores</w:t>
            </w:r>
          </w:p>
        </w:tc>
      </w:tr>
      <w:tr>
        <w:tc>
          <w:tcPr>
            <w:tcW w:type="dxa" w:w="2880"/>
          </w:tcPr>
          <w:p>
            <w:r>
              <w:t>tomate|primera</w:t>
            </w:r>
          </w:p>
        </w:tc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Unificar puntuación y separadores</w:t>
            </w:r>
          </w:p>
        </w:tc>
      </w:tr>
      <w:tr>
        <w:tc>
          <w:tcPr>
            <w:tcW w:type="dxa" w:w="2880"/>
          </w:tcPr>
          <w:p>
            <w:r>
              <w:t>tomate primera</w:t>
            </w:r>
          </w:p>
        </w:tc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Unificar puntuación y separadores</w:t>
            </w:r>
          </w:p>
        </w:tc>
      </w:tr>
      <w:tr>
        <w:tc>
          <w:tcPr>
            <w:tcW w:type="dxa" w:w="2880"/>
          </w:tcPr>
          <w:p>
            <w:r>
              <w:t>tomate (primera)</w:t>
            </w:r>
          </w:p>
        </w:tc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Unificar puntuación y separadores</w:t>
            </w:r>
          </w:p>
        </w:tc>
      </w:tr>
    </w:tbl>
    <w:p>
      <w:pPr>
        <w:pStyle w:val="Heading1"/>
      </w:pPr>
      <w:r>
        <w:t>9. Trazabilidad a ERS</w:t>
      </w:r>
    </w:p>
    <w:p>
      <w:r>
        <w:t>Respaldos: RF04–RF10 (ETL, API, manejo de datos) y RNF03–RNF10 (portabilidad, mantenibilidad, calidad).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