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Anexo 2.5 — Informe de Análisis de Datos (2025) — ComparaYa</w:t>
      </w:r>
    </w:p>
    <w:p>
      <w:r>
        <w:rPr>
          <w:i/>
        </w:rPr>
        <w:t>Versión 1.0 · Fecha: 2025-09-22 · Autor: [Completar] · Revisor: [Completar]</w:t>
      </w:r>
    </w:p>
    <w:p>
      <w:pPr>
        <w:pStyle w:val="Heading1"/>
      </w:pPr>
      <w:r>
        <w:t>1. Fuentes de Datos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Archivo</w:t>
            </w:r>
          </w:p>
        </w:tc>
        <w:tc>
          <w:tcPr>
            <w:tcW w:type="dxa" w:w="1440"/>
          </w:tcPr>
          <w:p>
            <w:r>
              <w:t>Período</w:t>
            </w:r>
          </w:p>
        </w:tc>
        <w:tc>
          <w:tcPr>
            <w:tcW w:type="dxa" w:w="1440"/>
          </w:tcPr>
          <w:p>
            <w:r>
              <w:t>Frecuencia</w:t>
            </w:r>
          </w:p>
        </w:tc>
        <w:tc>
          <w:tcPr>
            <w:tcW w:type="dxa" w:w="1440"/>
          </w:tcPr>
          <w:p>
            <w:r>
              <w:t>Responsable</w:t>
            </w:r>
          </w:p>
        </w:tc>
        <w:tc>
          <w:tcPr>
            <w:tcW w:type="dxa" w:w="1440"/>
          </w:tcPr>
          <w:p>
            <w:r>
              <w:t>Notas</w:t>
            </w:r>
          </w:p>
        </w:tc>
      </w:tr>
      <w:tr>
        <w:tc>
          <w:tcPr>
            <w:tcW w:type="dxa" w:w="1440"/>
          </w:tcPr>
          <w:p>
            <w:r>
              <w:t>Consumidor</w:t>
            </w:r>
          </w:p>
        </w:tc>
        <w:tc>
          <w:tcPr>
            <w:tcW w:type="dxa" w:w="1440"/>
          </w:tcPr>
          <w:p>
            <w:r>
              <w:t>consumidor-2025.csv</w:t>
            </w:r>
          </w:p>
        </w:tc>
        <w:tc>
          <w:tcPr>
            <w:tcW w:type="dxa" w:w="1440"/>
          </w:tcPr>
          <w:p>
            <w:r>
              <w:t>2024-12-30 → 2025-09-01</w:t>
            </w:r>
          </w:p>
        </w:tc>
        <w:tc>
          <w:tcPr>
            <w:tcW w:type="dxa" w:w="1440"/>
          </w:tcPr>
          <w:p>
            <w:r>
              <w:t>diaria</w:t>
            </w:r>
          </w:p>
        </w:tc>
        <w:tc>
          <w:tcPr>
            <w:tcW w:type="dxa" w:w="1440"/>
          </w:tcPr>
          <w:p>
            <w:r>
              <w:t>[Completar]</w:t>
            </w:r>
          </w:p>
        </w:tc>
        <w:tc>
          <w:tcPr>
            <w:tcW w:type="dxa" w:w="1440"/>
          </w:tcPr>
          <w:p>
            <w:r>
              <w:t>Muestra 2025</w:t>
            </w:r>
          </w:p>
        </w:tc>
      </w:tr>
      <w:tr>
        <w:tc>
          <w:tcPr>
            <w:tcW w:type="dxa" w:w="1440"/>
          </w:tcPr>
          <w:p>
            <w:r>
              <w:t>Mayorista</w:t>
            </w:r>
          </w:p>
        </w:tc>
        <w:tc>
          <w:tcPr>
            <w:tcW w:type="dxa" w:w="1440"/>
          </w:tcPr>
          <w:p>
            <w:r>
              <w:t>mayorista-2025.csv</w:t>
            </w:r>
          </w:p>
        </w:tc>
        <w:tc>
          <w:tcPr>
            <w:tcW w:type="dxa" w:w="1440"/>
          </w:tcPr>
          <w:p>
            <w:r>
              <w:t>2025-01-02 → 2025-09-05</w:t>
            </w:r>
          </w:p>
        </w:tc>
        <w:tc>
          <w:tcPr>
            <w:tcW w:type="dxa" w:w="1440"/>
          </w:tcPr>
          <w:p>
            <w:r>
              <w:t>diaria</w:t>
            </w:r>
          </w:p>
        </w:tc>
        <w:tc>
          <w:tcPr>
            <w:tcW w:type="dxa" w:w="1440"/>
          </w:tcPr>
          <w:p>
            <w:r>
              <w:t>[Completar]</w:t>
            </w:r>
          </w:p>
        </w:tc>
        <w:tc>
          <w:tcPr>
            <w:tcW w:type="dxa" w:w="1440"/>
          </w:tcPr>
          <w:p>
            <w:r>
              <w:t>Muestra 2025</w:t>
            </w:r>
          </w:p>
        </w:tc>
      </w:tr>
    </w:tbl>
    <w:p>
      <w:pPr>
        <w:pStyle w:val="Heading1"/>
      </w:pPr>
      <w:r>
        <w:t>2. Análisis — Consumidor</w:t>
      </w:r>
    </w:p>
    <w:p>
      <w:pPr>
        <w:pStyle w:val="Heading2"/>
      </w:pPr>
      <w:r>
        <w:t>Nulos por Columna (Top 10) y Duplicados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Columna</w:t>
            </w:r>
          </w:p>
        </w:tc>
        <w:tc>
          <w:tcPr>
            <w:tcW w:type="dxa" w:w="4320"/>
          </w:tcPr>
          <w:p>
            <w:r>
              <w:t>% Nulos</w:t>
            </w:r>
          </w:p>
        </w:tc>
      </w:tr>
      <w:tr>
        <w:tc>
          <w:tcPr>
            <w:tcW w:type="dxa" w:w="4320"/>
          </w:tcPr>
          <w:p>
            <w:r>
              <w:t>Anio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Mes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Semana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Fecha inicio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Fecha termino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ID region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Sector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Tipo de punto monitoreo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Grupo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</w:tbl>
    <w:p>
      <w:r>
        <w:t>Duplicados exactos: 0</w:t>
      </w:r>
    </w:p>
    <w:p>
      <w:pPr>
        <w:pStyle w:val="Heading2"/>
      </w:pPr>
      <w:r>
        <w:t>Cobertura y Cardinalidades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Métrica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Detalle</w:t>
            </w:r>
          </w:p>
        </w:tc>
        <w:tc>
          <w:tcPr>
            <w:tcW w:type="dxa" w:w="2160"/>
          </w:tcPr>
          <w:p>
            <w:r>
              <w:t>Notas</w:t>
            </w:r>
          </w:p>
        </w:tc>
      </w:tr>
      <w:tr>
        <w:tc>
          <w:tcPr>
            <w:tcW w:type="dxa" w:w="2160"/>
          </w:tcPr>
          <w:p>
            <w:r>
              <w:t># Productos</w:t>
            </w:r>
          </w:p>
        </w:tc>
        <w:tc>
          <w:tcPr>
            <w:tcW w:type="dxa" w:w="2160"/>
          </w:tcPr>
          <w:p>
            <w:r>
              <w:t>286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Regiones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Unidades detectadas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$/kilo(162348), $/unidad(39897), $/envase 1 kilo(5858), $/bandeja 12 unidades(3616), $/bandeja 30 unidades(2543), $/Caja de 1 Litro(2444), $/botella 900 ml(2441), $/bolsa 800 grs(2414), $/pan de 250 gramos(1221), $/envase 400 gramos(1219)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Estadísticos y KPIs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KPI</w:t>
            </w:r>
          </w:p>
        </w:tc>
        <w:tc>
          <w:tcPr>
            <w:tcW w:type="dxa" w:w="1728"/>
          </w:tcPr>
          <w:p>
            <w:r>
              <w:t>Definición</w:t>
            </w:r>
          </w:p>
        </w:tc>
        <w:tc>
          <w:tcPr>
            <w:tcW w:type="dxa" w:w="1728"/>
          </w:tcPr>
          <w:p>
            <w:r>
              <w:t>Valor (rango)</w:t>
            </w:r>
          </w:p>
        </w:tc>
        <w:tc>
          <w:tcPr>
            <w:tcW w:type="dxa" w:w="1728"/>
          </w:tcPr>
          <w:p>
            <w:r>
              <w:t>Desglose</w:t>
            </w:r>
          </w:p>
        </w:tc>
        <w:tc>
          <w:tcPr>
            <w:tcW w:type="dxa" w:w="1728"/>
          </w:tcPr>
          <w:p>
            <w:r>
              <w:t>Notas</w:t>
            </w:r>
          </w:p>
        </w:tc>
      </w:tr>
      <w:tr>
        <w:tc>
          <w:tcPr>
            <w:tcW w:type="dxa" w:w="1728"/>
          </w:tcPr>
          <w:p>
            <w:r>
              <w:t>Precio promedio</w:t>
            </w:r>
          </w:p>
        </w:tc>
        <w:tc>
          <w:tcPr>
            <w:tcW w:type="dxa" w:w="1728"/>
          </w:tcPr>
          <w:p>
            <w:r>
              <w:t>avg(precio) en rango</w:t>
            </w:r>
          </w:p>
        </w:tc>
        <w:tc>
          <w:tcPr>
            <w:tcW w:type="dxa" w:w="1728"/>
          </w:tcPr>
          <w:p>
            <w:r>
              <w:t>$ 4.827,04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Mediana</w:t>
            </w:r>
          </w:p>
        </w:tc>
        <w:tc>
          <w:tcPr>
            <w:tcW w:type="dxa" w:w="1728"/>
          </w:tcPr>
          <w:p>
            <w:r>
              <w:t>median(precio)</w:t>
            </w:r>
          </w:p>
        </w:tc>
        <w:tc>
          <w:tcPr>
            <w:tcW w:type="dxa" w:w="1728"/>
          </w:tcPr>
          <w:p>
            <w:r>
              <w:t>$ 2.700,00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Mínimo / Máximo</w:t>
            </w:r>
          </w:p>
        </w:tc>
        <w:tc>
          <w:tcPr>
            <w:tcW w:type="dxa" w:w="1728"/>
          </w:tcPr>
          <w:p>
            <w:r>
              <w:t>min(precio) / max(precio)</w:t>
            </w:r>
          </w:p>
        </w:tc>
        <w:tc>
          <w:tcPr>
            <w:tcW w:type="dxa" w:w="1728"/>
          </w:tcPr>
          <w:p>
            <w:r>
              <w:t>$ 70,00 / $ 47.000,00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Precio actual</w:t>
            </w:r>
          </w:p>
        </w:tc>
        <w:tc>
          <w:tcPr>
            <w:tcW w:type="dxa" w:w="1728"/>
          </w:tcPr>
          <w:p>
            <w:r>
              <w:t>último valor</w:t>
            </w:r>
          </w:p>
        </w:tc>
        <w:tc>
          <w:tcPr>
            <w:tcW w:type="dxa" w:w="1728"/>
          </w:tcPr>
          <w:p>
            <w:r>
              <w:t>$ 2.920,00</w:t>
            </w:r>
          </w:p>
        </w:tc>
        <w:tc>
          <w:tcPr>
            <w:tcW w:type="dxa" w:w="1728"/>
          </w:tcPr>
          <w:p>
            <w:r>
              <w:t>2025-09-01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Variación % vs mes anterior</w:t>
            </w:r>
          </w:p>
        </w:tc>
        <w:tc>
          <w:tcPr>
            <w:tcW w:type="dxa" w:w="1728"/>
          </w:tcPr>
          <w:p>
            <w:r>
              <w:t>mean(últ. mes) vs mean(mes previo)</w:t>
            </w:r>
          </w:p>
        </w:tc>
        <w:tc>
          <w:tcPr>
            <w:tcW w:type="dxa" w:w="1728"/>
          </w:tcPr>
          <w:p>
            <w:r>
              <w:t>-0.18%</w:t>
            </w:r>
          </w:p>
        </w:tc>
        <w:tc>
          <w:tcPr>
            <w:tcW w:type="dxa" w:w="1728"/>
          </w:tcPr>
          <w:p>
            <w:r>
              <w:t>2025-08-31 → 2025-09-30</w:t>
            </w:r>
          </w:p>
        </w:tc>
        <w:tc>
          <w:tcPr>
            <w:tcW w:type="dxa" w:w="1728"/>
          </w:tcPr>
          <w:p>
            <w:r>
              <w:t>Δ $ -9,22</w:t>
            </w:r>
          </w:p>
        </w:tc>
      </w:tr>
    </w:tbl>
    <w:p>
      <w:pPr>
        <w:pStyle w:val="Heading2"/>
      </w:pPr>
      <w:r>
        <w:t>Estacionalidad (serie mensual)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estacionalidad_consumidor_20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— Consumidor: promedio mensual de precio 2025.</w:t>
      </w:r>
    </w:p>
    <w:p>
      <w:pPr>
        <w:pStyle w:val="Heading2"/>
      </w:pPr>
      <w:r>
        <w:t>Outliers (IQR)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Umbral IQR (lo–hi)</w:t>
            </w:r>
          </w:p>
        </w:tc>
        <w:tc>
          <w:tcPr>
            <w:tcW w:type="dxa" w:w="2880"/>
          </w:tcPr>
          <w:p>
            <w:r>
              <w:t>% Outliers</w:t>
            </w:r>
          </w:p>
        </w:tc>
        <w:tc>
          <w:tcPr>
            <w:tcW w:type="dxa" w:w="2880"/>
          </w:tcPr>
          <w:p>
            <w:r>
              <w:t>Notas</w:t>
            </w:r>
          </w:p>
        </w:tc>
      </w:tr>
      <w:tr>
        <w:tc>
          <w:tcPr>
            <w:tcW w:type="dxa" w:w="2880"/>
          </w:tcPr>
          <w:p>
            <w:r>
              <w:t>$ -8.524,29 – $ 17.807,14</w:t>
            </w:r>
          </w:p>
        </w:tc>
        <w:tc>
          <w:tcPr>
            <w:tcW w:type="dxa" w:w="2880"/>
          </w:tcPr>
          <w:p>
            <w:r>
              <w:t>1.47%</w:t>
            </w:r>
          </w:p>
        </w:tc>
        <w:tc>
          <w:tcPr>
            <w:tcW w:type="dxa" w:w="2880"/>
          </w:tcPr>
          <w:p>
            <w:r>
              <w:t>Criterio 1.5×IQR</w:t>
            </w:r>
          </w:p>
        </w:tc>
      </w:tr>
    </w:tbl>
    <w:p>
      <w:pPr>
        <w:pStyle w:val="Heading2"/>
      </w:pPr>
      <w:r>
        <w:t>Hallazgos y Recomendaciones</w:t>
      </w:r>
    </w:p>
    <w:p>
      <w:r>
        <w:t>• Normalizar nombres de producto (separador '|') y construir catálogo de alias.</w:t>
      </w:r>
    </w:p>
    <w:p>
      <w:r>
        <w:t>• Mantener equivalencias de unidades y usar unidad base para gráficos/tablas.</w:t>
      </w:r>
    </w:p>
    <w:p>
      <w:r>
        <w:t>• Preferir 'promedio ponderado' cuando esté disponible y etiquetar precio_tipo.</w:t>
      </w:r>
    </w:p>
    <w:p>
      <w:r>
        <w:t>• Publicar granularidad (semanal/mensual) y manejar estados sin datos en UI.</w:t>
      </w:r>
    </w:p>
    <w:p>
      <w:pPr>
        <w:pStyle w:val="Heading1"/>
      </w:pPr>
      <w:r>
        <w:t>3. Análisis — Mayorista</w:t>
      </w:r>
    </w:p>
    <w:p>
      <w:pPr>
        <w:pStyle w:val="Heading2"/>
      </w:pPr>
      <w:r>
        <w:t>Nulos por Columna (Top 10) y Duplicados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Columna</w:t>
            </w:r>
          </w:p>
        </w:tc>
        <w:tc>
          <w:tcPr>
            <w:tcW w:type="dxa" w:w="4320"/>
          </w:tcPr>
          <w:p>
            <w:r>
              <w:t>% Nulos</w:t>
            </w:r>
          </w:p>
        </w:tc>
      </w:tr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ID region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Mercado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Subsector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Producto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Variedad / Tipo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Calidad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Unidad de comercializacion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Origen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</w:tbl>
    <w:p>
      <w:r>
        <w:t>Duplicados exactos: 0</w:t>
      </w:r>
    </w:p>
    <w:p>
      <w:pPr>
        <w:pStyle w:val="Heading2"/>
      </w:pPr>
      <w:r>
        <w:t>Cobertura y Cardinalidades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Métrica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Detalle</w:t>
            </w:r>
          </w:p>
        </w:tc>
        <w:tc>
          <w:tcPr>
            <w:tcW w:type="dxa" w:w="2160"/>
          </w:tcPr>
          <w:p>
            <w:r>
              <w:t>Notas</w:t>
            </w:r>
          </w:p>
        </w:tc>
      </w:tr>
      <w:tr>
        <w:tc>
          <w:tcPr>
            <w:tcW w:type="dxa" w:w="2160"/>
          </w:tcPr>
          <w:p>
            <w:r>
              <w:t># Productos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Regiones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Mercados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Unidades detectadas</w:t>
            </w:r>
          </w:p>
        </w:tc>
        <w:tc>
          <w:tcPr>
            <w:tcW w:type="dxa" w:w="2160"/>
          </w:tcPr>
          <w:p>
            <w:r>
              <w:t>145</w:t>
            </w:r>
          </w:p>
        </w:tc>
        <w:tc>
          <w:tcPr>
            <w:tcW w:type="dxa" w:w="2160"/>
          </w:tcPr>
          <w:p>
            <w:r>
              <w:t>$/unidad(12546), $/bandeja 18 kilos(10734), $/saco 25 kilos(6016), $/bandeja 10 kilos(5677), $/kilo (en caja de 17 kilos)(5677), $/malla 18 kilos(5629), $/caja 20 kilos(5206), $/bandeja 15 kilos granel(5195), $/bins (400 kilos)(5115), $/caja 18 kilos(4953)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2"/>
      </w:pPr>
      <w:r>
        <w:t>Estadísticos y KPIs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KPI</w:t>
            </w:r>
          </w:p>
        </w:tc>
        <w:tc>
          <w:tcPr>
            <w:tcW w:type="dxa" w:w="1728"/>
          </w:tcPr>
          <w:p>
            <w:r>
              <w:t>Definición</w:t>
            </w:r>
          </w:p>
        </w:tc>
        <w:tc>
          <w:tcPr>
            <w:tcW w:type="dxa" w:w="1728"/>
          </w:tcPr>
          <w:p>
            <w:r>
              <w:t>Valor (rango)</w:t>
            </w:r>
          </w:p>
        </w:tc>
        <w:tc>
          <w:tcPr>
            <w:tcW w:type="dxa" w:w="1728"/>
          </w:tcPr>
          <w:p>
            <w:r>
              <w:t>Desglose</w:t>
            </w:r>
          </w:p>
        </w:tc>
        <w:tc>
          <w:tcPr>
            <w:tcW w:type="dxa" w:w="1728"/>
          </w:tcPr>
          <w:p>
            <w:r>
              <w:t>Notas</w:t>
            </w:r>
          </w:p>
        </w:tc>
      </w:tr>
      <w:tr>
        <w:tc>
          <w:tcPr>
            <w:tcW w:type="dxa" w:w="1728"/>
          </w:tcPr>
          <w:p>
            <w:r>
              <w:t>Precio promedio</w:t>
            </w:r>
          </w:p>
        </w:tc>
        <w:tc>
          <w:tcPr>
            <w:tcW w:type="dxa" w:w="1728"/>
          </w:tcPr>
          <w:p>
            <w:r>
              <w:t>avg(precio) en rango</w:t>
            </w:r>
          </w:p>
        </w:tc>
        <w:tc>
          <w:tcPr>
            <w:tcW w:type="dxa" w:w="1728"/>
          </w:tcPr>
          <w:p>
            <w:r>
              <w:t>$ 27.090,96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Mediana</w:t>
            </w:r>
          </w:p>
        </w:tc>
        <w:tc>
          <w:tcPr>
            <w:tcW w:type="dxa" w:w="1728"/>
          </w:tcPr>
          <w:p>
            <w:r>
              <w:t>median(precio)</w:t>
            </w:r>
          </w:p>
        </w:tc>
        <w:tc>
          <w:tcPr>
            <w:tcW w:type="dxa" w:w="1728"/>
          </w:tcPr>
          <w:p>
            <w:r>
              <w:t>$ 10.000,00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Mínimo / Máximo</w:t>
            </w:r>
          </w:p>
        </w:tc>
        <w:tc>
          <w:tcPr>
            <w:tcW w:type="dxa" w:w="1728"/>
          </w:tcPr>
          <w:p>
            <w:r>
              <w:t>min(precio) / max(precio)</w:t>
            </w:r>
          </w:p>
        </w:tc>
        <w:tc>
          <w:tcPr>
            <w:tcW w:type="dxa" w:w="1728"/>
          </w:tcPr>
          <w:p>
            <w:r>
              <w:t>$ 44,38 / $ 990.000,00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Precio actual</w:t>
            </w:r>
          </w:p>
        </w:tc>
        <w:tc>
          <w:tcPr>
            <w:tcW w:type="dxa" w:w="1728"/>
          </w:tcPr>
          <w:p>
            <w:r>
              <w:t>último valor</w:t>
            </w:r>
          </w:p>
        </w:tc>
        <w:tc>
          <w:tcPr>
            <w:tcW w:type="dxa" w:w="1728"/>
          </w:tcPr>
          <w:p>
            <w:r>
              <w:t>$ 6.000,00</w:t>
            </w:r>
          </w:p>
        </w:tc>
        <w:tc>
          <w:tcPr>
            <w:tcW w:type="dxa" w:w="1728"/>
          </w:tcPr>
          <w:p>
            <w:r>
              <w:t>2025-09-05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Variación % vs mes anterior</w:t>
            </w:r>
          </w:p>
        </w:tc>
        <w:tc>
          <w:tcPr>
            <w:tcW w:type="dxa" w:w="1728"/>
          </w:tcPr>
          <w:p>
            <w:r>
              <w:t>mean(últ. mes) vs mean(mes previo)</w:t>
            </w:r>
          </w:p>
        </w:tc>
        <w:tc>
          <w:tcPr>
            <w:tcW w:type="dxa" w:w="1728"/>
          </w:tcPr>
          <w:p>
            <w:r>
              <w:t>-3.77%</w:t>
            </w:r>
          </w:p>
        </w:tc>
        <w:tc>
          <w:tcPr>
            <w:tcW w:type="dxa" w:w="1728"/>
          </w:tcPr>
          <w:p>
            <w:r>
              <w:t>2025-08-31 → 2025-09-30</w:t>
            </w:r>
          </w:p>
        </w:tc>
        <w:tc>
          <w:tcPr>
            <w:tcW w:type="dxa" w:w="1728"/>
          </w:tcPr>
          <w:p>
            <w:r>
              <w:t>Δ $ -1.102,05</w:t>
            </w:r>
          </w:p>
        </w:tc>
      </w:tr>
    </w:tbl>
    <w:p>
      <w:pPr>
        <w:pStyle w:val="Heading2"/>
      </w:pPr>
      <w:r>
        <w:t>Estacionalidad (serie mensual)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3566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estacionalidad_mayorista_20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— Mayorista: promedio mensual de precio 2025.</w:t>
      </w:r>
    </w:p>
    <w:p>
      <w:pPr>
        <w:pStyle w:val="Heading2"/>
      </w:pPr>
      <w:r>
        <w:t>Outliers (IQR)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Umbral IQR (lo–hi)</w:t>
            </w:r>
          </w:p>
        </w:tc>
        <w:tc>
          <w:tcPr>
            <w:tcW w:type="dxa" w:w="2880"/>
          </w:tcPr>
          <w:p>
            <w:r>
              <w:t>% Outliers</w:t>
            </w:r>
          </w:p>
        </w:tc>
        <w:tc>
          <w:tcPr>
            <w:tcW w:type="dxa" w:w="2880"/>
          </w:tcPr>
          <w:p>
            <w:r>
              <w:t>Notas</w:t>
            </w:r>
          </w:p>
        </w:tc>
      </w:tr>
      <w:tr>
        <w:tc>
          <w:tcPr>
            <w:tcW w:type="dxa" w:w="2880"/>
          </w:tcPr>
          <w:p>
            <w:r>
              <w:t>$ -17.250,00 – $ 40.750,00</w:t>
            </w:r>
          </w:p>
        </w:tc>
        <w:tc>
          <w:tcPr>
            <w:tcW w:type="dxa" w:w="2880"/>
          </w:tcPr>
          <w:p>
            <w:r>
              <w:t>6.84%</w:t>
            </w:r>
          </w:p>
        </w:tc>
        <w:tc>
          <w:tcPr>
            <w:tcW w:type="dxa" w:w="2880"/>
          </w:tcPr>
          <w:p>
            <w:r>
              <w:t>Criterio 1.5×IQR</w:t>
            </w:r>
          </w:p>
        </w:tc>
      </w:tr>
    </w:tbl>
    <w:p>
      <w:pPr>
        <w:pStyle w:val="Heading2"/>
      </w:pPr>
      <w:r>
        <w:t>Hallazgos y Recomendaciones</w:t>
      </w:r>
    </w:p>
    <w:p>
      <w:r>
        <w:t>• Normalizar nombres de producto (separador '|') y construir catálogo de alias.</w:t>
      </w:r>
    </w:p>
    <w:p>
      <w:r>
        <w:t>• Mantener equivalencias de unidades y usar unidad base para gráficos/tablas.</w:t>
      </w:r>
    </w:p>
    <w:p>
      <w:r>
        <w:t>• Preferir 'promedio ponderado' cuando esté disponible y etiquetar precio_tipo.</w:t>
      </w:r>
    </w:p>
    <w:p>
      <w:r>
        <w:t>• Publicar granularidad (semanal/mensual) y manejar estados sin datos en UI.</w:t>
      </w:r>
    </w:p>
    <w:p>
      <w:pPr>
        <w:pStyle w:val="Heading1"/>
      </w:pPr>
      <w:r>
        <w:t>0. Resumen Ejecutivo</w:t>
      </w:r>
    </w:p>
    <w:p>
      <w:r>
        <w:t>Consumidor: 231035 filas, período 2024-12-30 → 2025-09-01 (diaria).</w:t>
        <w:br/>
        <w:t>Mayorista: 140003 filas, período 2025-01-02 → 2025-09-05 (diaria).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