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312" w:lineRule="atLeast"/>
        <w:jc w:val="center"/>
        <w:textAlignment w:val="baseline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kern w:val="0"/>
          <w:sz w:val="28"/>
          <w:szCs w:val="28"/>
        </w:rPr>
        <w:t>2</w:t>
      </w:r>
      <w:r>
        <w:rPr>
          <w:rFonts w:ascii="Times New Roman" w:hAnsi="Times New Roman" w:eastAsia="黑体" w:cs="Times New Roman"/>
          <w:kern w:val="0"/>
          <w:sz w:val="28"/>
          <w:szCs w:val="28"/>
        </w:rPr>
        <w:t>020年高教社杯全国大学生数学建模竞赛题目</w:t>
      </w:r>
    </w:p>
    <w:p>
      <w:pPr>
        <w:jc w:val="center"/>
        <w:rPr>
          <w:rFonts w:ascii="Times New Roman" w:hAnsi="Times New Roman" w:eastAsia="华文楷体" w:cs="Times New Roman"/>
          <w:color w:val="0000CC"/>
          <w:sz w:val="24"/>
          <w:szCs w:val="24"/>
        </w:rPr>
      </w:pPr>
      <w:r>
        <w:rPr>
          <w:rFonts w:ascii="Times New Roman" w:hAnsi="Times New Roman" w:eastAsia="华文楷体" w:cs="Times New Roman"/>
          <w:color w:val="0000CC"/>
          <w:sz w:val="24"/>
          <w:szCs w:val="24"/>
        </w:rPr>
        <w:t>（请先阅读“全国大学生数学建模竞赛论文格式规范”）</w:t>
      </w:r>
    </w:p>
    <w:p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line id="Line 2" o:spid="_x0000_s1026" o:spt="20" style="position:absolute;left:0pt;margin-left:0pt;margin-top:6.8pt;height:0.6pt;width:454.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">
            <v:path arrowok="t"/>
            <v:fill focussize="0,0"/>
            <v:stroke weight="4.5pt" linestyle="thinThick"/>
            <v:imagedata o:title=""/>
            <o:lock v:ext="edit"/>
          </v:line>
        </w:pic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sz w:val="30"/>
          <w:szCs w:val="30"/>
        </w:rPr>
        <w:t xml:space="preserve">C题  </w:t>
      </w:r>
      <w:bookmarkStart w:id="0" w:name="_GoBack"/>
      <w:r>
        <w:rPr>
          <w:rFonts w:hint="eastAsia" w:ascii="宋体" w:hAnsi="宋体" w:eastAsia="宋体" w:cs="Times New Roman"/>
          <w:b/>
          <w:bCs/>
          <w:sz w:val="30"/>
          <w:szCs w:val="30"/>
        </w:rPr>
        <w:t>中小微企业的信贷决策</w:t>
      </w:r>
    </w:p>
    <w:bookmarkEnd w:id="0"/>
    <w:p>
      <w:pPr>
        <w:spacing w:line="276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实际中，</w:t>
      </w:r>
      <w:r>
        <w:rPr>
          <w:rFonts w:hint="eastAsia" w:ascii="Times New Roman" w:hAnsi="Times New Roman" w:cs="Times New Roman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中小微企业规模</w:t>
      </w:r>
      <w:r>
        <w:rPr>
          <w:rFonts w:hint="eastAsia" w:ascii="Times New Roman" w:hAnsi="Times New Roman" w:cs="Times New Roman"/>
          <w:sz w:val="24"/>
          <w:szCs w:val="24"/>
        </w:rPr>
        <w:t>相对较</w:t>
      </w:r>
      <w:r>
        <w:rPr>
          <w:rFonts w:ascii="Times New Roman" w:hAnsi="Times New Roman" w:cs="Times New Roman"/>
          <w:sz w:val="24"/>
          <w:szCs w:val="24"/>
        </w:rPr>
        <w:t>小</w:t>
      </w:r>
      <w:r>
        <w:rPr>
          <w:rFonts w:hint="eastAsia" w:ascii="Times New Roman" w:hAnsi="Times New Roman" w:cs="Times New Roman"/>
          <w:sz w:val="24"/>
          <w:szCs w:val="24"/>
        </w:rPr>
        <w:t>，也缺少</w:t>
      </w:r>
      <w:r>
        <w:rPr>
          <w:rFonts w:ascii="Times New Roman" w:hAnsi="Times New Roman" w:cs="Times New Roman"/>
          <w:sz w:val="24"/>
          <w:szCs w:val="24"/>
        </w:rPr>
        <w:t>抵押</w:t>
      </w:r>
      <w:r>
        <w:rPr>
          <w:rFonts w:hint="eastAsia" w:ascii="Times New Roman" w:hAnsi="Times New Roman" w:cs="Times New Roman"/>
          <w:sz w:val="24"/>
          <w:szCs w:val="24"/>
        </w:rPr>
        <w:t>资产，因此银行通常是</w:t>
      </w:r>
      <w:r>
        <w:rPr>
          <w:rFonts w:hint="eastAsia"/>
          <w:sz w:val="24"/>
          <w:szCs w:val="24"/>
        </w:rPr>
        <w:t>依据</w:t>
      </w:r>
      <w:r>
        <w:rPr>
          <w:sz w:val="24"/>
          <w:szCs w:val="24"/>
        </w:rPr>
        <w:t>信贷政策</w:t>
      </w:r>
      <w:r>
        <w:rPr>
          <w:rFonts w:hint="eastAsia"/>
          <w:sz w:val="24"/>
          <w:szCs w:val="24"/>
        </w:rPr>
        <w:t>、企业的交易票据信息和上下游企业的影响力，向实力强、供求关系稳定的企业提供贷款，并可以对信誉高、信贷风险小的企业给予利率优惠。</w:t>
      </w:r>
      <w:r>
        <w:rPr>
          <w:rFonts w:ascii="Times New Roman" w:hAnsi="Times New Roman" w:cs="Times New Roman"/>
          <w:sz w:val="24"/>
        </w:rPr>
        <w:t>银行</w:t>
      </w:r>
      <w:r>
        <w:rPr>
          <w:rFonts w:hint="eastAsia" w:ascii="Times New Roman" w:hAnsi="Times New Roman" w:cs="Times New Roman"/>
          <w:sz w:val="24"/>
        </w:rPr>
        <w:t>首先</w:t>
      </w:r>
      <w:r>
        <w:rPr>
          <w:rFonts w:ascii="Times New Roman" w:hAnsi="Times New Roman" w:cs="Times New Roman"/>
          <w:sz w:val="24"/>
        </w:rPr>
        <w:t>根据</w:t>
      </w:r>
      <w:r>
        <w:rPr>
          <w:rFonts w:hint="eastAsia" w:ascii="Times New Roman" w:hAnsi="Times New Roman" w:cs="Times New Roman"/>
          <w:sz w:val="24"/>
        </w:rPr>
        <w:t>中小微</w:t>
      </w:r>
      <w:r>
        <w:rPr>
          <w:rFonts w:ascii="Times New Roman" w:hAnsi="Times New Roman" w:cs="Times New Roman"/>
          <w:sz w:val="24"/>
        </w:rPr>
        <w:t>企业的</w:t>
      </w:r>
      <w:r>
        <w:rPr>
          <w:rFonts w:ascii="Times New Roman" w:hAnsi="Times New Roman" w:cs="Times New Roman"/>
          <w:sz w:val="24"/>
          <w:highlight w:val="yellow"/>
        </w:rPr>
        <w:t>实力</w:t>
      </w:r>
      <w:r>
        <w:rPr>
          <w:rFonts w:hint="eastAsia" w:ascii="Times New Roman" w:hAnsi="Times New Roman" w:cs="Times New Roman"/>
          <w:sz w:val="24"/>
          <w:highlight w:val="yellow"/>
        </w:rPr>
        <w:t>、信誉</w:t>
      </w:r>
      <w:r>
        <w:rPr>
          <w:rFonts w:hint="eastAsia" w:ascii="Times New Roman" w:hAnsi="Times New Roman" w:cs="Times New Roman"/>
          <w:sz w:val="24"/>
        </w:rPr>
        <w:t>对其</w:t>
      </w:r>
      <w:r>
        <w:rPr>
          <w:rFonts w:ascii="Times New Roman" w:hAnsi="Times New Roman" w:cs="Times New Roman"/>
          <w:sz w:val="24"/>
          <w:highlight w:val="yellow"/>
        </w:rPr>
        <w:t>信贷风险</w:t>
      </w:r>
      <w:r>
        <w:rPr>
          <w:rFonts w:hint="eastAsia" w:ascii="Times New Roman" w:hAnsi="Times New Roman" w:cs="Times New Roman"/>
          <w:sz w:val="24"/>
        </w:rPr>
        <w:t>做出评估，然后依据</w:t>
      </w:r>
      <w:r>
        <w:rPr>
          <w:rFonts w:hint="eastAsia" w:ascii="Times New Roman" w:hAnsi="Times New Roman" w:cs="Times New Roman"/>
          <w:sz w:val="24"/>
          <w:highlight w:val="yellow"/>
        </w:rPr>
        <w:t>信贷风险</w:t>
      </w:r>
      <w:r>
        <w:rPr>
          <w:rFonts w:hint="eastAsia" w:ascii="Times New Roman" w:hAnsi="Times New Roman" w:cs="Times New Roman"/>
          <w:sz w:val="24"/>
        </w:rPr>
        <w:t>等</w:t>
      </w:r>
      <w:r>
        <w:rPr>
          <w:rFonts w:ascii="Times New Roman" w:hAnsi="Times New Roman" w:cs="Times New Roman"/>
          <w:sz w:val="24"/>
        </w:rPr>
        <w:t>因素来确定</w:t>
      </w:r>
      <w:r>
        <w:rPr>
          <w:rFonts w:hint="eastAsia"/>
          <w:sz w:val="24"/>
          <w:highlight w:val="yellow"/>
        </w:rPr>
        <w:t>是否</w:t>
      </w:r>
      <w:r>
        <w:rPr>
          <w:sz w:val="24"/>
          <w:highlight w:val="yellow"/>
        </w:rPr>
        <w:t>放贷</w:t>
      </w:r>
      <w:r>
        <w:rPr>
          <w:rFonts w:hint="eastAsia"/>
          <w:sz w:val="24"/>
          <w:highlight w:val="yellow"/>
        </w:rPr>
        <w:t>及贷款额度、利率和期限等</w:t>
      </w:r>
      <w:r>
        <w:rPr>
          <w:rFonts w:hint="eastAsia" w:ascii="Times New Roman" w:hAnsi="Times New Roman" w:cs="Times New Roman"/>
          <w:sz w:val="24"/>
          <w:highlight w:val="yellow"/>
        </w:rPr>
        <w:t>信</w:t>
      </w:r>
      <w:r>
        <w:rPr>
          <w:rFonts w:ascii="Times New Roman" w:hAnsi="Times New Roman" w:cs="Times New Roman"/>
          <w:sz w:val="24"/>
          <w:highlight w:val="yellow"/>
        </w:rPr>
        <w:t>贷策略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spacing w:line="276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</w:rPr>
        <w:t>某银行</w:t>
      </w:r>
      <w:r>
        <w:rPr>
          <w:rFonts w:ascii="Times New Roman" w:hAnsi="Times New Roman" w:cs="Times New Roman"/>
          <w:sz w:val="24"/>
        </w:rPr>
        <w:t>对</w:t>
      </w:r>
      <w:r>
        <w:rPr>
          <w:rFonts w:hint="eastAsia" w:ascii="Times New Roman" w:hAnsi="Times New Roman" w:cs="Times New Roman"/>
          <w:sz w:val="24"/>
        </w:rPr>
        <w:t>确定要放贷</w:t>
      </w:r>
      <w:r>
        <w:rPr>
          <w:rFonts w:ascii="Times New Roman" w:hAnsi="Times New Roman" w:cs="Times New Roman"/>
          <w:sz w:val="24"/>
        </w:rPr>
        <w:t>企业</w:t>
      </w:r>
      <w:r>
        <w:rPr>
          <w:rFonts w:hint="eastAsia"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贷款额</w:t>
      </w:r>
      <w:r>
        <w:rPr>
          <w:rFonts w:hint="eastAsia" w:ascii="Times New Roman" w:hAnsi="Times New Roman" w:cs="Times New Roman"/>
          <w:sz w:val="24"/>
        </w:rPr>
        <w:t>度为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10</m:t>
        </m:r>
        <m:r>
          <m:rPr>
            <m:sty m:val="p"/>
          </m:rPr>
          <w:rPr>
            <w:rFonts w:hint="eastAsia" w:ascii="Cambria Math" w:hAnsi="Cambria Math" w:cs="Times New Roman"/>
            <w:sz w:val="24"/>
          </w:rPr>
          <m:t>~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100</m:t>
        </m:r>
      </m:oMath>
      <w:r>
        <w:rPr>
          <w:rFonts w:ascii="Times New Roman" w:hAnsi="Times New Roman" w:cs="Times New Roman"/>
          <w:sz w:val="24"/>
        </w:rPr>
        <w:t>万元</w:t>
      </w:r>
      <w:r>
        <w:rPr>
          <w:rFonts w:hint="eastAsia" w:ascii="Times New Roman" w:hAnsi="Times New Roman" w:cs="Times New Roman"/>
          <w:sz w:val="24"/>
        </w:rPr>
        <w:t>；年利率为4</w:t>
      </w:r>
      <w:r>
        <w:rPr>
          <w:rFonts w:ascii="Times New Roman" w:hAnsi="Times New Roman" w:cs="Times New Roman"/>
          <w:sz w:val="24"/>
        </w:rPr>
        <w:t>%</w:t>
      </w:r>
      <w:r>
        <w:rPr>
          <w:rFonts w:hint="eastAsia" w:ascii="Times New Roman" w:hAnsi="Times New Roman" w:cs="Times New Roman"/>
          <w:sz w:val="24"/>
        </w:rPr>
        <w:t>~</w:t>
      </w:r>
      <w:r>
        <w:rPr>
          <w:rFonts w:ascii="Times New Roman" w:hAnsi="Times New Roman" w:cs="Times New Roman"/>
          <w:sz w:val="24"/>
        </w:rPr>
        <w:t>1</w:t>
      </w:r>
      <w:r>
        <w:rPr>
          <w:rFonts w:hint="eastAsia"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%</w:t>
      </w:r>
      <w:r>
        <w:rPr>
          <w:rFonts w:hint="eastAsia" w:ascii="Times New Roman" w:hAnsi="Times New Roman" w:cs="Times New Roman"/>
          <w:sz w:val="24"/>
        </w:rPr>
        <w:t>；贷款期限</w:t>
      </w:r>
      <w:r>
        <w:rPr>
          <w:rFonts w:ascii="Times New Roman" w:hAnsi="Times New Roman" w:cs="Times New Roman"/>
          <w:sz w:val="24"/>
        </w:rPr>
        <w:t>为1年</w:t>
      </w:r>
      <w:r>
        <w:rPr>
          <w:rFonts w:hint="eastAsia"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hint="eastAsia" w:ascii="Times New Roman" w:hAnsi="Times New Roman" w:cs="Times New Roman"/>
          <w:sz w:val="24"/>
          <w:szCs w:val="24"/>
        </w:rPr>
        <w:t>1~3分别给出了123家有信贷记录企业的相关数据、302家无信贷记录企业的相关数据和</w:t>
      </w:r>
      <w:r>
        <w:rPr>
          <w:rFonts w:ascii="Times New Roman" w:hAnsi="Times New Roman" w:cs="Times New Roman"/>
          <w:sz w:val="24"/>
          <w:szCs w:val="24"/>
        </w:rPr>
        <w:t>贷款利率与</w:t>
      </w:r>
      <w:r>
        <w:rPr>
          <w:rFonts w:hint="eastAsia" w:ascii="Times New Roman" w:hAnsi="Times New Roman" w:cs="Times New Roman"/>
          <w:sz w:val="24"/>
          <w:szCs w:val="24"/>
        </w:rPr>
        <w:t>客户</w:t>
      </w:r>
      <w:r>
        <w:rPr>
          <w:rFonts w:ascii="Times New Roman" w:hAnsi="Times New Roman" w:cs="Times New Roman"/>
          <w:sz w:val="24"/>
          <w:szCs w:val="24"/>
        </w:rPr>
        <w:t>流失率关系的</w:t>
      </w:r>
      <w:r>
        <w:rPr>
          <w:rFonts w:hint="eastAsia" w:ascii="Times New Roman" w:hAnsi="Times New Roman" w:cs="Times New Roman"/>
          <w:sz w:val="24"/>
          <w:szCs w:val="24"/>
        </w:rPr>
        <w:t>2019年</w:t>
      </w:r>
      <w:r>
        <w:rPr>
          <w:rFonts w:ascii="Times New Roman" w:hAnsi="Times New Roman" w:cs="Times New Roman"/>
          <w:sz w:val="24"/>
          <w:szCs w:val="24"/>
        </w:rPr>
        <w:t>统计数</w:t>
      </w:r>
      <w:r>
        <w:rPr>
          <w:rFonts w:hint="eastAsia" w:ascii="Times New Roman" w:hAnsi="Times New Roman" w:cs="Times New Roman"/>
          <w:sz w:val="24"/>
          <w:szCs w:val="24"/>
        </w:rPr>
        <w:t>据。</w:t>
      </w:r>
      <w:r>
        <w:rPr>
          <w:rFonts w:hint="eastAsia"/>
          <w:sz w:val="24"/>
        </w:rPr>
        <w:t>该银行请你们团队根据</w:t>
      </w:r>
      <w:r>
        <w:rPr>
          <w:sz w:val="24"/>
        </w:rPr>
        <w:t>实际</w:t>
      </w:r>
      <w:r>
        <w:rPr>
          <w:rFonts w:hint="eastAsia"/>
          <w:sz w:val="24"/>
        </w:rPr>
        <w:t>和</w:t>
      </w:r>
      <w:r>
        <w:rPr>
          <w:sz w:val="24"/>
        </w:rPr>
        <w:t>附件</w:t>
      </w:r>
      <w:r>
        <w:rPr>
          <w:rFonts w:hint="eastAsia"/>
          <w:sz w:val="24"/>
        </w:rPr>
        <w:t>中</w:t>
      </w:r>
      <w:r>
        <w:rPr>
          <w:sz w:val="24"/>
        </w:rPr>
        <w:t>的数据</w:t>
      </w:r>
      <w:r>
        <w:rPr>
          <w:rFonts w:hint="eastAsia"/>
          <w:sz w:val="24"/>
        </w:rPr>
        <w:t>信息</w:t>
      </w:r>
      <w:r>
        <w:rPr>
          <w:sz w:val="24"/>
        </w:rPr>
        <w:t>，</w:t>
      </w:r>
      <w:r>
        <w:rPr>
          <w:rFonts w:hint="eastAsia"/>
          <w:sz w:val="24"/>
        </w:rPr>
        <w:t>通过建立数学模型研究对中小微企业</w:t>
      </w:r>
      <w:r>
        <w:rPr>
          <w:sz w:val="24"/>
        </w:rPr>
        <w:t>的</w:t>
      </w:r>
      <w:r>
        <w:rPr>
          <w:rFonts w:hint="eastAsia"/>
          <w:sz w:val="24"/>
        </w:rPr>
        <w:t>信贷策略，</w:t>
      </w:r>
      <w:r>
        <w:rPr>
          <w:sz w:val="24"/>
        </w:rPr>
        <w:t>主要</w:t>
      </w:r>
      <w:r>
        <w:rPr>
          <w:rFonts w:hint="eastAsia"/>
          <w:sz w:val="24"/>
        </w:rPr>
        <w:t>解决下列问题</w:t>
      </w:r>
      <w:r>
        <w:rPr>
          <w:rFonts w:hint="eastAsia"/>
          <w:sz w:val="24"/>
          <w:szCs w:val="24"/>
        </w:rPr>
        <w:t>：</w:t>
      </w:r>
    </w:p>
    <w:p>
      <w:pPr>
        <w:spacing w:line="276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对附件</w:t>
      </w:r>
      <w:r>
        <w:rPr>
          <w:rFonts w:hint="eastAsia" w:ascii="Times New Roman" w:hAnsi="Times New Roman" w:cs="Times New Roman"/>
          <w:sz w:val="24"/>
          <w:szCs w:val="24"/>
        </w:rPr>
        <w:t>1中123家</w:t>
      </w:r>
      <w:r>
        <w:rPr>
          <w:rFonts w:ascii="Times New Roman" w:hAnsi="Times New Roman" w:cs="Times New Roman"/>
          <w:sz w:val="24"/>
          <w:szCs w:val="24"/>
        </w:rPr>
        <w:t>企业的信贷风险进行量化</w:t>
      </w:r>
      <w:r>
        <w:rPr>
          <w:rFonts w:hint="eastAsia" w:ascii="Times New Roman" w:hAnsi="Times New Roman" w:cs="Times New Roman"/>
          <w:sz w:val="24"/>
          <w:szCs w:val="24"/>
        </w:rPr>
        <w:t>分析，给</w:t>
      </w:r>
      <w:r>
        <w:rPr>
          <w:rFonts w:ascii="Times New Roman" w:hAnsi="Times New Roman" w:cs="Times New Roman"/>
          <w:sz w:val="24"/>
          <w:szCs w:val="24"/>
        </w:rPr>
        <w:t>出该银行</w:t>
      </w:r>
      <w:r>
        <w:rPr>
          <w:rFonts w:hint="eastAsia" w:ascii="Times New Roman" w:hAnsi="Times New Roman" w:cs="Times New Roman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</w:t>
      </w:r>
      <w:r>
        <w:rPr>
          <w:rFonts w:hint="eastAsia" w:ascii="Times New Roman" w:hAnsi="Times New Roman" w:cs="Times New Roman"/>
          <w:sz w:val="24"/>
          <w:szCs w:val="24"/>
        </w:rPr>
        <w:t>信贷总额固</w:t>
      </w:r>
      <w:r>
        <w:rPr>
          <w:rFonts w:ascii="Times New Roman" w:hAnsi="Times New Roman" w:cs="Times New Roman"/>
          <w:sz w:val="24"/>
          <w:szCs w:val="24"/>
        </w:rPr>
        <w:t>定</w:t>
      </w:r>
      <w:r>
        <w:rPr>
          <w:rFonts w:hint="eastAsia" w:ascii="Times New Roman" w:hAnsi="Times New Roman" w:cs="Times New Roman"/>
          <w:sz w:val="24"/>
          <w:szCs w:val="24"/>
        </w:rPr>
        <w:t>时对这些企业</w:t>
      </w:r>
      <w:r>
        <w:rPr>
          <w:rFonts w:ascii="Times New Roman" w:hAnsi="Times New Roman" w:cs="Times New Roman"/>
          <w:sz w:val="24"/>
          <w:szCs w:val="24"/>
        </w:rPr>
        <w:t>的信贷策略。</w:t>
      </w:r>
    </w:p>
    <w:p>
      <w:pPr>
        <w:spacing w:line="276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) 在</w:t>
      </w:r>
      <w:r>
        <w:rPr>
          <w:rFonts w:ascii="Times New Roman" w:hAnsi="Times New Roman" w:cs="Times New Roman"/>
          <w:sz w:val="24"/>
          <w:szCs w:val="24"/>
        </w:rPr>
        <w:t>问题</w:t>
      </w:r>
      <w:r>
        <w:rPr>
          <w:rFonts w:hint="eastAsia" w:ascii="Times New Roman" w:hAnsi="Times New Roman" w:cs="Times New Roman"/>
          <w:sz w:val="24"/>
          <w:szCs w:val="24"/>
        </w:rPr>
        <w:t>1的</w:t>
      </w:r>
      <w:r>
        <w:rPr>
          <w:rFonts w:ascii="Times New Roman" w:hAnsi="Times New Roman" w:cs="Times New Roman"/>
          <w:sz w:val="24"/>
          <w:szCs w:val="24"/>
        </w:rPr>
        <w:t>基础上，对附件</w:t>
      </w:r>
      <w:r>
        <w:rPr>
          <w:rFonts w:hint="eastAsia" w:ascii="Times New Roman" w:hAnsi="Times New Roman" w:cs="Times New Roman"/>
          <w:sz w:val="24"/>
          <w:szCs w:val="24"/>
        </w:rPr>
        <w:t>2中302家企业的</w:t>
      </w:r>
      <w:r>
        <w:rPr>
          <w:rFonts w:ascii="Times New Roman" w:hAnsi="Times New Roman" w:cs="Times New Roman"/>
          <w:sz w:val="24"/>
          <w:szCs w:val="24"/>
        </w:rPr>
        <w:t>信贷风险</w:t>
      </w:r>
      <w:r>
        <w:rPr>
          <w:rFonts w:hint="eastAsia"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量化分析，并给出该银行</w:t>
      </w:r>
      <w:r>
        <w:rPr>
          <w:rFonts w:hint="eastAsia" w:ascii="Times New Roman" w:hAnsi="Times New Roman" w:cs="Times New Roman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度信贷总额为</w:t>
      </w:r>
      <w:r>
        <w:rPr>
          <w:rFonts w:hint="eastAsia" w:ascii="Times New Roman" w:hAnsi="Times New Roman" w:cs="Times New Roman"/>
          <w:sz w:val="24"/>
          <w:szCs w:val="24"/>
        </w:rPr>
        <w:t>1亿元时对这些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信贷策略。</w:t>
      </w:r>
    </w:p>
    <w:p>
      <w:pPr>
        <w:spacing w:line="276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生产经营和经济效益</w:t>
      </w:r>
      <w:r>
        <w:rPr>
          <w:rFonts w:hint="eastAsia" w:ascii="Times New Roman" w:hAnsi="Times New Roman" w:cs="Times New Roman"/>
          <w:sz w:val="24"/>
          <w:szCs w:val="24"/>
        </w:rPr>
        <w:t>可能会受到</w:t>
      </w:r>
      <w:r>
        <w:rPr>
          <w:rFonts w:ascii="Times New Roman" w:hAnsi="Times New Roman" w:cs="Times New Roman"/>
          <w:sz w:val="24"/>
          <w:szCs w:val="24"/>
        </w:rPr>
        <w:t>一些</w:t>
      </w:r>
      <w:r>
        <w:rPr>
          <w:rFonts w:hint="eastAsia" w:ascii="Times New Roman" w:hAnsi="Times New Roman" w:cs="Times New Roman"/>
          <w:sz w:val="24"/>
          <w:szCs w:val="24"/>
        </w:rPr>
        <w:t>突发</w:t>
      </w:r>
      <w:r>
        <w:rPr>
          <w:rFonts w:ascii="Times New Roman" w:hAnsi="Times New Roman" w:cs="Times New Roman"/>
          <w:sz w:val="24"/>
          <w:szCs w:val="24"/>
        </w:rPr>
        <w:t>因素</w:t>
      </w:r>
      <w:r>
        <w:rPr>
          <w:rFonts w:hint="eastAsia" w:ascii="Times New Roman" w:hAnsi="Times New Roman" w:cs="Times New Roman"/>
          <w:sz w:val="24"/>
          <w:szCs w:val="24"/>
        </w:rPr>
        <w:t>影响，</w:t>
      </w:r>
      <w:r>
        <w:rPr>
          <w:rFonts w:ascii="Times New Roman" w:hAnsi="Times New Roman" w:cs="Times New Roman"/>
          <w:sz w:val="24"/>
          <w:szCs w:val="24"/>
        </w:rPr>
        <w:t>而且</w:t>
      </w:r>
      <w:r>
        <w:rPr>
          <w:rFonts w:hint="eastAsia" w:ascii="Times New Roman" w:hAnsi="Times New Roman" w:cs="Times New Roman"/>
          <w:sz w:val="24"/>
          <w:szCs w:val="24"/>
        </w:rPr>
        <w:t>突发因素往往对</w:t>
      </w:r>
      <w:r>
        <w:rPr>
          <w:rFonts w:ascii="Times New Roman" w:hAnsi="Times New Roman" w:cs="Times New Roman"/>
          <w:sz w:val="24"/>
          <w:szCs w:val="24"/>
        </w:rPr>
        <w:t>不同</w:t>
      </w:r>
      <w:r>
        <w:rPr>
          <w:rFonts w:hint="eastAsia" w:ascii="Times New Roman" w:hAnsi="Times New Roman" w:cs="Times New Roman"/>
          <w:sz w:val="24"/>
          <w:szCs w:val="24"/>
        </w:rPr>
        <w:t>行业、不同类别的企业会</w:t>
      </w: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hint="eastAsia" w:ascii="Times New Roman" w:hAnsi="Times New Roman" w:cs="Times New Roman"/>
          <w:sz w:val="24"/>
          <w:szCs w:val="24"/>
        </w:rPr>
        <w:t>不</w:t>
      </w:r>
      <w:r>
        <w:rPr>
          <w:rFonts w:ascii="Times New Roman" w:hAnsi="Times New Roman" w:cs="Times New Roman"/>
          <w:sz w:val="24"/>
          <w:szCs w:val="24"/>
        </w:rPr>
        <w:t>同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hint="eastAsia" w:ascii="Times New Roman" w:hAnsi="Times New Roman" w:cs="Times New Roman"/>
          <w:sz w:val="24"/>
          <w:szCs w:val="24"/>
        </w:rPr>
        <w:t>。综合考虑附件2中各企业的信贷风险和</w:t>
      </w:r>
      <w:r>
        <w:rPr>
          <w:rFonts w:ascii="Times New Roman" w:hAnsi="Times New Roman" w:cs="Times New Roman"/>
          <w:sz w:val="24"/>
          <w:szCs w:val="24"/>
        </w:rPr>
        <w:t>可能</w:t>
      </w:r>
      <w:r>
        <w:rPr>
          <w:rFonts w:hint="eastAsia" w:ascii="Times New Roman" w:hAnsi="Times New Roman" w:cs="Times New Roman"/>
          <w:sz w:val="24"/>
          <w:szCs w:val="24"/>
        </w:rPr>
        <w:t>的突发因素（例如</w:t>
      </w:r>
      <w:r>
        <w:rPr>
          <w:rFonts w:ascii="Times New Roman" w:hAnsi="Times New Roman" w:cs="Times New Roman"/>
          <w:sz w:val="24"/>
          <w:szCs w:val="24"/>
        </w:rPr>
        <w:t>：新冠</w:t>
      </w:r>
      <w:r>
        <w:rPr>
          <w:rFonts w:hint="eastAsia" w:ascii="Times New Roman" w:hAnsi="Times New Roman" w:cs="Times New Roman"/>
          <w:sz w:val="24"/>
          <w:szCs w:val="24"/>
        </w:rPr>
        <w:t>病毒疫</w:t>
      </w:r>
      <w:r>
        <w:rPr>
          <w:rFonts w:ascii="Times New Roman" w:hAnsi="Times New Roman" w:cs="Times New Roman"/>
          <w:sz w:val="24"/>
          <w:szCs w:val="24"/>
        </w:rPr>
        <w:t>情</w:t>
      </w:r>
      <w:r>
        <w:rPr>
          <w:rFonts w:hint="eastAsia" w:ascii="Times New Roman" w:hAnsi="Times New Roman" w:cs="Times New Roman"/>
          <w:sz w:val="24"/>
          <w:szCs w:val="24"/>
        </w:rPr>
        <w:t>）对各企</w:t>
      </w:r>
      <w:r>
        <w:rPr>
          <w:rFonts w:ascii="Times New Roman" w:hAnsi="Times New Roman" w:cs="Times New Roman"/>
          <w:sz w:val="24"/>
          <w:szCs w:val="24"/>
        </w:rPr>
        <w:t>业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给出该银行</w:t>
      </w:r>
      <w:r>
        <w:rPr>
          <w:rFonts w:hint="eastAsia" w:ascii="Times New Roman" w:hAnsi="Times New Roman" w:cs="Times New Roman"/>
          <w:sz w:val="24"/>
          <w:szCs w:val="24"/>
        </w:rPr>
        <w:t>在年度信贷总额为1亿元时的</w:t>
      </w:r>
      <w:r>
        <w:rPr>
          <w:rFonts w:ascii="Times New Roman" w:hAnsi="Times New Roman" w:cs="Times New Roman"/>
          <w:sz w:val="24"/>
          <w:szCs w:val="24"/>
        </w:rPr>
        <w:t>信贷</w:t>
      </w:r>
      <w:r>
        <w:rPr>
          <w:rFonts w:hint="eastAsia" w:ascii="Times New Roman" w:hAnsi="Times New Roman" w:cs="Times New Roman"/>
          <w:sz w:val="24"/>
          <w:szCs w:val="24"/>
        </w:rPr>
        <w:t>调整</w:t>
      </w:r>
      <w:r>
        <w:rPr>
          <w:rFonts w:ascii="Times New Roman" w:hAnsi="Times New Roman" w:cs="Times New Roman"/>
          <w:sz w:val="24"/>
          <w:szCs w:val="24"/>
        </w:rPr>
        <w:t>策略。</w:t>
      </w:r>
    </w:p>
    <w:p>
      <w:pPr>
        <w:spacing w:line="276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附件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1  </w:t>
      </w:r>
      <w:r>
        <w:rPr>
          <w:rFonts w:ascii="Times New Roman" w:hAnsi="Times New Roman" w:eastAsia="宋体" w:cs="Times New Roman"/>
          <w:sz w:val="24"/>
          <w:szCs w:val="24"/>
        </w:rPr>
        <w:t>123家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有信贷</w:t>
      </w:r>
      <w:r>
        <w:rPr>
          <w:rFonts w:hint="eastAsia" w:ascii="Times New Roman" w:hAnsi="Times New Roman" w:eastAsia="宋体" w:cs="Times New Roman"/>
          <w:sz w:val="24"/>
          <w:szCs w:val="24"/>
        </w:rPr>
        <w:t>记录企业的相关数据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附件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2  </w:t>
      </w:r>
      <w:r>
        <w:rPr>
          <w:rFonts w:ascii="Times New Roman" w:hAnsi="Times New Roman" w:eastAsia="宋体" w:cs="Times New Roman"/>
          <w:sz w:val="24"/>
          <w:szCs w:val="24"/>
        </w:rPr>
        <w:t>302</w:t>
      </w:r>
      <w:r>
        <w:rPr>
          <w:rFonts w:hint="eastAsia" w:ascii="宋体" w:hAnsi="宋体" w:eastAsia="宋体"/>
          <w:sz w:val="24"/>
          <w:szCs w:val="24"/>
        </w:rPr>
        <w:t>家</w:t>
      </w:r>
      <w:r>
        <w:rPr>
          <w:rFonts w:hint="eastAsia" w:ascii="宋体" w:hAnsi="宋体" w:eastAsia="宋体"/>
          <w:sz w:val="24"/>
          <w:szCs w:val="24"/>
          <w:highlight w:val="yellow"/>
        </w:rPr>
        <w:t>无信贷</w:t>
      </w:r>
      <w:r>
        <w:rPr>
          <w:rFonts w:hint="eastAsia" w:ascii="宋体" w:hAnsi="宋体" w:eastAsia="宋体"/>
          <w:sz w:val="24"/>
          <w:szCs w:val="24"/>
        </w:rPr>
        <w:t>记录企业的相关数据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附件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3  </w:t>
      </w:r>
      <w:r>
        <w:rPr>
          <w:rFonts w:ascii="Times New Roman" w:hAnsi="Times New Roman" w:eastAsia="宋体" w:cs="Times New Roman"/>
          <w:sz w:val="24"/>
          <w:szCs w:val="24"/>
        </w:rPr>
        <w:t>银行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贷款年利率</w:t>
      </w:r>
      <w:r>
        <w:rPr>
          <w:rFonts w:ascii="Times New Roman" w:hAnsi="Times New Roman" w:eastAsia="宋体" w:cs="Times New Roman"/>
          <w:sz w:val="24"/>
          <w:szCs w:val="24"/>
        </w:rPr>
        <w:t>与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客户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流失率</w:t>
      </w:r>
      <w:r>
        <w:rPr>
          <w:rFonts w:ascii="Times New Roman" w:hAnsi="Times New Roman" w:eastAsia="宋体" w:cs="Times New Roman"/>
          <w:sz w:val="24"/>
          <w:szCs w:val="24"/>
        </w:rPr>
        <w:t>关系的</w:t>
      </w:r>
      <w:r>
        <w:rPr>
          <w:rFonts w:hint="eastAsia" w:ascii="Times New Roman" w:hAnsi="Times New Roman" w:eastAsia="宋体" w:cs="Times New Roman"/>
          <w:sz w:val="24"/>
          <w:szCs w:val="24"/>
        </w:rPr>
        <w:t>2019年</w:t>
      </w:r>
      <w:r>
        <w:rPr>
          <w:rFonts w:ascii="Times New Roman" w:hAnsi="Times New Roman" w:eastAsia="宋体" w:cs="Times New Roman"/>
          <w:sz w:val="24"/>
          <w:szCs w:val="24"/>
        </w:rPr>
        <w:t>统计数据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附件中</w:t>
      </w:r>
      <w:r>
        <w:rPr>
          <w:rFonts w:ascii="Times New Roman" w:hAnsi="Times New Roman" w:eastAsia="宋体" w:cs="Times New Roman"/>
          <w:b/>
          <w:szCs w:val="21"/>
        </w:rPr>
        <w:t>数据</w:t>
      </w:r>
      <w:r>
        <w:rPr>
          <w:rFonts w:hint="eastAsia" w:ascii="Times New Roman" w:hAnsi="Times New Roman" w:eastAsia="宋体" w:cs="Times New Roman"/>
          <w:b/>
          <w:szCs w:val="21"/>
        </w:rPr>
        <w:t>说明：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(1) 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进</w:t>
      </w:r>
      <w:r>
        <w:rPr>
          <w:rFonts w:ascii="Times New Roman" w:hAnsi="Times New Roman" w:eastAsia="宋体" w:cs="Times New Roman"/>
          <w:b/>
          <w:bCs/>
          <w:szCs w:val="21"/>
        </w:rPr>
        <w:t>项发票：</w:t>
      </w:r>
      <w:r>
        <w:rPr>
          <w:rFonts w:hint="eastAsia" w:ascii="Times New Roman" w:hAnsi="Times New Roman" w:eastAsia="宋体" w:cs="Times New Roman"/>
          <w:szCs w:val="21"/>
        </w:rPr>
        <w:t>企业进货</w: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购买产</w:t>
      </w:r>
      <w:r>
        <w:rPr>
          <w:rFonts w:ascii="Times New Roman" w:hAnsi="Times New Roman" w:eastAsia="宋体" w:cs="Times New Roman"/>
          <w:szCs w:val="21"/>
        </w:rPr>
        <w:t>品）</w:t>
      </w:r>
      <w:r>
        <w:rPr>
          <w:rFonts w:hint="eastAsia" w:ascii="Times New Roman" w:hAnsi="Times New Roman" w:eastAsia="宋体" w:cs="Times New Roman"/>
          <w:szCs w:val="21"/>
        </w:rPr>
        <w:t>时销售方为其开</w:t>
      </w:r>
      <w:r>
        <w:rPr>
          <w:rFonts w:ascii="Times New Roman" w:hAnsi="Times New Roman" w:eastAsia="宋体" w:cs="Times New Roman"/>
          <w:szCs w:val="21"/>
        </w:rPr>
        <w:t>具的发票。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(2) 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销</w:t>
      </w:r>
      <w:r>
        <w:rPr>
          <w:rFonts w:ascii="Times New Roman" w:hAnsi="Times New Roman" w:eastAsia="宋体" w:cs="Times New Roman"/>
          <w:b/>
          <w:bCs/>
          <w:szCs w:val="21"/>
        </w:rPr>
        <w:t>项发票：</w:t>
      </w:r>
      <w:r>
        <w:rPr>
          <w:rFonts w:hint="eastAsia" w:ascii="Times New Roman" w:hAnsi="Times New Roman" w:eastAsia="宋体" w:cs="Times New Roman"/>
          <w:szCs w:val="21"/>
        </w:rPr>
        <w:t>企业</w:t>
      </w:r>
      <w:r>
        <w:rPr>
          <w:rFonts w:ascii="Times New Roman" w:hAnsi="Times New Roman" w:eastAsia="宋体" w:cs="Times New Roman"/>
          <w:szCs w:val="21"/>
        </w:rPr>
        <w:t>销</w:t>
      </w:r>
      <w:r>
        <w:rPr>
          <w:rFonts w:hint="eastAsia" w:ascii="Times New Roman" w:hAnsi="Times New Roman" w:eastAsia="宋体" w:cs="Times New Roman"/>
          <w:szCs w:val="21"/>
        </w:rPr>
        <w:t>售产</w:t>
      </w:r>
      <w:r>
        <w:rPr>
          <w:rFonts w:ascii="Times New Roman" w:hAnsi="Times New Roman" w:eastAsia="宋体" w:cs="Times New Roman"/>
          <w:szCs w:val="21"/>
        </w:rPr>
        <w:t>品时为购货方开具的发票。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/>
          <w:szCs w:val="21"/>
        </w:rPr>
        <w:t>有效发票：</w:t>
      </w:r>
      <w:r>
        <w:rPr>
          <w:rFonts w:hint="eastAsia" w:ascii="Times New Roman" w:hAnsi="Times New Roman" w:eastAsia="宋体" w:cs="Times New Roman"/>
          <w:szCs w:val="21"/>
        </w:rPr>
        <w:t>为正常的交易活动开具的发票。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作废发票：</w:t>
      </w:r>
      <w:r>
        <w:rPr>
          <w:rFonts w:hint="eastAsia" w:ascii="Times New Roman" w:hAnsi="Times New Roman" w:eastAsia="宋体" w:cs="Times New Roman"/>
          <w:szCs w:val="21"/>
        </w:rPr>
        <w:t>在为交易活动开具发票后，因故取消了该项交易，使</w:t>
      </w:r>
      <w:r>
        <w:rPr>
          <w:rFonts w:hint="eastAsia" w:ascii="Times New Roman" w:hAnsi="Times New Roman" w:eastAsia="宋体" w:cs="Times New Roman"/>
          <w:szCs w:val="21"/>
          <w:highlight w:val="yellow"/>
        </w:rPr>
        <w:t>发票作废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/>
          <w:szCs w:val="21"/>
        </w:rPr>
        <w:t>负数发票：</w:t>
      </w:r>
      <w:r>
        <w:rPr>
          <w:rFonts w:hint="eastAsia" w:ascii="Times New Roman" w:hAnsi="Times New Roman" w:eastAsia="宋体" w:cs="Times New Roman"/>
          <w:szCs w:val="21"/>
        </w:rPr>
        <w:t>在为交易活动开具发票后，企业已入账记税，之后购方因故发生退货并退款，此时，需开具的</w:t>
      </w:r>
      <w:r>
        <w:rPr>
          <w:rFonts w:hint="eastAsia" w:ascii="Times New Roman" w:hAnsi="Times New Roman" w:eastAsia="宋体" w:cs="Times New Roman"/>
          <w:szCs w:val="21"/>
          <w:highlight w:val="yellow"/>
        </w:rPr>
        <w:t>负数发票。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  <w:highlight w:val="yellow"/>
        </w:rPr>
      </w:pP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6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/>
          <w:szCs w:val="21"/>
        </w:rPr>
        <w:t>信誉评级：</w:t>
      </w:r>
      <w:r>
        <w:rPr>
          <w:rFonts w:hint="eastAsia" w:ascii="Times New Roman" w:hAnsi="Times New Roman" w:eastAsia="宋体" w:cs="Times New Roman"/>
          <w:szCs w:val="21"/>
        </w:rPr>
        <w:t>银行内部根据企业的实际情况人工评定的，银行对信誉评级为</w:t>
      </w:r>
      <w:r>
        <w:rPr>
          <w:rFonts w:hint="eastAsia" w:ascii="Times New Roman" w:hAnsi="Times New Roman" w:eastAsia="宋体" w:cs="Times New Roman"/>
          <w:szCs w:val="21"/>
          <w:highlight w:val="yellow"/>
        </w:rPr>
        <w:t>D的企业原则上不予放贷。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7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/>
          <w:szCs w:val="21"/>
        </w:rPr>
        <w:t>客户流失率：</w:t>
      </w:r>
      <w:r>
        <w:rPr>
          <w:rFonts w:hint="eastAsia" w:ascii="Times New Roman" w:hAnsi="Times New Roman" w:eastAsia="宋体" w:cs="Times New Roman"/>
          <w:szCs w:val="21"/>
        </w:rPr>
        <w:t>因为贷款利率等因素银行失去潜在客户的比率。</w:t>
      </w:r>
    </w:p>
    <w:sectPr>
      <w:pgSz w:w="11906" w:h="16838"/>
      <w:pgMar w:top="1418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A5ZjUzN2M1YmY4ODllYjM4MjZmZDgyZWY4NGJhOTUifQ=="/>
  </w:docVars>
  <w:rsids>
    <w:rsidRoot w:val="00B15A20"/>
    <w:rsid w:val="00010541"/>
    <w:rsid w:val="0001318D"/>
    <w:rsid w:val="000417D6"/>
    <w:rsid w:val="0005085B"/>
    <w:rsid w:val="00072840"/>
    <w:rsid w:val="00092BD6"/>
    <w:rsid w:val="000A0343"/>
    <w:rsid w:val="000A1B97"/>
    <w:rsid w:val="000A2338"/>
    <w:rsid w:val="000B0E08"/>
    <w:rsid w:val="00144401"/>
    <w:rsid w:val="00171362"/>
    <w:rsid w:val="0018036A"/>
    <w:rsid w:val="0019261F"/>
    <w:rsid w:val="001A5DB0"/>
    <w:rsid w:val="001C2553"/>
    <w:rsid w:val="001F00ED"/>
    <w:rsid w:val="001F1CA0"/>
    <w:rsid w:val="0021722E"/>
    <w:rsid w:val="00224460"/>
    <w:rsid w:val="00261AC7"/>
    <w:rsid w:val="002A1B41"/>
    <w:rsid w:val="002D100B"/>
    <w:rsid w:val="00317600"/>
    <w:rsid w:val="0033395E"/>
    <w:rsid w:val="0033644D"/>
    <w:rsid w:val="00364198"/>
    <w:rsid w:val="00367B43"/>
    <w:rsid w:val="00382332"/>
    <w:rsid w:val="003C7D65"/>
    <w:rsid w:val="003E167D"/>
    <w:rsid w:val="003F0BA5"/>
    <w:rsid w:val="004042F6"/>
    <w:rsid w:val="00432A49"/>
    <w:rsid w:val="00496624"/>
    <w:rsid w:val="00511430"/>
    <w:rsid w:val="00514DA8"/>
    <w:rsid w:val="005272F2"/>
    <w:rsid w:val="005B17BA"/>
    <w:rsid w:val="005B20CF"/>
    <w:rsid w:val="005B381D"/>
    <w:rsid w:val="005E7259"/>
    <w:rsid w:val="005F2490"/>
    <w:rsid w:val="005F76F1"/>
    <w:rsid w:val="00614B7E"/>
    <w:rsid w:val="00617684"/>
    <w:rsid w:val="00656EC8"/>
    <w:rsid w:val="00662C3D"/>
    <w:rsid w:val="00664935"/>
    <w:rsid w:val="00672877"/>
    <w:rsid w:val="0068084A"/>
    <w:rsid w:val="006A459F"/>
    <w:rsid w:val="006A61D4"/>
    <w:rsid w:val="006B4902"/>
    <w:rsid w:val="006D2422"/>
    <w:rsid w:val="006E1070"/>
    <w:rsid w:val="006F04F0"/>
    <w:rsid w:val="00701B80"/>
    <w:rsid w:val="00743FE5"/>
    <w:rsid w:val="00766DCA"/>
    <w:rsid w:val="00782840"/>
    <w:rsid w:val="007A12E1"/>
    <w:rsid w:val="007C37CD"/>
    <w:rsid w:val="007F7FC2"/>
    <w:rsid w:val="00813FCA"/>
    <w:rsid w:val="008245D3"/>
    <w:rsid w:val="0083192C"/>
    <w:rsid w:val="00853944"/>
    <w:rsid w:val="00866F13"/>
    <w:rsid w:val="00886032"/>
    <w:rsid w:val="00890208"/>
    <w:rsid w:val="008D7460"/>
    <w:rsid w:val="008E6F3D"/>
    <w:rsid w:val="00907970"/>
    <w:rsid w:val="00921FB1"/>
    <w:rsid w:val="009A1D92"/>
    <w:rsid w:val="009A2342"/>
    <w:rsid w:val="009A4F41"/>
    <w:rsid w:val="009B5587"/>
    <w:rsid w:val="009C48AD"/>
    <w:rsid w:val="009C57D8"/>
    <w:rsid w:val="009D1DBD"/>
    <w:rsid w:val="00A33163"/>
    <w:rsid w:val="00A678CF"/>
    <w:rsid w:val="00A752DC"/>
    <w:rsid w:val="00AA30AF"/>
    <w:rsid w:val="00AA47AB"/>
    <w:rsid w:val="00B07D67"/>
    <w:rsid w:val="00B15A20"/>
    <w:rsid w:val="00B37199"/>
    <w:rsid w:val="00B62FE1"/>
    <w:rsid w:val="00B63FE3"/>
    <w:rsid w:val="00BC5AA3"/>
    <w:rsid w:val="00BE0F67"/>
    <w:rsid w:val="00BF5E0D"/>
    <w:rsid w:val="00C13EAB"/>
    <w:rsid w:val="00C35FA4"/>
    <w:rsid w:val="00C46C55"/>
    <w:rsid w:val="00C62563"/>
    <w:rsid w:val="00C74389"/>
    <w:rsid w:val="00C866DD"/>
    <w:rsid w:val="00CB7ED9"/>
    <w:rsid w:val="00CC3520"/>
    <w:rsid w:val="00CC710D"/>
    <w:rsid w:val="00CE6E6D"/>
    <w:rsid w:val="00D179F6"/>
    <w:rsid w:val="00D37B46"/>
    <w:rsid w:val="00D55C99"/>
    <w:rsid w:val="00D57546"/>
    <w:rsid w:val="00D73BE7"/>
    <w:rsid w:val="00D75946"/>
    <w:rsid w:val="00D85F5A"/>
    <w:rsid w:val="00D95040"/>
    <w:rsid w:val="00DA60B4"/>
    <w:rsid w:val="00DB0133"/>
    <w:rsid w:val="00DD4CDC"/>
    <w:rsid w:val="00DF2A44"/>
    <w:rsid w:val="00E23694"/>
    <w:rsid w:val="00E34C13"/>
    <w:rsid w:val="00E41FC0"/>
    <w:rsid w:val="00E43CAE"/>
    <w:rsid w:val="00E47082"/>
    <w:rsid w:val="00E53D56"/>
    <w:rsid w:val="00E558A6"/>
    <w:rsid w:val="00E64E0F"/>
    <w:rsid w:val="00E657D7"/>
    <w:rsid w:val="00E7073B"/>
    <w:rsid w:val="00E71B84"/>
    <w:rsid w:val="00E72D2D"/>
    <w:rsid w:val="00E92ECF"/>
    <w:rsid w:val="00EA7E6B"/>
    <w:rsid w:val="00EE015C"/>
    <w:rsid w:val="00EE5B9A"/>
    <w:rsid w:val="00EE60EC"/>
    <w:rsid w:val="00F05D2A"/>
    <w:rsid w:val="00F06376"/>
    <w:rsid w:val="00F12397"/>
    <w:rsid w:val="00F2203D"/>
    <w:rsid w:val="00F44021"/>
    <w:rsid w:val="00F55FD2"/>
    <w:rsid w:val="00F618D6"/>
    <w:rsid w:val="00F8136E"/>
    <w:rsid w:val="00F81D42"/>
    <w:rsid w:val="00F86063"/>
    <w:rsid w:val="00FC76CB"/>
    <w:rsid w:val="00FE69D5"/>
    <w:rsid w:val="015D098F"/>
    <w:rsid w:val="01CF0047"/>
    <w:rsid w:val="075A0ED9"/>
    <w:rsid w:val="09640C62"/>
    <w:rsid w:val="0AFA363D"/>
    <w:rsid w:val="0B7D49E1"/>
    <w:rsid w:val="0EBD5E97"/>
    <w:rsid w:val="1057147F"/>
    <w:rsid w:val="1CDD1EFA"/>
    <w:rsid w:val="251D0856"/>
    <w:rsid w:val="288E4D1A"/>
    <w:rsid w:val="2BA01C19"/>
    <w:rsid w:val="2D1F39B0"/>
    <w:rsid w:val="2F9A6F1E"/>
    <w:rsid w:val="39596373"/>
    <w:rsid w:val="3C9A0AFC"/>
    <w:rsid w:val="3E373588"/>
    <w:rsid w:val="3F4A7070"/>
    <w:rsid w:val="4977689F"/>
    <w:rsid w:val="4A153EF5"/>
    <w:rsid w:val="544F0512"/>
    <w:rsid w:val="564C6E38"/>
    <w:rsid w:val="61C164CF"/>
    <w:rsid w:val="649A6BB0"/>
    <w:rsid w:val="65D75BD7"/>
    <w:rsid w:val="6DBF1466"/>
    <w:rsid w:val="6E861B1A"/>
    <w:rsid w:val="6F093760"/>
    <w:rsid w:val="73860D18"/>
    <w:rsid w:val="76532837"/>
    <w:rsid w:val="77024017"/>
    <w:rsid w:val="77F24C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qFormat/>
    <w:uiPriority w:val="0"/>
    <w:pPr>
      <w:jc w:val="left"/>
    </w:p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qFormat/>
    <w:uiPriority w:val="0"/>
    <w:rPr>
      <w:b/>
      <w:bCs/>
    </w:rPr>
  </w:style>
  <w:style w:type="character" w:styleId="9">
    <w:name w:val="annotation reference"/>
    <w:basedOn w:val="8"/>
    <w:qFormat/>
    <w:uiPriority w:val="0"/>
    <w:rPr>
      <w:sz w:val="21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3">
    <w:name w:val="批注框文本 Char"/>
    <w:basedOn w:val="8"/>
    <w:link w:val="3"/>
    <w:qFormat/>
    <w:uiPriority w:val="0"/>
    <w:rPr>
      <w:kern w:val="2"/>
      <w:sz w:val="18"/>
      <w:szCs w:val="18"/>
    </w:rPr>
  </w:style>
  <w:style w:type="character" w:customStyle="1" w:styleId="14">
    <w:name w:val="批注文字 Char"/>
    <w:basedOn w:val="8"/>
    <w:link w:val="2"/>
    <w:qFormat/>
    <w:uiPriority w:val="0"/>
    <w:rPr>
      <w:kern w:val="2"/>
      <w:sz w:val="21"/>
      <w:szCs w:val="22"/>
    </w:rPr>
  </w:style>
  <w:style w:type="character" w:customStyle="1" w:styleId="15">
    <w:name w:val="批注主题 Char"/>
    <w:basedOn w:val="14"/>
    <w:link w:val="6"/>
    <w:qFormat/>
    <w:uiPriority w:val="0"/>
    <w:rPr>
      <w:b/>
      <w:bCs/>
      <w:kern w:val="2"/>
      <w:sz w:val="21"/>
      <w:szCs w:val="22"/>
    </w:rPr>
  </w:style>
  <w:style w:type="paragraph" w:customStyle="1" w:styleId="16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E7C641-4A48-49A9-AB32-ECFE2C9DCC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897</Words>
  <Characters>950</Characters>
  <Lines>7</Lines>
  <Paragraphs>1</Paragraphs>
  <TotalTime>1280</TotalTime>
  <ScaleCrop>false</ScaleCrop>
  <LinksUpToDate>false</LinksUpToDate>
  <CharactersWithSpaces>968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2020-08-20T11:00:00Z</dcterms:created>
  <dc:creator>lenovo</dc:creator>
  <cp:lastModifiedBy>四叶草</cp:lastModifiedBy>
  <cp:lastPrinted>2020-07-24T02:02:00Z</cp:lastPrinted>
  <dcterms:modified xsi:type="dcterms:W3CDTF">2022-09-11T07:08:27Z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BD5B9F5B281544CABF8918C4DB270CAF</vt:lpwstr>
  </property>
</Properties>
</file>