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通过训练集数据来建立逻辑回归模型。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通过建立逻辑回归来计算特征重要性。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将建立的逻辑回归模型应用到训练、测试数据，得到模型的分类评估结果。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若逻辑回归选择了数据洗牌功能，每次运算的结果不一样，若保存本次训练模型，后续可以直接上传数据代入到本次训练模型进行计算分类。</w:t>
      </w:r>
    </w:p>
    <w:p>
      <w:pPr>
        <w:pStyle w:val="Heading3"/>
        <w:widowControl/>
      </w:pPr>
      <w:r>
        <w:t xml:space="preserve">逻辑回归模型结果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正则化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设置常数项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上表中展示了交叉验证集、训练集和测试集的预测评价指标，通过量化指标来衡量逻辑回归的预测效果。其中，通过交叉验证集的评价指标可以不断调整超参数，以得到可靠稳定的模型。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类型.1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预测结果概率_0.0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预测结果概率_1.0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2.76223024163675e-72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1.4857280868046553e-65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4.6824038226767595e-120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1.76100854796714e-98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1.0282821637833381e-89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8.215650382226158e-15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0.9999999999999918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93.17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3.1152676761959226e-86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1.6554461002049543e-103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2.0188949042990645e-47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4.510423134125122e-107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0.9999936396364422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0.0000063603635577916285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3.9937916569593556e-50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30.62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4.051004835375839e-37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7.12329504170782e-48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上表展示了逻辑回归对测试数据的分类结果，分类结果值是拥有最大预测概率的分类组别。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若逻辑回归选择了数据洗牌功能，每次训练的模型可能不一致，若保存本次训练模型，后续可以直接上传数据代入到本次训练模型进行计算预测；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若删除模型的缓存将会直接删除本分析报告。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kwaktf06lvtjqxf_lzy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2022-09-16T09:30:41.262Z</dcterms:created>
  <dcterms:modified xsi:type="dcterms:W3CDTF">2022-09-16T09:30:41.262Z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