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50FE" w14:textId="08F3B4E2" w:rsidR="0063235F" w:rsidRPr="006868EF" w:rsidRDefault="005D5577" w:rsidP="001108B3">
      <w:pPr>
        <w:tabs>
          <w:tab w:val="num" w:pos="720"/>
        </w:tabs>
        <w:ind w:left="720" w:hanging="360"/>
        <w:rPr>
          <w:b/>
          <w:bCs/>
          <w:sz w:val="28"/>
          <w:szCs w:val="28"/>
        </w:rPr>
      </w:pPr>
      <w:r w:rsidRPr="006868EF">
        <w:rPr>
          <w:b/>
          <w:bCs/>
          <w:sz w:val="28"/>
          <w:szCs w:val="28"/>
        </w:rPr>
        <w:t>MODULE 4 CHALLENGE ANALYSIS</w:t>
      </w:r>
    </w:p>
    <w:p w14:paraId="22B2F94B" w14:textId="0F04B249" w:rsidR="001108B3" w:rsidRPr="005D5577" w:rsidRDefault="001108B3" w:rsidP="001108B3">
      <w:pPr>
        <w:numPr>
          <w:ilvl w:val="0"/>
          <w:numId w:val="1"/>
        </w:numPr>
        <w:rPr>
          <w:sz w:val="24"/>
          <w:szCs w:val="24"/>
          <w:lang/>
        </w:rPr>
      </w:pPr>
      <w:r w:rsidRPr="005D5577">
        <w:rPr>
          <w:b/>
          <w:bCs/>
          <w:sz w:val="24"/>
          <w:szCs w:val="24"/>
          <w:lang/>
        </w:rPr>
        <w:t>District-Wide Overview:</w:t>
      </w:r>
    </w:p>
    <w:p w14:paraId="47126C17" w14:textId="77777777" w:rsidR="001108B3" w:rsidRPr="005D5577" w:rsidRDefault="001108B3" w:rsidP="001108B3">
      <w:pPr>
        <w:numPr>
          <w:ilvl w:val="1"/>
          <w:numId w:val="1"/>
        </w:numPr>
        <w:rPr>
          <w:sz w:val="24"/>
          <w:szCs w:val="24"/>
          <w:lang/>
        </w:rPr>
      </w:pPr>
      <w:r w:rsidRPr="005D5577">
        <w:rPr>
          <w:sz w:val="24"/>
          <w:szCs w:val="24"/>
          <w:lang/>
        </w:rPr>
        <w:t>The district comprises a diverse range of schools, each with its own unique characteristics.</w:t>
      </w:r>
    </w:p>
    <w:p w14:paraId="28C990E3" w14:textId="77777777" w:rsidR="001108B3" w:rsidRPr="005D5577" w:rsidRDefault="001108B3" w:rsidP="001108B3">
      <w:pPr>
        <w:numPr>
          <w:ilvl w:val="1"/>
          <w:numId w:val="1"/>
        </w:numPr>
        <w:rPr>
          <w:sz w:val="24"/>
          <w:szCs w:val="24"/>
          <w:lang/>
        </w:rPr>
      </w:pPr>
      <w:r w:rsidRPr="005D5577">
        <w:rPr>
          <w:sz w:val="24"/>
          <w:szCs w:val="24"/>
          <w:lang/>
        </w:rPr>
        <w:t>While the total budget is substantial, the analysis reveals a potential need for more targeted resource allocation to improve academic outcomes.</w:t>
      </w:r>
    </w:p>
    <w:p w14:paraId="57C828D5" w14:textId="77777777" w:rsidR="001108B3" w:rsidRPr="005D5577" w:rsidRDefault="001108B3" w:rsidP="001108B3">
      <w:pPr>
        <w:numPr>
          <w:ilvl w:val="0"/>
          <w:numId w:val="1"/>
        </w:numPr>
        <w:rPr>
          <w:sz w:val="24"/>
          <w:szCs w:val="24"/>
          <w:lang/>
        </w:rPr>
      </w:pPr>
      <w:r w:rsidRPr="005D5577">
        <w:rPr>
          <w:b/>
          <w:bCs/>
          <w:sz w:val="24"/>
          <w:szCs w:val="24"/>
          <w:lang/>
        </w:rPr>
        <w:t>Impact of Spending on Academic Performance:</w:t>
      </w:r>
    </w:p>
    <w:p w14:paraId="34D36173" w14:textId="77777777" w:rsidR="001108B3" w:rsidRPr="005D5577" w:rsidRDefault="001108B3" w:rsidP="001108B3">
      <w:pPr>
        <w:numPr>
          <w:ilvl w:val="1"/>
          <w:numId w:val="1"/>
        </w:numPr>
        <w:rPr>
          <w:sz w:val="24"/>
          <w:szCs w:val="24"/>
          <w:lang/>
        </w:rPr>
      </w:pPr>
      <w:r w:rsidRPr="005D5577">
        <w:rPr>
          <w:sz w:val="24"/>
          <w:szCs w:val="24"/>
          <w:lang/>
        </w:rPr>
        <w:t>Schools with lower per-student budgets (&lt;$585) exhibit higher average math and reading scores, suggesting a potential efficiency in resource utilization.</w:t>
      </w:r>
    </w:p>
    <w:p w14:paraId="2C4E4C19" w14:textId="77777777" w:rsidR="001108B3" w:rsidRPr="005D5577" w:rsidRDefault="001108B3" w:rsidP="001108B3">
      <w:pPr>
        <w:numPr>
          <w:ilvl w:val="1"/>
          <w:numId w:val="1"/>
        </w:numPr>
        <w:rPr>
          <w:sz w:val="24"/>
          <w:szCs w:val="24"/>
          <w:lang/>
        </w:rPr>
      </w:pPr>
      <w:r w:rsidRPr="005D5577">
        <w:rPr>
          <w:sz w:val="24"/>
          <w:szCs w:val="24"/>
          <w:lang/>
        </w:rPr>
        <w:t>Conversely, higher per-student budgets (&gt; $645) do not necessarily translate to better academic performance, emphasizing the importance of strategic budget planning.</w:t>
      </w:r>
    </w:p>
    <w:p w14:paraId="52CA3452" w14:textId="77777777" w:rsidR="001108B3" w:rsidRPr="005D5577" w:rsidRDefault="001108B3" w:rsidP="001108B3">
      <w:pPr>
        <w:numPr>
          <w:ilvl w:val="0"/>
          <w:numId w:val="1"/>
        </w:numPr>
        <w:rPr>
          <w:sz w:val="24"/>
          <w:szCs w:val="24"/>
          <w:lang/>
        </w:rPr>
      </w:pPr>
      <w:r w:rsidRPr="005D5577">
        <w:rPr>
          <w:b/>
          <w:bCs/>
          <w:sz w:val="24"/>
          <w:szCs w:val="24"/>
          <w:lang/>
        </w:rPr>
        <w:t>School Size and Academic Performance:</w:t>
      </w:r>
    </w:p>
    <w:p w14:paraId="32461471" w14:textId="77777777" w:rsidR="001108B3" w:rsidRPr="005D5577" w:rsidRDefault="001108B3" w:rsidP="001108B3">
      <w:pPr>
        <w:numPr>
          <w:ilvl w:val="1"/>
          <w:numId w:val="1"/>
        </w:numPr>
        <w:rPr>
          <w:sz w:val="24"/>
          <w:szCs w:val="24"/>
          <w:lang/>
        </w:rPr>
      </w:pPr>
      <w:r w:rsidRPr="005D5577">
        <w:rPr>
          <w:sz w:val="24"/>
          <w:szCs w:val="24"/>
          <w:lang/>
        </w:rPr>
        <w:t>Smaller schools consistently outperform larger counterparts in both math and reading scores, highlighting the potential benefits of smaller learning communities.</w:t>
      </w:r>
    </w:p>
    <w:p w14:paraId="458B070C" w14:textId="77777777" w:rsidR="001108B3" w:rsidRPr="005D5577" w:rsidRDefault="001108B3" w:rsidP="001108B3">
      <w:pPr>
        <w:numPr>
          <w:ilvl w:val="1"/>
          <w:numId w:val="1"/>
        </w:numPr>
        <w:rPr>
          <w:sz w:val="24"/>
          <w:szCs w:val="24"/>
          <w:lang/>
        </w:rPr>
      </w:pPr>
      <w:r w:rsidRPr="005D5577">
        <w:rPr>
          <w:sz w:val="24"/>
          <w:szCs w:val="24"/>
          <w:lang/>
        </w:rPr>
        <w:t>Medium-sized schools (1000-2000 students) demonstrate competitive scores, indicating a balance between resource availability and academic achievement.</w:t>
      </w:r>
    </w:p>
    <w:p w14:paraId="019A2297" w14:textId="77777777" w:rsidR="001108B3" w:rsidRPr="005D5577" w:rsidRDefault="001108B3" w:rsidP="001108B3">
      <w:pPr>
        <w:rPr>
          <w:b/>
          <w:bCs/>
          <w:sz w:val="24"/>
          <w:szCs w:val="24"/>
          <w:lang/>
        </w:rPr>
      </w:pPr>
      <w:r w:rsidRPr="005D5577">
        <w:rPr>
          <w:b/>
          <w:bCs/>
          <w:sz w:val="24"/>
          <w:szCs w:val="24"/>
          <w:lang/>
        </w:rPr>
        <w:t>Conclusions:</w:t>
      </w:r>
    </w:p>
    <w:p w14:paraId="112DBC6C" w14:textId="77777777" w:rsidR="001108B3" w:rsidRPr="005D5577" w:rsidRDefault="001108B3" w:rsidP="001108B3">
      <w:pPr>
        <w:numPr>
          <w:ilvl w:val="0"/>
          <w:numId w:val="2"/>
        </w:numPr>
        <w:rPr>
          <w:sz w:val="24"/>
          <w:szCs w:val="24"/>
          <w:lang/>
        </w:rPr>
      </w:pPr>
      <w:r w:rsidRPr="005D5577">
        <w:rPr>
          <w:b/>
          <w:bCs/>
          <w:sz w:val="24"/>
          <w:szCs w:val="24"/>
          <w:lang/>
        </w:rPr>
        <w:t>Optimizing Resource Allocation:</w:t>
      </w:r>
    </w:p>
    <w:p w14:paraId="22A22C3E" w14:textId="77777777" w:rsidR="001108B3" w:rsidRPr="005D5577" w:rsidRDefault="001108B3" w:rsidP="001108B3">
      <w:pPr>
        <w:numPr>
          <w:ilvl w:val="1"/>
          <w:numId w:val="2"/>
        </w:numPr>
        <w:rPr>
          <w:sz w:val="24"/>
          <w:szCs w:val="24"/>
          <w:lang/>
        </w:rPr>
      </w:pPr>
      <w:r w:rsidRPr="005D5577">
        <w:rPr>
          <w:sz w:val="24"/>
          <w:szCs w:val="24"/>
          <w:lang/>
        </w:rPr>
        <w:t>The analysis suggests a need for a more nuanced approach to resource allocation, as higher budgets do not guarantee improved academic outcomes. District administrators should explore strategies to optimize spending efficiency, especially in schools with larger budgets.</w:t>
      </w:r>
    </w:p>
    <w:p w14:paraId="4287FD8F" w14:textId="77777777" w:rsidR="001108B3" w:rsidRPr="005D5577" w:rsidRDefault="001108B3" w:rsidP="001108B3">
      <w:pPr>
        <w:numPr>
          <w:ilvl w:val="0"/>
          <w:numId w:val="2"/>
        </w:numPr>
        <w:rPr>
          <w:sz w:val="24"/>
          <w:szCs w:val="24"/>
          <w:lang/>
        </w:rPr>
      </w:pPr>
      <w:r w:rsidRPr="005D5577">
        <w:rPr>
          <w:b/>
          <w:bCs/>
          <w:sz w:val="24"/>
          <w:szCs w:val="24"/>
          <w:lang/>
        </w:rPr>
        <w:t>Tailoring Strategies to School Size:</w:t>
      </w:r>
    </w:p>
    <w:p w14:paraId="76172D87" w14:textId="77777777" w:rsidR="001108B3" w:rsidRPr="005D5577" w:rsidRDefault="001108B3" w:rsidP="001108B3">
      <w:pPr>
        <w:numPr>
          <w:ilvl w:val="1"/>
          <w:numId w:val="2"/>
        </w:numPr>
        <w:rPr>
          <w:sz w:val="24"/>
          <w:szCs w:val="24"/>
          <w:lang/>
        </w:rPr>
      </w:pPr>
      <w:r w:rsidRPr="005D5577">
        <w:rPr>
          <w:sz w:val="24"/>
          <w:szCs w:val="24"/>
          <w:lang/>
        </w:rPr>
        <w:t>Recognizing the superior performance of smaller schools, educational strategies and resource distribution should be tailored to suit the unique challenges and opportunities presented by schools of varying sizes. Larger schools could benefit from adopting practices that have proven successful in smaller settings.</w:t>
      </w:r>
    </w:p>
    <w:p w14:paraId="723A7CA4" w14:textId="77777777" w:rsidR="001108B3" w:rsidRPr="005D5577" w:rsidRDefault="001108B3" w:rsidP="001108B3">
      <w:pPr>
        <w:rPr>
          <w:sz w:val="24"/>
          <w:szCs w:val="24"/>
          <w:lang/>
        </w:rPr>
      </w:pPr>
      <w:r w:rsidRPr="005D5577">
        <w:rPr>
          <w:sz w:val="24"/>
          <w:szCs w:val="24"/>
          <w:lang/>
        </w:rPr>
        <w:t>In conclusion, the analysis provides actionable insights for district administrators to refine budgetary decisions and educational strategies, fostering a more equitable and effective learning environment across schools of different sizes and resource levels.</w:t>
      </w:r>
    </w:p>
    <w:p w14:paraId="61562CD8" w14:textId="77777777" w:rsidR="00A95958" w:rsidRPr="001108B3" w:rsidRDefault="00A95958">
      <w:pPr>
        <w:rPr>
          <w:lang/>
        </w:rPr>
      </w:pPr>
    </w:p>
    <w:sectPr w:rsidR="00A95958" w:rsidRPr="00110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762E6"/>
    <w:multiLevelType w:val="multilevel"/>
    <w:tmpl w:val="B31E3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74FA6"/>
    <w:multiLevelType w:val="multilevel"/>
    <w:tmpl w:val="D4F8B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290657">
    <w:abstractNumId w:val="1"/>
  </w:num>
  <w:num w:numId="2" w16cid:durableId="178122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B3"/>
    <w:rsid w:val="001108B3"/>
    <w:rsid w:val="005D5577"/>
    <w:rsid w:val="0063235F"/>
    <w:rsid w:val="006868EF"/>
    <w:rsid w:val="009B1344"/>
    <w:rsid w:val="00A95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5BB1"/>
  <w15:chartTrackingRefBased/>
  <w15:docId w15:val="{B8E18F60-8C23-4698-89DA-562A51C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8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  Report Automation</dc:creator>
  <cp:keywords/>
  <dc:description/>
  <cp:lastModifiedBy>Felix Ologo-Gyan</cp:lastModifiedBy>
  <cp:revision>6</cp:revision>
  <dcterms:created xsi:type="dcterms:W3CDTF">2023-11-11T15:06:00Z</dcterms:created>
  <dcterms:modified xsi:type="dcterms:W3CDTF">2023-11-12T16:59:00Z</dcterms:modified>
</cp:coreProperties>
</file>