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8.png" ContentType="image/png"/>
  <Override PartName="/word/media/rId20.png" ContentType="image/png"/>
  <Override PartName="/word/media/rId27.png" ContentType="image/png"/>
  <Override PartName="/word/media/rId30.png" ContentType="image/png"/>
  <Override PartName="/word/media/rId32.png" ContentType="image/png"/>
  <Override PartName="/word/media/rId31.png" ContentType="image/png"/>
  <Override PartName="/word/media/rId24.png" ContentType="image/png"/>
  <Override PartName="/word/media/rId25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Prédire</w:t>
      </w:r>
      <w:r>
        <w:t xml:space="preserve"> </w:t>
      </w:r>
      <w:r>
        <w:t xml:space="preserve">l’humidité</w:t>
      </w:r>
      <w:r>
        <w:t xml:space="preserve"> </w:t>
      </w:r>
      <w:r>
        <w:t xml:space="preserve">troposphérique</w:t>
      </w:r>
      <w:r>
        <w:t xml:space="preserve"> </w:t>
      </w:r>
      <w:r>
        <w:t xml:space="preserve">en</w:t>
      </w:r>
      <w:r>
        <w:t xml:space="preserve"> </w:t>
      </w:r>
      <w:r>
        <w:t xml:space="preserve">fonction</w:t>
      </w:r>
      <w:r>
        <w:t xml:space="preserve"> </w:t>
      </w:r>
      <w:r>
        <w:t xml:space="preserve">de</w:t>
      </w:r>
      <w:r>
        <w:t xml:space="preserve"> </w:t>
      </w:r>
      <w:r>
        <w:t xml:space="preserve">l’organisation</w:t>
      </w:r>
      <w:r>
        <w:t xml:space="preserve"> </w:t>
      </w:r>
      <w:r>
        <w:t xml:space="preserve">de</w:t>
      </w:r>
      <w:r>
        <w:t xml:space="preserve"> </w:t>
      </w:r>
      <w:r>
        <w:t xml:space="preserve">la</w:t>
      </w:r>
      <w:r>
        <w:t xml:space="preserve"> </w:t>
      </w:r>
      <w:r>
        <w:t xml:space="preserve">convection</w:t>
      </w:r>
      <w:r>
        <w:t xml:space="preserve"> </w:t>
      </w:r>
      <w:r>
        <w:t xml:space="preserve">et</w:t>
      </w:r>
      <w:r>
        <w:t xml:space="preserve"> </w:t>
      </w:r>
      <w:r>
        <w:t xml:space="preserve">de</w:t>
      </w:r>
      <w:r>
        <w:t xml:space="preserve"> </w:t>
      </w:r>
      <w:r>
        <w:t xml:space="preserve">la</w:t>
      </w:r>
      <w:r>
        <w:t xml:space="preserve"> </w:t>
      </w:r>
      <w:r>
        <w:t xml:space="preserve">circulation</w:t>
      </w:r>
      <w:r>
        <w:t xml:space="preserve"> </w:t>
      </w:r>
      <w:r>
        <w:t xml:space="preserve">de</w:t>
      </w:r>
      <w:r>
        <w:t xml:space="preserve"> </w:t>
      </w:r>
      <w:r>
        <w:t xml:space="preserve">grande</w:t>
      </w:r>
      <w:r>
        <w:t xml:space="preserve"> </w:t>
      </w:r>
      <w:r>
        <w:t xml:space="preserve">échelle</w:t>
      </w:r>
    </w:p>
    <w:p>
      <w:pPr>
        <w:pStyle w:val="Subtitle"/>
      </w:pPr>
      <w:r>
        <w:t xml:space="preserve">Félix</w:t>
      </w:r>
      <w:r>
        <w:t xml:space="preserve"> </w:t>
      </w:r>
      <w:r>
        <w:t xml:space="preserve">Langot</w:t>
      </w:r>
    </w:p>
    <w:p>
      <w:pPr>
        <w:pStyle w:val="Author"/>
      </w:pPr>
      <w:r>
        <w:rPr>
          <w:i/>
        </w:rPr>
        <w:t xml:space="preserve">LMD</w:t>
      </w:r>
      <w:r>
        <w:rPr>
          <w:i/>
        </w:rPr>
        <w:t xml:space="preserve"> </w:t>
      </w:r>
      <w:r>
        <w:rPr>
          <w:i/>
        </w:rPr>
        <w:t xml:space="preserve">-</w:t>
      </w:r>
      <w:r>
        <w:rPr>
          <w:i/>
        </w:rPr>
        <w:t xml:space="preserve"> </w:t>
      </w:r>
      <w:r>
        <w:rPr>
          <w:i/>
        </w:rPr>
        <w:t xml:space="preserve">UVSQ/Paris-Saclay</w:t>
      </w:r>
    </w:p>
    <w:bookmarkStart w:id="23" w:name="introduction"/>
    <w:p>
      <w:pPr>
        <w:pStyle w:val="Heading1"/>
      </w:pPr>
      <w:r>
        <w:t xml:space="preserve">Introduction</w:t>
      </w:r>
    </w:p>
    <w:p>
      <w:pPr>
        <w:numPr>
          <w:ilvl w:val="0"/>
          <w:numId w:val="1001"/>
        </w:numPr>
      </w:pPr>
      <w:r>
        <w:rPr>
          <w:b/>
        </w:rPr>
        <w:t xml:space="preserve">But du stage:</w:t>
      </w:r>
      <w:r>
        <w:t xml:space="preserve"> </w:t>
      </w:r>
      <w:r>
        <w:t xml:space="preserve">développer un modèle théorique simple pour quantifier l’effet de l’organisation de la convection et de la circulation de grande échelle sur l’humidité de la troposphère</w:t>
      </w:r>
    </w:p>
    <w:p>
      <w:pPr>
        <w:numPr>
          <w:ilvl w:val="0"/>
          <w:numId w:val="1001"/>
        </w:numPr>
      </w:pPr>
      <w:r>
        <w:t xml:space="preserve">Utilisation de simulations CRMs</w:t>
      </w:r>
      <w:r>
        <w:t xml:space="preserve"> </w:t>
      </w:r>
      <m:oMath>
        <m:r>
          <m:t>→</m:t>
        </m:r>
      </m:oMath>
      <w:r>
        <w:t xml:space="preserve"> </w:t>
      </w:r>
      <w:r>
        <w:t xml:space="preserve">vérifier les hypothèses du modèle + évaluer son réalisme.</w:t>
      </w:r>
    </w:p>
    <w:p>
      <w:pPr>
        <w:numPr>
          <w:ilvl w:val="0"/>
          <w:numId w:val="1001"/>
        </w:numPr>
      </w:pPr>
      <w:r>
        <w:t xml:space="preserve">Différentes distributions de l’humidité relative (RH) dans la troposphère, dues à:</w:t>
      </w:r>
      <w:r>
        <w:br/>
      </w:r>
      <m:oMath>
        <m:r>
          <m:t>→</m:t>
        </m:r>
      </m:oMath>
      <w:r>
        <w:t xml:space="preserve"> </w:t>
      </w:r>
      <w:r>
        <w:t xml:space="preserve">l’agrégation de la convection: fait baisser la RH</w:t>
      </w:r>
      <w:r>
        <w:br/>
      </w:r>
      <m:oMath>
        <m:r>
          <m:t>→</m:t>
        </m:r>
      </m:oMath>
      <w:r>
        <w:t xml:space="preserve"> </w:t>
      </w:r>
      <w:r>
        <w:t xml:space="preserve">l’ascendance: humidifie la troposphère</w:t>
      </w:r>
      <w:r>
        <w:br/>
      </w:r>
    </w:p>
    <w:p>
      <w:pPr>
        <w:numPr>
          <w:ilvl w:val="0"/>
          <w:numId w:val="1002"/>
        </w:numPr>
      </w:pPr>
      <w:r>
        <w:rPr>
          <w:b/>
        </w:rPr>
        <w:t xml:space="preserve">Cloud-Resolving Model (CRM):</w:t>
      </w:r>
      <w:r>
        <w:t xml:space="preserve"> </w:t>
      </w:r>
      <w:r>
        <w:t xml:space="preserve">Permet de simuler des nuages convectifs avec une résolution allant de la dizaine de mètre à plusieurs kilomètres sur un espace limité en 4D (temps+espace).</w:t>
      </w:r>
    </w:p>
    <w:p>
      <w:pPr>
        <w:numPr>
          <w:ilvl w:val="0"/>
          <w:numId w:val="1002"/>
        </w:numPr>
      </w:pPr>
      <w:r>
        <w:rPr>
          <w:b/>
        </w:rPr>
        <w:t xml:space="preserve">Simulation en équilibre radiatif-convectif (RCE):</w:t>
      </w:r>
    </w:p>
    <w:p>
      <w:pPr>
        <w:numPr>
          <w:ilvl w:val="1"/>
          <w:numId w:val="1003"/>
        </w:numPr>
      </w:pPr>
      <w:r>
        <w:t xml:space="preserve">Simulation avec une boîte doublement périodique, typiquement utilisé pour étudier le climat tropical</w:t>
      </w:r>
    </w:p>
    <w:p>
      <w:pPr>
        <w:numPr>
          <w:ilvl w:val="1"/>
          <w:numId w:val="1003"/>
        </w:numPr>
      </w:pPr>
      <w:r>
        <w:t xml:space="preserve">Fixation de la température de surface + saturation de l’air à la surface comme c’est le cas au-dessus de l’océan.</w:t>
      </w:r>
    </w:p>
    <w:p>
      <w:pPr>
        <w:numPr>
          <w:ilvl w:val="1"/>
          <w:numId w:val="1003"/>
        </w:numPr>
      </w:pPr>
      <w:r>
        <w:t xml:space="preserve">Inclusion de l’énergie solaire qui évapore l’eau.</w:t>
      </w:r>
    </w:p>
    <w:p>
      <w:pPr>
        <w:numPr>
          <w:ilvl w:val="1"/>
          <w:numId w:val="1003"/>
        </w:numPr>
      </w:pPr>
      <w:r>
        <w:t xml:space="preserve">Redistribution de l’énergie par les équations de la mécanique des fluides, les radiation et la thermodynamique qui génèrent un cycle hydrologique avec des précipitations pour équilibrer l’évaporation.</w:t>
      </w:r>
    </w:p>
    <w:p>
      <w:pPr>
        <w:numPr>
          <w:ilvl w:val="0"/>
          <w:numId w:val="1004"/>
        </w:numPr>
      </w:pPr>
      <w:r>
        <w:rPr>
          <w:b/>
        </w:rPr>
        <w:t xml:space="preserve">Pourquoi et comment représenter la circulation de grande-échelle:</w:t>
      </w:r>
    </w:p>
    <w:p>
      <w:pPr>
        <w:numPr>
          <w:ilvl w:val="1"/>
          <w:numId w:val="1005"/>
        </w:numPr>
      </w:pPr>
      <w:r>
        <w:t xml:space="preserve">Impacte l’humidité de l’atmosphère par advection mais aussi l’organisation de la convection</w:t>
      </w:r>
      <w:r>
        <w:t xml:space="preserve"> </w:t>
      </w:r>
      <w:r>
        <w:t xml:space="preserve">, qui à son tour modifie la RH.</w:t>
      </w:r>
    </w:p>
    <w:p>
      <w:pPr>
        <w:numPr>
          <w:ilvl w:val="1"/>
          <w:numId w:val="1005"/>
        </w:numPr>
      </w:pPr>
      <w:r>
        <w:t xml:space="preserve">Représenter l’ascendance de grande échelle</w:t>
      </w:r>
      <w:r>
        <w:t xml:space="preserve"> </w:t>
      </w:r>
      <m:oMath>
        <m:r>
          <m:t>→</m:t>
        </m:r>
      </m:oMath>
      <w:r>
        <w:t xml:space="preserve"> </w:t>
      </w:r>
      <w:r>
        <w:t xml:space="preserve">ajout d’un terme d’advection verticale d’humidité et de température.</w:t>
      </w:r>
    </w:p>
    <w:p>
      <w:pPr>
        <w:numPr>
          <w:ilvl w:val="0"/>
          <w:numId w:val="1004"/>
        </w:numPr>
      </w:pPr>
      <w:r>
        <w:rPr>
          <w:b/>
        </w:rPr>
        <w:t xml:space="preserve">Obtention de différents types d’organisation:</w:t>
      </w:r>
      <w:r>
        <w:t xml:space="preserve"> </w:t>
      </w:r>
      <w:r>
        <w:t xml:space="preserve">On ajoute au RCE un forçage différent en fonction du type d’organisation que l’on veut favoriser</w:t>
      </w:r>
    </w:p>
    <w:p>
      <w:pPr>
        <w:numPr>
          <w:ilvl w:val="1"/>
          <w:numId w:val="1006"/>
        </w:numPr>
      </w:pPr>
      <w:r>
        <w:t xml:space="preserve">Cumulonimbus isolés: RCE</w:t>
      </w:r>
    </w:p>
    <w:p>
      <w:pPr>
        <w:numPr>
          <w:ilvl w:val="1"/>
          <w:numId w:val="1006"/>
        </w:numPr>
      </w:pPr>
      <w:r>
        <w:t xml:space="preserve">Cyclones: RCE + Coriolis</w:t>
      </w:r>
    </w:p>
    <w:p>
      <w:pPr>
        <w:numPr>
          <w:ilvl w:val="1"/>
          <w:numId w:val="1006"/>
        </w:numPr>
      </w:pPr>
      <w:r>
        <w:t xml:space="preserve">Ligne de grain: RCE + cisaillement de vent</w:t>
      </w:r>
    </w:p>
    <w:p>
      <w:pPr>
        <w:numPr>
          <w:ilvl w:val="0"/>
          <w:numId w:val="1007"/>
        </w:numPr>
      </w:pPr>
      <w:r>
        <w:t xml:space="preserve">Effets vérifiés par le CRM SAM, avec lequel on peut calculer la RH simulée d’une parcelle troposphérique sur un domaine de 95x95 km</w:t>
      </w:r>
    </w:p>
    <w:p>
      <w:pPr>
        <w:pStyle w:val="BodyText"/>
      </w:pPr>
      <m:oMathPara>
        <m:oMathParaPr>
          <m:jc m:val="center"/>
        </m:oMathParaPr>
        <m:oMath>
          <m:r>
            <m:t>R</m:t>
          </m:r>
          <m:sSub>
            <m:e>
              <m:r>
                <m:t>H</m:t>
              </m:r>
            </m:e>
            <m:sub>
              <m:r>
                <m:t>a</m:t>
              </m:r>
              <m:r>
                <m:t>c</m:t>
              </m:r>
              <m:r>
                <m:t>t</m:t>
              </m:r>
              <m:r>
                <m:t>u</m:t>
              </m:r>
              <m:r>
                <m:t>a</m:t>
              </m:r>
              <m:r>
                <m:t>l</m:t>
              </m:r>
            </m:sub>
          </m:sSub>
          <m:r>
            <m:t>=</m:t>
          </m:r>
          <m:sSub>
            <m:e>
              <m:d>
                <m:dPr>
                  <m:begChr m:val=""/>
                  <m:endChr m:val="|"/>
                  <m:grow/>
                </m:dPr>
                <m:e>
                  <m:f>
                    <m:fPr>
                      <m:type m:val="bar"/>
                    </m:fPr>
                    <m:num>
                      <m:sSub>
                        <m:e>
                          <m:r>
                            <m:t>q</m:t>
                          </m:r>
                        </m:e>
                        <m:sub>
                          <m:r>
                            <m:t>v</m:t>
                          </m:r>
                        </m:sub>
                      </m:sSub>
                    </m:num>
                    <m:den>
                      <m:sSub>
                        <m:e>
                          <m:r>
                            <m:t>q</m:t>
                          </m:r>
                        </m:e>
                        <m:sub>
                          <m:r>
                            <m:t>s</m:t>
                          </m:r>
                          <m:r>
                            <m:t>a</m:t>
                          </m:r>
                          <m:r>
                            <m:t>t</m:t>
                          </m:r>
                        </m:sub>
                      </m:sSub>
                    </m:den>
                  </m:f>
                </m:e>
              </m:d>
            </m:e>
            <m:sub>
              <m:sSub>
                <m:e>
                  <m:r>
                    <m:t>z</m:t>
                  </m:r>
                </m:e>
                <m:sub>
                  <m:r>
                    <m:t>p</m:t>
                  </m:r>
                  <m:r>
                    <m:t>a</m:t>
                  </m:r>
                  <m:r>
                    <m:t>r</m:t>
                  </m:r>
                  <m:r>
                    <m:t>c</m:t>
                  </m:r>
                  <m:r>
                    <m:t>e</m:t>
                  </m:r>
                  <m:r>
                    <m:t>l</m:t>
                  </m:r>
                </m:sub>
              </m:sSub>
              <m:r>
                <m:t>=</m:t>
              </m:r>
              <m:r>
                <m:t>5</m:t>
              </m:r>
              <m:r>
                <m:t>k</m:t>
              </m:r>
              <m:r>
                <m:t>m</m:t>
              </m:r>
            </m:sub>
          </m:sSub>
        </m:oMath>
      </m:oMathPara>
    </w:p>
    <w:p>
      <w:pPr>
        <w:numPr>
          <w:ilvl w:val="0"/>
          <w:numId w:val="1007"/>
        </w:numPr>
      </w:pPr>
      <w:r>
        <w:t xml:space="preserve">avec</w:t>
      </w:r>
      <w:r>
        <w:t xml:space="preserve"> </w:t>
      </w:r>
      <m:oMath>
        <m:sSub>
          <m:e>
            <m:r>
              <m:t>q</m:t>
            </m:r>
          </m:e>
          <m:sub>
            <m:r>
              <m:t>v</m:t>
            </m:r>
          </m:sub>
        </m:sSub>
      </m:oMath>
      <w:r>
        <w:t xml:space="preserve"> </w:t>
      </w:r>
      <w:r>
        <w:t xml:space="preserve">l’humidité spécifique et</w:t>
      </w:r>
      <w:r>
        <w:t xml:space="preserve"> </w:t>
      </w:r>
      <m:oMath>
        <m:sSub>
          <m:e>
            <m:r>
              <m:t>q</m:t>
            </m:r>
          </m:e>
          <m:sub>
            <m:r>
              <m:t>s</m:t>
            </m:r>
            <m:r>
              <m:t>a</m:t>
            </m:r>
            <m:r>
              <m:t>t</m:t>
            </m:r>
          </m:sub>
        </m:sSub>
      </m:oMath>
      <w:r>
        <w:t xml:space="preserve"> </w:t>
      </w:r>
      <w:r>
        <w:t xml:space="preserve">l’humidité spécifique de saturation, en g/kg.</w:t>
      </w:r>
    </w:p>
    <w:p>
      <w:pPr>
        <w:pStyle w:val="FirstParagraph"/>
      </w:pPr>
      <w:bookmarkStart w:id="21" w:name="RHactual"/>
      <w:r>
        <w:drawing>
          <wp:inline>
            <wp:extent cx="3239999" cy="2815002"/>
            <wp:effectExtent b="0" l="0" r="0" t="0"/>
            <wp:docPr descr="image" title="" id="1" name="Picture"/>
            <a:graphic>
              <a:graphicData uri="http://schemas.openxmlformats.org/drawingml/2006/picture">
                <pic:pic>
                  <pic:nvPicPr>
                    <pic:cNvPr descr="../Codes/Figs/RHaProbsSuperposition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9999" cy="28150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1"/>
      <w:r>
        <w:t xml:space="preserve"> </w:t>
      </w:r>
      <w:bookmarkStart w:id="22" w:name="RHactual"/>
      <w:r>
        <w:t xml:space="preserve">[RHactual]</w:t>
      </w:r>
      <w:bookmarkEnd w:id="22"/>
    </w:p>
    <w:bookmarkEnd w:id="23"/>
    <w:bookmarkStart w:id="26" w:name="comment-prédire-les-distributions-de-rh"/>
    <w:p>
      <w:pPr>
        <w:pStyle w:val="Heading1"/>
      </w:pPr>
      <w:r>
        <w:t xml:space="preserve">Comment prédire les distributions de</w:t>
      </w:r>
      <w:r>
        <w:t xml:space="preserve"> </w:t>
      </w:r>
      <w:r>
        <w:rPr>
          <w:i/>
        </w:rPr>
        <w:t xml:space="preserve">RH</w:t>
      </w:r>
      <w:r>
        <w:t xml:space="preserve">?</w:t>
      </w:r>
    </w:p>
    <w:p>
      <w:pPr>
        <w:numPr>
          <w:ilvl w:val="0"/>
          <w:numId w:val="1008"/>
        </w:numPr>
      </w:pPr>
      <w:r>
        <w:t xml:space="preserve">Pour tenter de prédire les distributions de RH, on utilise le modèle d’advection-condensation</w:t>
      </w:r>
      <w:r>
        <w:t xml:space="preserve"> </w:t>
      </w:r>
    </w:p>
    <w:p>
      <w:pPr>
        <w:pStyle w:val="FirstParagraph"/>
      </w:pPr>
      <w:r>
        <w:drawing>
          <wp:inline>
            <wp:extent cx="2375999" cy="2245219"/>
            <wp:effectExtent b="0" l="0" r="0" t="0"/>
            <wp:docPr descr="image" title="" id="1" name="Picture"/>
            <a:graphic>
              <a:graphicData uri="http://schemas.openxmlformats.org/drawingml/2006/picture">
                <pic:pic>
                  <pic:nvPicPr>
                    <pic:cNvPr descr="Figures/advec-conden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5999" cy="22452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m:oMath>
        <m:r>
          <m:t>→</m:t>
        </m:r>
      </m:oMath>
      <w:r>
        <w:t xml:space="preserve"> </w:t>
      </w:r>
      <w:r>
        <w:t xml:space="preserve">L’humidité spécifique d’une parcelle</w:t>
      </w:r>
      <w:r>
        <w:t xml:space="preserve"> </w:t>
      </w:r>
      <m:oMath>
        <m:sSub>
          <m:e>
            <m:r>
              <m:t>q</m:t>
            </m:r>
          </m:e>
          <m:sub>
            <m:r>
              <m:t>v</m:t>
            </m:r>
          </m:sub>
        </m:sSub>
      </m:oMath>
      <w:r>
        <w:t xml:space="preserve"> </w:t>
      </w:r>
      <w:r>
        <w:t xml:space="preserve">reste constante en l’absence de saturation (et donc de condensation)</w:t>
      </w:r>
      <w:r>
        <w:br/>
      </w:r>
      <m:oMath>
        <m:r>
          <m:t>→</m:t>
        </m:r>
      </m:oMath>
      <w:r>
        <w:t xml:space="preserve"> </w:t>
      </w:r>
      <w:r>
        <w:t xml:space="preserve">On dispose de l’humidité spécifique de saturation</w:t>
      </w:r>
      <w:r>
        <w:t xml:space="preserve"> </w:t>
      </w:r>
      <m:oMath>
        <m:sSub>
          <m:e>
            <m:r>
              <m:t>q</m:t>
            </m:r>
          </m:e>
          <m:sub>
            <m:r>
              <m:t>s</m:t>
            </m:r>
            <m:r>
              <m:t>a</m:t>
            </m:r>
            <m:r>
              <m:t>t</m:t>
            </m:r>
          </m:sub>
        </m:sSub>
      </m:oMath>
      <w:r>
        <w:t xml:space="preserve"> </w:t>
      </w:r>
      <w:r>
        <w:t xml:space="preserve">en fonction de l’altitude grâce au modèle SAM</w:t>
      </w:r>
      <w:r>
        <w:br/>
      </w:r>
      <m:oMath>
        <m:r>
          <m:t>→</m:t>
        </m:r>
      </m:oMath>
      <w:r>
        <w:t xml:space="preserve"> </w:t>
      </w:r>
      <w:r>
        <w:t xml:space="preserve">On peut donc prédire la RH de la troposphère à partir de l’altitude de dernière saturation de la parcelle</w:t>
      </w:r>
    </w:p>
    <w:p>
      <w:pPr>
        <w:pStyle w:val="BodyText"/>
      </w:pPr>
      <w:r>
        <w:drawing>
          <wp:inline>
            <wp:extent cx="2159999" cy="1429554"/>
            <wp:effectExtent b="0" l="0" r="0" t="0"/>
            <wp:docPr descr="image" title="" id="1" name="Picture"/>
            <a:graphic>
              <a:graphicData uri="http://schemas.openxmlformats.org/drawingml/2006/picture">
                <pic:pic>
                  <pic:nvPicPr>
                    <pic:cNvPr descr="Figures/lsadraw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9999" cy="14295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Comment le modèle met en évidence les relations entre la RH et la circulation de grande échelle/l’organisation de la convection?</w:t>
      </w:r>
      <w:r>
        <w:br/>
      </w:r>
      <m:oMath>
        <m:r>
          <m:t>→</m:t>
        </m:r>
      </m:oMath>
      <w:r>
        <w:t xml:space="preserve"> </w:t>
      </w:r>
      <w:r>
        <w:t xml:space="preserve">Ascendance</w:t>
      </w:r>
      <w:r>
        <w:t xml:space="preserve"> </w:t>
      </w:r>
      <m:oMath>
        <m:r>
          <m:t>→</m:t>
        </m:r>
      </m:oMath>
      <w:r>
        <w:t xml:space="preserve"> </w:t>
      </w:r>
      <w:r>
        <w:t xml:space="preserve">vitesse de subsidence de l’environnment</w:t>
      </w:r>
      <w:r>
        <w:t xml:space="preserve"> </w:t>
      </w:r>
      <m:oMath>
        <m:r>
          <m:t>→</m:t>
        </m:r>
      </m:oMath>
      <w:r>
        <w:t xml:space="preserve"> </w:t>
      </w:r>
      <w:r>
        <w:t xml:space="preserve">temps de descente de la parcelle. Si temps de descente augmente, la probabilité de rencontrer un nuage augmente.</w:t>
      </w:r>
      <w:r>
        <w:br/>
      </w:r>
      <m:oMath>
        <m:r>
          <m:t>→</m:t>
        </m:r>
      </m:oMath>
      <w:r>
        <w:t xml:space="preserve"> </w:t>
      </w:r>
      <w:r>
        <w:t xml:space="preserve">Organisation</w:t>
      </w:r>
      <w:r>
        <w:t xml:space="preserve"> </w:t>
      </w:r>
      <m:oMath>
        <m:r>
          <m:t>→</m:t>
        </m:r>
      </m:oMath>
      <w:r>
        <w:t xml:space="preserve"> </w:t>
      </w:r>
      <w:r>
        <w:t xml:space="preserve">distribution des nuages</w:t>
      </w:r>
      <w:r>
        <w:t xml:space="preserve"> </w:t>
      </w:r>
      <m:oMath>
        <m:r>
          <m:t>→</m:t>
        </m:r>
      </m:oMath>
      <w:r>
        <w:t xml:space="preserve"> </w:t>
      </w:r>
      <w:r>
        <w:t xml:space="preserve">probabilité de rencontre. Nuages sont très regroupés = baisse de la probabilité</w:t>
      </w:r>
    </w:p>
    <w:bookmarkEnd w:id="26"/>
    <w:bookmarkStart w:id="29" w:name="X44b2c60f94c1298109a6669c8146117c1896dbe"/>
    <w:p>
      <w:pPr>
        <w:pStyle w:val="Heading1"/>
      </w:pPr>
      <w:r>
        <w:t xml:space="preserve">Altitude de dernière saturation - Approche statique</w:t>
      </w:r>
    </w:p>
    <w:p>
      <w:pPr>
        <w:pStyle w:val="FirstParagraph"/>
      </w:pPr>
      <w:r>
        <w:t xml:space="preserve">Comment trouver l’altitude de dernière saturation d’une parcelle se situant dans la troposphère?</w:t>
      </w:r>
    </w:p>
    <w:p>
      <w:pPr>
        <w:numPr>
          <w:ilvl w:val="0"/>
          <w:numId w:val="1009"/>
        </w:numPr>
      </w:pPr>
      <w:r>
        <w:rPr>
          <w:b/>
        </w:rPr>
        <w:t xml:space="preserve">Hypothèse statique:</w:t>
      </w:r>
      <w:r>
        <w:t xml:space="preserve"> </w:t>
      </w:r>
      <w:r>
        <w:t xml:space="preserve">L’altitude de dernière saturation d’une parcelle troposphérique correspond à l’altitude du nuage le plus proche au-dessus de la parcelle.</w:t>
      </w:r>
    </w:p>
    <w:p>
      <w:pPr>
        <w:numPr>
          <w:ilvl w:val="0"/>
          <w:numId w:val="1009"/>
        </w:numPr>
      </w:pPr>
      <w:r>
        <w:t xml:space="preserve">SAM: rapports de mélange d’eau et de glace (</w:t>
      </w:r>
      <w:r>
        <w:rPr>
          <w:i/>
        </w:rPr>
        <w:t xml:space="preserve">water mixing ratio, ice mixing ratio</w:t>
      </w:r>
      <w:r>
        <w:t xml:space="preserve">)</w:t>
      </w:r>
      <w:r>
        <w:t xml:space="preserve"> </w:t>
      </w:r>
      <m:oMath>
        <m:sSub>
          <m:e>
            <m:r>
              <m:t>q</m:t>
            </m:r>
          </m:e>
          <m:sub>
            <m:r>
              <m:t>c</m:t>
            </m:r>
          </m:sub>
        </m:sSub>
        <m:r>
          <m:t>,</m:t>
        </m:r>
        <m:sSub>
          <m:e>
            <m:r>
              <m:t>q</m:t>
            </m:r>
          </m:e>
          <m:sub>
            <m:r>
              <m:t>i</m:t>
            </m:r>
          </m:sub>
        </m:sSub>
      </m:oMath>
      <w:r>
        <w:br/>
      </w:r>
      <m:oMath>
        <m:r>
          <m:t>→</m:t>
        </m:r>
      </m:oMath>
      <w:r>
        <w:t xml:space="preserve"> </w:t>
      </w:r>
      <w:r>
        <w:t xml:space="preserve">Détection des nuages</w:t>
      </w:r>
    </w:p>
    <w:p>
      <w:pPr>
        <w:numPr>
          <w:ilvl w:val="1"/>
          <w:numId w:val="1010"/>
        </w:numPr>
      </w:pPr>
      <w:r>
        <w:t xml:space="preserve">Si</w:t>
      </w:r>
      <w:r>
        <w:t xml:space="preserve"> </w:t>
      </w:r>
      <m:oMath>
        <m:sSub>
          <m:e>
            <m:r>
              <m:t>q</m:t>
            </m:r>
          </m:e>
          <m:sub>
            <m:r>
              <m:t>c</m:t>
            </m:r>
          </m:sub>
        </m:sSub>
        <m:r>
          <m:t>+</m:t>
        </m:r>
        <m:sSub>
          <m:e>
            <m:r>
              <m:t>q</m:t>
            </m:r>
          </m:e>
          <m:sub>
            <m:r>
              <m:t>i</m:t>
            </m:r>
          </m:sub>
        </m:sSub>
        <m:r>
          <m:t>&gt;</m:t>
        </m:r>
        <m:sSup>
          <m:e>
            <m:r>
              <m:t>10</m:t>
            </m:r>
          </m:e>
          <m:sup>
            <m:r>
              <m:t>−</m:t>
            </m:r>
            <m:r>
              <m:t>6</m:t>
            </m:r>
          </m:sup>
        </m:sSup>
      </m:oMath>
      <w:r>
        <w:t xml:space="preserve"> </w:t>
      </w:r>
      <w:r>
        <w:t xml:space="preserve">alors le point de grille est dans un nuage</w:t>
      </w:r>
      <w:r>
        <w:t xml:space="preserve"> </w:t>
      </w:r>
    </w:p>
    <w:p>
      <w:pPr>
        <w:pStyle w:val="FirstParagraph"/>
      </w:pPr>
      <w:r>
        <w:drawing>
          <wp:inline>
            <wp:extent cx="1799999" cy="1121684"/>
            <wp:effectExtent b="0" l="0" r="0" t="0"/>
            <wp:docPr descr="image" title="" id="1" name="Picture"/>
            <a:graphic>
              <a:graphicData uri="http://schemas.openxmlformats.org/drawingml/2006/picture">
                <pic:pic>
                  <pic:nvPicPr>
                    <pic:cNvPr descr="../Codes/Figs/lastsaturationlight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9999" cy="11216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On peut donc mesurer l’altitude du nuage le plus proche de chaque point de grille à chaque pas de temps des simulations</w:t>
      </w:r>
    </w:p>
    <w:p>
      <w:pPr>
        <w:pStyle w:val="BodyText"/>
      </w:pPr>
      <w:r>
        <w:drawing>
          <wp:inline>
            <wp:extent cx="3599999" cy="2470341"/>
            <wp:effectExtent b="0" l="0" r="0" t="0"/>
            <wp:docPr descr="image" title="" id="1" name="Picture"/>
            <a:graphic>
              <a:graphicData uri="http://schemas.openxmlformats.org/drawingml/2006/picture">
                <pic:pic>
                  <pic:nvPicPr>
                    <pic:cNvPr descr="../Codes/Figs/3Dcloud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9999" cy="24703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L’humidité relative prédite RH</w:t>
      </w:r>
      <m:oMath>
        <m:sSub>
          <m:e>
            <m:r>
              <m:t>​</m:t>
            </m:r>
          </m:e>
          <m:sub>
            <m:r>
              <m:t>p</m:t>
            </m:r>
          </m:sub>
        </m:sSub>
      </m:oMath>
      <w:r>
        <w:t xml:space="preserve"> </w:t>
      </w:r>
      <w:r>
        <w:t xml:space="preserve">peut ensuite être calculée en fonction de</w:t>
      </w:r>
      <w:r>
        <w:t xml:space="preserve"> </w:t>
      </w:r>
      <m:oMath>
        <m:sSub>
          <m:e>
            <m:r>
              <m:t>q</m:t>
            </m:r>
          </m:e>
          <m:sub>
            <m:r>
              <m:t>s</m:t>
            </m:r>
            <m:r>
              <m:t>a</m:t>
            </m:r>
            <m:r>
              <m:t>t</m:t>
            </m:r>
          </m:sub>
        </m:sSub>
      </m:oMath>
      <w:r>
        <w:t xml:space="preserve"> </w:t>
      </w:r>
      <w:r>
        <w:t xml:space="preserve">seulement:</w:t>
      </w:r>
    </w:p>
    <w:p>
      <w:pPr>
        <w:pStyle w:val="BodyText"/>
      </w:pPr>
      <m:oMathPara>
        <m:oMathParaPr>
          <m:jc m:val="center"/>
        </m:oMathParaPr>
        <m:oMath>
          <m:r>
            <m:t>R</m:t>
          </m:r>
          <m:sSub>
            <m:e>
              <m:r>
                <m:t>H</m:t>
              </m:r>
            </m:e>
            <m:sub>
              <m:r>
                <m:t>p</m:t>
              </m:r>
            </m:sub>
          </m:sSub>
          <m:r>
            <m:t>=</m:t>
          </m:r>
          <m:f>
            <m:fPr>
              <m:type m:val="bar"/>
            </m:fPr>
            <m:num>
              <m:sSub>
                <m:e>
                  <m:r>
                    <m:t>q</m:t>
                  </m:r>
                </m:e>
                <m:sub>
                  <m:r>
                    <m:t>s</m:t>
                  </m:r>
                  <m:r>
                    <m:t>a</m:t>
                  </m:r>
                  <m:r>
                    <m:t>t</m:t>
                  </m:r>
                </m:sub>
              </m:sSub>
              <m:r>
                <m:t>(</m:t>
              </m:r>
              <m:sSub>
                <m:e>
                  <m:r>
                    <m:t>z</m:t>
                  </m:r>
                </m:e>
                <m:sub>
                  <m:r>
                    <m:t>c</m:t>
                  </m:r>
                  <m:r>
                    <m:t>l</m:t>
                  </m:r>
                  <m:r>
                    <m:t>o</m:t>
                  </m:r>
                  <m:r>
                    <m:t>u</m:t>
                  </m:r>
                  <m:r>
                    <m:t>d</m:t>
                  </m:r>
                  <m:r>
                    <m:t>s</m:t>
                  </m:r>
                </m:sub>
              </m:sSub>
              <m:r>
                <m:t>)</m:t>
              </m:r>
            </m:num>
            <m:den>
              <m:sSub>
                <m:e>
                  <m:r>
                    <m:t>q</m:t>
                  </m:r>
                </m:e>
                <m:sub>
                  <m:r>
                    <m:t>s</m:t>
                  </m:r>
                  <m:r>
                    <m:t>a</m:t>
                  </m:r>
                  <m:r>
                    <m:t>t</m:t>
                  </m:r>
                </m:sub>
              </m:sSub>
              <m:r>
                <m:t>(</m:t>
              </m:r>
              <m:sSub>
                <m:e>
                  <m:r>
                    <m:t>z</m:t>
                  </m:r>
                </m:e>
                <m:sub>
                  <m:r>
                    <m:t>p</m:t>
                  </m:r>
                  <m:r>
                    <m:t>a</m:t>
                  </m:r>
                  <m:r>
                    <m:t>r</m:t>
                  </m:r>
                  <m:r>
                    <m:t>c</m:t>
                  </m:r>
                  <m:r>
                    <m:t>e</m:t>
                  </m:r>
                  <m:r>
                    <m:t>l</m:t>
                  </m:r>
                </m:sub>
              </m:sSub>
              <m:r>
                <m:t>)</m:t>
              </m:r>
            </m:den>
          </m:f>
        </m:oMath>
      </m:oMathPara>
    </w:p>
    <w:p>
      <w:pPr>
        <w:pStyle w:val="FirstParagraph"/>
      </w:pPr>
      <w:r>
        <w:t xml:space="preserve">où</w:t>
      </w:r>
      <w:r>
        <w:t xml:space="preserve"> </w:t>
      </w:r>
      <m:oMath>
        <m:sSub>
          <m:e>
            <m:r>
              <m:t>z</m:t>
            </m:r>
          </m:e>
          <m:sub>
            <m:r>
              <m:t>c</m:t>
            </m:r>
            <m:r>
              <m:t>l</m:t>
            </m:r>
            <m:r>
              <m:t>o</m:t>
            </m:r>
            <m:r>
              <m:t>u</m:t>
            </m:r>
            <m:r>
              <m:t>d</m:t>
            </m:r>
            <m:r>
              <m:t>s</m:t>
            </m:r>
          </m:sub>
        </m:sSub>
      </m:oMath>
      <w:r>
        <w:t xml:space="preserve"> </w:t>
      </w:r>
      <w:r>
        <w:t xml:space="preserve">est l’altitude des nuages les plus proches de la troposphère au-dessus des points de grille à</w:t>
      </w:r>
      <w:r>
        <w:t xml:space="preserve"> </w:t>
      </w:r>
      <m:oMath>
        <m:sSub>
          <m:e>
            <m:r>
              <m:t>z</m:t>
            </m:r>
          </m:e>
          <m:sub>
            <m:r>
              <m:t>p</m:t>
            </m:r>
            <m:r>
              <m:t>a</m:t>
            </m:r>
            <m:r>
              <m:t>r</m:t>
            </m:r>
            <m:r>
              <m:t>c</m:t>
            </m:r>
            <m:r>
              <m:t>e</m:t>
            </m:r>
            <m:r>
              <m:t>l</m:t>
            </m:r>
          </m:sub>
        </m:sSub>
        <m:r>
          <m:t>=</m:t>
        </m:r>
        <m:r>
          <m:t>5</m:t>
        </m:r>
        <m:r>
          <m:t>k</m:t>
        </m:r>
        <m:r>
          <m:t>m</m:t>
        </m:r>
      </m:oMath>
      <w:r>
        <w:t xml:space="preserve">, l’altitude choisie dans la troposphère</w:t>
      </w:r>
    </w:p>
    <w:p>
      <w:pPr>
        <w:pStyle w:val="BodyText"/>
      </w:pPr>
      <w:r>
        <w:t xml:space="preserve">On peut comparer la distribution obtenue avec cette méthode à la distribution réelle de la RH</w:t>
      </w:r>
    </w:p>
    <w:bookmarkEnd w:id="29"/>
    <w:bookmarkStart w:id="33" w:name="X572a44de5e5f640de295463febd6d2ff3e8ad74"/>
    <w:p>
      <w:pPr>
        <w:pStyle w:val="Heading1"/>
      </w:pPr>
      <w:r>
        <w:t xml:space="preserve">Altitude de dernière saturation - Approche dynamique</w:t>
      </w:r>
    </w:p>
    <w:p>
      <w:pPr>
        <w:pStyle w:val="FirstParagraph"/>
      </w:pPr>
      <w:r>
        <w:t xml:space="preserve">Simulations avec ascendance: vitesse verticale totale dans l’environnement</w:t>
      </w:r>
      <w:r>
        <w:t xml:space="preserve"> </w:t>
      </w:r>
      <m:oMath>
        <m:sSub>
          <m:e>
            <m:r>
              <m:t>w</m:t>
            </m:r>
          </m:e>
          <m:sub>
            <m:r>
              <m:t>t</m:t>
            </m:r>
            <m:r>
              <m:t>o</m:t>
            </m:r>
            <m:r>
              <m:t>t</m:t>
            </m:r>
          </m:sub>
        </m:sSub>
        <m:r>
          <m:t>=</m:t>
        </m:r>
        <m:sSub>
          <m:e>
            <m:r>
              <m:t>w</m:t>
            </m:r>
          </m:e>
          <m:sub>
            <m:r>
              <m:t>e</m:t>
            </m:r>
            <m:r>
              <m:t>n</m:t>
            </m:r>
            <m:r>
              <m:t>v</m:t>
            </m:r>
          </m:sub>
        </m:sSub>
        <m:r>
          <m:t>+</m:t>
        </m:r>
        <m:sSub>
          <m:e>
            <m:r>
              <m:t>w</m:t>
            </m:r>
          </m:e>
          <m:sub>
            <m:r>
              <m:t>L</m:t>
            </m:r>
            <m:r>
              <m:t>S</m:t>
            </m:r>
          </m:sub>
        </m:sSub>
      </m:oMath>
      <w:r>
        <w:t xml:space="preserve">, où</w:t>
      </w:r>
      <w:r>
        <w:t xml:space="preserve"> </w:t>
      </w:r>
      <m:oMath>
        <m:sSub>
          <m:e>
            <m:r>
              <m:t>w</m:t>
            </m:r>
          </m:e>
          <m:sub>
            <m:r>
              <m:t>L</m:t>
            </m:r>
            <m:r>
              <m:t>S</m:t>
            </m:r>
          </m:sub>
        </m:sSub>
      </m:oMath>
      <w:r>
        <w:t xml:space="preserve"> </w:t>
      </w:r>
      <w:r>
        <w:t xml:space="preserve">est l’ascendance imposée.</w:t>
      </w:r>
      <w:r>
        <w:br/>
      </w:r>
      <w:r>
        <w:t xml:space="preserve">Vitesse totale des parcelles dans l’environnement:</w:t>
      </w:r>
    </w:p>
    <w:p>
      <w:pPr>
        <w:pStyle w:val="BodyText"/>
      </w:pPr>
      <w:r>
        <w:drawing>
          <wp:inline>
            <wp:extent cx="2519999" cy="2266495"/>
            <wp:effectExtent b="0" l="0" r="0" t="0"/>
            <wp:docPr descr="image" title="" id="1" name="Picture"/>
            <a:graphic>
              <a:graphicData uri="http://schemas.openxmlformats.org/drawingml/2006/picture">
                <pic:pic>
                  <pic:nvPicPr>
                    <pic:cNvPr descr="../Codes/Figs/wtotz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9999" cy="22664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11"/>
        </w:numPr>
      </w:pPr>
      <w:r>
        <w:t xml:space="preserve">On se concentre premièrement sur la simulation de cumulonimbus sans ascendance</w:t>
      </w:r>
    </w:p>
    <w:p>
      <w:pPr>
        <w:numPr>
          <w:ilvl w:val="0"/>
          <w:numId w:val="1011"/>
        </w:numPr>
      </w:pPr>
      <w:r>
        <w:t xml:space="preserve">On choisit 10 parcelles étant à l’altitude</w:t>
      </w:r>
      <w:r>
        <w:t xml:space="preserve"> </w:t>
      </w:r>
      <m:oMath>
        <m:sSub>
          <m:e>
            <m:r>
              <m:t>z</m:t>
            </m:r>
          </m:e>
          <m:sub>
            <m:r>
              <m:t>p</m:t>
            </m:r>
            <m:r>
              <m:t>a</m:t>
            </m:r>
            <m:r>
              <m:t>r</m:t>
            </m:r>
            <m:r>
              <m:t>c</m:t>
            </m:r>
            <m:r>
              <m:t>e</m:t>
            </m:r>
            <m:r>
              <m:t>l</m:t>
            </m:r>
          </m:sub>
        </m:sSub>
      </m:oMath>
      <w:r>
        <w:t xml:space="preserve"> </w:t>
      </w:r>
      <w:r>
        <w:t xml:space="preserve">aux 10 derniers pas de temps.</w:t>
      </w:r>
    </w:p>
    <w:p>
      <w:pPr>
        <w:numPr>
          <w:ilvl w:val="0"/>
          <w:numId w:val="1011"/>
        </w:numPr>
      </w:pPr>
      <w:r>
        <w:t xml:space="preserve">On remonte le temps et on trace la trajectoire de la parcelle, gouvernée par</w:t>
      </w:r>
      <w:r>
        <w:t xml:space="preserve"> </w:t>
      </w:r>
      <m:oMath>
        <m:sSub>
          <m:e>
            <m:r>
              <m:t>w</m:t>
            </m:r>
          </m:e>
          <m:sub>
            <m:r>
              <m:t>t</m:t>
            </m:r>
            <m:r>
              <m:t>o</m:t>
            </m:r>
            <m:r>
              <m:t>t</m:t>
            </m:r>
          </m:sub>
        </m:sSub>
      </m:oMath>
      <w:r>
        <w:t xml:space="preserve">.</w:t>
      </w:r>
    </w:p>
    <w:p>
      <w:pPr>
        <w:pStyle w:val="FirstParagraph"/>
      </w:pPr>
      <w:r>
        <w:drawing>
          <wp:inline>
            <wp:extent cx="2699999" cy="2158629"/>
            <wp:effectExtent b="0" l="0" r="0" t="0"/>
            <wp:docPr descr="image" title="" id="1" name="Picture"/>
            <a:graphic>
              <a:graphicData uri="http://schemas.openxmlformats.org/drawingml/2006/picture">
                <pic:pic>
                  <pic:nvPicPr>
                    <pic:cNvPr descr="../Codes/Figs2/ztraj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9999" cy="21586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En utilisant les mêmes conditions pour détecter les nuages, on obtient les altitudes de dernières saturations suivantes:</w:t>
      </w:r>
    </w:p>
    <w:p>
      <w:pPr>
        <w:pStyle w:val="BodyText"/>
      </w:pPr>
      <w:r>
        <w:drawing>
          <wp:inline>
            <wp:extent cx="3599999" cy="2514435"/>
            <wp:effectExtent b="0" l="0" r="0" t="0"/>
            <wp:docPr descr="image" title="" id="1" name="Picture"/>
            <a:graphic>
              <a:graphicData uri="http://schemas.openxmlformats.org/drawingml/2006/picture">
                <pic:pic>
                  <pic:nvPicPr>
                    <pic:cNvPr descr="../Codes/Figs2/zclouds_traj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9999" cy="25144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Bibliographie</w:t>
      </w:r>
    </w:p>
    <w:bookmarkEnd w:id="3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1">
    <w:nsid w:val="ea454b4c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8" Target="media/rId28.png" /><Relationship Type="http://schemas.openxmlformats.org/officeDocument/2006/relationships/image" Id="rId20" Target="media/rId20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2" Target="media/rId32.png" /><Relationship Type="http://schemas.openxmlformats.org/officeDocument/2006/relationships/image" Id="rId31" Target="media/rId31.png" /><Relationship Type="http://schemas.openxmlformats.org/officeDocument/2006/relationships/image" Id="rId24" Target="media/rId24.png" /><Relationship Type="http://schemas.openxmlformats.org/officeDocument/2006/relationships/image" Id="rId25" Target="media/rId25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Prédire l’humidité troposphérique en fonction de l’organisation de la convection et de la circulation de grande échelle</dc:title>
  <dc:creator>LMD - UVSQ/Paris-Saclay</dc:creator>
  <cp:keywords/>
  <dcterms:created xsi:type="dcterms:W3CDTF">2021-04-16T11:10:03Z</dcterms:created>
  <dcterms:modified xsi:type="dcterms:W3CDTF">2021-04-16T11:10:03Z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/>
  </property>
  <property fmtid="{D5CDD505-2E9C-101B-9397-08002B2CF9AE}" pid="3" name="date">
    <vt:lpwstr/>
  </property>
  <property fmtid="{D5CDD505-2E9C-101B-9397-08002B2CF9AE}" pid="4" name="subtitle">
    <vt:lpwstr>Félix Langot</vt:lpwstr>
  </property>
</Properties>
</file>