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4294C" w14:textId="77777777" w:rsidR="007D058D" w:rsidRDefault="007D058D" w:rsidP="007D058D">
      <w:pPr>
        <w:spacing w:before="40" w:line="240" w:lineRule="auto"/>
        <w:jc w:val="center"/>
        <w:rPr>
          <w:b/>
          <w:spacing w:val="20"/>
          <w:sz w:val="28"/>
          <w:szCs w:val="28"/>
        </w:rPr>
      </w:pPr>
      <w:bookmarkStart w:id="0" w:name="_Toc489363980"/>
      <w:bookmarkStart w:id="1" w:name="_Toc489364071"/>
    </w:p>
    <w:p w14:paraId="2FB150D5" w14:textId="77777777" w:rsidR="007D058D" w:rsidRDefault="007D058D" w:rsidP="007D058D">
      <w:pPr>
        <w:spacing w:before="40" w:line="240" w:lineRule="auto"/>
        <w:jc w:val="center"/>
        <w:rPr>
          <w:b/>
          <w:spacing w:val="20"/>
          <w:sz w:val="28"/>
          <w:szCs w:val="28"/>
        </w:rPr>
      </w:pPr>
    </w:p>
    <w:p w14:paraId="4076B78C" w14:textId="77777777" w:rsidR="007D058D" w:rsidRDefault="007D058D" w:rsidP="007D058D">
      <w:pPr>
        <w:spacing w:before="40" w:line="240" w:lineRule="auto"/>
        <w:jc w:val="center"/>
        <w:rPr>
          <w:b/>
          <w:spacing w:val="20"/>
          <w:sz w:val="28"/>
          <w:szCs w:val="28"/>
        </w:rPr>
      </w:pPr>
    </w:p>
    <w:p w14:paraId="256C4A3B" w14:textId="77777777" w:rsidR="007D058D" w:rsidRDefault="007D058D" w:rsidP="007D058D">
      <w:pPr>
        <w:spacing w:before="40" w:line="240" w:lineRule="auto"/>
        <w:jc w:val="center"/>
        <w:rPr>
          <w:b/>
          <w:spacing w:val="20"/>
          <w:sz w:val="28"/>
          <w:szCs w:val="28"/>
        </w:rPr>
      </w:pPr>
      <w:r w:rsidRPr="007D058D">
        <w:rPr>
          <w:b/>
          <w:spacing w:val="20"/>
          <w:sz w:val="28"/>
          <w:szCs w:val="28"/>
        </w:rPr>
        <w:t>Universität Ulm</w:t>
      </w:r>
    </w:p>
    <w:p w14:paraId="46688124" w14:textId="77777777" w:rsidR="007D058D" w:rsidRPr="007D058D" w:rsidRDefault="007D058D" w:rsidP="007D058D">
      <w:pPr>
        <w:spacing w:before="40" w:line="240" w:lineRule="auto"/>
        <w:jc w:val="center"/>
        <w:rPr>
          <w:b/>
          <w:spacing w:val="20"/>
          <w:sz w:val="28"/>
          <w:szCs w:val="28"/>
        </w:rPr>
      </w:pPr>
      <w:r w:rsidRPr="007D058D">
        <w:rPr>
          <w:bCs/>
          <w:spacing w:val="20"/>
          <w:kern w:val="32"/>
          <w:sz w:val="28"/>
          <w:szCs w:val="28"/>
        </w:rPr>
        <w:t>Fakultät für Mathematik und</w:t>
      </w:r>
    </w:p>
    <w:p w14:paraId="322F1566" w14:textId="77777777" w:rsidR="007D058D" w:rsidRPr="007D058D" w:rsidRDefault="007D058D" w:rsidP="007D058D">
      <w:pPr>
        <w:spacing w:before="40" w:line="240" w:lineRule="auto"/>
        <w:jc w:val="center"/>
        <w:rPr>
          <w:spacing w:val="20"/>
          <w:sz w:val="28"/>
          <w:szCs w:val="28"/>
        </w:rPr>
      </w:pPr>
      <w:r w:rsidRPr="007D058D">
        <w:rPr>
          <w:spacing w:val="20"/>
          <w:sz w:val="28"/>
          <w:szCs w:val="28"/>
        </w:rPr>
        <w:t>Wirtschaftswissenschaften</w:t>
      </w:r>
    </w:p>
    <w:p w14:paraId="5354C34B" w14:textId="77777777" w:rsidR="007D058D" w:rsidRPr="007D058D" w:rsidRDefault="007D058D" w:rsidP="007D058D">
      <w:pPr>
        <w:spacing w:before="40" w:line="240" w:lineRule="auto"/>
        <w:jc w:val="center"/>
        <w:rPr>
          <w:spacing w:val="20"/>
          <w:sz w:val="28"/>
          <w:szCs w:val="28"/>
        </w:rPr>
      </w:pPr>
    </w:p>
    <w:p w14:paraId="75D4FAE5" w14:textId="77777777" w:rsidR="007D058D" w:rsidRPr="007D058D" w:rsidRDefault="007D058D" w:rsidP="007D058D">
      <w:pPr>
        <w:spacing w:before="40" w:line="240" w:lineRule="auto"/>
        <w:jc w:val="center"/>
        <w:rPr>
          <w:spacing w:val="20"/>
          <w:sz w:val="28"/>
          <w:szCs w:val="28"/>
        </w:rPr>
      </w:pPr>
    </w:p>
    <w:p w14:paraId="06AA1D8E" w14:textId="77777777" w:rsidR="007D058D" w:rsidRPr="007D058D" w:rsidRDefault="007D058D" w:rsidP="007D058D">
      <w:pPr>
        <w:spacing w:before="40" w:line="240" w:lineRule="auto"/>
        <w:jc w:val="center"/>
        <w:rPr>
          <w:spacing w:val="20"/>
          <w:sz w:val="28"/>
          <w:szCs w:val="28"/>
        </w:rPr>
      </w:pPr>
    </w:p>
    <w:p w14:paraId="473C7587" w14:textId="77777777" w:rsidR="007D058D" w:rsidRPr="007D058D" w:rsidRDefault="007D058D" w:rsidP="007D058D">
      <w:pPr>
        <w:spacing w:before="40" w:line="240" w:lineRule="auto"/>
        <w:jc w:val="center"/>
        <w:rPr>
          <w:spacing w:val="20"/>
          <w:sz w:val="28"/>
          <w:szCs w:val="28"/>
        </w:rPr>
      </w:pPr>
    </w:p>
    <w:p w14:paraId="75758492" w14:textId="77777777" w:rsidR="007D058D" w:rsidRPr="007D058D" w:rsidRDefault="007D058D" w:rsidP="007D058D">
      <w:pPr>
        <w:spacing w:before="40" w:line="240" w:lineRule="auto"/>
        <w:jc w:val="center"/>
        <w:rPr>
          <w:spacing w:val="20"/>
          <w:sz w:val="28"/>
          <w:szCs w:val="28"/>
        </w:rPr>
      </w:pPr>
    </w:p>
    <w:p w14:paraId="386BCEA6" w14:textId="77777777" w:rsidR="007D058D" w:rsidRPr="007D058D" w:rsidRDefault="007D058D" w:rsidP="007D058D">
      <w:pPr>
        <w:spacing w:before="40" w:line="240" w:lineRule="auto"/>
        <w:jc w:val="center"/>
        <w:rPr>
          <w:spacing w:val="20"/>
          <w:sz w:val="28"/>
          <w:szCs w:val="28"/>
        </w:rPr>
      </w:pPr>
    </w:p>
    <w:p w14:paraId="25FE3A0C" w14:textId="160D92B0" w:rsidR="007D058D" w:rsidRPr="007D058D" w:rsidRDefault="000436C0" w:rsidP="007D058D">
      <w:pPr>
        <w:spacing w:before="40" w:line="240" w:lineRule="auto"/>
        <w:jc w:val="center"/>
        <w:rPr>
          <w:b/>
          <w:bCs/>
          <w:spacing w:val="20"/>
          <w:sz w:val="28"/>
          <w:szCs w:val="28"/>
        </w:rPr>
      </w:pPr>
      <w:r w:rsidRPr="000436C0">
        <w:rPr>
          <w:spacing w:val="20"/>
          <w:sz w:val="36"/>
          <w:szCs w:val="24"/>
        </w:rPr>
        <w:t>Data Analytics in der Tourismusbranche am Beispiel der Firma Wilken</w:t>
      </w:r>
    </w:p>
    <w:p w14:paraId="2505ADDC" w14:textId="77777777" w:rsidR="007D058D" w:rsidRPr="007D058D" w:rsidRDefault="007D058D" w:rsidP="007D058D">
      <w:pPr>
        <w:spacing w:before="40" w:line="240" w:lineRule="auto"/>
        <w:jc w:val="center"/>
        <w:rPr>
          <w:spacing w:val="20"/>
          <w:sz w:val="28"/>
          <w:szCs w:val="28"/>
        </w:rPr>
      </w:pPr>
    </w:p>
    <w:p w14:paraId="65EBA00B" w14:textId="4F21ACC2" w:rsidR="007D058D" w:rsidRDefault="000436C0" w:rsidP="007D058D">
      <w:pPr>
        <w:spacing w:before="40" w:line="240" w:lineRule="auto"/>
        <w:jc w:val="center"/>
        <w:rPr>
          <w:spacing w:val="20"/>
          <w:sz w:val="28"/>
          <w:szCs w:val="28"/>
        </w:rPr>
      </w:pPr>
      <w:r>
        <w:rPr>
          <w:spacing w:val="20"/>
          <w:sz w:val="28"/>
          <w:szCs w:val="28"/>
        </w:rPr>
        <w:t>Masterarbeit</w:t>
      </w:r>
    </w:p>
    <w:p w14:paraId="1B67BF02" w14:textId="77777777" w:rsidR="007D058D" w:rsidRDefault="007D058D" w:rsidP="007D058D">
      <w:pPr>
        <w:spacing w:before="40" w:line="240" w:lineRule="auto"/>
        <w:jc w:val="center"/>
        <w:rPr>
          <w:spacing w:val="20"/>
          <w:sz w:val="28"/>
          <w:szCs w:val="28"/>
        </w:rPr>
      </w:pPr>
    </w:p>
    <w:p w14:paraId="7617709D" w14:textId="6C123966" w:rsidR="007D058D" w:rsidRPr="007D058D" w:rsidRDefault="007D058D" w:rsidP="007D058D">
      <w:pPr>
        <w:spacing w:before="40" w:line="240" w:lineRule="auto"/>
        <w:jc w:val="center"/>
        <w:rPr>
          <w:spacing w:val="20"/>
          <w:sz w:val="28"/>
          <w:szCs w:val="28"/>
        </w:rPr>
      </w:pPr>
      <w:r w:rsidRPr="007D058D">
        <w:rPr>
          <w:spacing w:val="20"/>
          <w:sz w:val="28"/>
          <w:szCs w:val="28"/>
        </w:rPr>
        <w:t>In Wirtschaftsmathematik</w:t>
      </w:r>
    </w:p>
    <w:p w14:paraId="7C481C69" w14:textId="77777777" w:rsidR="007D058D" w:rsidRPr="007D058D" w:rsidRDefault="007D058D" w:rsidP="007D058D">
      <w:pPr>
        <w:spacing w:before="40" w:line="240" w:lineRule="auto"/>
        <w:jc w:val="center"/>
        <w:rPr>
          <w:spacing w:val="20"/>
          <w:sz w:val="28"/>
          <w:szCs w:val="28"/>
        </w:rPr>
      </w:pPr>
    </w:p>
    <w:p w14:paraId="7576DF34" w14:textId="77777777" w:rsidR="007D058D" w:rsidRPr="007D058D" w:rsidRDefault="007D058D" w:rsidP="007D058D">
      <w:pPr>
        <w:spacing w:before="40" w:line="240" w:lineRule="auto"/>
        <w:jc w:val="center"/>
        <w:rPr>
          <w:spacing w:val="20"/>
          <w:sz w:val="28"/>
          <w:szCs w:val="28"/>
        </w:rPr>
      </w:pPr>
    </w:p>
    <w:p w14:paraId="6C5DBFDB" w14:textId="77777777" w:rsidR="007D058D" w:rsidRPr="007D058D" w:rsidRDefault="007D058D" w:rsidP="007D058D">
      <w:pPr>
        <w:spacing w:before="40" w:line="240" w:lineRule="auto"/>
        <w:jc w:val="center"/>
        <w:rPr>
          <w:spacing w:val="20"/>
          <w:sz w:val="28"/>
          <w:szCs w:val="28"/>
        </w:rPr>
      </w:pPr>
    </w:p>
    <w:p w14:paraId="63961909" w14:textId="77777777" w:rsidR="007D058D" w:rsidRPr="007D058D" w:rsidRDefault="007D058D" w:rsidP="007D058D">
      <w:pPr>
        <w:spacing w:before="40" w:line="240" w:lineRule="auto"/>
        <w:jc w:val="center"/>
        <w:rPr>
          <w:spacing w:val="20"/>
          <w:sz w:val="28"/>
          <w:szCs w:val="28"/>
        </w:rPr>
      </w:pPr>
    </w:p>
    <w:p w14:paraId="104B5E71" w14:textId="77777777" w:rsidR="007D058D" w:rsidRPr="007D058D" w:rsidRDefault="007D058D" w:rsidP="007D058D">
      <w:pPr>
        <w:spacing w:before="40" w:line="240" w:lineRule="auto"/>
        <w:jc w:val="center"/>
        <w:rPr>
          <w:spacing w:val="20"/>
          <w:sz w:val="28"/>
          <w:szCs w:val="28"/>
        </w:rPr>
      </w:pPr>
    </w:p>
    <w:p w14:paraId="3672C54E" w14:textId="77777777" w:rsidR="007D058D" w:rsidRPr="007D058D" w:rsidRDefault="007D058D" w:rsidP="007D058D">
      <w:pPr>
        <w:spacing w:before="40" w:line="240" w:lineRule="auto"/>
        <w:jc w:val="center"/>
        <w:rPr>
          <w:spacing w:val="20"/>
          <w:sz w:val="28"/>
          <w:szCs w:val="28"/>
        </w:rPr>
      </w:pPr>
    </w:p>
    <w:p w14:paraId="6C081A46" w14:textId="77777777" w:rsidR="007D058D" w:rsidRPr="007D058D" w:rsidRDefault="007D058D" w:rsidP="007D058D">
      <w:pPr>
        <w:spacing w:before="40" w:line="240" w:lineRule="auto"/>
        <w:jc w:val="center"/>
        <w:rPr>
          <w:spacing w:val="20"/>
          <w:sz w:val="28"/>
          <w:szCs w:val="28"/>
        </w:rPr>
      </w:pPr>
    </w:p>
    <w:p w14:paraId="0DE4E093" w14:textId="77777777" w:rsidR="007D058D" w:rsidRPr="007D058D" w:rsidRDefault="007D058D" w:rsidP="007D058D">
      <w:pPr>
        <w:spacing w:before="40" w:line="240" w:lineRule="auto"/>
        <w:jc w:val="center"/>
        <w:rPr>
          <w:spacing w:val="20"/>
          <w:sz w:val="28"/>
          <w:szCs w:val="28"/>
        </w:rPr>
      </w:pPr>
    </w:p>
    <w:p w14:paraId="208825AC" w14:textId="77777777" w:rsidR="007D058D" w:rsidRPr="007D058D" w:rsidRDefault="007D058D" w:rsidP="007D058D">
      <w:pPr>
        <w:spacing w:before="40" w:line="240" w:lineRule="auto"/>
        <w:jc w:val="center"/>
        <w:rPr>
          <w:spacing w:val="20"/>
          <w:sz w:val="28"/>
          <w:szCs w:val="28"/>
        </w:rPr>
      </w:pPr>
    </w:p>
    <w:p w14:paraId="2219E8CA" w14:textId="77777777" w:rsidR="007D058D" w:rsidRPr="007D058D" w:rsidRDefault="007D058D" w:rsidP="007D058D">
      <w:pPr>
        <w:spacing w:before="40" w:line="240" w:lineRule="auto"/>
        <w:jc w:val="center"/>
        <w:rPr>
          <w:spacing w:val="20"/>
          <w:sz w:val="28"/>
          <w:szCs w:val="28"/>
        </w:rPr>
      </w:pPr>
    </w:p>
    <w:p w14:paraId="570454CA" w14:textId="77777777" w:rsidR="007D058D" w:rsidRPr="007D058D" w:rsidRDefault="007D058D" w:rsidP="007D058D">
      <w:pPr>
        <w:spacing w:before="40" w:line="240" w:lineRule="auto"/>
        <w:jc w:val="center"/>
        <w:rPr>
          <w:spacing w:val="20"/>
          <w:sz w:val="20"/>
          <w:szCs w:val="24"/>
        </w:rPr>
      </w:pPr>
    </w:p>
    <w:p w14:paraId="5C35A731" w14:textId="77777777" w:rsidR="007D058D" w:rsidRPr="007D058D" w:rsidRDefault="007D058D" w:rsidP="007D058D">
      <w:pPr>
        <w:spacing w:before="40" w:line="240" w:lineRule="auto"/>
        <w:jc w:val="center"/>
        <w:rPr>
          <w:spacing w:val="14"/>
        </w:rPr>
      </w:pPr>
      <w:r w:rsidRPr="007D058D">
        <w:rPr>
          <w:spacing w:val="14"/>
        </w:rPr>
        <w:t>vorgelegt von</w:t>
      </w:r>
    </w:p>
    <w:p w14:paraId="115BEC87" w14:textId="0C68F271" w:rsidR="007D058D" w:rsidRPr="007D058D" w:rsidRDefault="000436C0" w:rsidP="007D058D">
      <w:pPr>
        <w:spacing w:before="40" w:line="240" w:lineRule="auto"/>
        <w:jc w:val="center"/>
        <w:rPr>
          <w:spacing w:val="14"/>
        </w:rPr>
      </w:pPr>
      <w:r>
        <w:rPr>
          <w:spacing w:val="14"/>
        </w:rPr>
        <w:t>Oechslein</w:t>
      </w:r>
      <w:r w:rsidR="007D058D" w:rsidRPr="007D058D">
        <w:rPr>
          <w:spacing w:val="14"/>
        </w:rPr>
        <w:t xml:space="preserve">, </w:t>
      </w:r>
      <w:r>
        <w:rPr>
          <w:spacing w:val="14"/>
        </w:rPr>
        <w:t>Felix</w:t>
      </w:r>
      <w:r w:rsidR="007D058D" w:rsidRPr="007D058D">
        <w:rPr>
          <w:spacing w:val="14"/>
        </w:rPr>
        <w:t xml:space="preserve">, </w:t>
      </w:r>
      <w:r>
        <w:rPr>
          <w:spacing w:val="14"/>
        </w:rPr>
        <w:t>1010801</w:t>
      </w:r>
      <w:r w:rsidR="007D058D" w:rsidRPr="007D058D">
        <w:rPr>
          <w:spacing w:val="14"/>
        </w:rPr>
        <w:t xml:space="preserve">, </w:t>
      </w:r>
      <w:r>
        <w:rPr>
          <w:spacing w:val="14"/>
        </w:rPr>
        <w:t>Wirtschaftsmathematik</w:t>
      </w:r>
      <w:r w:rsidR="007D058D" w:rsidRPr="007D058D">
        <w:rPr>
          <w:spacing w:val="14"/>
        </w:rPr>
        <w:t>, Semester</w:t>
      </w:r>
      <w:r>
        <w:rPr>
          <w:spacing w:val="14"/>
        </w:rPr>
        <w:t xml:space="preserve"> 11</w:t>
      </w:r>
    </w:p>
    <w:p w14:paraId="0E8DB5D6" w14:textId="117C3218" w:rsidR="007D058D" w:rsidRPr="007D058D" w:rsidRDefault="007D058D" w:rsidP="007D058D">
      <w:pPr>
        <w:spacing w:before="40" w:line="240" w:lineRule="auto"/>
        <w:jc w:val="center"/>
        <w:rPr>
          <w:spacing w:val="14"/>
        </w:rPr>
      </w:pPr>
      <w:r w:rsidRPr="007D058D">
        <w:rPr>
          <w:spacing w:val="14"/>
        </w:rPr>
        <w:t xml:space="preserve">am </w:t>
      </w:r>
      <w:r w:rsidR="000436C0">
        <w:rPr>
          <w:spacing w:val="14"/>
        </w:rPr>
        <w:t>31.05.2023</w:t>
      </w:r>
    </w:p>
    <w:p w14:paraId="6D858E75" w14:textId="77777777" w:rsidR="007D058D" w:rsidRDefault="007D058D" w:rsidP="007D058D">
      <w:pPr>
        <w:keepNext/>
        <w:spacing w:before="240" w:after="60" w:line="240" w:lineRule="auto"/>
        <w:jc w:val="center"/>
        <w:outlineLvl w:val="2"/>
        <w:rPr>
          <w:spacing w:val="14"/>
        </w:rPr>
      </w:pPr>
    </w:p>
    <w:p w14:paraId="37B715CA" w14:textId="77777777" w:rsidR="007D058D" w:rsidRPr="00450B94" w:rsidRDefault="007D058D" w:rsidP="00450B94">
      <w:pPr>
        <w:jc w:val="center"/>
        <w:rPr>
          <w:b/>
        </w:rPr>
      </w:pPr>
      <w:r w:rsidRPr="00450B94">
        <w:rPr>
          <w:b/>
        </w:rPr>
        <w:t>Gutachter</w:t>
      </w:r>
    </w:p>
    <w:p w14:paraId="05CBC6D2" w14:textId="77777777" w:rsidR="007D058D" w:rsidRPr="007D058D" w:rsidRDefault="007D058D" w:rsidP="007D058D">
      <w:pPr>
        <w:spacing w:before="40" w:line="240" w:lineRule="auto"/>
        <w:jc w:val="center"/>
        <w:rPr>
          <w:spacing w:val="14"/>
        </w:rPr>
      </w:pPr>
    </w:p>
    <w:p w14:paraId="759710FF" w14:textId="6B2B08D1" w:rsidR="007D058D" w:rsidRPr="007D058D" w:rsidRDefault="000436C0" w:rsidP="007D058D">
      <w:pPr>
        <w:spacing w:before="40" w:line="240" w:lineRule="auto"/>
        <w:jc w:val="center"/>
        <w:rPr>
          <w:spacing w:val="14"/>
        </w:rPr>
      </w:pPr>
      <w:r>
        <w:rPr>
          <w:spacing w:val="14"/>
        </w:rPr>
        <w:t>Prof. Dr. Mathias Klier</w:t>
      </w:r>
    </w:p>
    <w:p w14:paraId="3F73F502" w14:textId="46A34683" w:rsidR="007D058D" w:rsidRPr="007D058D" w:rsidRDefault="000436C0" w:rsidP="007D058D">
      <w:pPr>
        <w:spacing w:before="40" w:line="240" w:lineRule="auto"/>
        <w:jc w:val="center"/>
        <w:rPr>
          <w:spacing w:val="14"/>
        </w:rPr>
      </w:pPr>
      <w:r>
        <w:rPr>
          <w:spacing w:val="14"/>
        </w:rPr>
        <w:t>Pof. Dr. Mitja Stadje</w:t>
      </w:r>
    </w:p>
    <w:p w14:paraId="5E8B16A1" w14:textId="77777777" w:rsidR="009D7C31" w:rsidRDefault="007D058D" w:rsidP="00316944">
      <w:pPr>
        <w:pStyle w:val="berschrift1"/>
        <w:numPr>
          <w:ilvl w:val="0"/>
          <w:numId w:val="0"/>
        </w:numPr>
        <w:ind w:left="432" w:hanging="432"/>
      </w:pPr>
      <w:r>
        <w:rPr>
          <w:rStyle w:val="berschrift1Zchn"/>
          <w:b/>
          <w:bCs/>
        </w:rPr>
        <w:br w:type="column"/>
      </w:r>
      <w:bookmarkStart w:id="2" w:name="_Toc69975038"/>
      <w:r w:rsidR="00DF1265" w:rsidRPr="00FC79C7">
        <w:rPr>
          <w:rStyle w:val="berschrift1Zchn"/>
          <w:b/>
          <w:bCs/>
        </w:rPr>
        <w:lastRenderedPageBreak/>
        <w:t>Sperrvermerk</w:t>
      </w:r>
      <w:bookmarkEnd w:id="0"/>
      <w:bookmarkEnd w:id="1"/>
      <w:bookmarkEnd w:id="2"/>
    </w:p>
    <w:p w14:paraId="18F01494" w14:textId="77777777" w:rsidR="00DF1265" w:rsidRPr="009D7C31" w:rsidRDefault="00DF1265" w:rsidP="009D7C31">
      <w:r w:rsidRPr="009D7C31">
        <w:t>(nur bei Arbeiten in Kooperation mit Unternehmen)</w:t>
      </w:r>
    </w:p>
    <w:p w14:paraId="4D522F6E" w14:textId="77777777" w:rsidR="00DF1265" w:rsidRPr="00CA2AB5" w:rsidRDefault="00DF1265" w:rsidP="00316944">
      <w:pPr>
        <w:pStyle w:val="Textkrper"/>
      </w:pPr>
    </w:p>
    <w:p w14:paraId="64F27B9B" w14:textId="1260EE12" w:rsidR="00DF1265" w:rsidRPr="00316944" w:rsidRDefault="00DF1265" w:rsidP="00316944">
      <w:r w:rsidRPr="00316944">
        <w:t xml:space="preserve">Diese Arbeit enthält Informationen und Daten, welche die Belange und Interessen der </w:t>
      </w:r>
      <w:r w:rsidR="00163167" w:rsidRPr="00163167">
        <w:rPr>
          <w:i/>
        </w:rPr>
        <w:t>XYZ</w:t>
      </w:r>
      <w:r w:rsidRPr="00163167">
        <w:rPr>
          <w:i/>
        </w:rPr>
        <w:t xml:space="preserve"> GmbH</w:t>
      </w:r>
      <w:r w:rsidRPr="00316944">
        <w:t xml:space="preserve"> betreffen. Angegebene Daten und Informationen dürfen nicht an Dritte weitergegeben oder in irgendeiner Form veröffentlicht bzw. kopiert werden, auch nicht auszugsweise.</w:t>
      </w:r>
    </w:p>
    <w:p w14:paraId="457CD1AF" w14:textId="77777777" w:rsidR="00DF1265" w:rsidRDefault="00DF1265" w:rsidP="00316944"/>
    <w:p w14:paraId="4F52CDA4" w14:textId="77777777" w:rsidR="00163167" w:rsidRDefault="00163167" w:rsidP="00316944"/>
    <w:p w14:paraId="36A7E512" w14:textId="77777777" w:rsidR="00163167" w:rsidRPr="00316944" w:rsidRDefault="00163167" w:rsidP="00316944"/>
    <w:p w14:paraId="1391705B" w14:textId="77777777" w:rsidR="00163167" w:rsidRPr="00CA2AB5" w:rsidRDefault="00163167" w:rsidP="00163167">
      <w:pPr>
        <w:pStyle w:val="Kopfzeile"/>
      </w:pPr>
    </w:p>
    <w:p w14:paraId="4D9000EA" w14:textId="77777777" w:rsidR="00163167" w:rsidRPr="00CA2AB5" w:rsidRDefault="00163167" w:rsidP="00163167">
      <w:pPr>
        <w:pStyle w:val="Kopfzeile"/>
      </w:pPr>
      <w:r w:rsidRPr="00CA2AB5">
        <w:t>_________________________</w:t>
      </w:r>
      <w:r w:rsidRPr="00CA2AB5">
        <w:tab/>
      </w:r>
      <w:r>
        <w:tab/>
        <w:t>_________________________</w:t>
      </w:r>
    </w:p>
    <w:p w14:paraId="287FF124" w14:textId="77777777" w:rsidR="00163167" w:rsidRPr="00CA2AB5" w:rsidRDefault="00163167" w:rsidP="00163167">
      <w:pPr>
        <w:pStyle w:val="Kopfzeile"/>
        <w:tabs>
          <w:tab w:val="clear" w:pos="4536"/>
          <w:tab w:val="clear" w:pos="9072"/>
          <w:tab w:val="center" w:pos="3686"/>
          <w:tab w:val="right" w:pos="8080"/>
        </w:tabs>
        <w:rPr>
          <w:bCs/>
        </w:rPr>
      </w:pPr>
      <w:r>
        <w:t xml:space="preserve">Ort, </w:t>
      </w:r>
      <w:r w:rsidRPr="00CA2AB5">
        <w:t>Datum</w:t>
      </w:r>
      <w:r>
        <w:tab/>
      </w:r>
      <w:r>
        <w:tab/>
        <w:t>Vorname Nachname</w:t>
      </w:r>
    </w:p>
    <w:p w14:paraId="1B57204F" w14:textId="77777777" w:rsidR="00FE1E6E" w:rsidRPr="005853B9" w:rsidRDefault="00FE1E6E" w:rsidP="005853B9">
      <w:pPr>
        <w:rPr>
          <w:b/>
          <w:bCs/>
          <w:sz w:val="28"/>
          <w:szCs w:val="28"/>
        </w:rPr>
      </w:pPr>
      <w:r w:rsidRPr="005853B9">
        <w:rPr>
          <w:b/>
          <w:bCs/>
          <w:sz w:val="28"/>
          <w:szCs w:val="28"/>
        </w:rPr>
        <w:br w:type="page"/>
      </w:r>
      <w:bookmarkStart w:id="3" w:name="_Toc489363981"/>
      <w:bookmarkStart w:id="4" w:name="_Toc489364072"/>
      <w:r w:rsidRPr="005853B9">
        <w:rPr>
          <w:b/>
          <w:bCs/>
          <w:sz w:val="28"/>
          <w:szCs w:val="28"/>
        </w:rPr>
        <w:lastRenderedPageBreak/>
        <w:t>Inhaltsverzeich</w:t>
      </w:r>
      <w:bookmarkEnd w:id="3"/>
      <w:bookmarkEnd w:id="4"/>
      <w:r w:rsidR="00465D48" w:rsidRPr="005853B9">
        <w:rPr>
          <w:b/>
          <w:bCs/>
          <w:sz w:val="28"/>
          <w:szCs w:val="28"/>
        </w:rPr>
        <w:t>nis</w:t>
      </w:r>
    </w:p>
    <w:p w14:paraId="3E947B19" w14:textId="553289A1" w:rsidR="005853B9" w:rsidRDefault="005F323D">
      <w:pPr>
        <w:pStyle w:val="Verzeichnis1"/>
        <w:rPr>
          <w:rFonts w:asciiTheme="minorHAnsi" w:eastAsiaTheme="minorEastAsia" w:hAnsiTheme="minorHAnsi" w:cstheme="minorBidi"/>
          <w:bCs w:val="0"/>
        </w:rPr>
      </w:pPr>
      <w:r>
        <w:rPr>
          <w:b/>
        </w:rPr>
        <w:fldChar w:fldCharType="begin"/>
      </w:r>
      <w:r>
        <w:rPr>
          <w:b/>
        </w:rPr>
        <w:instrText xml:space="preserve"> TOC \o "1-3" \u </w:instrText>
      </w:r>
      <w:r>
        <w:rPr>
          <w:b/>
        </w:rPr>
        <w:fldChar w:fldCharType="separate"/>
      </w:r>
      <w:r w:rsidR="005853B9">
        <w:t>Sperrvermerk</w:t>
      </w:r>
      <w:r w:rsidR="005853B9">
        <w:tab/>
      </w:r>
      <w:r w:rsidR="005853B9">
        <w:fldChar w:fldCharType="begin"/>
      </w:r>
      <w:r w:rsidR="005853B9">
        <w:instrText xml:space="preserve"> PAGEREF _Toc69975038 \h </w:instrText>
      </w:r>
      <w:r w:rsidR="005853B9">
        <w:fldChar w:fldCharType="separate"/>
      </w:r>
      <w:r w:rsidR="005853B9">
        <w:t>II</w:t>
      </w:r>
      <w:r w:rsidR="005853B9">
        <w:fldChar w:fldCharType="end"/>
      </w:r>
    </w:p>
    <w:p w14:paraId="61434346" w14:textId="792A7AB3" w:rsidR="005853B9" w:rsidRDefault="005853B9">
      <w:pPr>
        <w:pStyle w:val="Verzeichnis1"/>
        <w:rPr>
          <w:rFonts w:asciiTheme="minorHAnsi" w:eastAsiaTheme="minorEastAsia" w:hAnsiTheme="minorHAnsi" w:cstheme="minorBidi"/>
          <w:bCs w:val="0"/>
        </w:rPr>
      </w:pPr>
      <w:r>
        <w:t>Abbildungsverzeichnis</w:t>
      </w:r>
      <w:r>
        <w:tab/>
      </w:r>
      <w:r>
        <w:fldChar w:fldCharType="begin"/>
      </w:r>
      <w:r>
        <w:instrText xml:space="preserve"> PAGEREF _Toc69975039 \h </w:instrText>
      </w:r>
      <w:r>
        <w:fldChar w:fldCharType="separate"/>
      </w:r>
      <w:r>
        <w:t>IV</w:t>
      </w:r>
      <w:r>
        <w:fldChar w:fldCharType="end"/>
      </w:r>
    </w:p>
    <w:p w14:paraId="6C78C26C" w14:textId="6A92AE97" w:rsidR="005853B9" w:rsidRDefault="005853B9">
      <w:pPr>
        <w:pStyle w:val="Verzeichnis1"/>
        <w:rPr>
          <w:rFonts w:asciiTheme="minorHAnsi" w:eastAsiaTheme="minorEastAsia" w:hAnsiTheme="minorHAnsi" w:cstheme="minorBidi"/>
          <w:bCs w:val="0"/>
        </w:rPr>
      </w:pPr>
      <w:r>
        <w:t>Tabellenverzeichnis</w:t>
      </w:r>
      <w:r>
        <w:tab/>
      </w:r>
      <w:r>
        <w:fldChar w:fldCharType="begin"/>
      </w:r>
      <w:r>
        <w:instrText xml:space="preserve"> PAGEREF _Toc69975040 \h </w:instrText>
      </w:r>
      <w:r>
        <w:fldChar w:fldCharType="separate"/>
      </w:r>
      <w:r>
        <w:t>V</w:t>
      </w:r>
      <w:r>
        <w:fldChar w:fldCharType="end"/>
      </w:r>
    </w:p>
    <w:p w14:paraId="6FC79BF2" w14:textId="65211A12" w:rsidR="005853B9" w:rsidRDefault="005853B9">
      <w:pPr>
        <w:pStyle w:val="Verzeichnis1"/>
        <w:rPr>
          <w:rFonts w:asciiTheme="minorHAnsi" w:eastAsiaTheme="minorEastAsia" w:hAnsiTheme="minorHAnsi" w:cstheme="minorBidi"/>
          <w:bCs w:val="0"/>
        </w:rPr>
      </w:pPr>
      <w:r>
        <w:t>Abkürzungsverzeichnis</w:t>
      </w:r>
      <w:r>
        <w:tab/>
      </w:r>
      <w:r>
        <w:fldChar w:fldCharType="begin"/>
      </w:r>
      <w:r>
        <w:instrText xml:space="preserve"> PAGEREF _Toc69975041 \h </w:instrText>
      </w:r>
      <w:r>
        <w:fldChar w:fldCharType="separate"/>
      </w:r>
      <w:r>
        <w:t>VI</w:t>
      </w:r>
      <w:r>
        <w:fldChar w:fldCharType="end"/>
      </w:r>
    </w:p>
    <w:p w14:paraId="57B696B6" w14:textId="3D52AC1C" w:rsidR="005853B9" w:rsidRDefault="005853B9">
      <w:pPr>
        <w:pStyle w:val="Verzeichnis1"/>
        <w:rPr>
          <w:rFonts w:asciiTheme="minorHAnsi" w:eastAsiaTheme="minorEastAsia" w:hAnsiTheme="minorHAnsi" w:cstheme="minorBidi"/>
          <w:bCs w:val="0"/>
        </w:rPr>
      </w:pPr>
      <w:r>
        <w:t>1</w:t>
      </w:r>
      <w:r>
        <w:rPr>
          <w:rFonts w:asciiTheme="minorHAnsi" w:eastAsiaTheme="minorEastAsia" w:hAnsiTheme="minorHAnsi" w:cstheme="minorBidi"/>
          <w:bCs w:val="0"/>
        </w:rPr>
        <w:tab/>
      </w:r>
      <w:r>
        <w:t>Formatierung</w:t>
      </w:r>
      <w:r>
        <w:tab/>
      </w:r>
      <w:r>
        <w:fldChar w:fldCharType="begin"/>
      </w:r>
      <w:r>
        <w:instrText xml:space="preserve"> PAGEREF _Toc69975042 \h </w:instrText>
      </w:r>
      <w:r>
        <w:fldChar w:fldCharType="separate"/>
      </w:r>
      <w:r>
        <w:t>1</w:t>
      </w:r>
      <w:r>
        <w:fldChar w:fldCharType="end"/>
      </w:r>
    </w:p>
    <w:p w14:paraId="12C0B171" w14:textId="2B0C6B61" w:rsidR="005853B9" w:rsidRDefault="005853B9">
      <w:pPr>
        <w:pStyle w:val="Verzeichnis2"/>
        <w:tabs>
          <w:tab w:val="left" w:pos="880"/>
          <w:tab w:val="right" w:leader="dot" w:pos="9061"/>
        </w:tabs>
        <w:rPr>
          <w:rFonts w:asciiTheme="minorHAnsi" w:eastAsiaTheme="minorEastAsia" w:hAnsiTheme="minorHAnsi" w:cstheme="minorBidi"/>
          <w:iCs w:val="0"/>
          <w:noProof/>
          <w:szCs w:val="22"/>
        </w:rPr>
      </w:pPr>
      <w:r w:rsidRPr="00D317FE">
        <w:rPr>
          <w:noProof/>
        </w:rPr>
        <w:t>1.1</w:t>
      </w:r>
      <w:r>
        <w:rPr>
          <w:rFonts w:asciiTheme="minorHAnsi" w:eastAsiaTheme="minorEastAsia" w:hAnsiTheme="minorHAnsi" w:cstheme="minorBidi"/>
          <w:iCs w:val="0"/>
          <w:noProof/>
          <w:szCs w:val="22"/>
        </w:rPr>
        <w:tab/>
      </w:r>
      <w:r w:rsidRPr="00D317FE">
        <w:rPr>
          <w:noProof/>
        </w:rPr>
        <w:t>Untergliederung der Kapitel</w:t>
      </w:r>
      <w:r>
        <w:rPr>
          <w:noProof/>
        </w:rPr>
        <w:tab/>
      </w:r>
      <w:r>
        <w:rPr>
          <w:noProof/>
        </w:rPr>
        <w:fldChar w:fldCharType="begin"/>
      </w:r>
      <w:r>
        <w:rPr>
          <w:noProof/>
        </w:rPr>
        <w:instrText xml:space="preserve"> PAGEREF _Toc69975043 \h </w:instrText>
      </w:r>
      <w:r>
        <w:rPr>
          <w:noProof/>
        </w:rPr>
      </w:r>
      <w:r>
        <w:rPr>
          <w:noProof/>
        </w:rPr>
        <w:fldChar w:fldCharType="separate"/>
      </w:r>
      <w:r>
        <w:rPr>
          <w:noProof/>
        </w:rPr>
        <w:t>2</w:t>
      </w:r>
      <w:r>
        <w:rPr>
          <w:noProof/>
        </w:rPr>
        <w:fldChar w:fldCharType="end"/>
      </w:r>
    </w:p>
    <w:p w14:paraId="0563F00E" w14:textId="45396131" w:rsidR="005853B9" w:rsidRDefault="005853B9">
      <w:pPr>
        <w:pStyle w:val="Verzeichnis3"/>
        <w:tabs>
          <w:tab w:val="left" w:pos="1320"/>
          <w:tab w:val="right" w:leader="dot" w:pos="9061"/>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noProof/>
        </w:rPr>
        <w:t>Weitere Untergliederung der Unterkapitel</w:t>
      </w:r>
      <w:r>
        <w:rPr>
          <w:noProof/>
        </w:rPr>
        <w:tab/>
      </w:r>
      <w:r>
        <w:rPr>
          <w:noProof/>
        </w:rPr>
        <w:fldChar w:fldCharType="begin"/>
      </w:r>
      <w:r>
        <w:rPr>
          <w:noProof/>
        </w:rPr>
        <w:instrText xml:space="preserve"> PAGEREF _Toc69975044 \h </w:instrText>
      </w:r>
      <w:r>
        <w:rPr>
          <w:noProof/>
        </w:rPr>
      </w:r>
      <w:r>
        <w:rPr>
          <w:noProof/>
        </w:rPr>
        <w:fldChar w:fldCharType="separate"/>
      </w:r>
      <w:r>
        <w:rPr>
          <w:noProof/>
        </w:rPr>
        <w:t>2</w:t>
      </w:r>
      <w:r>
        <w:rPr>
          <w:noProof/>
        </w:rPr>
        <w:fldChar w:fldCharType="end"/>
      </w:r>
    </w:p>
    <w:p w14:paraId="65FCFECF" w14:textId="305EA3B8" w:rsidR="005853B9" w:rsidRDefault="005853B9">
      <w:pPr>
        <w:pStyle w:val="Verzeichnis1"/>
        <w:rPr>
          <w:rFonts w:asciiTheme="minorHAnsi" w:eastAsiaTheme="minorEastAsia" w:hAnsiTheme="minorHAnsi" w:cstheme="minorBidi"/>
          <w:bCs w:val="0"/>
        </w:rPr>
      </w:pPr>
      <w:r>
        <w:t>2</w:t>
      </w:r>
      <w:r>
        <w:rPr>
          <w:rFonts w:asciiTheme="minorHAnsi" w:eastAsiaTheme="minorEastAsia" w:hAnsiTheme="minorHAnsi" w:cstheme="minorBidi"/>
          <w:bCs w:val="0"/>
        </w:rPr>
        <w:tab/>
      </w:r>
      <w:r>
        <w:t>Zitieren</w:t>
      </w:r>
      <w:r>
        <w:tab/>
      </w:r>
      <w:r>
        <w:fldChar w:fldCharType="begin"/>
      </w:r>
      <w:r>
        <w:instrText xml:space="preserve"> PAGEREF _Toc69975045 \h </w:instrText>
      </w:r>
      <w:r>
        <w:fldChar w:fldCharType="separate"/>
      </w:r>
      <w:r>
        <w:t>3</w:t>
      </w:r>
      <w:r>
        <w:fldChar w:fldCharType="end"/>
      </w:r>
    </w:p>
    <w:p w14:paraId="35C82E1B" w14:textId="0BCDDB9D" w:rsidR="005853B9" w:rsidRDefault="005853B9">
      <w:pPr>
        <w:pStyle w:val="Verzeichnis1"/>
        <w:rPr>
          <w:rFonts w:asciiTheme="minorHAnsi" w:eastAsiaTheme="minorEastAsia" w:hAnsiTheme="minorHAnsi" w:cstheme="minorBidi"/>
          <w:bCs w:val="0"/>
        </w:rPr>
      </w:pPr>
      <w:r>
        <w:t>3</w:t>
      </w:r>
      <w:r>
        <w:rPr>
          <w:rFonts w:asciiTheme="minorHAnsi" w:eastAsiaTheme="minorEastAsia" w:hAnsiTheme="minorHAnsi" w:cstheme="minorBidi"/>
          <w:bCs w:val="0"/>
        </w:rPr>
        <w:tab/>
      </w:r>
      <w:r>
        <w:t>Richtlinien zur Abgabe der wissenschaftlichen Arbeiten</w:t>
      </w:r>
      <w:r>
        <w:tab/>
      </w:r>
      <w:r>
        <w:fldChar w:fldCharType="begin"/>
      </w:r>
      <w:r>
        <w:instrText xml:space="preserve"> PAGEREF _Toc69975046 \h </w:instrText>
      </w:r>
      <w:r>
        <w:fldChar w:fldCharType="separate"/>
      </w:r>
      <w:r>
        <w:t>5</w:t>
      </w:r>
      <w:r>
        <w:fldChar w:fldCharType="end"/>
      </w:r>
    </w:p>
    <w:p w14:paraId="5B9D92A8" w14:textId="06A21573" w:rsidR="005853B9" w:rsidRDefault="005853B9">
      <w:pPr>
        <w:pStyle w:val="Verzeichnis1"/>
        <w:rPr>
          <w:rFonts w:asciiTheme="minorHAnsi" w:eastAsiaTheme="minorEastAsia" w:hAnsiTheme="minorHAnsi" w:cstheme="minorBidi"/>
          <w:bCs w:val="0"/>
        </w:rPr>
      </w:pPr>
      <w:r>
        <w:t>Anlage</w:t>
      </w:r>
      <w:r>
        <w:tab/>
      </w:r>
      <w:r>
        <w:fldChar w:fldCharType="begin"/>
      </w:r>
      <w:r>
        <w:instrText xml:space="preserve"> PAGEREF _Toc69975047 \h </w:instrText>
      </w:r>
      <w:r>
        <w:fldChar w:fldCharType="separate"/>
      </w:r>
      <w:r>
        <w:t>VII</w:t>
      </w:r>
      <w:r>
        <w:fldChar w:fldCharType="end"/>
      </w:r>
    </w:p>
    <w:p w14:paraId="4710107F" w14:textId="1A8C413B" w:rsidR="005853B9" w:rsidRDefault="005853B9">
      <w:pPr>
        <w:pStyle w:val="Verzeichnis1"/>
        <w:rPr>
          <w:rFonts w:asciiTheme="minorHAnsi" w:eastAsiaTheme="minorEastAsia" w:hAnsiTheme="minorHAnsi" w:cstheme="minorBidi"/>
          <w:bCs w:val="0"/>
        </w:rPr>
      </w:pPr>
      <w:r>
        <w:t>Literaturverzeichnis</w:t>
      </w:r>
      <w:r>
        <w:tab/>
      </w:r>
      <w:r>
        <w:fldChar w:fldCharType="begin"/>
      </w:r>
      <w:r>
        <w:instrText xml:space="preserve"> PAGEREF _Toc69975048 \h </w:instrText>
      </w:r>
      <w:r>
        <w:fldChar w:fldCharType="separate"/>
      </w:r>
      <w:r>
        <w:t>VIII</w:t>
      </w:r>
      <w:r>
        <w:fldChar w:fldCharType="end"/>
      </w:r>
    </w:p>
    <w:p w14:paraId="4E55AD54" w14:textId="2905B23B" w:rsidR="005853B9" w:rsidRDefault="005853B9">
      <w:pPr>
        <w:pStyle w:val="Verzeichnis1"/>
        <w:rPr>
          <w:rFonts w:asciiTheme="minorHAnsi" w:eastAsiaTheme="minorEastAsia" w:hAnsiTheme="minorHAnsi" w:cstheme="minorBidi"/>
          <w:bCs w:val="0"/>
        </w:rPr>
      </w:pPr>
      <w:r>
        <w:t>Ehrenwörtliche Erklärung</w:t>
      </w:r>
      <w:r>
        <w:tab/>
      </w:r>
      <w:r>
        <w:fldChar w:fldCharType="begin"/>
      </w:r>
      <w:r>
        <w:instrText xml:space="preserve"> PAGEREF _Toc69975049 \h </w:instrText>
      </w:r>
      <w:r>
        <w:fldChar w:fldCharType="separate"/>
      </w:r>
      <w:r>
        <w:t>XI</w:t>
      </w:r>
      <w:r>
        <w:fldChar w:fldCharType="end"/>
      </w:r>
    </w:p>
    <w:p w14:paraId="6B3D0EB7" w14:textId="47E75D83" w:rsidR="00FE1E6E" w:rsidRDefault="005F323D" w:rsidP="00952416">
      <w:pPr>
        <w:pStyle w:val="berschrift1"/>
        <w:numPr>
          <w:ilvl w:val="0"/>
          <w:numId w:val="0"/>
        </w:numPr>
      </w:pPr>
      <w:r>
        <w:rPr>
          <w:b w:val="0"/>
          <w:noProof/>
          <w:kern w:val="0"/>
        </w:rPr>
        <w:fldChar w:fldCharType="end"/>
      </w:r>
      <w:r w:rsidR="00FE1E6E" w:rsidRPr="00CA2AB5">
        <w:br w:type="page"/>
      </w:r>
      <w:bookmarkStart w:id="5" w:name="_Toc489363982"/>
      <w:bookmarkStart w:id="6" w:name="_Toc489364073"/>
      <w:bookmarkStart w:id="7" w:name="_Toc69975039"/>
      <w:r w:rsidR="00FE1E6E" w:rsidRPr="00FC79C7">
        <w:lastRenderedPageBreak/>
        <w:t>Abbildungs</w:t>
      </w:r>
      <w:bookmarkEnd w:id="5"/>
      <w:bookmarkEnd w:id="6"/>
      <w:r w:rsidR="007D058D">
        <w:t>verzeichnis</w:t>
      </w:r>
      <w:bookmarkEnd w:id="7"/>
    </w:p>
    <w:p w14:paraId="206A7EDD" w14:textId="291ACDF3" w:rsidR="00657CDE" w:rsidRDefault="007300BD">
      <w:pPr>
        <w:pStyle w:val="Abbildungsverzeichnis"/>
        <w:tabs>
          <w:tab w:val="right" w:leader="dot" w:pos="9061"/>
        </w:tabs>
        <w:rPr>
          <w:noProof/>
        </w:rPr>
      </w:pPr>
      <w:r>
        <w:rPr>
          <w:noProof/>
        </w:rPr>
        <mc:AlternateContent>
          <mc:Choice Requires="wps">
            <w:drawing>
              <wp:anchor distT="45720" distB="45720" distL="114300" distR="114300" simplePos="0" relativeHeight="251659776" behindDoc="0" locked="0" layoutInCell="1" allowOverlap="1" wp14:anchorId="5D0DA28F" wp14:editId="34A5A280">
                <wp:simplePos x="0" y="0"/>
                <wp:positionH relativeFrom="column">
                  <wp:posOffset>-17780</wp:posOffset>
                </wp:positionH>
                <wp:positionV relativeFrom="paragraph">
                  <wp:posOffset>304165</wp:posOffset>
                </wp:positionV>
                <wp:extent cx="5760085" cy="3084830"/>
                <wp:effectExtent l="14605" t="16510" r="16510" b="13335"/>
                <wp:wrapSquare wrapText="bothSides"/>
                <wp:docPr id="1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3084830"/>
                        </a:xfrm>
                        <a:prstGeom prst="roundRect">
                          <a:avLst>
                            <a:gd name="adj" fmla="val 16667"/>
                          </a:avLst>
                        </a:prstGeom>
                        <a:solidFill>
                          <a:srgbClr val="FFFFFF"/>
                        </a:solidFill>
                        <a:ln w="19050">
                          <a:solidFill>
                            <a:srgbClr val="777777"/>
                          </a:solidFill>
                          <a:miter lim="800000"/>
                          <a:headEnd/>
                          <a:tailEnd/>
                        </a:ln>
                      </wps:spPr>
                      <wps:txbx>
                        <w:txbxContent>
                          <w:p w14:paraId="03E827B2" w14:textId="3A35E56E" w:rsidR="00AA7B89" w:rsidRDefault="00163167" w:rsidP="00AA7B89">
                            <w:r>
                              <w:t>Hinweis</w:t>
                            </w:r>
                            <w:r w:rsidR="00AA7B89">
                              <w:t>:</w:t>
                            </w:r>
                          </w:p>
                          <w:p w14:paraId="7C4792EE" w14:textId="53836435" w:rsidR="00AA7B89" w:rsidRDefault="00AA7B89" w:rsidP="00AA7B89">
                            <w:r>
                              <w:t>In d</w:t>
                            </w:r>
                            <w:r w:rsidR="006859DA">
                              <w:t>iesem und dem kommenden</w:t>
                            </w:r>
                            <w:r>
                              <w:t xml:space="preserve"> Verzeichnis werden Abbildungen und Tabellen mit ihrer Bezeichnung und der Seite, auf der sie abgebildet sind, in chronologischer Reihenfolge aufgeführt. Die Formatierung ist angelehnt an die, die auch für den Text verwendet wird:</w:t>
                            </w:r>
                          </w:p>
                          <w:p w14:paraId="60DCA84C" w14:textId="77777777" w:rsidR="00AA7B89" w:rsidRDefault="00AA7B89" w:rsidP="00AA7B89">
                            <w:pPr>
                              <w:numPr>
                                <w:ilvl w:val="0"/>
                                <w:numId w:val="8"/>
                              </w:numPr>
                              <w:ind w:left="567" w:hanging="567"/>
                            </w:pPr>
                            <w:r>
                              <w:t>Schriftart Arial</w:t>
                            </w:r>
                          </w:p>
                          <w:p w14:paraId="0C3164EC" w14:textId="77777777" w:rsidR="00AA7B89" w:rsidRDefault="00AA7B89" w:rsidP="00AA7B89">
                            <w:pPr>
                              <w:numPr>
                                <w:ilvl w:val="0"/>
                                <w:numId w:val="8"/>
                              </w:numPr>
                              <w:ind w:left="567" w:hanging="567"/>
                            </w:pPr>
                            <w:r>
                              <w:t>Text: Schriftgröße 11 pt</w:t>
                            </w:r>
                          </w:p>
                          <w:p w14:paraId="5DF96821" w14:textId="77777777" w:rsidR="00AA7B89" w:rsidRDefault="00AA7B89" w:rsidP="00AA7B89">
                            <w:pPr>
                              <w:numPr>
                                <w:ilvl w:val="0"/>
                                <w:numId w:val="8"/>
                              </w:numPr>
                              <w:ind w:left="567" w:hanging="567"/>
                            </w:pPr>
                            <w:r>
                              <w:t>Überschrift: Schriftgröße 11 pt, evtl. fett</w:t>
                            </w:r>
                          </w:p>
                          <w:p w14:paraId="441CB53F" w14:textId="77777777" w:rsidR="00AA7B89" w:rsidRDefault="00AA7B89" w:rsidP="00AA7B89">
                            <w:pPr>
                              <w:numPr>
                                <w:ilvl w:val="0"/>
                                <w:numId w:val="8"/>
                              </w:numPr>
                              <w:ind w:left="567" w:hanging="567"/>
                            </w:pPr>
                            <w:r>
                              <w:t>Zeilenabstand 1,5</w:t>
                            </w:r>
                          </w:p>
                          <w:p w14:paraId="1C620403" w14:textId="59C0F7CF" w:rsidR="00AA7B89" w:rsidRDefault="002405BA" w:rsidP="00AA7B89">
                            <w:pPr>
                              <w:numPr>
                                <w:ilvl w:val="0"/>
                                <w:numId w:val="8"/>
                              </w:numPr>
                              <w:ind w:left="567" w:hanging="567"/>
                            </w:pPr>
                            <w:r>
                              <w:t xml:space="preserve">Ausrichtung: </w:t>
                            </w:r>
                            <w:r w:rsidR="00AA7B89">
                              <w:t xml:space="preserve">Blocksatz </w:t>
                            </w:r>
                          </w:p>
                          <w:p w14:paraId="77409D8F" w14:textId="77777777" w:rsidR="00AA7B89" w:rsidRDefault="00AA7B89" w:rsidP="00AA7B89">
                            <w:pPr>
                              <w:numPr>
                                <w:ilvl w:val="0"/>
                                <w:numId w:val="8"/>
                              </w:numPr>
                              <w:ind w:left="567" w:hanging="567"/>
                            </w:pPr>
                            <w:r>
                              <w:t>Silbentrennung wird empfohlen</w:t>
                            </w:r>
                          </w:p>
                          <w:p w14:paraId="04E9792E" w14:textId="77777777" w:rsidR="00AA7B89" w:rsidRDefault="00AA7B89" w:rsidP="00AA7B89">
                            <w:pPr>
                              <w:numPr>
                                <w:ilvl w:val="0"/>
                                <w:numId w:val="8"/>
                              </w:numPr>
                              <w:ind w:left="567" w:hanging="567"/>
                            </w:pPr>
                            <w:r>
                              <w:t>Seitenzahlen: römische Ziffern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D0DA28F" id="AutoShape 13" o:spid="_x0000_s1026" style="position:absolute;left:0;text-align:left;margin-left:-1.4pt;margin-top:23.95pt;width:453.55pt;height:242.9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" strokecolor="#777" strokeweight="1.5pt">
                <v:stroke joinstyle="miter"/>
                <v:textbox>
                  <w:txbxContent>
                    <w:p w14:paraId="03E827B2" w14:textId="3A35E56E" w:rsidR="00AA7B89" w:rsidRDefault="00163167" w:rsidP="00AA7B89">
                      <w:r>
                        <w:t>Hinweis</w:t>
                      </w:r>
                      <w:r w:rsidR="00AA7B89">
                        <w:t>:</w:t>
                      </w:r>
                    </w:p>
                    <w:p w14:paraId="7C4792EE" w14:textId="53836435" w:rsidR="00AA7B89" w:rsidRDefault="00AA7B89" w:rsidP="00AA7B89">
                      <w:r>
                        <w:t>In d</w:t>
                      </w:r>
                      <w:r w:rsidR="006859DA">
                        <w:t>iesem und dem kommenden</w:t>
                      </w:r>
                      <w:r>
                        <w:t xml:space="preserve"> Verzeichnis werden Abbildungen und Tabellen mit ihrer Bezeichnung und der Seite, auf der sie abgebildet sind, in chronologischer Reihenfolge aufgeführt. Die Formatierung ist angelehnt an die, die auch für den Text verwendet wird:</w:t>
                      </w:r>
                    </w:p>
                    <w:p w14:paraId="60DCA84C" w14:textId="77777777" w:rsidR="00AA7B89" w:rsidRDefault="00AA7B89" w:rsidP="00AA7B89">
                      <w:pPr>
                        <w:numPr>
                          <w:ilvl w:val="0"/>
                          <w:numId w:val="8"/>
                        </w:numPr>
                        <w:ind w:left="567" w:hanging="567"/>
                      </w:pPr>
                      <w:r>
                        <w:t>Schriftart Arial</w:t>
                      </w:r>
                    </w:p>
                    <w:p w14:paraId="0C3164EC" w14:textId="77777777" w:rsidR="00AA7B89" w:rsidRDefault="00AA7B89" w:rsidP="00AA7B89">
                      <w:pPr>
                        <w:numPr>
                          <w:ilvl w:val="0"/>
                          <w:numId w:val="8"/>
                        </w:numPr>
                        <w:ind w:left="567" w:hanging="567"/>
                      </w:pPr>
                      <w:r>
                        <w:t>Text: Schriftgröße 11 pt</w:t>
                      </w:r>
                    </w:p>
                    <w:p w14:paraId="5DF96821" w14:textId="77777777" w:rsidR="00AA7B89" w:rsidRDefault="00AA7B89" w:rsidP="00AA7B89">
                      <w:pPr>
                        <w:numPr>
                          <w:ilvl w:val="0"/>
                          <w:numId w:val="8"/>
                        </w:numPr>
                        <w:ind w:left="567" w:hanging="567"/>
                      </w:pPr>
                      <w:r>
                        <w:t>Überschrift: Schriftgröße 11 pt, evtl. fett</w:t>
                      </w:r>
                    </w:p>
                    <w:p w14:paraId="441CB53F" w14:textId="77777777" w:rsidR="00AA7B89" w:rsidRDefault="00AA7B89" w:rsidP="00AA7B89">
                      <w:pPr>
                        <w:numPr>
                          <w:ilvl w:val="0"/>
                          <w:numId w:val="8"/>
                        </w:numPr>
                        <w:ind w:left="567" w:hanging="567"/>
                      </w:pPr>
                      <w:r>
                        <w:t>Zeilenabstand 1,5</w:t>
                      </w:r>
                    </w:p>
                    <w:p w14:paraId="1C620403" w14:textId="59C0F7CF" w:rsidR="00AA7B89" w:rsidRDefault="002405BA" w:rsidP="00AA7B89">
                      <w:pPr>
                        <w:numPr>
                          <w:ilvl w:val="0"/>
                          <w:numId w:val="8"/>
                        </w:numPr>
                        <w:ind w:left="567" w:hanging="567"/>
                      </w:pPr>
                      <w:r>
                        <w:t xml:space="preserve">Ausrichtung: </w:t>
                      </w:r>
                      <w:r w:rsidR="00AA7B89">
                        <w:t xml:space="preserve">Blocksatz </w:t>
                      </w:r>
                    </w:p>
                    <w:p w14:paraId="77409D8F" w14:textId="77777777" w:rsidR="00AA7B89" w:rsidRDefault="00AA7B89" w:rsidP="00AA7B89">
                      <w:pPr>
                        <w:numPr>
                          <w:ilvl w:val="0"/>
                          <w:numId w:val="8"/>
                        </w:numPr>
                        <w:ind w:left="567" w:hanging="567"/>
                      </w:pPr>
                      <w:r>
                        <w:t>Silbentrennung wird empfohlen</w:t>
                      </w:r>
                    </w:p>
                    <w:p w14:paraId="04E9792E" w14:textId="77777777" w:rsidR="00AA7B89" w:rsidRDefault="00AA7B89" w:rsidP="00AA7B89">
                      <w:pPr>
                        <w:numPr>
                          <w:ilvl w:val="0"/>
                          <w:numId w:val="8"/>
                        </w:numPr>
                        <w:ind w:left="567" w:hanging="567"/>
                      </w:pPr>
                      <w:r>
                        <w:t>Seitenzahlen: römische Ziffern</w:t>
                      </w:r>
                    </w:p>
                  </w:txbxContent>
                </v:textbox>
                <w10:wrap type="square"/>
              </v:roundrect>
            </w:pict>
          </mc:Fallback>
        </mc:AlternateContent>
      </w:r>
      <w:r w:rsidR="00657CDE">
        <w:fldChar w:fldCharType="begin"/>
      </w:r>
      <w:r w:rsidR="00657CDE">
        <w:instrText xml:space="preserve"> TOC \h \z \c "Abbildung" </w:instrText>
      </w:r>
      <w:r w:rsidR="00657CDE">
        <w:fldChar w:fldCharType="separate"/>
      </w:r>
      <w:hyperlink w:anchor="_Toc489367724" w:history="1">
        <w:r w:rsidR="00657CDE" w:rsidRPr="00166026">
          <w:rPr>
            <w:rStyle w:val="Hyperlink"/>
            <w:noProof/>
          </w:rPr>
          <w:t>Abbildung 1: Wie schaffe ich meine Abschlussarbeit?</w:t>
        </w:r>
        <w:r w:rsidR="00657CDE">
          <w:rPr>
            <w:noProof/>
            <w:webHidden/>
          </w:rPr>
          <w:tab/>
        </w:r>
        <w:r w:rsidR="00657CDE">
          <w:rPr>
            <w:noProof/>
            <w:webHidden/>
          </w:rPr>
          <w:fldChar w:fldCharType="begin"/>
        </w:r>
        <w:r w:rsidR="00657CDE">
          <w:rPr>
            <w:noProof/>
            <w:webHidden/>
          </w:rPr>
          <w:instrText xml:space="preserve"> PAGEREF _Toc489367724 \h </w:instrText>
        </w:r>
        <w:r w:rsidR="00657CDE">
          <w:rPr>
            <w:noProof/>
            <w:webHidden/>
          </w:rPr>
        </w:r>
        <w:r w:rsidR="00657CDE">
          <w:rPr>
            <w:noProof/>
            <w:webHidden/>
          </w:rPr>
          <w:fldChar w:fldCharType="separate"/>
        </w:r>
        <w:r w:rsidR="00563066">
          <w:rPr>
            <w:noProof/>
            <w:webHidden/>
          </w:rPr>
          <w:t>1</w:t>
        </w:r>
        <w:r w:rsidR="00657CDE">
          <w:rPr>
            <w:noProof/>
            <w:webHidden/>
          </w:rPr>
          <w:fldChar w:fldCharType="end"/>
        </w:r>
      </w:hyperlink>
    </w:p>
    <w:p w14:paraId="3091ABD8" w14:textId="136A1845" w:rsidR="00FE1E6E" w:rsidRPr="00CA2AB5" w:rsidRDefault="00657CDE" w:rsidP="002328A3">
      <w:pPr>
        <w:pStyle w:val="berschrift1"/>
        <w:numPr>
          <w:ilvl w:val="0"/>
          <w:numId w:val="0"/>
        </w:numPr>
      </w:pPr>
      <w:r>
        <w:fldChar w:fldCharType="end"/>
      </w:r>
      <w:r w:rsidR="007D058D">
        <w:br w:type="column"/>
      </w:r>
      <w:bookmarkStart w:id="8" w:name="_Toc69975040"/>
      <w:r w:rsidR="007D058D">
        <w:lastRenderedPageBreak/>
        <w:t>Tabellenverzeichnis</w:t>
      </w:r>
      <w:bookmarkEnd w:id="8"/>
    </w:p>
    <w:p w14:paraId="2956A517" w14:textId="6F915145" w:rsidR="00704F50" w:rsidRDefault="00657CDE">
      <w:pPr>
        <w:pStyle w:val="Abbildungsverzeichnis"/>
        <w:tabs>
          <w:tab w:val="right" w:leader="dot" w:pos="9061"/>
        </w:tabs>
        <w:rPr>
          <w:rFonts w:asciiTheme="minorHAnsi" w:eastAsiaTheme="minorEastAsia" w:hAnsiTheme="minorHAnsi" w:cstheme="minorBidi"/>
          <w:noProof/>
        </w:rPr>
      </w:pPr>
      <w:r>
        <w:fldChar w:fldCharType="begin"/>
      </w:r>
      <w:r>
        <w:instrText xml:space="preserve"> TOC \h \z \c "Tabelle" </w:instrText>
      </w:r>
      <w:r>
        <w:fldChar w:fldCharType="separate"/>
      </w:r>
      <w:hyperlink w:anchor="_Toc494356283" w:history="1">
        <w:r w:rsidR="00704F50" w:rsidRPr="00150D4B">
          <w:rPr>
            <w:rStyle w:val="Hyperlink"/>
            <w:noProof/>
          </w:rPr>
          <w:t>Tabelle 1: Formatierung des Texts</w:t>
        </w:r>
        <w:r w:rsidR="00704F50">
          <w:rPr>
            <w:noProof/>
            <w:webHidden/>
          </w:rPr>
          <w:tab/>
        </w:r>
        <w:r w:rsidR="00704F50">
          <w:rPr>
            <w:noProof/>
            <w:webHidden/>
          </w:rPr>
          <w:fldChar w:fldCharType="begin"/>
        </w:r>
        <w:r w:rsidR="00704F50">
          <w:rPr>
            <w:noProof/>
            <w:webHidden/>
          </w:rPr>
          <w:instrText xml:space="preserve"> PAGEREF _Toc494356283 \h </w:instrText>
        </w:r>
        <w:r w:rsidR="00704F50">
          <w:rPr>
            <w:noProof/>
            <w:webHidden/>
          </w:rPr>
        </w:r>
        <w:r w:rsidR="00704F50">
          <w:rPr>
            <w:noProof/>
            <w:webHidden/>
          </w:rPr>
          <w:fldChar w:fldCharType="separate"/>
        </w:r>
        <w:r w:rsidR="00563066">
          <w:rPr>
            <w:noProof/>
            <w:webHidden/>
          </w:rPr>
          <w:t>1</w:t>
        </w:r>
        <w:r w:rsidR="00704F50">
          <w:rPr>
            <w:noProof/>
            <w:webHidden/>
          </w:rPr>
          <w:fldChar w:fldCharType="end"/>
        </w:r>
      </w:hyperlink>
    </w:p>
    <w:p w14:paraId="7C95767F" w14:textId="0CEFCF6A" w:rsidR="00704F50" w:rsidRDefault="00657CDE" w:rsidP="00704F50">
      <w:pPr>
        <w:pStyle w:val="berschrift1"/>
        <w:numPr>
          <w:ilvl w:val="0"/>
          <w:numId w:val="0"/>
        </w:numPr>
        <w:rPr>
          <w:b w:val="0"/>
          <w:bCs w:val="0"/>
        </w:rPr>
      </w:pPr>
      <w:r>
        <w:fldChar w:fldCharType="end"/>
      </w:r>
      <w:bookmarkStart w:id="9" w:name="_Toc489363983"/>
      <w:bookmarkStart w:id="10" w:name="_Toc489364074"/>
      <w:bookmarkStart w:id="11" w:name="_Toc489363984"/>
      <w:bookmarkStart w:id="12" w:name="_Toc489364075"/>
      <w:bookmarkEnd w:id="9"/>
      <w:bookmarkEnd w:id="10"/>
      <w:r w:rsidR="00704F50">
        <w:br w:type="page"/>
      </w:r>
    </w:p>
    <w:bookmarkStart w:id="13" w:name="_Toc69975041"/>
    <w:p w14:paraId="289E86B4" w14:textId="64242220" w:rsidR="00B060E8" w:rsidRPr="00D733FD" w:rsidRDefault="005853B9" w:rsidP="00987BE4">
      <w:pPr>
        <w:pStyle w:val="berschrift1"/>
        <w:numPr>
          <w:ilvl w:val="0"/>
          <w:numId w:val="0"/>
        </w:numPr>
      </w:pPr>
      <w:r>
        <w:rPr>
          <w:noProof/>
        </w:rPr>
        <w:lastRenderedPageBreak/>
        <mc:AlternateContent>
          <mc:Choice Requires="wps">
            <w:drawing>
              <wp:anchor distT="45720" distB="45720" distL="114300" distR="114300" simplePos="0" relativeHeight="251656704" behindDoc="0" locked="0" layoutInCell="1" allowOverlap="1" wp14:anchorId="6F2225FB" wp14:editId="2E34F2AC">
                <wp:simplePos x="0" y="0"/>
                <wp:positionH relativeFrom="margin">
                  <wp:posOffset>-13970</wp:posOffset>
                </wp:positionH>
                <wp:positionV relativeFrom="paragraph">
                  <wp:posOffset>1748790</wp:posOffset>
                </wp:positionV>
                <wp:extent cx="5760085" cy="2237740"/>
                <wp:effectExtent l="0" t="0" r="12065" b="10160"/>
                <wp:wrapSquare wrapText="bothSides"/>
                <wp:docPr id="1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2237740"/>
                        </a:xfrm>
                        <a:prstGeom prst="roundRect">
                          <a:avLst>
                            <a:gd name="adj" fmla="val 16667"/>
                          </a:avLst>
                        </a:prstGeom>
                        <a:solidFill>
                          <a:srgbClr val="FFFFFF"/>
                        </a:solidFill>
                        <a:ln w="19050">
                          <a:solidFill>
                            <a:srgbClr val="777777"/>
                          </a:solidFill>
                          <a:miter lim="800000"/>
                          <a:headEnd/>
                          <a:tailEnd/>
                        </a:ln>
                      </wps:spPr>
                      <wps:txbx>
                        <w:txbxContent>
                          <w:p w14:paraId="10B45C3C" w14:textId="40AF7F02" w:rsidR="00DB3C86" w:rsidRDefault="00DB3C86">
                            <w:r>
                              <w:t xml:space="preserve">Hinweis: </w:t>
                            </w:r>
                          </w:p>
                          <w:p w14:paraId="7243230A" w14:textId="13E28614" w:rsidR="00DB3C86" w:rsidRDefault="00DB3C86" w:rsidP="005F323D">
                            <w:r>
                              <w:t>I</w:t>
                            </w:r>
                            <w:r w:rsidRPr="009C6DBA">
                              <w:t xml:space="preserve">n das Abkürzungsverzeichnis werden alle Abkürzungen aufgenommen, die im Text verwendet werden und die gleichzeitig nicht im Duden als Abkürzungen aufgeführt sind. Deshalb werden beispielsweise </w:t>
                            </w:r>
                            <w:r>
                              <w:t>„</w:t>
                            </w:r>
                            <w:r w:rsidRPr="009C6DBA">
                              <w:t>Aufl.</w:t>
                            </w:r>
                            <w:r>
                              <w:t>“</w:t>
                            </w:r>
                            <w:r w:rsidRPr="009C6DBA">
                              <w:t xml:space="preserve"> und </w:t>
                            </w:r>
                            <w:r>
                              <w:t>„</w:t>
                            </w:r>
                            <w:r w:rsidRPr="009C6DBA">
                              <w:t>GmbH</w:t>
                            </w:r>
                            <w:r>
                              <w:t>“</w:t>
                            </w:r>
                            <w:r w:rsidRPr="009C6DBA">
                              <w:t xml:space="preserve"> nicht in das Verzeichnis aufgenommen. </w:t>
                            </w:r>
                            <w:r w:rsidRPr="00FD5783">
                              <w:t xml:space="preserve">Die Formatierung ist dieselbe wie </w:t>
                            </w:r>
                            <w:r>
                              <w:t>im</w:t>
                            </w:r>
                            <w:r w:rsidRPr="00FD5783">
                              <w:t xml:space="preserve"> Abbildungs- und Tabellenverzeichnis.</w:t>
                            </w:r>
                          </w:p>
                          <w:p w14:paraId="4692D198" w14:textId="4A4A7FE2" w:rsidR="008B2148" w:rsidRPr="00FD5783" w:rsidRDefault="008B2148" w:rsidP="005F323D">
                            <w:r>
                              <w:t>Außerdem sollten Abkürzungen aus dem Abkürzungsverzeichnis einmal eingeführt (z. B. Social Network Analysis (SNA)) und anschließend der zugehörige Begriff nur noch abgekürzt verwendet werden.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F2225FB" id="AutoShape 6" o:spid="_x0000_s1027" style="position:absolute;left:0;text-align:left;margin-left:-1.1pt;margin-top:137.7pt;width:453.55pt;height:176.2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" strokecolor="#777" strokeweight="1.5pt">
                <v:stroke joinstyle="miter"/>
                <v:textbox>
                  <w:txbxContent>
                    <w:p w14:paraId="10B45C3C" w14:textId="40AF7F02" w:rsidR="00DB3C86" w:rsidRDefault="00DB3C86">
                      <w:r>
                        <w:t xml:space="preserve">Hinweis: </w:t>
                      </w:r>
                    </w:p>
                    <w:p w14:paraId="7243230A" w14:textId="13E28614" w:rsidR="00DB3C86" w:rsidRDefault="00DB3C86" w:rsidP="005F323D">
                      <w:r>
                        <w:t>I</w:t>
                      </w:r>
                      <w:r w:rsidRPr="009C6DBA">
                        <w:t xml:space="preserve">n das Abkürzungsverzeichnis werden alle Abkürzungen aufgenommen, die im Text verwendet werden und die gleichzeitig nicht im Duden als Abkürzungen aufgeführt sind. Deshalb werden beispielsweise </w:t>
                      </w:r>
                      <w:r>
                        <w:t>„</w:t>
                      </w:r>
                      <w:r w:rsidRPr="009C6DBA">
                        <w:t>Aufl.</w:t>
                      </w:r>
                      <w:r>
                        <w:t>“</w:t>
                      </w:r>
                      <w:r w:rsidRPr="009C6DBA">
                        <w:t xml:space="preserve"> und </w:t>
                      </w:r>
                      <w:r>
                        <w:t>„</w:t>
                      </w:r>
                      <w:r w:rsidRPr="009C6DBA">
                        <w:t>GmbH</w:t>
                      </w:r>
                      <w:r>
                        <w:t>“</w:t>
                      </w:r>
                      <w:r w:rsidRPr="009C6DBA">
                        <w:t xml:space="preserve"> nicht in das Verzeichnis aufgenommen. </w:t>
                      </w:r>
                      <w:r w:rsidRPr="00FD5783">
                        <w:t xml:space="preserve">Die Formatierung ist dieselbe wie </w:t>
                      </w:r>
                      <w:r>
                        <w:t>im</w:t>
                      </w:r>
                      <w:r w:rsidRPr="00FD5783">
                        <w:t xml:space="preserve"> Abbildungs- und Tabellenverzeichnis.</w:t>
                      </w:r>
                    </w:p>
                    <w:p w14:paraId="4692D198" w14:textId="4A4A7FE2" w:rsidR="008B2148" w:rsidRPr="00FD5783" w:rsidRDefault="008B2148" w:rsidP="005F323D">
                      <w:r>
                        <w:t>Außerdem sollten Abkürzungen aus dem Abkürzungsverzeichnis einmal eingeführt (z. B. Social Network Analysis (SNA)) und anschließend der zugehörige Begriff nur noch abgekürzt verwendet werden.</w:t>
                      </w:r>
                    </w:p>
                  </w:txbxContent>
                </v:textbox>
                <w10:wrap type="square" anchorx="margin"/>
              </v:roundrect>
            </w:pict>
          </mc:Fallback>
        </mc:AlternateContent>
      </w:r>
      <w:r w:rsidR="00B060E8">
        <w:t>Abkürzungsverzeichnis</w:t>
      </w:r>
      <w:bookmarkEnd w:id="13"/>
    </w:p>
    <w:tbl>
      <w:tblPr>
        <w:tblW w:w="0" w:type="auto"/>
        <w:tblCellMar>
          <w:left w:w="70" w:type="dxa"/>
          <w:right w:w="70" w:type="dxa"/>
        </w:tblCellMar>
        <w:tblLook w:val="0000" w:firstRow="0" w:lastRow="0" w:firstColumn="0" w:lastColumn="0" w:noHBand="0" w:noVBand="0"/>
      </w:tblPr>
      <w:tblGrid>
        <w:gridCol w:w="1493"/>
        <w:gridCol w:w="7151"/>
      </w:tblGrid>
      <w:tr w:rsidR="00B060E8" w:rsidRPr="00CA2AB5" w14:paraId="5912E37E" w14:textId="77777777" w:rsidTr="009E41F1">
        <w:tc>
          <w:tcPr>
            <w:tcW w:w="1493" w:type="dxa"/>
          </w:tcPr>
          <w:p w14:paraId="64A27FA7" w14:textId="77777777" w:rsidR="00B060E8" w:rsidRPr="00CA2AB5" w:rsidRDefault="00B060E8" w:rsidP="009E41F1">
            <w:pPr>
              <w:pStyle w:val="Kopfzeile"/>
            </w:pPr>
            <w:r w:rsidRPr="00CA2AB5">
              <w:t>AHK</w:t>
            </w:r>
          </w:p>
        </w:tc>
        <w:tc>
          <w:tcPr>
            <w:tcW w:w="7151" w:type="dxa"/>
          </w:tcPr>
          <w:p w14:paraId="490828D2" w14:textId="77777777" w:rsidR="00B060E8" w:rsidRPr="00CA2AB5" w:rsidRDefault="00B060E8" w:rsidP="009E41F1">
            <w:pPr>
              <w:pStyle w:val="Kopfzeile"/>
            </w:pPr>
            <w:r w:rsidRPr="00CA2AB5">
              <w:t>Außenhandelskammer</w:t>
            </w:r>
          </w:p>
        </w:tc>
      </w:tr>
      <w:tr w:rsidR="00B060E8" w:rsidRPr="00CA2AB5" w14:paraId="3F6B6F97" w14:textId="77777777" w:rsidTr="009E41F1">
        <w:tc>
          <w:tcPr>
            <w:tcW w:w="1493" w:type="dxa"/>
          </w:tcPr>
          <w:p w14:paraId="44AE457F" w14:textId="77777777" w:rsidR="00B060E8" w:rsidRPr="00CA2AB5" w:rsidRDefault="00B060E8" w:rsidP="009E41F1">
            <w:pPr>
              <w:pStyle w:val="Kopfzeile"/>
            </w:pPr>
            <w:r w:rsidRPr="00CA2AB5">
              <w:t>Bfai</w:t>
            </w:r>
          </w:p>
        </w:tc>
        <w:tc>
          <w:tcPr>
            <w:tcW w:w="7151" w:type="dxa"/>
          </w:tcPr>
          <w:p w14:paraId="6CACE21D" w14:textId="77777777" w:rsidR="00B060E8" w:rsidRPr="00CA2AB5" w:rsidRDefault="00B060E8" w:rsidP="009E41F1">
            <w:pPr>
              <w:pStyle w:val="Kopfzeile"/>
            </w:pPr>
            <w:r w:rsidRPr="00CA2AB5">
              <w:t>Bundesagentur für Außenwirtschaft</w:t>
            </w:r>
          </w:p>
        </w:tc>
      </w:tr>
      <w:tr w:rsidR="00B060E8" w:rsidRPr="00CA2AB5" w14:paraId="79BA8932" w14:textId="77777777" w:rsidTr="009E41F1">
        <w:tc>
          <w:tcPr>
            <w:tcW w:w="1493" w:type="dxa"/>
          </w:tcPr>
          <w:p w14:paraId="7D4000B3" w14:textId="53B381F2" w:rsidR="00B060E8" w:rsidRPr="00CA2AB5" w:rsidRDefault="00F73A03" w:rsidP="009E41F1">
            <w:pPr>
              <w:pStyle w:val="Kopfzeile"/>
            </w:pPr>
            <w:r>
              <w:t>KI</w:t>
            </w:r>
          </w:p>
        </w:tc>
        <w:tc>
          <w:tcPr>
            <w:tcW w:w="7151" w:type="dxa"/>
          </w:tcPr>
          <w:p w14:paraId="1B67D747" w14:textId="1AE5628C" w:rsidR="00B060E8" w:rsidRPr="00CA2AB5" w:rsidRDefault="00F73A03" w:rsidP="00F73A03">
            <w:pPr>
              <w:pStyle w:val="Kopfzeile"/>
            </w:pPr>
            <w:r>
              <w:t>Künstliche Intelligenz</w:t>
            </w:r>
          </w:p>
        </w:tc>
      </w:tr>
      <w:tr w:rsidR="00B060E8" w:rsidRPr="00CA2AB5" w14:paraId="393F07A8" w14:textId="77777777" w:rsidTr="009E41F1">
        <w:tc>
          <w:tcPr>
            <w:tcW w:w="1493" w:type="dxa"/>
          </w:tcPr>
          <w:p w14:paraId="4E542AF1" w14:textId="77777777" w:rsidR="00B060E8" w:rsidRPr="00CA2AB5" w:rsidRDefault="00B060E8" w:rsidP="009E41F1">
            <w:pPr>
              <w:pStyle w:val="Kopfzeile"/>
            </w:pPr>
            <w:r w:rsidRPr="00CA2AB5">
              <w:t>überarb.</w:t>
            </w:r>
          </w:p>
        </w:tc>
        <w:tc>
          <w:tcPr>
            <w:tcW w:w="7151" w:type="dxa"/>
          </w:tcPr>
          <w:p w14:paraId="0E0036B2" w14:textId="77777777" w:rsidR="00B060E8" w:rsidRPr="00CA2AB5" w:rsidRDefault="00B060E8" w:rsidP="009E41F1">
            <w:pPr>
              <w:pStyle w:val="Kopfzeile"/>
            </w:pPr>
            <w:r w:rsidRPr="00CA2AB5">
              <w:t>überarbeitete</w:t>
            </w:r>
          </w:p>
        </w:tc>
      </w:tr>
      <w:tr w:rsidR="007E13D5" w:rsidRPr="00CA2AB5" w14:paraId="0FA2701B" w14:textId="77777777" w:rsidTr="009E41F1">
        <w:tc>
          <w:tcPr>
            <w:tcW w:w="1493" w:type="dxa"/>
          </w:tcPr>
          <w:p w14:paraId="62BBD6AB" w14:textId="65B36A0A" w:rsidR="007E13D5" w:rsidRPr="00CA2AB5" w:rsidRDefault="007E13D5" w:rsidP="009E41F1">
            <w:pPr>
              <w:pStyle w:val="Kopfzeile"/>
            </w:pPr>
            <w:r>
              <w:t>SNA</w:t>
            </w:r>
          </w:p>
        </w:tc>
        <w:tc>
          <w:tcPr>
            <w:tcW w:w="7151" w:type="dxa"/>
          </w:tcPr>
          <w:p w14:paraId="5B275987" w14:textId="500417DA" w:rsidR="007E13D5" w:rsidRPr="00CA2AB5" w:rsidRDefault="007E13D5" w:rsidP="009E41F1">
            <w:pPr>
              <w:pStyle w:val="Kopfzeile"/>
            </w:pPr>
            <w:r>
              <w:t>Social Network Analysis</w:t>
            </w:r>
          </w:p>
        </w:tc>
      </w:tr>
    </w:tbl>
    <w:p w14:paraId="6C1271D4" w14:textId="2F8A22D2" w:rsidR="005853B9" w:rsidRDefault="005853B9" w:rsidP="00B060E8">
      <w:pPr>
        <w:pStyle w:val="berschrift1"/>
        <w:numPr>
          <w:ilvl w:val="0"/>
          <w:numId w:val="0"/>
        </w:numPr>
        <w:rPr>
          <w:sz w:val="24"/>
        </w:rPr>
      </w:pPr>
    </w:p>
    <w:p w14:paraId="6A82DD99" w14:textId="0CC45CAD" w:rsidR="00B060E8" w:rsidRDefault="00B060E8" w:rsidP="00B060E8">
      <w:pPr>
        <w:pStyle w:val="berschrift1"/>
        <w:numPr>
          <w:ilvl w:val="0"/>
          <w:numId w:val="0"/>
        </w:numPr>
        <w:rPr>
          <w:sz w:val="24"/>
        </w:rPr>
        <w:sectPr w:rsidR="00B060E8" w:rsidSect="007D058D">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510" w:footer="454" w:gutter="0"/>
          <w:pgNumType w:fmt="upperRoman" w:start="1"/>
          <w:cols w:space="708"/>
          <w:titlePg/>
          <w:docGrid w:linePitch="360"/>
        </w:sectPr>
      </w:pPr>
    </w:p>
    <w:bookmarkEnd w:id="11"/>
    <w:bookmarkEnd w:id="12"/>
    <w:p w14:paraId="4B95056E" w14:textId="6DBD5F0E" w:rsidR="000436C0" w:rsidRDefault="000436C0" w:rsidP="008B2148">
      <w:pPr>
        <w:pStyle w:val="berschrift1"/>
      </w:pPr>
      <w:r>
        <w:lastRenderedPageBreak/>
        <w:t>Einleitung</w:t>
      </w:r>
    </w:p>
    <w:p w14:paraId="6365C8A2" w14:textId="25DF273A" w:rsidR="00701563" w:rsidRPr="00701563" w:rsidRDefault="00701563" w:rsidP="002714C0">
      <w:pPr>
        <w:spacing w:line="240" w:lineRule="auto"/>
        <w:jc w:val="left"/>
        <w:rPr>
          <w:color w:val="C00000"/>
        </w:rPr>
      </w:pPr>
      <w:r w:rsidRPr="00701563">
        <w:rPr>
          <w:color w:val="C00000"/>
        </w:rPr>
        <w:t>Einordnung warum Datenanalyse für Marketing und welche Metriken</w:t>
      </w:r>
    </w:p>
    <w:p w14:paraId="7A7BBC2E" w14:textId="1EF97763" w:rsidR="002714C0" w:rsidRPr="002714C0" w:rsidRDefault="002714C0" w:rsidP="002714C0">
      <w:pPr>
        <w:spacing w:line="240" w:lineRule="auto"/>
        <w:jc w:val="left"/>
        <w:rPr>
          <w:lang w:val="en-GB"/>
        </w:rPr>
      </w:pPr>
      <w:r w:rsidRPr="002714C0">
        <w:rPr>
          <w:lang w:val="en-GB"/>
        </w:rPr>
        <w:t>A customer-oriented organization tries to</w:t>
      </w:r>
      <w:r>
        <w:rPr>
          <w:lang w:val="en-GB"/>
        </w:rPr>
        <w:t xml:space="preserve"> </w:t>
      </w:r>
      <w:r w:rsidRPr="002714C0">
        <w:rPr>
          <w:lang w:val="en-GB"/>
        </w:rPr>
        <w:t>align resource allocation with actual customer</w:t>
      </w:r>
      <w:r>
        <w:rPr>
          <w:lang w:val="en-GB"/>
        </w:rPr>
        <w:t xml:space="preserve"> </w:t>
      </w:r>
      <w:r w:rsidRPr="002714C0">
        <w:rPr>
          <w:lang w:val="en-GB"/>
        </w:rPr>
        <w:t>behavior. Instead of mass advertising or mass</w:t>
      </w:r>
      <w:r>
        <w:rPr>
          <w:lang w:val="en-GB"/>
        </w:rPr>
        <w:t xml:space="preserve"> </w:t>
      </w:r>
      <w:r w:rsidRPr="002714C0">
        <w:rPr>
          <w:lang w:val="en-GB"/>
        </w:rPr>
        <w:t>marketing, managerial action can gain tremen-</w:t>
      </w:r>
    </w:p>
    <w:p w14:paraId="79DF0884" w14:textId="3E4C690A" w:rsidR="002714C0" w:rsidRDefault="002714C0" w:rsidP="002714C0">
      <w:pPr>
        <w:spacing w:line="240" w:lineRule="auto"/>
        <w:jc w:val="left"/>
        <w:rPr>
          <w:lang w:val="en-GB"/>
        </w:rPr>
      </w:pPr>
      <w:r w:rsidRPr="002714C0">
        <w:rPr>
          <w:lang w:val="en-GB"/>
        </w:rPr>
        <w:t>dous efficiency by adjusting its interventions to</w:t>
      </w:r>
      <w:r>
        <w:rPr>
          <w:lang w:val="en-GB"/>
        </w:rPr>
        <w:t xml:space="preserve"> </w:t>
      </w:r>
      <w:r w:rsidRPr="002714C0">
        <w:rPr>
          <w:lang w:val="en-GB"/>
        </w:rPr>
        <w:t>the actual customer needs or activity status.</w:t>
      </w:r>
    </w:p>
    <w:p w14:paraId="14666945" w14:textId="1411EF32" w:rsidR="00B83ECC" w:rsidRDefault="00B83ECC" w:rsidP="002714C0">
      <w:pPr>
        <w:spacing w:line="240" w:lineRule="auto"/>
        <w:jc w:val="left"/>
        <w:rPr>
          <w:lang w:val="en-GB"/>
        </w:rPr>
      </w:pPr>
    </w:p>
    <w:p w14:paraId="0F12150D" w14:textId="622D09DA" w:rsidR="00B83ECC" w:rsidRDefault="00B83ECC" w:rsidP="002714C0">
      <w:pPr>
        <w:spacing w:line="240" w:lineRule="auto"/>
        <w:jc w:val="left"/>
        <w:rPr>
          <w:lang w:val="en-GB"/>
        </w:rPr>
      </w:pPr>
      <w:r>
        <w:rPr>
          <w:lang w:val="en-GB"/>
        </w:rPr>
        <w:t>[…]</w:t>
      </w:r>
    </w:p>
    <w:p w14:paraId="74DFCFA7" w14:textId="5C3B13B3" w:rsidR="00B83ECC" w:rsidRDefault="00B83ECC" w:rsidP="002714C0">
      <w:pPr>
        <w:spacing w:line="240" w:lineRule="auto"/>
        <w:jc w:val="left"/>
        <w:rPr>
          <w:lang w:val="en-GB"/>
        </w:rPr>
      </w:pPr>
    </w:p>
    <w:p w14:paraId="616FABB1" w14:textId="484DF3B3" w:rsidR="00B83ECC" w:rsidRDefault="00B83ECC" w:rsidP="002714C0">
      <w:pPr>
        <w:spacing w:line="240" w:lineRule="auto"/>
        <w:jc w:val="left"/>
        <w:rPr>
          <w:lang w:val="en-GB"/>
        </w:rPr>
      </w:pPr>
      <w:r w:rsidRPr="00B83ECC">
        <w:rPr>
          <w:lang w:val="en-GB"/>
        </w:rPr>
        <w:t>The marketing function</w:t>
      </w:r>
      <w:r>
        <w:rPr>
          <w:lang w:val="en-GB"/>
        </w:rPr>
        <w:t xml:space="preserve"> </w:t>
      </w:r>
      <w:r w:rsidRPr="00B83ECC">
        <w:rPr>
          <w:lang w:val="en-GB"/>
        </w:rPr>
        <w:t>has come under increasing pressure to demonstrate how it adds to shareholder value. This demonstration typically involves the estimation of the</w:t>
      </w:r>
      <w:r>
        <w:rPr>
          <w:lang w:val="en-GB"/>
        </w:rPr>
        <w:t xml:space="preserve"> </w:t>
      </w:r>
      <w:r w:rsidRPr="00B83ECC">
        <w:rPr>
          <w:lang w:val="en-GB"/>
        </w:rPr>
        <w:t>evolving customer value over time. Thus, measuring customer activity is a critical intermediary</w:t>
      </w:r>
      <w:r>
        <w:rPr>
          <w:lang w:val="en-GB"/>
        </w:rPr>
        <w:t xml:space="preserve"> </w:t>
      </w:r>
      <w:r w:rsidRPr="00B83ECC">
        <w:rPr>
          <w:lang w:val="en-GB"/>
        </w:rPr>
        <w:t>step in this valuation process.</w:t>
      </w:r>
    </w:p>
    <w:p w14:paraId="718B00FA" w14:textId="5399DD10" w:rsidR="00B83ECC" w:rsidRDefault="00B83ECC" w:rsidP="002714C0">
      <w:pPr>
        <w:spacing w:line="240" w:lineRule="auto"/>
        <w:jc w:val="left"/>
        <w:rPr>
          <w:lang w:val="en-GB"/>
        </w:rPr>
      </w:pPr>
    </w:p>
    <w:p w14:paraId="50C293AA" w14:textId="3A9CC767" w:rsidR="00B83ECC" w:rsidRPr="00B83ECC" w:rsidRDefault="00B83ECC" w:rsidP="002714C0">
      <w:pPr>
        <w:spacing w:line="240" w:lineRule="auto"/>
        <w:jc w:val="left"/>
        <w:rPr>
          <w:lang w:val="en-GB"/>
        </w:rPr>
      </w:pPr>
      <w:r w:rsidRPr="00B83ECC">
        <w:rPr>
          <w:lang w:val="en-GB"/>
        </w:rPr>
        <w:t>This section covers the following types of customer activity measures:</w:t>
      </w:r>
      <w:r w:rsidRPr="00B83ECC">
        <w:rPr>
          <w:lang w:val="en-GB"/>
        </w:rPr>
        <w:br/>
        <w:t xml:space="preserve">1. </w:t>
      </w:r>
      <w:r w:rsidRPr="00FC2369">
        <w:t>Average inter-purchase time (AIT)</w:t>
      </w:r>
      <w:r w:rsidR="00FC2369" w:rsidRPr="00FC2369">
        <w:t xml:space="preserve"> </w:t>
      </w:r>
      <w:r w:rsidR="00FC2369" w:rsidRPr="00FC2369">
        <w:rPr>
          <w:color w:val="4472C4" w:themeColor="accent1"/>
        </w:rPr>
        <w:t>(relevant für Industrien mit regelmäßigen Käufen -&gt; für Theater eventuell relevant da Saisonal)</w:t>
      </w:r>
      <w:r w:rsidRPr="00FC2369">
        <w:br/>
        <w:t>2. Retention rate and defection rate</w:t>
      </w:r>
      <w:r w:rsidR="00FC2369" w:rsidRPr="00FC2369">
        <w:t xml:space="preserve"> </w:t>
      </w:r>
      <w:r w:rsidR="00FC2369" w:rsidRPr="00FC2369">
        <w:rPr>
          <w:color w:val="4472C4" w:themeColor="accent1"/>
        </w:rPr>
        <w:t>(Key assumption: einmal verlorene Kunden kehren nicht zurück -&gt;für Theaterkunden nicht relevant</w:t>
      </w:r>
      <w:r w:rsidR="00701563">
        <w:rPr>
          <w:color w:val="4472C4" w:themeColor="accent1"/>
        </w:rPr>
        <w:t xml:space="preserve">, da oft „dormancy“ dt. </w:t>
      </w:r>
      <w:r w:rsidR="00701563" w:rsidRPr="00C17A9F">
        <w:rPr>
          <w:color w:val="4472C4" w:themeColor="accent1"/>
          <w:lang w:val="en-GB"/>
        </w:rPr>
        <w:t>„Untätitgkeit“</w:t>
      </w:r>
      <w:r w:rsidR="00FC2369" w:rsidRPr="00C17A9F">
        <w:rPr>
          <w:color w:val="4472C4" w:themeColor="accent1"/>
          <w:lang w:val="en-GB"/>
        </w:rPr>
        <w:t>)</w:t>
      </w:r>
      <w:r w:rsidRPr="00C17A9F">
        <w:rPr>
          <w:lang w:val="en-GB"/>
        </w:rPr>
        <w:br/>
        <w:t xml:space="preserve">3. </w:t>
      </w:r>
      <w:r w:rsidRPr="00B83ECC">
        <w:rPr>
          <w:lang w:val="en-GB"/>
        </w:rPr>
        <w:t>Survival rate</w:t>
      </w:r>
      <w:r w:rsidRPr="00B83ECC">
        <w:rPr>
          <w:lang w:val="en-GB"/>
        </w:rPr>
        <w:br/>
        <w:t>4. Lifetime duration</w:t>
      </w:r>
      <w:r w:rsidRPr="00B83ECC">
        <w:rPr>
          <w:lang w:val="en-GB"/>
        </w:rPr>
        <w:br/>
        <w:t>5. P(Active)</w:t>
      </w:r>
      <w:r w:rsidRPr="00B83ECC">
        <w:rPr>
          <w:lang w:val="en-GB"/>
        </w:rPr>
        <w:br/>
        <w:t>Each metric has a purpose with its own set of</w:t>
      </w:r>
      <w:r>
        <w:rPr>
          <w:lang w:val="en-GB"/>
        </w:rPr>
        <w:t xml:space="preserve"> </w:t>
      </w:r>
      <w:r w:rsidRPr="00B83ECC">
        <w:rPr>
          <w:lang w:val="en-GB"/>
        </w:rPr>
        <w:t>strengths and weaknesses. Thus, the task of the</w:t>
      </w:r>
      <w:r>
        <w:rPr>
          <w:lang w:val="en-GB"/>
        </w:rPr>
        <w:t xml:space="preserve"> </w:t>
      </w:r>
      <w:r w:rsidRPr="00B83ECC">
        <w:rPr>
          <w:lang w:val="en-GB"/>
        </w:rPr>
        <w:t>manager will be to find the most suitable metric</w:t>
      </w:r>
      <w:r>
        <w:rPr>
          <w:lang w:val="en-GB"/>
        </w:rPr>
        <w:t xml:space="preserve"> </w:t>
      </w:r>
      <w:r w:rsidRPr="00B83ECC">
        <w:rPr>
          <w:lang w:val="en-GB"/>
        </w:rPr>
        <w:t>for a given situation.</w:t>
      </w:r>
    </w:p>
    <w:p w14:paraId="016D7C35" w14:textId="77777777" w:rsidR="00B83ECC" w:rsidRDefault="002714C0" w:rsidP="002714C0">
      <w:pPr>
        <w:spacing w:line="240" w:lineRule="auto"/>
        <w:jc w:val="left"/>
      </w:pPr>
      <w:r w:rsidRPr="002714C0">
        <w:t>(</w:t>
      </w:r>
      <w:hyperlink r:id="rId14" w:history="1">
        <w:r w:rsidRPr="002714C0">
          <w:rPr>
            <w:rStyle w:val="Hyperlink"/>
          </w:rPr>
          <w:t>https://weblibrary.miu.edu.my/upload/ebook/management%20_and_business/2018_Book_CustomerRelationshipManagement.pdf</w:t>
        </w:r>
      </w:hyperlink>
      <w:r w:rsidRPr="002714C0">
        <w:t>, Sei</w:t>
      </w:r>
      <w:r>
        <w:t xml:space="preserve">te </w:t>
      </w:r>
      <w:r w:rsidR="00B83ECC">
        <w:t>84)</w:t>
      </w:r>
    </w:p>
    <w:p w14:paraId="5C8B712A" w14:textId="77777777" w:rsidR="00B83ECC" w:rsidRDefault="00B83ECC" w:rsidP="002714C0">
      <w:pPr>
        <w:spacing w:line="240" w:lineRule="auto"/>
        <w:jc w:val="left"/>
      </w:pPr>
    </w:p>
    <w:p w14:paraId="208D40B5" w14:textId="77777777" w:rsidR="00701563" w:rsidRDefault="00701563" w:rsidP="002714C0">
      <w:pPr>
        <w:spacing w:line="240" w:lineRule="auto"/>
        <w:jc w:val="left"/>
      </w:pPr>
    </w:p>
    <w:p w14:paraId="6666321C" w14:textId="77777777" w:rsidR="00701563" w:rsidRDefault="00701563" w:rsidP="002714C0">
      <w:pPr>
        <w:spacing w:line="240" w:lineRule="auto"/>
        <w:jc w:val="left"/>
        <w:rPr>
          <w:color w:val="C00000"/>
        </w:rPr>
      </w:pPr>
      <w:r w:rsidRPr="00701563">
        <w:rPr>
          <w:color w:val="C00000"/>
        </w:rPr>
        <w:t>Was ist der Unterschied zwischen Kundenbindung und Kundenloyalität?</w:t>
      </w:r>
    </w:p>
    <w:p w14:paraId="5FD910FF" w14:textId="0DA3F7CD" w:rsidR="00701563" w:rsidRPr="002714C0" w:rsidRDefault="000436C0" w:rsidP="002714C0">
      <w:pPr>
        <w:spacing w:line="240" w:lineRule="auto"/>
        <w:jc w:val="left"/>
      </w:pPr>
      <w:r w:rsidRPr="002714C0">
        <w:br w:type="page"/>
      </w:r>
    </w:p>
    <w:p w14:paraId="0C066E2D" w14:textId="7F88408F" w:rsidR="00894119" w:rsidRDefault="000436C0" w:rsidP="008B2148">
      <w:pPr>
        <w:pStyle w:val="berschrift1"/>
      </w:pPr>
      <w:r>
        <w:lastRenderedPageBreak/>
        <w:t>Problemstellung</w:t>
      </w:r>
    </w:p>
    <w:p w14:paraId="1BE42F3A" w14:textId="77777777" w:rsidR="00CA63E3" w:rsidRDefault="001176DA" w:rsidP="002625DE">
      <w:r>
        <w:t xml:space="preserve">Wie wirkt sich langfristig die Interaktionsrate von Marken und Menschen </w:t>
      </w:r>
      <w:r w:rsidR="00CA63E3">
        <w:t xml:space="preserve">auf die </w:t>
      </w:r>
      <w:r w:rsidR="00CA63E3" w:rsidRPr="00CA63E3">
        <w:rPr>
          <w:color w:val="FF0000"/>
        </w:rPr>
        <w:t xml:space="preserve">Kundenbindung </w:t>
      </w:r>
      <w:r w:rsidR="00CA63E3">
        <w:t>aus?</w:t>
      </w:r>
    </w:p>
    <w:p w14:paraId="1E519E03" w14:textId="4936E790" w:rsidR="001176DA" w:rsidRDefault="00CA63E3" w:rsidP="002625DE">
      <w:pPr>
        <w:rPr>
          <w:color w:val="FF0000"/>
        </w:rPr>
      </w:pPr>
      <w:r w:rsidRPr="00CA63E3">
        <w:rPr>
          <w:color w:val="FF0000"/>
        </w:rPr>
        <w:t>Kundenloyalität?</w:t>
      </w:r>
      <w:r>
        <w:rPr>
          <w:color w:val="FF0000"/>
        </w:rPr>
        <w:t xml:space="preserve"> Insbesondere für das Label „Fan“ wichtig</w:t>
      </w:r>
    </w:p>
    <w:p w14:paraId="5A5E68BC" w14:textId="77777777" w:rsidR="00CA63E3" w:rsidRPr="00CA63E3" w:rsidRDefault="00CA63E3" w:rsidP="002625DE">
      <w:pPr>
        <w:rPr>
          <w:color w:val="FF0000"/>
        </w:rPr>
      </w:pPr>
    </w:p>
    <w:p w14:paraId="2A97FA74" w14:textId="77777777" w:rsidR="001576FD" w:rsidRDefault="002625DE" w:rsidP="002625DE">
      <w:r>
        <w:t>Beschreibung des Thalia Theaters und Bedeutung der Kundenloyalität aufgrund der hohen Konkurrenz innerhalb Hamburgs.</w:t>
      </w:r>
    </w:p>
    <w:p w14:paraId="1D2DFD6B" w14:textId="77777777" w:rsidR="001576FD" w:rsidRDefault="001576FD" w:rsidP="002625DE"/>
    <w:p w14:paraId="7442A782" w14:textId="77777777" w:rsidR="001576FD" w:rsidRDefault="001576FD" w:rsidP="002625DE">
      <w:r>
        <w:t>EMS von Email-Versandtool zu CRM Produkt. Drei größte Gründe warum CRM Projekte scheitern:</w:t>
      </w:r>
    </w:p>
    <w:p w14:paraId="21D50FED" w14:textId="77777777" w:rsidR="001576FD" w:rsidRPr="001576FD" w:rsidRDefault="001576FD" w:rsidP="001576FD">
      <w:pPr>
        <w:pStyle w:val="Listenabsatz"/>
        <w:numPr>
          <w:ilvl w:val="0"/>
          <w:numId w:val="11"/>
        </w:numPr>
        <w:rPr>
          <w:b/>
          <w:bCs/>
          <w:kern w:val="32"/>
          <w:sz w:val="28"/>
        </w:rPr>
      </w:pPr>
      <w:r>
        <w:t>Resistance from employees</w:t>
      </w:r>
    </w:p>
    <w:p w14:paraId="49A08052" w14:textId="77777777" w:rsidR="001576FD" w:rsidRPr="001576FD" w:rsidRDefault="001576FD" w:rsidP="001576FD">
      <w:pPr>
        <w:pStyle w:val="Listenabsatz"/>
        <w:numPr>
          <w:ilvl w:val="0"/>
          <w:numId w:val="11"/>
        </w:numPr>
        <w:rPr>
          <w:b/>
          <w:bCs/>
          <w:kern w:val="32"/>
          <w:sz w:val="28"/>
        </w:rPr>
      </w:pPr>
      <w:r>
        <w:t>Poor Data Quality</w:t>
      </w:r>
    </w:p>
    <w:p w14:paraId="7CCFDD58" w14:textId="732FD789" w:rsidR="001576FD" w:rsidRPr="001576FD" w:rsidRDefault="001576FD" w:rsidP="001576FD">
      <w:pPr>
        <w:pStyle w:val="Listenabsatz"/>
        <w:numPr>
          <w:ilvl w:val="0"/>
          <w:numId w:val="11"/>
        </w:numPr>
        <w:rPr>
          <w:b/>
          <w:bCs/>
          <w:kern w:val="32"/>
          <w:sz w:val="28"/>
          <w:lang w:val="en-GB"/>
        </w:rPr>
      </w:pPr>
      <w:r w:rsidRPr="001576FD">
        <w:rPr>
          <w:lang w:val="en-GB"/>
        </w:rPr>
        <w:t>Low Actionability of</w:t>
      </w:r>
      <w:r>
        <w:rPr>
          <w:lang w:val="en-GB"/>
        </w:rPr>
        <w:t xml:space="preserve"> </w:t>
      </w:r>
      <w:r w:rsidRPr="001576FD">
        <w:rPr>
          <w:lang w:val="en-GB"/>
        </w:rPr>
        <w:t>the I</w:t>
      </w:r>
      <w:r>
        <w:rPr>
          <w:lang w:val="en-GB"/>
        </w:rPr>
        <w:t>nformation</w:t>
      </w:r>
    </w:p>
    <w:p w14:paraId="6F9D4B30" w14:textId="66C8417D" w:rsidR="001576FD" w:rsidRDefault="001576FD" w:rsidP="001576FD">
      <w:r w:rsidRPr="001576FD">
        <w:t>Ziel der Arbeit: Treffen P</w:t>
      </w:r>
      <w:r>
        <w:t xml:space="preserve">unkte 2 und 3 zu? </w:t>
      </w:r>
      <w:r w:rsidRPr="001576FD">
        <w:t>(</w:t>
      </w:r>
      <w:hyperlink r:id="rId15" w:history="1">
        <w:r w:rsidRPr="001576FD">
          <w:rPr>
            <w:rStyle w:val="Hyperlink"/>
          </w:rPr>
          <w:t>https://weblibrary.miu.edu.my/upload/ebook/management%20_and_business/2018_Book_CustomerRelationshipManagement.pdf</w:t>
        </w:r>
      </w:hyperlink>
      <w:r w:rsidRPr="001576FD">
        <w:t>, Seite 49 Quell</w:t>
      </w:r>
      <w:r>
        <w:t>e)</w:t>
      </w:r>
    </w:p>
    <w:p w14:paraId="2B854907" w14:textId="695AE18C" w:rsidR="00784409" w:rsidRDefault="00784409" w:rsidP="001576FD"/>
    <w:p w14:paraId="5E8BB390" w14:textId="1C0CDC72" w:rsidR="00784409" w:rsidRPr="00784409" w:rsidRDefault="00784409" w:rsidP="001576FD">
      <w:pPr>
        <w:rPr>
          <w:color w:val="C00000"/>
        </w:rPr>
      </w:pPr>
      <w:r w:rsidRPr="00784409">
        <w:rPr>
          <w:color w:val="C00000"/>
        </w:rPr>
        <w:t>RFM Value zur Quantifizierung von Kundenbindung? Oder einfach nur Käufe verwenden?</w:t>
      </w:r>
    </w:p>
    <w:p w14:paraId="03EE177A" w14:textId="77777777" w:rsidR="00784409" w:rsidRDefault="00784409" w:rsidP="00784409">
      <w:pPr>
        <w:rPr>
          <w:lang w:val="en-GB"/>
        </w:rPr>
      </w:pPr>
      <w:r w:rsidRPr="00784409">
        <w:rPr>
          <w:lang w:val="en-GB"/>
        </w:rPr>
        <w:t>The general idea of RFM is to classify customers</w:t>
      </w:r>
      <w:r>
        <w:rPr>
          <w:lang w:val="en-GB"/>
        </w:rPr>
        <w:t xml:space="preserve"> </w:t>
      </w:r>
      <w:r w:rsidRPr="00784409">
        <w:rPr>
          <w:lang w:val="en-GB"/>
        </w:rPr>
        <w:t>based on their RFM measure. The resulting</w:t>
      </w:r>
      <w:r>
        <w:rPr>
          <w:lang w:val="en-GB"/>
        </w:rPr>
        <w:t xml:space="preserve"> </w:t>
      </w:r>
      <w:r w:rsidRPr="00784409">
        <w:rPr>
          <w:lang w:val="en-GB"/>
        </w:rPr>
        <w:t>groups of customers are associated with purchase</w:t>
      </w:r>
      <w:r>
        <w:rPr>
          <w:lang w:val="en-GB"/>
        </w:rPr>
        <w:t xml:space="preserve"> </w:t>
      </w:r>
      <w:r w:rsidRPr="00784409">
        <w:rPr>
          <w:lang w:val="en-GB"/>
        </w:rPr>
        <w:t>behavior, e.g., likelihood to respond to a</w:t>
      </w:r>
      <w:r>
        <w:rPr>
          <w:lang w:val="en-GB"/>
        </w:rPr>
        <w:t xml:space="preserve"> </w:t>
      </w:r>
      <w:r w:rsidRPr="00784409">
        <w:rPr>
          <w:lang w:val="en-GB"/>
        </w:rPr>
        <w:t>marketing campaign</w:t>
      </w:r>
      <w:r>
        <w:rPr>
          <w:lang w:val="en-GB"/>
        </w:rPr>
        <w:t>.</w:t>
      </w:r>
    </w:p>
    <w:p w14:paraId="1BFACE47" w14:textId="77777777" w:rsidR="006F2EE1" w:rsidRDefault="00784409" w:rsidP="00784409">
      <w:r w:rsidRPr="00784409">
        <w:t>(</w:t>
      </w:r>
      <w:hyperlink r:id="rId16" w:history="1">
        <w:r w:rsidRPr="00784409">
          <w:rPr>
            <w:rStyle w:val="Hyperlink"/>
          </w:rPr>
          <w:t>https://weblibrary.miu.edu.my/upload/ebook/management%20_and_business/2018_Book_CustomerRelationshipManagement.pdf</w:t>
        </w:r>
      </w:hyperlink>
      <w:r w:rsidRPr="00784409">
        <w:t>, Sei</w:t>
      </w:r>
      <w:r>
        <w:t>te 102)</w:t>
      </w:r>
    </w:p>
    <w:p w14:paraId="1FD22D27" w14:textId="77777777" w:rsidR="006F2EE1" w:rsidRDefault="006F2EE1" w:rsidP="00784409"/>
    <w:p w14:paraId="2350FAF9" w14:textId="77777777" w:rsidR="006F2EE1" w:rsidRPr="006F2EE1" w:rsidRDefault="006F2EE1" w:rsidP="00784409">
      <w:pPr>
        <w:rPr>
          <w:color w:val="C00000"/>
        </w:rPr>
      </w:pPr>
      <w:r w:rsidRPr="006F2EE1">
        <w:rPr>
          <w:color w:val="C00000"/>
        </w:rPr>
        <w:t>Warum Costumer Selection in einem CRM Produkt?</w:t>
      </w:r>
    </w:p>
    <w:p w14:paraId="2D721F65" w14:textId="0365C4FA" w:rsidR="006F2EE1" w:rsidRPr="006F2EE1" w:rsidRDefault="006F2EE1" w:rsidP="006F2EE1">
      <w:pPr>
        <w:rPr>
          <w:lang w:val="en-GB"/>
        </w:rPr>
      </w:pPr>
      <w:r w:rsidRPr="006F2EE1">
        <w:rPr>
          <w:lang w:val="en-GB"/>
        </w:rPr>
        <w:t>Customer selection strategies are applied whenfirms want to target individual customers or</w:t>
      </w:r>
    </w:p>
    <w:p w14:paraId="2921A6E3" w14:textId="6BD3B580" w:rsidR="00894119" w:rsidRPr="006F2EE1" w:rsidRDefault="006F2EE1" w:rsidP="006F2EE1">
      <w:pPr>
        <w:rPr>
          <w:lang w:val="en-GB"/>
        </w:rPr>
      </w:pPr>
      <w:r w:rsidRPr="006F2EE1">
        <w:rPr>
          <w:lang w:val="en-GB"/>
        </w:rPr>
        <w:t>groups of customers. The reason for targeting</w:t>
      </w:r>
      <w:r>
        <w:rPr>
          <w:lang w:val="en-GB"/>
        </w:rPr>
        <w:t xml:space="preserve"> </w:t>
      </w:r>
      <w:r w:rsidRPr="006F2EE1">
        <w:rPr>
          <w:lang w:val="en-GB"/>
        </w:rPr>
        <w:t>these customers can be manifold, for example, for</w:t>
      </w:r>
      <w:r>
        <w:rPr>
          <w:lang w:val="en-GB"/>
        </w:rPr>
        <w:t xml:space="preserve"> </w:t>
      </w:r>
      <w:r w:rsidRPr="006F2EE1">
        <w:rPr>
          <w:lang w:val="en-GB"/>
        </w:rPr>
        <w:t>sending out a promotion or inviting them to a</w:t>
      </w:r>
      <w:r>
        <w:rPr>
          <w:lang w:val="en-GB"/>
        </w:rPr>
        <w:t xml:space="preserve"> </w:t>
      </w:r>
      <w:r w:rsidRPr="006F2EE1">
        <w:rPr>
          <w:lang w:val="en-GB"/>
        </w:rPr>
        <w:t>special event. Finding the right targets for marketing resource allocation is at the heart of any</w:t>
      </w:r>
      <w:r>
        <w:rPr>
          <w:lang w:val="en-GB"/>
        </w:rPr>
        <w:t xml:space="preserve"> </w:t>
      </w:r>
      <w:r w:rsidRPr="006F2EE1">
        <w:rPr>
          <w:lang w:val="en-GB"/>
        </w:rPr>
        <w:t>CRM strategy. Smart targeting allows firms to</w:t>
      </w:r>
      <w:r>
        <w:rPr>
          <w:lang w:val="en-GB"/>
        </w:rPr>
        <w:t xml:space="preserve"> </w:t>
      </w:r>
      <w:r w:rsidRPr="006F2EE1">
        <w:rPr>
          <w:lang w:val="en-GB"/>
        </w:rPr>
        <w:t>spend resources judiciously and allows customers</w:t>
      </w:r>
      <w:r>
        <w:rPr>
          <w:lang w:val="en-GB"/>
        </w:rPr>
        <w:t xml:space="preserve"> </w:t>
      </w:r>
      <w:r w:rsidRPr="006F2EE1">
        <w:rPr>
          <w:lang w:val="en-GB"/>
        </w:rPr>
        <w:t>to receive messages relevant to them. Inconsiderate</w:t>
      </w:r>
      <w:r>
        <w:rPr>
          <w:lang w:val="en-GB"/>
        </w:rPr>
        <w:t xml:space="preserve"> </w:t>
      </w:r>
      <w:r w:rsidRPr="006F2EE1">
        <w:rPr>
          <w:lang w:val="en-GB"/>
        </w:rPr>
        <w:t>targeting actions destroy value by over- or under</w:t>
      </w:r>
      <w:r>
        <w:rPr>
          <w:lang w:val="en-GB"/>
        </w:rPr>
        <w:t xml:space="preserve"> </w:t>
      </w:r>
      <w:r w:rsidRPr="006F2EE1">
        <w:rPr>
          <w:lang w:val="en-GB"/>
        </w:rPr>
        <w:t>spending from the firm’s perspective and by providing undesirable messages (junk mail). One</w:t>
      </w:r>
      <w:r>
        <w:rPr>
          <w:lang w:val="en-GB"/>
        </w:rPr>
        <w:t xml:space="preserve"> </w:t>
      </w:r>
      <w:r w:rsidRPr="006F2EE1">
        <w:rPr>
          <w:lang w:val="en-GB"/>
        </w:rPr>
        <w:t>step in the successful implementation of CRM is</w:t>
      </w:r>
      <w:r>
        <w:rPr>
          <w:lang w:val="en-GB"/>
        </w:rPr>
        <w:t xml:space="preserve"> </w:t>
      </w:r>
      <w:r w:rsidRPr="006F2EE1">
        <w:rPr>
          <w:lang w:val="en-GB"/>
        </w:rPr>
        <w:t>the smart deployment of targeting methodologies</w:t>
      </w:r>
      <w:r>
        <w:rPr>
          <w:lang w:val="en-GB"/>
        </w:rPr>
        <w:t xml:space="preserve"> </w:t>
      </w:r>
      <w:r w:rsidRPr="006F2EE1">
        <w:rPr>
          <w:lang w:val="en-GB"/>
        </w:rPr>
        <w:t>to maximize the benefits to firm and customer.</w:t>
      </w:r>
      <w:r w:rsidR="00894119" w:rsidRPr="006F2EE1">
        <w:rPr>
          <w:lang w:val="en-GB"/>
        </w:rPr>
        <w:br w:type="page"/>
      </w:r>
    </w:p>
    <w:p w14:paraId="1B574F41" w14:textId="76331982" w:rsidR="00894119" w:rsidRDefault="00894119" w:rsidP="008B2148">
      <w:pPr>
        <w:pStyle w:val="berschrift1"/>
      </w:pPr>
      <w:r>
        <w:lastRenderedPageBreak/>
        <w:t>Theoretische Grundlagen</w:t>
      </w:r>
    </w:p>
    <w:p w14:paraId="1CBBBCEE" w14:textId="7B29DDCD" w:rsidR="00545497" w:rsidRDefault="00545497" w:rsidP="00545497">
      <w:r>
        <w:t>Einleitung, welche Theoretischen Grundlagen für die Behandlung der Problemstellung wichtig sind.</w:t>
      </w:r>
    </w:p>
    <w:p w14:paraId="3864BC05" w14:textId="11D09A7D" w:rsidR="002625DE" w:rsidRDefault="002625DE" w:rsidP="00545497">
      <w:pPr>
        <w:pStyle w:val="Listenabsatz"/>
        <w:numPr>
          <w:ilvl w:val="0"/>
          <w:numId w:val="10"/>
        </w:numPr>
      </w:pPr>
      <w:r>
        <w:t>Genauere Darstellung des Thalia Theaters und ihrer Rolle innerhalb der Hamburger Theater</w:t>
      </w:r>
      <w:r w:rsidR="001176DA">
        <w:t>szene</w:t>
      </w:r>
    </w:p>
    <w:p w14:paraId="6B14D546" w14:textId="3DE57157" w:rsidR="002625DE" w:rsidRDefault="001176DA" w:rsidP="00545497">
      <w:pPr>
        <w:pStyle w:val="Listenabsatz"/>
        <w:numPr>
          <w:ilvl w:val="0"/>
          <w:numId w:val="10"/>
        </w:numPr>
      </w:pPr>
      <w:r>
        <w:t xml:space="preserve">Definition </w:t>
      </w:r>
      <w:r w:rsidR="002625DE">
        <w:t>Newsletter Marketing</w:t>
      </w:r>
    </w:p>
    <w:p w14:paraId="0B35987F" w14:textId="44C27305" w:rsidR="002625DE" w:rsidRDefault="002625DE" w:rsidP="00545497">
      <w:pPr>
        <w:pStyle w:val="Listenabsatz"/>
        <w:numPr>
          <w:ilvl w:val="0"/>
          <w:numId w:val="10"/>
        </w:numPr>
      </w:pPr>
      <w:r>
        <w:t>Nutzun</w:t>
      </w:r>
      <w:r w:rsidR="001176DA">
        <w:t>g</w:t>
      </w:r>
      <w:r>
        <w:t xml:space="preserve"> von Newsletter Marketing des Thalia Theaters</w:t>
      </w:r>
    </w:p>
    <w:p w14:paraId="102EEC40" w14:textId="46FB792E" w:rsidR="00545497" w:rsidRDefault="00545497" w:rsidP="00545497">
      <w:pPr>
        <w:pStyle w:val="Listenabsatz"/>
        <w:numPr>
          <w:ilvl w:val="0"/>
          <w:numId w:val="10"/>
        </w:numPr>
      </w:pPr>
      <w:r>
        <w:t>Kundenloyalität: Allgemeine Formulierung</w:t>
      </w:r>
    </w:p>
    <w:p w14:paraId="788F3059" w14:textId="136B8760" w:rsidR="00545497" w:rsidRDefault="00545497" w:rsidP="00545497">
      <w:pPr>
        <w:pStyle w:val="Listenabsatz"/>
        <w:numPr>
          <w:ilvl w:val="0"/>
          <w:numId w:val="10"/>
        </w:numPr>
      </w:pPr>
      <w:r>
        <w:t>Kundenloyalität ggü. Theatern: Besonderheiten von Commitment und Involvement</w:t>
      </w:r>
    </w:p>
    <w:p w14:paraId="1F351BF5" w14:textId="0DDCDF1D" w:rsidR="001176DA" w:rsidRDefault="001176DA" w:rsidP="00545497">
      <w:pPr>
        <w:pStyle w:val="Listenabsatz"/>
        <w:numPr>
          <w:ilvl w:val="0"/>
          <w:numId w:val="10"/>
        </w:numPr>
      </w:pPr>
      <w:r>
        <w:t>Einflussfaktoren auf die Wirkung von Newsletter Marketing zur Stärkung der Kundenloyalität (personalisierte Inhalte, NL für Verkauf/ Bindung, etc.)</w:t>
      </w:r>
    </w:p>
    <w:p w14:paraId="6D6820B1" w14:textId="69D40019" w:rsidR="001176DA" w:rsidRDefault="001176DA" w:rsidP="00545497">
      <w:pPr>
        <w:pStyle w:val="Listenabsatz"/>
        <w:numPr>
          <w:ilvl w:val="0"/>
          <w:numId w:val="10"/>
        </w:numPr>
      </w:pPr>
      <w:r>
        <w:t>Verteilung der NL des Thalia Theaters in Verkauf-/ Bindungs-NL</w:t>
      </w:r>
    </w:p>
    <w:p w14:paraId="793FF25A" w14:textId="77AD25C6" w:rsidR="0012157F" w:rsidRDefault="0012157F" w:rsidP="0012157F"/>
    <w:p w14:paraId="7033360B" w14:textId="6382858C" w:rsidR="0012157F" w:rsidRDefault="0012157F" w:rsidP="0012157F">
      <w:pPr>
        <w:spacing w:line="240" w:lineRule="auto"/>
        <w:jc w:val="left"/>
      </w:pPr>
      <w:r>
        <w:br w:type="page"/>
      </w:r>
    </w:p>
    <w:p w14:paraId="4A1A90BE" w14:textId="16E88A2C" w:rsidR="0012157F" w:rsidRDefault="00305F61" w:rsidP="0012157F">
      <w:pPr>
        <w:pStyle w:val="berschrift2"/>
      </w:pPr>
      <w:r>
        <w:lastRenderedPageBreak/>
        <w:t>Kundenbindung im Kulturbereich</w:t>
      </w:r>
    </w:p>
    <w:p w14:paraId="5F7708A2" w14:textId="49E89AC5" w:rsidR="003E1155" w:rsidRDefault="003E1155" w:rsidP="0012157F">
      <w:r>
        <w:t xml:space="preserve">Im Theatermarkt in Hamburg spielt die Kundenbindung eine zentrale Rolle. Theaterhäuser konkurrieren um die Aufmerksamkeit und Treue der Zuschauer, da diese maßgeblich zum Erfolg und zur langfristigen Stabilität des Theaters beitragen. Kundenbindung bezieht sich auf die Bemühungen eines Theaters, eine starke und langfristige Beziehung zu seinen Zuschauern aufzubauen, um sie als wiederkehrende Besucher zu gewinnen und zu halten. Hamburg ist eine Stadt mit einer reichen Theaterlandschaft, die eine Vielzahl von Genres und Aufführungen bietet. In einer Zeit, in der die Unterhaltungsindustrie viele Alternativen bietet, ist es für Theaterhäuser von entscheidender Bedeutung, ihre Kunden zu binden und sicherzustellen, dass sie regelmäßig wiederkommen. Eine effektive Kundenbindung erfordert auch eine gezielte Kommunikation und Interaktion mit dem Publikum. Durch personalisierte Werbung und regelmäßige Newsletter können Theaterhäuser eine Beziehung zu ihren Zuschauern aufbauen und sie über kommende Aufführungen, Sonderveranstaltungen oder Rabattaktionen informieren. Im Folgenden werden werden die strategische Bedeutung und der Begriff der Kundenbindung erläutert. Danach wird die Wirkungskette der Kundebindung sowie eine Typologisierung möglicher Kundenbindungsursachen </w:t>
      </w:r>
      <w:r w:rsidR="008005B3">
        <w:t>untersucht.</w:t>
      </w:r>
    </w:p>
    <w:p w14:paraId="209D25E6" w14:textId="30615A2D" w:rsidR="008005B3" w:rsidRDefault="008005B3" w:rsidP="008005B3">
      <w:pPr>
        <w:rPr>
          <w:b/>
          <w:bCs/>
        </w:rPr>
      </w:pPr>
      <w:r w:rsidRPr="008005B3">
        <w:rPr>
          <w:b/>
          <w:bCs/>
        </w:rPr>
        <w:t>Definition der Kundenbindung</w:t>
      </w:r>
    </w:p>
    <w:p w14:paraId="5DE023D2" w14:textId="1BD78FA0" w:rsidR="00521E9E" w:rsidRDefault="00521E9E" w:rsidP="00521E9E">
      <w:r>
        <w:t>Der Begriff der Kundenbindung wird in der Literatur auf unterschiedliche Weise verwendet. Es gibt verschiedene Definitionen, die unter anderem darauf zurückzuführen sind, dass Kundenbindung aus verschiedenen Perspektiven betrachtet werden kann. Dabei spielen die Sichtweise des Anbieters, die Sichtweise des Kunden und die Betrachtung der Geschäftsbeziehung eine Rolle</w:t>
      </w:r>
      <w:r w:rsidRPr="00521E9E">
        <w:t xml:space="preserve">. Wir beschränken uns in dieser Arbeit auf die Definition von </w:t>
      </w:r>
      <w:sdt>
        <w:sdtPr>
          <w:rPr>
            <w:color w:val="000000"/>
          </w:rPr>
          <w:alias w:val="To edit, see citavi.com/edit"/>
          <w:tag w:val="CitaviPlaceholder#408e4395-6e99-e8c7-a9e6-65e3fd099dba"/>
          <w:id w:val="1627277615"/>
        </w:sdtPr>
        <w:sdtContent>
          <w:r w:rsidR="00086811" w:rsidRPr="00086811">
            <w:rPr>
              <w:color w:val="000000"/>
            </w:rPr>
            <w:fldChar w:fldCharType="begin"/>
          </w:r>
          <w:r w:rsidR="00086811" w:rsidRPr="00086811">
            <w:rPr>
              <w:color w:val="000000"/>
            </w:rPr>
            <w:instrText>ADDIN CitaviPlaceholder{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}</w:instrText>
          </w:r>
          <w:r w:rsidR="00086811" w:rsidRPr="00086811">
            <w:rPr>
              <w:color w:val="000000"/>
            </w:rPr>
            <w:fldChar w:fldCharType="separate"/>
          </w:r>
          <w:r w:rsidR="00086811" w:rsidRPr="00086811">
            <w:rPr>
              <w:color w:val="000000"/>
            </w:rPr>
            <w:t>Bruhn 2005, S. 7</w:t>
          </w:r>
          <w:r w:rsidR="00086811" w:rsidRPr="00086811">
            <w:rPr>
              <w:color w:val="000000"/>
            </w:rPr>
            <w:fldChar w:fldCharType="end"/>
          </w:r>
        </w:sdtContent>
      </w:sdt>
      <w:r w:rsidRPr="00521E9E">
        <w:t>:</w:t>
      </w:r>
    </w:p>
    <w:p w14:paraId="1191FF35" w14:textId="77777777" w:rsidR="009738A2" w:rsidRPr="00521E9E" w:rsidRDefault="009738A2" w:rsidP="00521E9E"/>
    <w:p w14:paraId="72C72595" w14:textId="2C709106" w:rsidR="00985C50" w:rsidRDefault="008005B3" w:rsidP="008005B3">
      <w:pPr>
        <w:rPr>
          <w:color w:val="000000"/>
        </w:rPr>
      </w:pPr>
      <w:r>
        <w:t>„Kundenbindung umfasst sämtliche Maßnahmen eines Unternehmens, die darauf abzielen, sowohl die Verhaltensabsichten als auch das tatsächliche Verhalten eines Kunden gegenüber einem Anbieter oder dessen Leistungen positiv zu gestalten, um die Beziehung zu diesem Kunden für die Zukunft zu stabilisieren bzw. auszuweiten</w:t>
      </w:r>
      <w:r w:rsidR="00433812">
        <w:rPr>
          <w:color w:val="000000"/>
        </w:rPr>
        <w:t>.“</w:t>
      </w:r>
    </w:p>
    <w:p w14:paraId="7B4A1961" w14:textId="77777777" w:rsidR="008B5B22" w:rsidRDefault="008B5B22" w:rsidP="008005B3">
      <w:pPr>
        <w:rPr>
          <w:color w:val="000000"/>
        </w:rPr>
      </w:pPr>
    </w:p>
    <w:p w14:paraId="5305863C" w14:textId="77777777" w:rsidR="008B5B22" w:rsidRDefault="008B5B22" w:rsidP="008B5B22">
      <w:r>
        <w:t xml:space="preserve">Diese Definition macht deutlich, dass die Messung der Stärke einer Kundenbindung sowohl das tatsächliche Verhalten, wie Wiederkauf, Cross Buying, Weiterempfehlungsverhalten sowie die Preiserhöhungsakzeptanz, als auch die Absicht des Verhaltens berücksichtigen muss. Hieraus leitet sich das Konstrukt der Kundenbindung, wie in </w:t>
      </w:r>
      <w:r>
        <w:fldChar w:fldCharType="begin"/>
      </w:r>
      <w:r>
        <w:instrText xml:space="preserve"> REF _Ref138011760 \h </w:instrText>
      </w:r>
      <w:r>
        <w:fldChar w:fldCharType="separate"/>
      </w:r>
      <w:r>
        <w:t xml:space="preserve">Abbildung </w:t>
      </w:r>
      <w:r>
        <w:rPr>
          <w:noProof/>
        </w:rPr>
        <w:t>1</w:t>
      </w:r>
      <w:r>
        <w:fldChar w:fldCharType="end"/>
      </w:r>
      <w:r>
        <w:t xml:space="preserve"> dargestellt, ab.</w:t>
      </w:r>
    </w:p>
    <w:p w14:paraId="0E8B80CE" w14:textId="77777777" w:rsidR="008B5B22" w:rsidRDefault="008B5B22" w:rsidP="008B5B22">
      <w:pPr>
        <w:jc w:val="left"/>
        <w:rPr>
          <w:b/>
          <w:bCs/>
        </w:rPr>
      </w:pPr>
      <w:r w:rsidRPr="00521E9E">
        <w:rPr>
          <w:b/>
          <w:bCs/>
        </w:rPr>
        <w:t>Strategische Bedeutung der Kundenbindung</w:t>
      </w:r>
    </w:p>
    <w:p w14:paraId="18D91FF4" w14:textId="710D8F4F" w:rsidR="008B5B22" w:rsidRDefault="008B5B22" w:rsidP="008B5B22">
      <w:pPr>
        <w:jc w:val="left"/>
      </w:pPr>
      <w:r w:rsidRPr="00985C50">
        <w:t xml:space="preserve">Im Kulturbereich zeigt sich eine steigende Anspruchshaltung und eine zunehmende Unbeständigkeit der Konsumenten, die individuellere Bedürfnisse und ein breiteres Verständnis </w:t>
      </w:r>
      <w:r w:rsidRPr="00985C50">
        <w:lastRenderedPageBreak/>
        <w:t>des Konsums aufweisen. Die Konkurrenz beschränkt sich nicht mehr nur auf andere Kulturangebote, sondern erstreckt sich auf die gesamte Freizeit-, Unterhaltungs- und Sinnstiftungsindustrie sowie die sozialen Netzwerke. Vor diesem Hintergrund gewinnen die Individualisierung und die Kundenbindung zunehmend an Bedeutung. Die Anbieter reagieren darauf mi</w:t>
      </w:r>
      <w:r>
        <w:t xml:space="preserve"> </w:t>
      </w:r>
      <w:r w:rsidRPr="00985C50">
        <w:t xml:space="preserve">maßgeschneiderten Angeboten, individueller Kundenansprache und einer persönlichen Rundum-Betreuung. Ähnlich wie Anlageberater in Banken, wird der Kulturkonsumentenberater zu einer neuen Dienstleistung in der Zielgruppenpflege </w:t>
      </w:r>
      <w:sdt>
        <w:sdtPr>
          <w:rPr>
            <w:color w:val="000000"/>
          </w:rPr>
          <w:alias w:val="To edit, see citavi.com/edit"/>
          <w:tag w:val="CitaviPlaceholder#3957a92c-5a61-6f1c-b199-7ef6c122a739"/>
          <w:id w:val="1824232590"/>
        </w:sdtPr>
        <w:sdtContent>
          <w:r w:rsidR="00086811" w:rsidRPr="00086811">
            <w:rPr>
              <w:color w:val="000000"/>
            </w:rPr>
            <w:fldChar w:fldCharType="begin"/>
          </w:r>
          <w:r w:rsidR="00086811" w:rsidRPr="00086811">
            <w:rPr>
              <w:color w:val="000000"/>
            </w:rPr>
            <w:instrText>ADDIN CitaviPlaceholder{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}</w:instrText>
          </w:r>
          <w:r w:rsidR="00086811" w:rsidRPr="00086811">
            <w:rPr>
              <w:color w:val="000000"/>
            </w:rPr>
            <w:fldChar w:fldCharType="separate"/>
          </w:r>
          <w:r w:rsidR="00086811" w:rsidRPr="00086811">
            <w:rPr>
              <w:color w:val="000000"/>
            </w:rPr>
            <w:t>(vgl.swissfuture 2014, S. 41)</w:t>
          </w:r>
          <w:r w:rsidR="00086811" w:rsidRPr="00086811">
            <w:rPr>
              <w:color w:val="000000"/>
            </w:rPr>
            <w:fldChar w:fldCharType="end"/>
          </w:r>
        </w:sdtContent>
      </w:sdt>
      <w:r w:rsidRPr="00985C50">
        <w:t>.</w:t>
      </w:r>
      <w:r>
        <w:t xml:space="preserve"> </w:t>
      </w:r>
    </w:p>
    <w:p w14:paraId="5CAB8132" w14:textId="77777777" w:rsidR="008B5B22" w:rsidRDefault="008B5B22" w:rsidP="008B5B22">
      <w:pPr>
        <w:jc w:val="left"/>
      </w:pPr>
      <w:r>
        <w:fldChar w:fldCharType="begin"/>
      </w:r>
      <w:r>
        <w:instrText xml:space="preserve"> REF _Ref138017709 \h </w:instrText>
      </w:r>
      <w:r>
        <w:fldChar w:fldCharType="separate"/>
      </w:r>
      <w:r>
        <w:t xml:space="preserve">Abbildung </w:t>
      </w:r>
      <w:r>
        <w:rPr>
          <w:noProof/>
        </w:rPr>
        <w:t>2</w:t>
      </w:r>
      <w:r>
        <w:fldChar w:fldCharType="end"/>
      </w:r>
      <w:r>
        <w:t xml:space="preserve"> zeigt insbesondere die steigende Anzahl an Unternehmen im Markt für darstellende Künste in Deutschland. So haben sich im Zeitraum von 2009 bis 2019 knapp 43% mehr Unternehmen im Markt der darstellenden Künste etablieren können als es noch im Jahr 2009 der Fall war. Die Auswirkungen der Weltfinanzkrise in den Jahren 2007 und 2008 und der Einschräkungen wärend der Corona Pandemie in den Jahren 2020 und 2021 stellten große Herausforderungen für den Markt dar und betont die Wichtigkeit einer nachhaltigen Wirtschaftsweise für die Betriebe.</w:t>
      </w:r>
    </w:p>
    <w:p w14:paraId="02DCD57A" w14:textId="77777777" w:rsidR="009738A2" w:rsidRDefault="009738A2" w:rsidP="008005B3">
      <w:pPr>
        <w:rPr>
          <w:color w:val="000000"/>
        </w:rPr>
      </w:pPr>
    </w:p>
    <w:p w14:paraId="6EF76A46" w14:textId="77777777" w:rsidR="00985C50" w:rsidRDefault="00985C50" w:rsidP="00985C50">
      <w:pPr>
        <w:keepNext/>
      </w:pPr>
      <w:r>
        <w:rPr>
          <w:noProof/>
        </w:rPr>
        <w:drawing>
          <wp:inline distT="0" distB="0" distL="0" distR="0" wp14:anchorId="3D1F7764" wp14:editId="65707FA5">
            <wp:extent cx="5753100" cy="2143125"/>
            <wp:effectExtent l="0" t="0" r="0" b="9525"/>
            <wp:docPr id="942418315" name="Grafik 4" descr="Ein Bild, das Text, Reihe, Diagramm,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18315" name="Grafik 4" descr="Ein Bild, das Text, Reihe, Diagramm, Quittung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143125"/>
                    </a:xfrm>
                    <a:prstGeom prst="rect">
                      <a:avLst/>
                    </a:prstGeom>
                    <a:noFill/>
                    <a:ln>
                      <a:noFill/>
                    </a:ln>
                  </pic:spPr>
                </pic:pic>
              </a:graphicData>
            </a:graphic>
          </wp:inline>
        </w:drawing>
      </w:r>
    </w:p>
    <w:p w14:paraId="6F1125EB" w14:textId="0688CF9B" w:rsidR="00985C50" w:rsidRDefault="00985C50" w:rsidP="00985C50">
      <w:pPr>
        <w:pStyle w:val="Beschriftung"/>
        <w:jc w:val="center"/>
      </w:pPr>
      <w:bookmarkStart w:id="14" w:name="_Ref138011760"/>
      <w:bookmarkStart w:id="15" w:name="_Ref138011744"/>
      <w:r>
        <w:t xml:space="preserve">Abbildung </w:t>
      </w:r>
      <w:fldSimple w:instr=" SEQ Abbildung \* ARABIC ">
        <w:r w:rsidR="008B5B22">
          <w:rPr>
            <w:noProof/>
          </w:rPr>
          <w:t>1</w:t>
        </w:r>
      </w:fldSimple>
      <w:bookmarkEnd w:id="14"/>
      <w:r>
        <w:t xml:space="preserve">: Konzeptualiserung der Kundenbindung </w:t>
      </w:r>
      <w:sdt>
        <w:sdtPr>
          <w:rPr>
            <w:color w:val="000000"/>
          </w:rPr>
          <w:alias w:val="To edit, see citavi.com/edit"/>
          <w:tag w:val="CitaviPlaceholder#3ab0f08b-784e-4a95-9b1f-e30a612d04d9"/>
          <w:id w:val="1112251062"/>
        </w:sdtPr>
        <w:sdtContent>
          <w:r w:rsidR="00086811" w:rsidRPr="00086811">
            <w:rPr>
              <w:color w:val="000000"/>
            </w:rPr>
            <w:fldChar w:fldCharType="begin"/>
          </w:r>
          <w:r w:rsidR="00086811" w:rsidRPr="00086811">
            <w:rPr>
              <w:color w:val="000000"/>
            </w:rPr>
            <w:instrText>ADDIN CitaviPlaceholder{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}</w:instrText>
          </w:r>
          <w:r w:rsidR="00086811" w:rsidRPr="00086811">
            <w:rPr>
              <w:color w:val="000000"/>
            </w:rPr>
            <w:fldChar w:fldCharType="separate"/>
          </w:r>
          <w:r w:rsidR="00086811" w:rsidRPr="00086811">
            <w:rPr>
              <w:color w:val="000000"/>
            </w:rPr>
            <w:t>(Bruhn 2005)</w:t>
          </w:r>
          <w:r w:rsidR="00086811" w:rsidRPr="00086811">
            <w:rPr>
              <w:color w:val="000000"/>
            </w:rPr>
            <w:fldChar w:fldCharType="end"/>
          </w:r>
        </w:sdtContent>
      </w:sdt>
      <w:r>
        <w:rPr>
          <w:color w:val="000000"/>
        </w:rPr>
        <w:t>, S. 8</w:t>
      </w:r>
      <w:bookmarkEnd w:id="15"/>
    </w:p>
    <w:p w14:paraId="63682AE8" w14:textId="77777777" w:rsidR="008B5B22" w:rsidRDefault="008B5B22" w:rsidP="00985C50">
      <w:pPr>
        <w:jc w:val="left"/>
        <w:rPr>
          <w:b/>
          <w:bCs/>
        </w:rPr>
      </w:pPr>
    </w:p>
    <w:p w14:paraId="0094A82B" w14:textId="32864094" w:rsidR="009071DE" w:rsidRDefault="009071DE" w:rsidP="00985C50">
      <w:pPr>
        <w:jc w:val="left"/>
        <w:rPr>
          <w:b/>
          <w:bCs/>
        </w:rPr>
      </w:pPr>
      <w:r w:rsidRPr="00305F61">
        <w:rPr>
          <w:b/>
          <w:bCs/>
        </w:rPr>
        <w:t>Wirkugskette der Kundenbindung</w:t>
      </w:r>
    </w:p>
    <w:p w14:paraId="5DA07E1A" w14:textId="4DA521BD" w:rsidR="003539E2" w:rsidRDefault="009738A2" w:rsidP="003539E2">
      <w:pPr>
        <w:jc w:val="left"/>
      </w:pPr>
      <w:r>
        <w:t xml:space="preserve">Nach </w:t>
      </w:r>
      <w:sdt>
        <w:sdtPr>
          <w:rPr>
            <w:color w:val="000000"/>
          </w:rPr>
          <w:alias w:val="To edit, see citavi.com/edit"/>
          <w:tag w:val="CitaviPlaceholder#aee45852-02ec-08d3-d30b-da644fb32888"/>
          <w:id w:val="-1840920531"/>
        </w:sdtPr>
        <w:sdtContent>
          <w:r w:rsidR="00086811" w:rsidRPr="00086811">
            <w:rPr>
              <w:color w:val="000000"/>
            </w:rPr>
            <w:fldChar w:fldCharType="begin"/>
          </w:r>
          <w:r w:rsidR="00086811" w:rsidRPr="00086811">
            <w:rPr>
              <w:color w:val="000000"/>
            </w:rPr>
            <w:instrText>ADDIN CitaviPlaceholder{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}</w:instrText>
          </w:r>
          <w:r w:rsidR="00086811" w:rsidRPr="00086811">
            <w:rPr>
              <w:color w:val="000000"/>
            </w:rPr>
            <w:fldChar w:fldCharType="separate"/>
          </w:r>
          <w:r w:rsidR="00086811" w:rsidRPr="00086811">
            <w:rPr>
              <w:color w:val="000000"/>
            </w:rPr>
            <w:t>Bruhn 2005, S. 8–9</w:t>
          </w:r>
          <w:r w:rsidR="00086811" w:rsidRPr="00086811">
            <w:rPr>
              <w:color w:val="000000"/>
            </w:rPr>
            <w:fldChar w:fldCharType="end"/>
          </w:r>
        </w:sdtContent>
      </w:sdt>
      <w:r>
        <w:rPr>
          <w:color w:val="000000"/>
        </w:rPr>
        <w:t xml:space="preserve">, </w:t>
      </w:r>
      <w:r>
        <w:t>muss zur Erzielun</w:t>
      </w:r>
      <w:r w:rsidR="003539E2">
        <w:t>g</w:t>
      </w:r>
      <w:r>
        <w:t xml:space="preserve"> einer Kundenbindung eine Wirkungskette durchlaufen werden </w:t>
      </w:r>
      <w:r w:rsidR="003539E2">
        <w:t>b</w:t>
      </w:r>
      <w:r>
        <w:t>is eine Kundenbindung entsteht. Die fünf Phasen dieser Wirkungskette werde</w:t>
      </w:r>
      <w:r w:rsidR="003539E2">
        <w:t>n</w:t>
      </w:r>
      <w:r>
        <w:t xml:space="preserve"> im Folgenden dargestellt.</w:t>
      </w:r>
    </w:p>
    <w:p w14:paraId="35EEBA75" w14:textId="636C6E98" w:rsidR="003539E2" w:rsidRDefault="003539E2" w:rsidP="003539E2">
      <w:pPr>
        <w:jc w:val="left"/>
      </w:pPr>
      <w:r>
        <w:t>Der erste Schritt der Wirkungskette umfasst den Erstkontakt des Kunden mit dem Anbieter, entweder durch den Kauf eines Produkts oder die Nutzung einer Dienstleistung. Nach diesem Erstkontakt folgt Phase 2, in der der Kunde die Situation und Interaktion bewertet und sein persönliches Zufriedenheitsurteil bildet. Wenn diese Bewertung positiv ausfällt oder die Erwartungen des Kunden sogar übertroffen werden, kann in Phase 3 Kundenloyalität entste</w:t>
      </w:r>
      <w:r>
        <w:lastRenderedPageBreak/>
        <w:t>hen. Kundenloyalität umfasst ein grundlegendes Vertrauensverhältnis, eine allgemein positive Einstellung und die Akzeptanz der Leistungsfähigkeit des Anbieters seitens des Kunden. In dieser Situation zeigt der Kunde eine erhöhte Bereitschaft zur Wiederholungsgeschäft und zur Empfehlung des Anbieters. Phase 4 markiert den Übergang zur Kundenbindung, wenn sich die positive Überzeugung des Kunden in tatsächlichem Wiederkaufverhalten, Cross-Buying oder Weiterempfehlungen an potenzielle Kunden widerspiegelt. In Phase 5 schließt sich die Wirkungskette mit einer Steigerung des ökonomischen Erfolgs aufgrund der erzielten Effekte. Der gesamte Ablauf der Wirkungskette wird von externen und internen Faktoren beeinflusst, die entweder positiv oder negativ auf den gewünschten Prozess wirken können.</w:t>
      </w:r>
    </w:p>
    <w:p w14:paraId="5E02635D" w14:textId="77777777" w:rsidR="008B5B22" w:rsidRDefault="007010E5" w:rsidP="008B5B22">
      <w:pPr>
        <w:jc w:val="left"/>
      </w:pPr>
      <w:r>
        <w:t>Bei der Betrachtung dieser Wirkungskette fällt auf, dass Kundenbindung erst aus einem grundlegenden Vertrauensverhältnis des Kunden gegenüber dem Theater heraus entsteht. Insbesondere Daten zu der allgemeinen Einstellung des Kunden gegenüber des Theaters und seine Bereitschaft zur Weiterempfehlung könnte eine Modellierung der zukünftigen Kundenbindung stark verbessern.</w:t>
      </w:r>
    </w:p>
    <w:p w14:paraId="06F39EAB" w14:textId="77777777" w:rsidR="008B5B22" w:rsidRPr="003539E2" w:rsidRDefault="008B5B22" w:rsidP="008B5B22">
      <w:pPr>
        <w:jc w:val="left"/>
        <w:rPr>
          <w:b/>
          <w:bCs/>
        </w:rPr>
      </w:pPr>
      <w:r>
        <w:rPr>
          <w:b/>
          <w:bCs/>
        </w:rPr>
        <w:t>Rolle des</w:t>
      </w:r>
      <w:r w:rsidRPr="003539E2">
        <w:rPr>
          <w:b/>
          <w:bCs/>
        </w:rPr>
        <w:t xml:space="preserve"> Email-Marketing</w:t>
      </w:r>
      <w:r>
        <w:rPr>
          <w:b/>
          <w:bCs/>
        </w:rPr>
        <w:t>s</w:t>
      </w:r>
      <w:r w:rsidRPr="003539E2">
        <w:rPr>
          <w:b/>
          <w:bCs/>
        </w:rPr>
        <w:t xml:space="preserve"> </w:t>
      </w:r>
      <w:r>
        <w:rPr>
          <w:b/>
          <w:bCs/>
        </w:rPr>
        <w:t>innerhalb der Wirkungskette der Kundenbindung</w:t>
      </w:r>
    </w:p>
    <w:p w14:paraId="4B1AC669" w14:textId="77777777" w:rsidR="008B5B22" w:rsidRPr="003539E2" w:rsidRDefault="008B5B22" w:rsidP="008B5B22">
      <w:pPr>
        <w:jc w:val="left"/>
      </w:pPr>
      <w:r>
        <w:t>Es gibt viele Einflussfaktoren, die einen Übergang der Kunden in die nächste Phase begünstigen würden. Sowohl unternehmensexterne moderierende Faktoren wie die Heterogenität der Kundenerwartungen, das Variety-Seeking-Motive der Kunden oder die Anzahl an Alternativen auf dem Markt, als auch unternehmensinterne moderierende Faktoren, wie die Individualität des Theaterstücks, die Komplexität des Angebots eines Theaters oder persönliche Beziehungen der Mitarbeiter zu den Kunden haben Einfluss auf die verschiedenen Phasen. In dieser Arbeit interessieren wir uns wie die kundenbezogene Informationspolitik des Thalia Theaters in Form von E-Mail-Marketing Einfluss auf den Übergang von Phase 3 der Kundenloyalität zu Phase 4 der Kundenbindung haben kann.</w:t>
      </w:r>
    </w:p>
    <w:p w14:paraId="53E977CC" w14:textId="77777777" w:rsidR="008B5B22" w:rsidRDefault="008B5B22" w:rsidP="008B5B22">
      <w:pPr>
        <w:jc w:val="left"/>
      </w:pPr>
    </w:p>
    <w:p w14:paraId="14D2C829" w14:textId="77777777" w:rsidR="008B5B22" w:rsidRDefault="008B5B22" w:rsidP="008B5B22">
      <w:pPr>
        <w:jc w:val="left"/>
      </w:pPr>
    </w:p>
    <w:p w14:paraId="5AF03553" w14:textId="77777777" w:rsidR="008B5B22" w:rsidRDefault="008B5B22" w:rsidP="008B5B22">
      <w:pPr>
        <w:keepNext/>
        <w:jc w:val="center"/>
      </w:pPr>
      <w:r>
        <w:rPr>
          <w:noProof/>
          <w:color w:val="000000"/>
        </w:rPr>
        <w:lastRenderedPageBreak/>
        <w:drawing>
          <wp:inline distT="0" distB="0" distL="0" distR="0" wp14:anchorId="63ADC126" wp14:editId="3A0302CF">
            <wp:extent cx="4242472" cy="5048250"/>
            <wp:effectExtent l="0" t="0" r="5715" b="0"/>
            <wp:docPr id="6371514" name="Grafik 5" descr="Ein Bild, das Text, Screenshot, parallel,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514" name="Grafik 5" descr="Ein Bild, das Text, Screenshot, parallel, Zahl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2750" cy="5072380"/>
                    </a:xfrm>
                    <a:prstGeom prst="rect">
                      <a:avLst/>
                    </a:prstGeom>
                    <a:noFill/>
                    <a:ln>
                      <a:noFill/>
                    </a:ln>
                  </pic:spPr>
                </pic:pic>
              </a:graphicData>
            </a:graphic>
          </wp:inline>
        </w:drawing>
      </w:r>
    </w:p>
    <w:p w14:paraId="213F742C" w14:textId="28310AD7" w:rsidR="008B5B22" w:rsidRPr="008B5B22" w:rsidRDefault="00985C50" w:rsidP="008B5B22">
      <w:pPr>
        <w:pStyle w:val="Beschriftung"/>
        <w:jc w:val="center"/>
      </w:pPr>
      <w:bookmarkStart w:id="16" w:name="_Ref138017709"/>
      <w:r>
        <w:t xml:space="preserve">Abbildung </w:t>
      </w:r>
      <w:fldSimple w:instr=" SEQ Abbildung \* ARABIC ">
        <w:r w:rsidR="008B5B22">
          <w:rPr>
            <w:noProof/>
          </w:rPr>
          <w:t>3</w:t>
        </w:r>
      </w:fldSimple>
      <w:bookmarkEnd w:id="16"/>
      <w:r>
        <w:t>:</w:t>
      </w:r>
      <w:r w:rsidRPr="00985C50">
        <w:t xml:space="preserve"> Anzahl der Unternehmen im Markt für darstellende Künste in Deutschland von 2003 bis 2021</w:t>
      </w:r>
      <w:r>
        <w:t xml:space="preserve"> </w:t>
      </w:r>
      <w:sdt>
        <w:sdtPr>
          <w:rPr>
            <w:color w:val="000000"/>
          </w:rPr>
          <w:alias w:val="To edit, see citavi.com/edit"/>
          <w:tag w:val="CitaviPlaceholder#f1ae4b6d-f705-5c69-f400-09b06cd0821e"/>
          <w:id w:val="1956358793"/>
        </w:sdtPr>
        <w:sdtContent>
          <w:r w:rsidR="00086811" w:rsidRPr="00086811">
            <w:rPr>
              <w:color w:val="000000"/>
            </w:rPr>
            <w:fldChar w:fldCharType="begin"/>
          </w:r>
          <w:r w:rsidR="00086811" w:rsidRPr="00086811">
            <w:rPr>
              <w:color w:val="000000"/>
            </w:rPr>
            <w:instrText>ADDIN CitaviPlaceholder{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}</w:instrText>
          </w:r>
          <w:r w:rsidR="00086811" w:rsidRPr="00086811">
            <w:rPr>
              <w:color w:val="000000"/>
            </w:rPr>
            <w:fldChar w:fldCharType="separate"/>
          </w:r>
          <w:r w:rsidR="00086811" w:rsidRPr="00086811">
            <w:rPr>
              <w:color w:val="000000"/>
            </w:rPr>
            <w:t>(Statista 2023)</w:t>
          </w:r>
          <w:r w:rsidR="00086811" w:rsidRPr="00086811">
            <w:rPr>
              <w:color w:val="000000"/>
            </w:rPr>
            <w:fldChar w:fldCharType="end"/>
          </w:r>
        </w:sdtContent>
      </w:sdt>
    </w:p>
    <w:p w14:paraId="3B6423A4" w14:textId="63A08C9E" w:rsidR="0012157F" w:rsidRPr="00A6164B" w:rsidRDefault="0012157F" w:rsidP="008B5B22">
      <w:pPr>
        <w:rPr>
          <w:color w:val="000000"/>
          <w:lang w:val="fr-FR"/>
        </w:rPr>
      </w:pPr>
      <w:r w:rsidRPr="00305F61">
        <w:br w:type="page"/>
      </w:r>
    </w:p>
    <w:p w14:paraId="0BB81835" w14:textId="0D7A1052" w:rsidR="0012157F" w:rsidRDefault="001C411E" w:rsidP="0012157F">
      <w:pPr>
        <w:pStyle w:val="berschrift2"/>
      </w:pPr>
      <w:r>
        <w:lastRenderedPageBreak/>
        <w:t>Das</w:t>
      </w:r>
      <w:r w:rsidR="004368B2">
        <w:t xml:space="preserve"> Thalia Theater</w:t>
      </w:r>
    </w:p>
    <w:p w14:paraId="2FFD4C96" w14:textId="751C34DC" w:rsidR="00977EE9" w:rsidRDefault="001C411E" w:rsidP="00977EE9">
      <w:pPr>
        <w:rPr>
          <w:color w:val="000000"/>
        </w:rPr>
      </w:pPr>
      <w:r>
        <w:t>Das Thalia Theater in Hamburg hat eine reiche Geschichte, die bis ins 19. Jahrhundert zurückreicht</w:t>
      </w:r>
      <w:r w:rsidR="009F7D90">
        <w:t xml:space="preserve"> und nimmt mit den Spielstätten im Haupthaus und in der Gaußstraße unter den deutschsprachigen Sprechtheatern aufgrund seiner Qualität und Tradition eine</w:t>
      </w:r>
      <w:r w:rsidR="009F7D90">
        <w:br/>
        <w:t>herausgehobene Position ein</w:t>
      </w:r>
      <w:r>
        <w:t>.</w:t>
      </w:r>
      <w:r w:rsidR="009F7D90">
        <w:t xml:space="preserve"> Das Thalia Theater betrachtet Theater als zeitgenössische Kunstform und engagiert sich für die Auseinandersetzung mit aktuellen gesellschaftlichen Themen. Sein Ziel ist es, ein breites Spektrum der dramatischen Literatur, einschließlich zeitgenössischer Werke, durch ein vielfältiges Angebot an Theateraufführungen, Workshops, Lesungen und ähnlichen Veranstaltungen auf hohem künstlerischem Niveau einem breiten Publikum zugänglich zu machen. Gleichzeitig strebt das Theater immer danach, neue Zuschauergruppen für das Theater zu gewinnen, insbesondere indem es Kinder und Jugendliche an die Welt des Theaters heranführt </w:t>
      </w:r>
      <w:sdt>
        <w:sdtPr>
          <w:rPr>
            <w:color w:val="000000"/>
          </w:rPr>
          <w:alias w:val="To edit, see citavi.com/edit"/>
          <w:tag w:val="CitaviPlaceholder#8d2127dd-d1f3-f2df-a3dc-4c8a14ef5c56"/>
          <w:id w:val="524210226"/>
        </w:sdtPr>
        <w:sdtContent>
          <w:r w:rsidR="00086811" w:rsidRPr="00086811">
            <w:rPr>
              <w:color w:val="000000"/>
            </w:rPr>
            <w:fldChar w:fldCharType="begin"/>
          </w:r>
          <w:r w:rsidR="00086811" w:rsidRPr="00086811">
            <w:rPr>
              <w:color w:val="000000"/>
            </w:rPr>
            <w:instrText>ADDIN CitaviPlaceholder{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}</w:instrText>
          </w:r>
          <w:r w:rsidR="00086811" w:rsidRPr="00086811">
            <w:rPr>
              <w:color w:val="000000"/>
            </w:rPr>
            <w:fldChar w:fldCharType="separate"/>
          </w:r>
          <w:r w:rsidR="00086811" w:rsidRPr="00086811">
            <w:rPr>
              <w:color w:val="000000"/>
            </w:rPr>
            <w:t>(Freie und Hansestadt Hamburg 2021, S. 35)</w:t>
          </w:r>
          <w:r w:rsidR="00086811" w:rsidRPr="00086811">
            <w:rPr>
              <w:color w:val="000000"/>
            </w:rPr>
            <w:fldChar w:fldCharType="end"/>
          </w:r>
        </w:sdtContent>
      </w:sdt>
      <w:r w:rsidR="003B2A4A">
        <w:rPr>
          <w:color w:val="000000"/>
        </w:rPr>
        <w:t>.</w:t>
      </w:r>
    </w:p>
    <w:p w14:paraId="00C352D5" w14:textId="059E6AAE" w:rsidR="00977EE9" w:rsidRPr="00977EE9" w:rsidRDefault="00977EE9" w:rsidP="00977EE9">
      <w:pPr>
        <w:rPr>
          <w:b/>
          <w:bCs/>
          <w:color w:val="000000"/>
        </w:rPr>
      </w:pPr>
      <w:r w:rsidRPr="00977EE9">
        <w:rPr>
          <w:b/>
          <w:bCs/>
          <w:color w:val="000000"/>
        </w:rPr>
        <w:t>Geschichte des Thalia Theaters</w:t>
      </w:r>
    </w:p>
    <w:p w14:paraId="45BCAEDE" w14:textId="3BFA853B" w:rsidR="00977EE9" w:rsidRDefault="00977EE9" w:rsidP="00977EE9">
      <w:r>
        <w:t>Das frühere Gebäude des Thalia Theaters wurde 1843 gegenüber dem heutigen Bau errichtet. Es erhielt seinen Namen Thalia nach der Muse der komischen Dichtung und Unterhaltungskunst, die auch eine der drei Grazien ist. Im Jahr 1907</w:t>
      </w:r>
      <w:r w:rsidR="004D5CE4">
        <w:t xml:space="preserve"> wurde das Thalia Theater</w:t>
      </w:r>
      <w:r>
        <w:t xml:space="preserve"> in eine GmbH um</w:t>
      </w:r>
      <w:r w:rsidR="004D5CE4">
        <w:t>gewandelt</w:t>
      </w:r>
      <w:r>
        <w:t>. 1912 wude der neue Bau am heutigen Gerhart-Hauptmann-Platz mit 1.300 Sitzplätzen eröffnet. Im Jahr 1937 wurde das Thalia Theater verstaatlicht. Während des Zweiten Weltkrieges wurde es durch Bombenangriffe zerstört. Es wurde jedoch bereits im Jahr 1946 provisorisch wiedereröffnet. Im Dezember 1960 erfolgte die Eröffnung des restaurierten Hauses, dessen Innenausstattung als herausragendes Beispiel der Nachkriegsmoderne gilt.</w:t>
      </w:r>
      <w:r>
        <w:rPr>
          <w:rFonts w:ascii="Times New Roman" w:hAnsi="Times New Roman" w:cs="Times New Roman"/>
          <w:sz w:val="24"/>
          <w:szCs w:val="24"/>
        </w:rPr>
        <w:t xml:space="preserve"> </w:t>
      </w:r>
      <w:r>
        <w:t>Im November 2000 wurde das Thalia in der Gaußstraße eröffnet, eine Studiobühne in Hamburg-Altona mit 200 Plätzen. Dort finden hauptsächlich Erstaufführungen junger Autoren und experimentelles Theater ihren Platz.</w:t>
      </w:r>
    </w:p>
    <w:p w14:paraId="0C0863D8" w14:textId="58A16169" w:rsidR="00977EE9" w:rsidRDefault="00977EE9" w:rsidP="00977EE9">
      <w:pPr>
        <w:rPr>
          <w:color w:val="000000"/>
        </w:rPr>
      </w:pPr>
      <w:r>
        <w:t xml:space="preserve">Heute ist das Thalia Theater ist ein staatliches Theater mit einem festen Ensemble. Das Große Haus bietet etwa 1.000 Plätze. Das Repertoire umfasst rund 20 Produktionen, die entweder täglich wechseln oder in Blöcken aufgeführt werden. Jährlich gibt es etwa neun Premieren im Großen Haus und sechs Premieren im Thalia in der Gaußstraße </w:t>
      </w:r>
      <w:sdt>
        <w:sdtPr>
          <w:rPr>
            <w:color w:val="000000"/>
          </w:rPr>
          <w:alias w:val="To edit, see citavi.com/edit"/>
          <w:tag w:val="CitaviPlaceholder#7c3c0323-397d-310c-3312-357a3713cfd6"/>
          <w:id w:val="773977835"/>
        </w:sdtPr>
        <w:sdtContent>
          <w:r w:rsidR="00086811" w:rsidRPr="00086811">
            <w:rPr>
              <w:color w:val="000000"/>
            </w:rPr>
            <w:fldChar w:fldCharType="begin"/>
          </w:r>
          <w:r w:rsidR="00086811" w:rsidRPr="00086811">
            <w:rPr>
              <w:color w:val="000000"/>
            </w:rPr>
            <w:instrText>ADDIN CitaviPlaceholder{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}</w:instrText>
          </w:r>
          <w:r w:rsidR="00086811" w:rsidRPr="00086811">
            <w:rPr>
              <w:color w:val="000000"/>
            </w:rPr>
            <w:fldChar w:fldCharType="separate"/>
          </w:r>
          <w:r w:rsidR="00086811" w:rsidRPr="00086811">
            <w:rPr>
              <w:color w:val="000000"/>
            </w:rPr>
            <w:t>(hamburg.de 2023)</w:t>
          </w:r>
          <w:r w:rsidR="00086811" w:rsidRPr="00086811">
            <w:rPr>
              <w:color w:val="000000"/>
            </w:rPr>
            <w:fldChar w:fldCharType="end"/>
          </w:r>
        </w:sdtContent>
      </w:sdt>
      <w:r>
        <w:rPr>
          <w:color w:val="000000"/>
        </w:rPr>
        <w:t>.</w:t>
      </w:r>
    </w:p>
    <w:p w14:paraId="0A446907" w14:textId="31ED15A3" w:rsidR="00977EE9" w:rsidRDefault="00231329" w:rsidP="00091D27">
      <w:pPr>
        <w:rPr>
          <w:b/>
          <w:bCs/>
          <w:color w:val="000000"/>
        </w:rPr>
      </w:pPr>
      <w:r w:rsidRPr="00C83B88">
        <w:rPr>
          <w:b/>
          <w:bCs/>
          <w:color w:val="000000"/>
        </w:rPr>
        <w:t>Wirtschaftlich</w:t>
      </w:r>
      <w:r w:rsidR="00C83B88" w:rsidRPr="00C83B88">
        <w:rPr>
          <w:b/>
          <w:bCs/>
          <w:color w:val="000000"/>
        </w:rPr>
        <w:t>keit</w:t>
      </w:r>
    </w:p>
    <w:p w14:paraId="13BD4763" w14:textId="6B56ADA2" w:rsidR="008D013D" w:rsidRDefault="00091D27" w:rsidP="008D013D">
      <w:pPr>
        <w:keepNext/>
      </w:pPr>
      <w:r>
        <w:t xml:space="preserve">Der Kostendeckungsgrad des Thalia Theaters betrug im Jahr 2018 22,5% und stieg im Jahr 2019 leicht auf 22,8% </w:t>
      </w:r>
      <w:sdt>
        <w:sdtPr>
          <w:rPr>
            <w:color w:val="000000"/>
          </w:rPr>
          <w:alias w:val="To edit, see citavi.com/edit"/>
          <w:tag w:val="CitaviPlaceholder#83d137c7-26c6-e00e-000a-cf9407f11557"/>
          <w:id w:val="-1988631273"/>
        </w:sdtPr>
        <w:sdtContent>
          <w:r w:rsidR="00086811" w:rsidRPr="00086811">
            <w:rPr>
              <w:color w:val="000000"/>
            </w:rPr>
            <w:fldChar w:fldCharType="begin"/>
          </w:r>
          <w:r w:rsidR="00086811" w:rsidRPr="00086811">
            <w:rPr>
              <w:color w:val="000000"/>
            </w:rPr>
            <w:instrText>ADDIN CitaviPlaceholder{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}</w:instrText>
          </w:r>
          <w:r w:rsidR="00086811" w:rsidRPr="00086811">
            <w:rPr>
              <w:color w:val="000000"/>
            </w:rPr>
            <w:fldChar w:fldCharType="separate"/>
          </w:r>
          <w:r w:rsidR="00086811" w:rsidRPr="00086811">
            <w:rPr>
              <w:color w:val="000000"/>
            </w:rPr>
            <w:t>(Freie und Hansestadt Hamburg 2021, S. 45)</w:t>
          </w:r>
          <w:r w:rsidR="00086811" w:rsidRPr="00086811">
            <w:rPr>
              <w:color w:val="000000"/>
            </w:rPr>
            <w:fldChar w:fldCharType="end"/>
          </w:r>
        </w:sdtContent>
      </w:sdt>
      <w:r w:rsidR="004E57DB">
        <w:t>. Dies zeigt deutlich, dass das Thalia Theater für de</w:t>
      </w:r>
      <w:r w:rsidR="00CD4105">
        <w:t>n</w:t>
      </w:r>
      <w:r w:rsidR="004E57DB">
        <w:t xml:space="preserve"> Erhalt des Betriebs stark auf die Förderungen der Stadt Hamurg angewiesen ist. Die Behörde für Kultur und Medien der Stadt Hamburg formuliert wiederum klare Ziele an das Thalia Theater, um eine öffentliche Förderung zu rechtfertigen. Diese </w:t>
      </w:r>
      <w:r w:rsidR="00CD4105">
        <w:t xml:space="preserve">Ziele werden an drei Kennzahlen gemessen und </w:t>
      </w:r>
      <w:r w:rsidR="004E57DB">
        <w:t>umfasse</w:t>
      </w:r>
      <w:r w:rsidR="00CD4105">
        <w:t>n</w:t>
      </w:r>
      <w:r w:rsidR="004E57DB">
        <w:t xml:space="preserve"> sowohl </w:t>
      </w:r>
      <w:r w:rsidR="00327741">
        <w:t>die Gesamtanzahl der Besu</w:t>
      </w:r>
      <w:r w:rsidR="00327741">
        <w:lastRenderedPageBreak/>
        <w:t>cher/-innen</w:t>
      </w:r>
      <w:r w:rsidR="00CD4105">
        <w:t xml:space="preserve"> und</w:t>
      </w:r>
      <w:r w:rsidR="00327741">
        <w:t xml:space="preserve"> Anzahl der juvenilen/ jugendlichen Besucher, als auch den Kostendeckungsgrad. So wurde ein Kostendeckungsgrad vo</w:t>
      </w:r>
      <w:r w:rsidR="00CD4105">
        <w:t>n</w:t>
      </w:r>
      <w:r w:rsidR="00327741">
        <w:t xml:space="preserve"> 23,0% als Ziel für das Jahr 2022 ausgegeben. </w:t>
      </w:r>
      <w:r w:rsidR="00CD4105">
        <w:t xml:space="preserve">Für die Jahre 2023-2026 wurde jeweils ein Kostendeckungsgrad von 21,0% als Zielwert festgelegt. </w:t>
      </w:r>
      <w:r w:rsidR="00327741">
        <w:t xml:space="preserve">Im Jahr 2021 wurde </w:t>
      </w:r>
      <w:r w:rsidR="00CD4105">
        <w:t xml:space="preserve">unter anderem </w:t>
      </w:r>
      <w:r w:rsidR="00327741">
        <w:t>aufgrund von Beschränkungen während der Corona Pandemie eine Kostendeckun</w:t>
      </w:r>
      <w:r w:rsidR="00CD4105">
        <w:t>g</w:t>
      </w:r>
      <w:r w:rsidR="00327741">
        <w:t xml:space="preserve"> von 7,20% erreicht</w:t>
      </w:r>
      <w:r w:rsidR="00645D69">
        <w:t xml:space="preserve"> </w:t>
      </w:r>
      <w:sdt>
        <w:sdtPr>
          <w:rPr>
            <w:color w:val="000000"/>
          </w:rPr>
          <w:alias w:val="To edit, see citavi.com/edit"/>
          <w:tag w:val="CitaviPlaceholder#c8e224bc-b359-389e-ed25-9b88e9761b04"/>
          <w:id w:val="773824605"/>
        </w:sdtPr>
        <w:sdtContent>
          <w:r w:rsidR="00086811" w:rsidRPr="00086811">
            <w:rPr>
              <w:color w:val="000000"/>
            </w:rPr>
            <w:fldChar w:fldCharType="begin"/>
          </w:r>
          <w:r w:rsidR="00086811" w:rsidRPr="00086811">
            <w:rPr>
              <w:color w:val="000000"/>
            </w:rPr>
            <w:instrText>ADDIN CitaviPlaceholder{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}</w:instrText>
          </w:r>
          <w:r w:rsidR="00086811" w:rsidRPr="00086811">
            <w:rPr>
              <w:color w:val="000000"/>
            </w:rPr>
            <w:fldChar w:fldCharType="separate"/>
          </w:r>
          <w:r w:rsidR="00086811" w:rsidRPr="00086811">
            <w:rPr>
              <w:color w:val="000000"/>
            </w:rPr>
            <w:t>(Freie und Hansestadt Hamburg 2022, S. 47)</w:t>
          </w:r>
          <w:r w:rsidR="00086811" w:rsidRPr="00086811">
            <w:rPr>
              <w:color w:val="000000"/>
            </w:rPr>
            <w:fldChar w:fldCharType="end"/>
          </w:r>
        </w:sdtContent>
      </w:sdt>
      <w:r w:rsidR="00CD4105">
        <w:t>.</w:t>
      </w:r>
      <w:r w:rsidR="008D013D">
        <w:rPr>
          <w:noProof/>
        </w:rPr>
        <w:drawing>
          <wp:inline distT="0" distB="0" distL="0" distR="0" wp14:anchorId="25BDBB37" wp14:editId="72435338">
            <wp:extent cx="5762625" cy="4314825"/>
            <wp:effectExtent l="0" t="0" r="9525" b="9525"/>
            <wp:docPr id="189808538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p>
    <w:p w14:paraId="39601412" w14:textId="0D6E8FBE" w:rsidR="004E57DB" w:rsidRPr="004E57DB" w:rsidRDefault="008D013D" w:rsidP="008D013D">
      <w:pPr>
        <w:pStyle w:val="Beschriftung"/>
        <w:jc w:val="center"/>
      </w:pPr>
      <w:r>
        <w:t xml:space="preserve">Abbildung </w:t>
      </w:r>
      <w:fldSimple w:instr=" SEQ Abbildung \* ARABIC ">
        <w:r w:rsidR="008B5B22">
          <w:rPr>
            <w:noProof/>
          </w:rPr>
          <w:t>4</w:t>
        </w:r>
      </w:fldSimple>
      <w:r>
        <w:t>: Ticketverkäufe des Thalia Theaters in den Jahren 2018 bis 2022 nach Quartalen</w:t>
      </w:r>
    </w:p>
    <w:p w14:paraId="729E02B5" w14:textId="7290D59E" w:rsidR="009F7D90" w:rsidRDefault="009F7D90" w:rsidP="00EA1FAE"/>
    <w:p w14:paraId="46765CE8" w14:textId="55A02A12" w:rsidR="009F7D90" w:rsidRDefault="00C232EE" w:rsidP="00EA1FAE">
      <w:pPr>
        <w:rPr>
          <w:b/>
          <w:bCs/>
        </w:rPr>
      </w:pPr>
      <w:r>
        <w:rPr>
          <w:b/>
          <w:bCs/>
        </w:rPr>
        <w:t>Saisonaler Effekt</w:t>
      </w:r>
    </w:p>
    <w:p w14:paraId="609FD22F" w14:textId="77777777" w:rsidR="00C232EE" w:rsidRDefault="00C232EE" w:rsidP="00C232EE">
      <w:pPr>
        <w:keepNext/>
      </w:pPr>
      <w:r>
        <w:rPr>
          <w:noProof/>
        </w:rPr>
        <w:lastRenderedPageBreak/>
        <w:drawing>
          <wp:inline distT="0" distB="0" distL="0" distR="0" wp14:anchorId="54EBBD66" wp14:editId="6F518A24">
            <wp:extent cx="5762625" cy="4314825"/>
            <wp:effectExtent l="0" t="0" r="9525" b="9525"/>
            <wp:docPr id="160897399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p>
    <w:p w14:paraId="48EC0FC5" w14:textId="2D524B55" w:rsidR="0012157F" w:rsidRDefault="00C232EE" w:rsidP="00C232EE">
      <w:pPr>
        <w:pStyle w:val="Beschriftung"/>
        <w:jc w:val="center"/>
      </w:pPr>
      <w:r>
        <w:t xml:space="preserve">Abbildung </w:t>
      </w:r>
      <w:fldSimple w:instr=" SEQ Abbildung \* ARABIC ">
        <w:r w:rsidR="008B5B22">
          <w:rPr>
            <w:noProof/>
          </w:rPr>
          <w:t>5</w:t>
        </w:r>
      </w:fldSimple>
      <w:r>
        <w:t>: Aggregierte Verkäufe pro Monat (2014 bis 2019)</w:t>
      </w:r>
    </w:p>
    <w:p w14:paraId="0A93B5AF" w14:textId="3E69AD19" w:rsidR="006C2A36" w:rsidRPr="006C2A36" w:rsidRDefault="006C2A36" w:rsidP="006C2A36">
      <w:pPr>
        <w:rPr>
          <w:b/>
          <w:bCs/>
        </w:rPr>
      </w:pPr>
      <w:r w:rsidRPr="006C2A36">
        <w:rPr>
          <w:b/>
          <w:bCs/>
        </w:rPr>
        <w:t>Wirtschaftlicher Erfolg nach Corona</w:t>
      </w:r>
    </w:p>
    <w:p w14:paraId="71583D03" w14:textId="77777777" w:rsidR="006C2A36" w:rsidRPr="006C2A36" w:rsidRDefault="006C2A36" w:rsidP="006C2A36"/>
    <w:p w14:paraId="341D17EC" w14:textId="7F78C5DB" w:rsidR="00A6164B" w:rsidRDefault="00A6164B" w:rsidP="00F22F50">
      <w:pPr>
        <w:pStyle w:val="berschrift2"/>
      </w:pPr>
      <w:r>
        <w:t>Email-Marketing des Thalia Theaters</w:t>
      </w:r>
      <w:r w:rsidR="00813B58">
        <w:t xml:space="preserve"> im Zeitraum </w:t>
      </w:r>
    </w:p>
    <w:p w14:paraId="65126EDF" w14:textId="2C01DDF8" w:rsidR="00A6164B" w:rsidRDefault="00946524" w:rsidP="00A6164B">
      <w:r>
        <w:t>Das folgende Unterkapitel untersucht das Emailmarketing des Thalia Theaters im Zeitraum von Oktober 2021 bis Dezember 2022. Dabei liegt der Fokus auf zwei zentralen Aspekten: der Häufigkeit des Emailversands und der Gestaltung der Emails. Durch die Analyse dieser Themen werden Einblicke in die Emailkommunikation des Theaters gewonnen und deren Auswirkungen auf die Empfänger untersucht.</w:t>
      </w:r>
    </w:p>
    <w:p w14:paraId="1BC8EC30" w14:textId="19D01C3D" w:rsidR="00284804" w:rsidRDefault="00284804" w:rsidP="00A6164B">
      <w:pPr>
        <w:rPr>
          <w:b/>
          <w:bCs/>
        </w:rPr>
      </w:pPr>
      <w:r>
        <w:rPr>
          <w:b/>
          <w:bCs/>
        </w:rPr>
        <w:t>Häufigkeit des Emailversands</w:t>
      </w:r>
    </w:p>
    <w:p w14:paraId="49E9B408" w14:textId="0199F5B4" w:rsidR="007B7DC6" w:rsidRDefault="00AB780B" w:rsidP="00A6164B">
      <w:pPr>
        <w:rPr>
          <w:lang w:val="fr-FR"/>
        </w:rPr>
      </w:pPr>
      <w:r>
        <w:t xml:space="preserve">Im Zeitraum von Oktober 2021 bis Dezember 2022 wurden insgesamt 30 Kampagnen vom Thalia Theater durchgeführt, um das Emailmarketing zu gestalten und die Zielgruppe effektiv anzusprechen. </w:t>
      </w:r>
      <w:r>
        <w:fldChar w:fldCharType="begin"/>
      </w:r>
      <w:r>
        <w:instrText xml:space="preserve"> REF _Ref138113296 \h </w:instrText>
      </w:r>
      <w:r>
        <w:fldChar w:fldCharType="separate"/>
      </w:r>
      <w:r>
        <w:t xml:space="preserve">Abbildung </w:t>
      </w:r>
      <w:r>
        <w:rPr>
          <w:noProof/>
        </w:rPr>
        <w:t>5</w:t>
      </w:r>
      <w:r>
        <w:fldChar w:fldCharType="end"/>
      </w:r>
      <w:r>
        <w:t xml:space="preserve"> visualisert die Größe und das Muster der Kampagnenaktivitäten des Thalia Theaters. Im Durchschnitt wurden pro Monat etwa zwei Kampagnen geschaltet, wobei </w:t>
      </w:r>
      <w:r w:rsidR="00FC636F">
        <w:t>oftmals auf einen zeitlichen Abstand von zwei Wochen zwischen den Kampagnen geachtet wurde</w:t>
      </w:r>
      <w:r>
        <w:t>.</w:t>
      </w:r>
      <w:r w:rsidR="00FC636F">
        <w:t xml:space="preserve"> Auffallend sind die beiden Kampgnen im März 2022 als </w:t>
      </w:r>
      <w:r w:rsidR="00143953">
        <w:t>eine zusätzliche Kampagne zur „Solidarität der Ukraine“ geschaltet wurde.</w:t>
      </w:r>
    </w:p>
    <w:p w14:paraId="211B7799" w14:textId="77777777" w:rsidR="007B7DC6" w:rsidRDefault="007B7DC6" w:rsidP="00A6164B">
      <w:pPr>
        <w:rPr>
          <w:lang w:val="fr-FR"/>
        </w:rPr>
      </w:pPr>
    </w:p>
    <w:p w14:paraId="4320F988" w14:textId="132F1BB4" w:rsidR="00AB780B" w:rsidRDefault="00AB780B" w:rsidP="00AB780B">
      <w:pPr>
        <w:keepNext/>
      </w:pPr>
    </w:p>
    <w:p w14:paraId="3B7B3716" w14:textId="77777777" w:rsidR="00AB780B" w:rsidRDefault="00AB780B" w:rsidP="00AB780B">
      <w:pPr>
        <w:pStyle w:val="berschrift2"/>
        <w:numPr>
          <w:ilvl w:val="0"/>
          <w:numId w:val="0"/>
        </w:numPr>
        <w:ind w:left="578"/>
      </w:pPr>
      <w:r>
        <w:rPr>
          <w:noProof/>
          <w:lang w:val="de-DE"/>
        </w:rPr>
        <w:drawing>
          <wp:inline distT="0" distB="0" distL="0" distR="0" wp14:anchorId="798E5412" wp14:editId="72C99BB0">
            <wp:extent cx="5749925" cy="3452495"/>
            <wp:effectExtent l="0" t="0" r="3175" b="0"/>
            <wp:docPr id="2131248226"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925" cy="3452495"/>
                    </a:xfrm>
                    <a:prstGeom prst="rect">
                      <a:avLst/>
                    </a:prstGeom>
                    <a:noFill/>
                    <a:ln>
                      <a:noFill/>
                    </a:ln>
                  </pic:spPr>
                </pic:pic>
              </a:graphicData>
            </a:graphic>
          </wp:inline>
        </w:drawing>
      </w:r>
    </w:p>
    <w:p w14:paraId="776FF181" w14:textId="7C37DB3E" w:rsidR="00AB780B" w:rsidRDefault="00AB780B" w:rsidP="00AB780B">
      <w:pPr>
        <w:pStyle w:val="Beschriftung"/>
        <w:jc w:val="center"/>
      </w:pPr>
      <w:bookmarkStart w:id="17" w:name="_Ref138113296"/>
      <w:r>
        <w:t xml:space="preserve">Abbildung </w:t>
      </w:r>
      <w:fldSimple w:instr=" SEQ Abbildung \* ARABIC ">
        <w:r w:rsidR="008B5B22">
          <w:rPr>
            <w:noProof/>
          </w:rPr>
          <w:t>6</w:t>
        </w:r>
      </w:fldSimple>
      <w:bookmarkEnd w:id="17"/>
      <w:r>
        <w:t xml:space="preserve">: </w:t>
      </w:r>
      <w:r w:rsidRPr="00AB780B">
        <w:t>Versendete Mails im Zeitraum Oktober 2021 bis Dezember 2022</w:t>
      </w:r>
    </w:p>
    <w:p w14:paraId="52E06602" w14:textId="2A7A6390" w:rsidR="00AB780B" w:rsidRDefault="00143953" w:rsidP="00AB780B">
      <w:pPr>
        <w:rPr>
          <w:b/>
          <w:bCs/>
          <w:lang w:val="fr-FR"/>
        </w:rPr>
      </w:pPr>
      <w:r w:rsidRPr="00143953">
        <w:rPr>
          <w:b/>
          <w:bCs/>
          <w:lang w:val="fr-FR"/>
        </w:rPr>
        <w:t>Gestaltung der E-mailkampagnen</w:t>
      </w:r>
    </w:p>
    <w:p w14:paraId="6CA23CD3" w14:textId="1EC0E994" w:rsidR="000F0439" w:rsidRPr="008B5B22" w:rsidRDefault="00143953" w:rsidP="008B5B22">
      <w:pPr>
        <w:rPr>
          <w:lang w:val="fr-FR"/>
        </w:rPr>
      </w:pPr>
      <w:r>
        <w:rPr>
          <w:lang w:val="fr-FR"/>
        </w:rPr>
        <w:t>Die E-mailkampagnen</w:t>
      </w:r>
      <w:r w:rsidR="000F0439">
        <w:rPr>
          <w:lang w:val="fr-FR"/>
        </w:rPr>
        <w:t xml:space="preserve"> des Thalia Theaters</w:t>
      </w:r>
      <w:r>
        <w:rPr>
          <w:lang w:val="fr-FR"/>
        </w:rPr>
        <w:t xml:space="preserve"> folgen in der Regel folgendem Muster:</w:t>
      </w:r>
    </w:p>
    <w:p w14:paraId="5C797EA5" w14:textId="0DA0CB41" w:rsidR="00143953" w:rsidRPr="00143953" w:rsidRDefault="00143953" w:rsidP="00143953">
      <w:pPr>
        <w:pStyle w:val="Listenabsatz"/>
        <w:numPr>
          <w:ilvl w:val="0"/>
          <w:numId w:val="18"/>
        </w:numPr>
        <w:rPr>
          <w:rFonts w:ascii="Times New Roman" w:hAnsi="Times New Roman" w:cs="Times New Roman"/>
          <w:sz w:val="24"/>
          <w:szCs w:val="24"/>
        </w:rPr>
      </w:pPr>
      <w:r>
        <w:t>Ankündigung bevorstehender Veranstaltungen</w:t>
      </w:r>
      <w:r w:rsidR="000F0439">
        <w:t xml:space="preserve"> im Thalia Theater</w:t>
      </w:r>
      <w:r>
        <w:t>: Informationen über kommende Veranstaltungen und Aufführungen im Theater.</w:t>
      </w:r>
    </w:p>
    <w:p w14:paraId="3BFC7A4D" w14:textId="7806FD46" w:rsidR="00143953" w:rsidRDefault="00143953" w:rsidP="00143953">
      <w:pPr>
        <w:pStyle w:val="Listenabsatz"/>
        <w:numPr>
          <w:ilvl w:val="0"/>
          <w:numId w:val="18"/>
        </w:numPr>
      </w:pPr>
      <w:r>
        <w:t>Hervorhebung der Künstler und Stücke: Detaillierte Vorstellung der Künstler und der Inhalte der Stücke, um das Interesse der Leser zu wecken.</w:t>
      </w:r>
    </w:p>
    <w:p w14:paraId="5FECA733" w14:textId="4CC7828B" w:rsidR="00143953" w:rsidRDefault="00143953" w:rsidP="00143953">
      <w:pPr>
        <w:pStyle w:val="Listenabsatz"/>
        <w:numPr>
          <w:ilvl w:val="0"/>
          <w:numId w:val="18"/>
        </w:numPr>
      </w:pPr>
      <w:r>
        <w:t>Verwendung von Zitaten und positiven Bewertungen: Zitate positiver Bewertungen oder Kommentare, um das Publikum von der Qualität der Aufführungen zu überzeugen und Vorfreude zu erzeugen.</w:t>
      </w:r>
    </w:p>
    <w:p w14:paraId="14D73775" w14:textId="52ABD4CD" w:rsidR="00143953" w:rsidRDefault="00143953" w:rsidP="00143953">
      <w:pPr>
        <w:pStyle w:val="Listenabsatz"/>
        <w:numPr>
          <w:ilvl w:val="0"/>
          <w:numId w:val="18"/>
        </w:numPr>
      </w:pPr>
      <w:r>
        <w:t xml:space="preserve">Sonderaktionen und Rabatte: </w:t>
      </w:r>
      <w:r w:rsidR="000F0439">
        <w:t>Motivation</w:t>
      </w:r>
      <w:r>
        <w:t xml:space="preserve"> des Publikums zum Ticketkauf duch Rabatte und Aktionen</w:t>
      </w:r>
      <w:r w:rsidR="000F0439">
        <w:t>.</w:t>
      </w:r>
    </w:p>
    <w:p w14:paraId="1F773482" w14:textId="2E9B36F0" w:rsidR="00143953" w:rsidRDefault="00143953" w:rsidP="00143953">
      <w:pPr>
        <w:pStyle w:val="Listenabsatz"/>
        <w:numPr>
          <w:ilvl w:val="0"/>
          <w:numId w:val="18"/>
        </w:numPr>
      </w:pPr>
      <w:r>
        <w:t xml:space="preserve">Einbindung des Publikums: </w:t>
      </w:r>
      <w:r w:rsidR="000F0439">
        <w:t>Ermutigung des</w:t>
      </w:r>
      <w:r>
        <w:t xml:space="preserve"> Publikum</w:t>
      </w:r>
      <w:r w:rsidR="000F0439">
        <w:t>s</w:t>
      </w:r>
      <w:r>
        <w:t xml:space="preserve"> zur Teilnahme an Umfragen oder zur Interaktion mit dem Theater, um Feedback zu erhalten und die Theatererfahrung zu verbessern.</w:t>
      </w:r>
    </w:p>
    <w:p w14:paraId="20322451" w14:textId="40760178" w:rsidR="000F0439" w:rsidRDefault="000F0439" w:rsidP="00143953">
      <w:pPr>
        <w:pStyle w:val="Listenabsatz"/>
        <w:numPr>
          <w:ilvl w:val="0"/>
          <w:numId w:val="18"/>
        </w:numPr>
      </w:pPr>
      <w:r>
        <w:t>Ankündigung bevorstehender Veranstaltungen im Thalia Gauß: Links und Informationen zum Kauf von Tickets.</w:t>
      </w:r>
    </w:p>
    <w:p w14:paraId="70E5A3B9" w14:textId="2A8E1CF6" w:rsidR="000F0439" w:rsidRDefault="000F0439" w:rsidP="00143953">
      <w:pPr>
        <w:pStyle w:val="Listenabsatz"/>
        <w:numPr>
          <w:ilvl w:val="0"/>
          <w:numId w:val="18"/>
        </w:numPr>
      </w:pPr>
      <w:r>
        <w:t>Spielplan für die nächsten 14 Tage im Thalia Theater: Links und Informationen zum Kauf von Tickets.</w:t>
      </w:r>
    </w:p>
    <w:p w14:paraId="58F5C360" w14:textId="77777777" w:rsidR="00143953" w:rsidRPr="00143953" w:rsidRDefault="00143953" w:rsidP="00AB780B"/>
    <w:p w14:paraId="7DB46E73" w14:textId="6897C464" w:rsidR="00F22F50" w:rsidRDefault="00F22F50" w:rsidP="00F22F50">
      <w:pPr>
        <w:pStyle w:val="berschrift2"/>
      </w:pPr>
      <w:r>
        <w:t>D</w:t>
      </w:r>
      <w:r w:rsidR="001B0913">
        <w:t>efinition eines</w:t>
      </w:r>
      <w:r>
        <w:t xml:space="preserve"> Hidden-Markov-Model</w:t>
      </w:r>
      <w:r w:rsidR="001B0913">
        <w:t>s</w:t>
      </w:r>
      <w:r>
        <w:t xml:space="preserve"> (HMM)</w:t>
      </w:r>
    </w:p>
    <w:p w14:paraId="115FD044" w14:textId="4D3D270C" w:rsidR="00BC43F8" w:rsidRDefault="00BC43F8" w:rsidP="00F22F50">
      <w:r>
        <w:t>Durch die Modellierung von verborgenen Zuständen und beobachtbaren Ereignissen liefert das HMM wertvolle Einblicke, um effektive Marketingstrategien zu entwickeln, gezielte Werbung zu ermöglichen und Kundenbeziehungen zu verbessern. In dieser Masterarbeit werden wir die Anwendung von HMMs im Marketing genauer untersuchen und deren Potenzial zur Steigerung des Marketingerfolgs erforschen.</w:t>
      </w:r>
    </w:p>
    <w:p w14:paraId="7DA963C3" w14:textId="0B7DFB7D" w:rsidR="003E4E17" w:rsidRDefault="003E4E17" w:rsidP="003E4E17">
      <w:pPr>
        <w:pStyle w:val="berschrift3"/>
      </w:pPr>
      <w:r>
        <w:t>Intuition</w:t>
      </w:r>
    </w:p>
    <w:sdt>
      <w:sdtPr>
        <w:rPr>
          <w:color w:val="000000"/>
        </w:rPr>
        <w:alias w:val="To edit, see citavi.com/edit"/>
        <w:tag w:val="CitaviPlaceholder#fb07ec47-ed4d-ef59-d293-d203fc221f5e"/>
        <w:id w:val="-1878231241"/>
      </w:sdtPr>
      <w:sdtContent>
        <w:p w14:paraId="7546C444" w14:textId="46F4B83A" w:rsidR="00B43EDD" w:rsidRDefault="00086811" w:rsidP="00F22F50">
          <w:r w:rsidRPr="00086811">
            <w:rPr>
              <w:color w:val="000000"/>
            </w:rPr>
            <w:fldChar w:fldCharType="begin"/>
          </w:r>
          <w:r w:rsidRPr="00086811">
            <w:rPr>
              <w:color w:val="000000"/>
            </w:rPr>
            <w:instrText>ADDIN CitaviPlaceholder{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}</w:instrText>
          </w:r>
          <w:r w:rsidRPr="00086811">
            <w:rPr>
              <w:color w:val="000000"/>
            </w:rPr>
            <w:fldChar w:fldCharType="separate"/>
          </w:r>
          <w:r w:rsidRPr="00086811">
            <w:rPr>
              <w:color w:val="000000"/>
            </w:rPr>
            <w:t>(Rabiner und Juang 1986, S. 5–7)</w:t>
          </w:r>
          <w:r w:rsidRPr="00086811">
            <w:rPr>
              <w:color w:val="000000"/>
            </w:rPr>
            <w:fldChar w:fldCharType="end"/>
          </w:r>
        </w:p>
      </w:sdtContent>
    </w:sdt>
    <w:p w14:paraId="4FC3B3A4" w14:textId="6A69BB63" w:rsidR="001B0913" w:rsidRDefault="001B0913" w:rsidP="00F22F50">
      <w:r w:rsidRPr="001B0913">
        <w:t>https://ieeexplore.ieee.org/stamp/stamp.jsp?tp=&amp;arnumber=1165342</w:t>
      </w:r>
    </w:p>
    <w:p w14:paraId="6AEC72EB" w14:textId="33CE83BC" w:rsidR="001B0913" w:rsidRDefault="001B0913" w:rsidP="00F22F50">
      <w:r>
        <w:t xml:space="preserve">Ein Hidden Markov Model (HMM) ist ein </w:t>
      </w:r>
      <w:r w:rsidR="00BF3C0A">
        <w:t>zweifacher</w:t>
      </w:r>
      <w:r>
        <w:t xml:space="preserve"> stochastischer Prozess mit einem zugrunde liegenden stochastischen Prozess, der nicht beobachtbar ist (er ist verborgen), sondern nur durch eine weitere Reihe von stochastischen Prozessen beobachtet werden kann, die die Abfolge der beobachteten Symbole erzeugen. Wir veranschaulichen HMMs anhand des folgenden Beispiels mit Münzwürfen.</w:t>
      </w:r>
    </w:p>
    <w:p w14:paraId="406245DA" w14:textId="1DE12C37" w:rsidR="001B0913" w:rsidRDefault="001B0913" w:rsidP="00F22F50">
      <w:r>
        <w:t xml:space="preserve">Um das Konzept des HMM zu verstehen, betrachten wir das folgende vereinfachte Beispiel: </w:t>
      </w:r>
      <w:r w:rsidR="00BF3C0A">
        <w:t>Man befindet sich</w:t>
      </w:r>
      <w:r>
        <w:t xml:space="preserve"> in einem Raum mit einer Barriere, beispielsweise einem Vorhang, durch den </w:t>
      </w:r>
      <w:r w:rsidR="00BF3C0A">
        <w:t>man</w:t>
      </w:r>
      <w:r>
        <w:t xml:space="preserve"> nicht sehen kann, was auf der anderen Seite passiert. Auf der anderen Seite der Barriere befindet sich eine andere Person, die eine Münzwurf- (oder mehrere Münzwurf-)Experimente durchführt. Die andere Person wird nichts über ihre genauen Handlungen verraten; sie wird nur das Ergebnis jedes Münzwurfs mitteilen. Es werden also eine Reihe verborgener Münzwurfexperimente durchgeführt, und </w:t>
      </w:r>
      <w:r w:rsidR="005613B2">
        <w:t>man beobachtet</w:t>
      </w:r>
      <w:r>
        <w:t xml:space="preserve"> nur die Ergebnisse der Münzwürfe, beispielsweise Beobachtung = Kopf, Kopf, Zahl, Kopf, Zahl, Zahl, Kopf, Kopf, …, Zahl.</w:t>
      </w:r>
    </w:p>
    <w:p w14:paraId="7D494345" w14:textId="7D499C65" w:rsidR="00CA7D9A" w:rsidRDefault="001B0913" w:rsidP="00F22F50">
      <w:r>
        <w:t>Bei dem oben beschriebenen Experiment besteht die Herausforderung darin, ein HMM zu erstellen, das die beobachtete Abfolge von "Kopf" und "Zahl" erklärt. Ein mögliches Modell ist in Abbildung 1a dargestellt. Wir nennen dies das "</w:t>
      </w:r>
      <w:r w:rsidR="005613B2">
        <w:t>1</w:t>
      </w:r>
      <w:r>
        <w:t xml:space="preserve">-fair </w:t>
      </w:r>
      <w:r w:rsidR="005613B2">
        <w:t>coin model“</w:t>
      </w:r>
      <w:r>
        <w:t>. Das Modell besteht aus zwei Zuständen, wobei jedem Zustand eindeutig entweder "Kopf" (Zustand 1) oder "Zahl" (Zustand 2) zugeordnet ist. Daher ist dieses Modell nicht verborgen, da die Beobachtungssequenz den Zustand eindeutig bestimmt. Das Modell repräsentiert eine "faire Münze", da die Wahrscheinlichkeit, nach einem "Kopf" (oder "Zahl") einen "Kopf" (oder "Zahl") zu erzeugen, 0,5 beträgt. Es gibt also keine Verzerrung in Bezug auf die aktuelle Beobachtung. Dies ist ein vereinfachtes Beispiel und zeigt, wie unabhängige Versuche wie das Werfen einer fairen Münze als eine Abfolge von aufeinanderfolgenden Ereignissen interpretiert werden können. Natürlich sollte dieses Modell, wenn die Person hinter der Barriere tatsächlich eine faire Münze wirft, die Ergebnisse sehr gut erklären.</w:t>
      </w:r>
    </w:p>
    <w:p w14:paraId="1BFC14B1" w14:textId="5B158347" w:rsidR="00830A08" w:rsidRDefault="00CA7D9A" w:rsidP="005613B2">
      <w:r>
        <w:lastRenderedPageBreak/>
        <w:t>Ein weiteres mögliches HMM zur Erklärung der beobachteten Abfolge von Münzwurfergebnissen wird in Abbildung 1b gezeigt. Wir nennen dieses Modell das "2</w:t>
      </w:r>
      <w:r w:rsidR="005A000B">
        <w:t>-</w:t>
      </w:r>
      <w:r w:rsidR="00922AD2">
        <w:t>fair coin</w:t>
      </w:r>
      <w:r w:rsidR="005A000B">
        <w:t>s</w:t>
      </w:r>
      <w:r w:rsidR="00922AD2">
        <w:t xml:space="preserve"> model“</w:t>
      </w:r>
      <w:r>
        <w:t>. Es gibt wiederum 2 Zustände im Modell, aber kein Zustand ist eindeutig mit entweder "Kopf" oder "Zahl" assoziiert. Die Wahrscheinlichkeit für "Kopf" (oder "Zahl") in jedem Zustand beträgt 0,5. Auch die Wahrscheinlichkeit, den Zustand zu wechseln (oder im aktuellen Zustand zu bleiben), beträgt 0,5. Somit können wir in diesem Fall jedem Zustand eine faire (unverzerrte) Münze zuordnen. Obwohl die Wahrscheinlichkeiten für das Verbleiben in oder das Verlassen eines der beiden Zustände jeweils 0,5 sind, sollte der Leser nach etwas Überlegung erkennen, dass die Statistiken der beobachtbaren Ausgangssequenzen des "</w:t>
      </w:r>
      <w:r w:rsidR="00922AD2">
        <w:t>2-fair coins model“</w:t>
      </w:r>
      <w:r>
        <w:t xml:space="preserve"> unabhängig von den Zustandsübergängen sind. Der </w:t>
      </w:r>
      <w:r w:rsidR="00922AD2">
        <w:t>Unterschied zum „1-fair coin model“ ist</w:t>
      </w:r>
      <w:r>
        <w:t>, dass dieses Modell verborgen ist (d. h. wir können nicht genau wissen, welche faire Münze (Zustand) zu den beobachteten "Kopf" oder "Zahl" bei jeder Beobachtung geführt hat), aber im Wesentlichen nicht von dem "1-f</w:t>
      </w:r>
      <w:r w:rsidR="00922AD2">
        <w:t>air coin model“</w:t>
      </w:r>
      <w:r>
        <w:t xml:space="preserve"> in Abbildung 1a zu unterscheiden ist.</w:t>
      </w:r>
    </w:p>
    <w:p w14:paraId="54654791" w14:textId="0211240B" w:rsidR="005613B2" w:rsidRPr="00830A08" w:rsidRDefault="000B094C" w:rsidP="00830A08">
      <w:r>
        <w:t>In den Abbildungen 1c und 1d werden zwei weitere mögliche HMMs gezeigt, die die beobachtete Abfolge von "Kopf" und "Zahl" erklären können. Das Modell in Abbildung 1c, das wir das "2-biased coins model" nennen, hat zwei Zustände (entsprechend zwei verschiedenen Münzen). Im Zustand 1 ist die Münze stark auf "Kopf" verzerrt, im Zustand 2 ist die Münze stark auf "Zahl" verzerrt. Die Übergangswahrscheinlichkeiten zwischen den Zuständen sind alle gleich 0,5. Dieses "2-verzerrte Münzen"-Modell ist ein verborgenes Markov-Modell, das sich von den zuvor diskutierten Modellen unterscheidet. Interessanterweise sollte der Leser sich selbst davon überzeugen können, dass die Statistiken auf lange Sicht (z. B. durchschnittliche Anzahl von "Kopf" oder "Zahl") der Beobachtungssequenzen des HMMs in Abbildung 1c dieselben sind wie die der Modelle in den Abbildungen 1a und 1b. Dieses Modell ist sehr geeignet, wenn sich hinter der Barriere folgendes abspielt: Die Person hat drei Münzen, eine faire und zwei verzerrte Münzen entsprechend der Beschreibung in Abbildung 1c. Die beiden verzerrten Münzen sind jeweils mit den beiden Seiten der fairen Münze assoziiert. Um das Ergebnis jedes Münzwurfs zu erhalten, wirft die Person hinter der Barriere zuerst die faire Münze, um zu entscheiden, welche verzerrte Münze verwendet werden soll, und wirft dann die ausgewählte verzerrte Münze, um das Ergebnis zu erhalten. Mit diesem Modell sind wir in der Lage, die oben genannten subtilen Änderungen der statistischen Merkmale (d.h. den Wechsel der verzerrten Münzen) zu betrachten und zu erklären.</w:t>
      </w:r>
    </w:p>
    <w:p w14:paraId="68CCB0C4" w14:textId="77777777" w:rsidR="00830A08" w:rsidRDefault="00830A08" w:rsidP="000B094C">
      <w:pPr>
        <w:jc w:val="center"/>
      </w:pPr>
      <w:r>
        <w:rPr>
          <w:noProof/>
        </w:rPr>
        <w:lastRenderedPageBreak/>
        <w:drawing>
          <wp:anchor distT="0" distB="0" distL="114300" distR="114300" simplePos="0" relativeHeight="251660800" behindDoc="0" locked="0" layoutInCell="1" allowOverlap="1" wp14:anchorId="624D3DAD" wp14:editId="2A2C4465">
            <wp:simplePos x="0" y="0"/>
            <wp:positionH relativeFrom="column">
              <wp:posOffset>1272540</wp:posOffset>
            </wp:positionH>
            <wp:positionV relativeFrom="paragraph">
              <wp:posOffset>0</wp:posOffset>
            </wp:positionV>
            <wp:extent cx="3218400" cy="5454000"/>
            <wp:effectExtent l="0" t="0" r="1270" b="0"/>
            <wp:wrapTopAndBottom/>
            <wp:docPr id="11665595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59517" name=""/>
                    <pic:cNvPicPr/>
                  </pic:nvPicPr>
                  <pic:blipFill>
                    <a:blip r:embed="rId22">
                      <a:extLst>
                        <a:ext uri="{28A0092B-C50C-407E-A947-70E740481C1C}">
                          <a14:useLocalDpi xmlns:a14="http://schemas.microsoft.com/office/drawing/2010/main" val="0"/>
                        </a:ext>
                      </a:extLst>
                    </a:blip>
                    <a:stretch>
                      <a:fillRect/>
                    </a:stretch>
                  </pic:blipFill>
                  <pic:spPr>
                    <a:xfrm>
                      <a:off x="0" y="0"/>
                      <a:ext cx="3218400" cy="5454000"/>
                    </a:xfrm>
                    <a:prstGeom prst="rect">
                      <a:avLst/>
                    </a:prstGeom>
                  </pic:spPr>
                </pic:pic>
              </a:graphicData>
            </a:graphic>
            <wp14:sizeRelH relativeFrom="margin">
              <wp14:pctWidth>0</wp14:pctWidth>
            </wp14:sizeRelH>
            <wp14:sizeRelV relativeFrom="margin">
              <wp14:pctHeight>0</wp14:pctHeight>
            </wp14:sizeRelV>
          </wp:anchor>
        </w:drawing>
      </w:r>
    </w:p>
    <w:p w14:paraId="0CD97243" w14:textId="264EB6E7" w:rsidR="000B094C" w:rsidRPr="000B094C" w:rsidRDefault="00830A08" w:rsidP="000B094C">
      <w:pPr>
        <w:pStyle w:val="Beschriftung"/>
        <w:jc w:val="center"/>
        <w:rPr>
          <w:sz w:val="22"/>
          <w:szCs w:val="22"/>
        </w:rPr>
      </w:pPr>
      <w:r w:rsidRPr="000B094C">
        <w:rPr>
          <w:sz w:val="22"/>
          <w:szCs w:val="22"/>
        </w:rPr>
        <w:t xml:space="preserve">Abbildung 1: Modellierung von verborgenen Münzwurf-Experimenten </w:t>
      </w:r>
      <w:sdt>
        <w:sdtPr>
          <w:rPr>
            <w:color w:val="000000"/>
            <w:sz w:val="22"/>
            <w:szCs w:val="22"/>
          </w:rPr>
          <w:alias w:val="To edit, see citavi.com/edit"/>
          <w:tag w:val="CitaviPlaceholder#4f376087-e645-ee20-e72a-2651a545e506"/>
          <w:id w:val="1261336866"/>
        </w:sdtPr>
        <w:sdtContent>
          <w:r w:rsidR="00086811" w:rsidRPr="00086811">
            <w:rPr>
              <w:color w:val="000000"/>
            </w:rPr>
            <w:fldChar w:fldCharType="begin"/>
          </w:r>
          <w:r w:rsidR="00086811" w:rsidRPr="00086811">
            <w:rPr>
              <w:color w:val="000000"/>
            </w:rPr>
            <w:instrText>ADDIN CitaviPlaceholder{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}</w:instrText>
          </w:r>
          <w:r w:rsidR="00086811" w:rsidRPr="00086811">
            <w:rPr>
              <w:color w:val="000000"/>
            </w:rPr>
            <w:fldChar w:fldCharType="separate"/>
          </w:r>
          <w:r w:rsidR="00086811" w:rsidRPr="00086811">
            <w:rPr>
              <w:color w:val="000000"/>
            </w:rPr>
            <w:t>(Rabiner und Juang 1986, S. 6)</w:t>
          </w:r>
          <w:r w:rsidR="00086811" w:rsidRPr="00086811">
            <w:rPr>
              <w:color w:val="000000"/>
            </w:rPr>
            <w:fldChar w:fldCharType="end"/>
          </w:r>
        </w:sdtContent>
      </w:sdt>
    </w:p>
    <w:p w14:paraId="1D6DA77D" w14:textId="57DBAE00" w:rsidR="00CA7D9A" w:rsidRDefault="00CA7D9A" w:rsidP="00CA7D9A">
      <w:r>
        <w:t>Das Modell in Abbildung 1d, das wir das "3-</w:t>
      </w:r>
      <w:r w:rsidR="00B51985">
        <w:t>biased coins model“</w:t>
      </w:r>
      <w:r>
        <w:t xml:space="preserve"> nennen, hat drei Zustände (entsprechend drei verschiedenen Münzen). Im Zustand 1 ist die Münze leicht auf "Kopf" verzerrt, im Zustand 2 ist die Münze stark auf "Zahl" verzerrt und im Zustand 3 ist die Münze leicht auf "Zahl" verzerrt. In Abbildung 1d sind die Übergangswahrscheinlichkeiten der Zustände nicht spezifiziert. Es ist klar, dass das Verhalten der beobachteten Sequenzen, die von einem solchen Modell erzeugt werden, stark von diesen Übergangswahrscheinlichkeiten abhängt. (Um sich davon zu überzeugen, sollte </w:t>
      </w:r>
      <w:r w:rsidR="00450F57">
        <w:t>man</w:t>
      </w:r>
      <w:r>
        <w:t xml:space="preserve"> zwei Extreme betrachten, nämlich wenn die Wahrscheinlichkeit, im Zustand 3 zu bleiben, groß (&gt;0,95) oder klein (&lt;0,05) ist. Aufgrund der starken Verzerrung der Münze, die dem Zustand 3 zugeordnet ist, ergeben sich aus diesen beiden Extremen sehr unterschiedliche Sequenzstatistiken). Wie beim "</w:t>
      </w:r>
      <w:r w:rsidR="00450F57">
        <w:t>3-biased coins model“</w:t>
      </w:r>
      <w:r>
        <w:t xml:space="preserve"> kann </w:t>
      </w:r>
      <w:r>
        <w:lastRenderedPageBreak/>
        <w:t>hinter der Barriere ein reales Szenario existieren, das diesem Modell entspricht. Der Leser sollte keine Schwierigkeiten haben, ein solches Szenario selbst zu entwickeln.</w:t>
      </w:r>
    </w:p>
    <w:p w14:paraId="06147AC0" w14:textId="77777777" w:rsidR="00CA7D9A" w:rsidRDefault="00CA7D9A" w:rsidP="00CA7D9A">
      <w:pPr>
        <w:rPr>
          <w:rFonts w:ascii="Times New Roman" w:hAnsi="Times New Roman" w:cs="Times New Roman"/>
          <w:sz w:val="24"/>
          <w:szCs w:val="24"/>
        </w:rPr>
      </w:pPr>
      <w:r>
        <w:t>Aus dieser Diskussion über die Modellierung der Ausgänge des Münzwurfs mit HMMs lassen sich mehrere wichtige Punkte ableiten. Zunächst einmal ist festzustellen, dass eine der schwierigsten Aufgaben des Modellierungsverfahrens darin besteht, die Größe des Modells (die Anzahl der Zustände) festzulegen. Ohne vorherige Informationen ist diese Entscheidung oft schwierig zu treffen und kann mehrere Versuche erfordern, bevor die passendste Modellgröße gefunden wird. Obwohl wir in der obigen Darstellung bei einem 3-Münzen-Modell angehalten haben, könnte selbst dies zu klein sein. Wie entscheiden wir, wie viele Münzen (Zustände) tatsächlich im Modell benötigt werden? Die Antwort auf diese Frage hängt mit einer noch größeren Frage zusammen, nämlich wie wir die Modellparameter (Übergangswahrscheinlichkeiten, Wahrscheinlichkeiten für "Kopf" und "Zahl" in jedem Zustand) wählen, um das Modell zu optimieren, sodass es die beobachtete Ergebnissequenz am besten erklärt. In dem Abschnitt über Lösungen für die drei HMM-Probleme werden wir versuchen, diese Frage zu beantworten, da dies der Schlüssel für den erfolgreichen Einsatz von HMMs bei realen Problemen ist.</w:t>
      </w:r>
    </w:p>
    <w:p w14:paraId="5AB5C1EF" w14:textId="77777777" w:rsidR="00CA7D9A" w:rsidRDefault="00CA7D9A" w:rsidP="00CA7D9A">
      <w:r>
        <w:t>Ein letzter Punkt betrifft die Größe der Beobachtungssequenz. Wenn wir auf eine kleine, endliche Beobachtungssequenz beschränkt sind, können wir möglicherweise die optimalen Modellparameter nicht zuverlässig schätzen. (Denken Sie an den Fall, dass tatsächlich 10 Münzen verwendet werden, aber nur 50-100 Beobachtungen gegeben sind). Je nach der Menge an Trainingsdaten für das Modell können bestimmte HMMs möglicherweise statistisch nicht zuverlässig unterschieden werden.</w:t>
      </w:r>
    </w:p>
    <w:p w14:paraId="744F4692" w14:textId="6C2D6AD1" w:rsidR="00CA7D9A" w:rsidRDefault="00CA7D9A" w:rsidP="00CA7D9A">
      <w:pPr>
        <w:pStyle w:val="berschrift3"/>
      </w:pPr>
      <w:r>
        <w:t>Elemente eines Hidden-Markov-Models</w:t>
      </w:r>
    </w:p>
    <w:sdt>
      <w:sdtPr>
        <w:rPr>
          <w:color w:val="000000"/>
        </w:rPr>
        <w:alias w:val="To edit, see citavi.com/edit"/>
        <w:tag w:val="CitaviPlaceholder#0c963337-cfc8-a383-efb7-283a66d2ad49"/>
        <w:id w:val="-2043434894"/>
      </w:sdtPr>
      <w:sdtContent>
        <w:p w14:paraId="56DF4792" w14:textId="1A646B60" w:rsidR="00450F57" w:rsidRDefault="00086811" w:rsidP="00A564D4">
          <w:r w:rsidRPr="00086811">
            <w:rPr>
              <w:color w:val="000000"/>
            </w:rPr>
            <w:fldChar w:fldCharType="begin"/>
          </w:r>
          <w:r w:rsidRPr="00086811">
            <w:rPr>
              <w:color w:val="000000"/>
            </w:rPr>
            <w:instrText>ADDIN CitaviPlaceholder{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}</w:instrText>
          </w:r>
          <w:r w:rsidRPr="00086811">
            <w:rPr>
              <w:color w:val="000000"/>
            </w:rPr>
            <w:fldChar w:fldCharType="separate"/>
          </w:r>
          <w:r w:rsidRPr="00086811">
            <w:rPr>
              <w:color w:val="000000"/>
            </w:rPr>
            <w:t>(Rabiner und Juang 1986, S. 7)</w:t>
          </w:r>
          <w:r w:rsidRPr="00086811">
            <w:rPr>
              <w:color w:val="000000"/>
            </w:rPr>
            <w:fldChar w:fldCharType="end"/>
          </w:r>
        </w:p>
      </w:sdtContent>
    </w:sdt>
    <w:p w14:paraId="010211EF" w14:textId="25E89F4B" w:rsidR="00A564D4" w:rsidRDefault="00A564D4" w:rsidP="00A564D4">
      <w:pPr>
        <w:rPr>
          <w:rFonts w:ascii="Times New Roman" w:hAnsi="Times New Roman" w:cs="Times New Roman"/>
          <w:sz w:val="24"/>
          <w:szCs w:val="24"/>
        </w:rPr>
      </w:pPr>
      <w:r>
        <w:t>Wir erklären nun die Elemente und den Mechanismus de</w:t>
      </w:r>
      <w:r w:rsidR="00813B58">
        <w:t>s</w:t>
      </w:r>
      <w:r>
        <w:t xml:space="preserve"> HMMs, d</w:t>
      </w:r>
      <w:r w:rsidR="00813B58">
        <w:t>as</w:t>
      </w:r>
      <w:r>
        <w:t xml:space="preserve"> wir in dieser Arbeit behandeln:</w:t>
      </w:r>
    </w:p>
    <w:p w14:paraId="4776B160" w14:textId="75F6E893" w:rsidR="00A564D4" w:rsidRDefault="00A564D4" w:rsidP="00A564D4">
      <w:pPr>
        <w:pStyle w:val="Listenabsatz"/>
        <w:numPr>
          <w:ilvl w:val="0"/>
          <w:numId w:val="16"/>
        </w:numPr>
      </w:pPr>
      <w:r>
        <w:t>Es gibt eine endliche Anzahl von Zuständen</w:t>
      </w:r>
      <w:r w:rsidR="003F47DF">
        <w:t xml:space="preserve"> </w:t>
      </w:r>
      <w:r>
        <w:t xml:space="preserve">in dem Modell, wir bezeichnen diese als </w:t>
      </w:r>
      <w:r w:rsidR="004368B2">
        <w:t>S = 1, …, NS (für „state“, dt. „Zustand)</w:t>
      </w:r>
      <w:r>
        <w:t>.</w:t>
      </w:r>
      <w:r w:rsidR="003F47DF">
        <w:t xml:space="preserve"> Jeder Zustand spiegelt ein anderes Niveau der Kundenbindung wieder.</w:t>
      </w:r>
    </w:p>
    <w:p w14:paraId="2F7F8885" w14:textId="5BA892F2" w:rsidR="00A564D4" w:rsidRDefault="00A564D4" w:rsidP="00A564D4">
      <w:pPr>
        <w:pStyle w:val="Listenabsatz"/>
        <w:numPr>
          <w:ilvl w:val="0"/>
          <w:numId w:val="16"/>
        </w:numPr>
      </w:pPr>
      <w:r>
        <w:t xml:space="preserve">Zu jedem Zeitpunkt t tritt ein neuer Zustand basierend auf einer Übergangswahrscheinlichkeitsverteilung ein, die </w:t>
      </w:r>
      <w:r w:rsidR="003F47DF">
        <w:t xml:space="preserve">ausschließlich </w:t>
      </w:r>
      <w:r>
        <w:t>vom vorherigen Zustand abhängt (Eigenschaft des Markow-Prozesses). (Es sei darauf hingewiesen, dass "der Übergang so sein kann, dass der Prozess im vorherigen Zustand bleibt".)</w:t>
      </w:r>
    </w:p>
    <w:p w14:paraId="4AA510AF" w14:textId="6A1A04BD" w:rsidR="00A564D4" w:rsidRDefault="00A564D4" w:rsidP="00A564D4">
      <w:pPr>
        <w:pStyle w:val="Listenabsatz"/>
        <w:numPr>
          <w:ilvl w:val="0"/>
          <w:numId w:val="16"/>
        </w:numPr>
      </w:pPr>
      <w:r>
        <w:t>Nach jedem Übergang wird ein</w:t>
      </w:r>
      <w:r w:rsidR="003F47DF">
        <w:t>e</w:t>
      </w:r>
      <w:r>
        <w:t xml:space="preserve"> </w:t>
      </w:r>
      <w:r w:rsidR="003F47DF">
        <w:t>Interaktion des Kunden mit dem Unternemen</w:t>
      </w:r>
      <w:r>
        <w:t xml:space="preserve"> gemäß einer Wahrscheinlichkeitsverteilung erzeugt, die </w:t>
      </w:r>
      <w:r w:rsidR="003F47DF">
        <w:t xml:space="preserve">ausschließlich </w:t>
      </w:r>
      <w:r>
        <w:t xml:space="preserve">vom aktuellen </w:t>
      </w:r>
      <w:r w:rsidR="003F47DF">
        <w:t>Zustand</w:t>
      </w:r>
      <w:r>
        <w:t xml:space="preserve"> abhängt. Diese Wahrscheinlichkeitsverteilung bleibt unabhängig davon, wann und wie </w:t>
      </w:r>
      <w:r>
        <w:lastRenderedPageBreak/>
        <w:t xml:space="preserve">der </w:t>
      </w:r>
      <w:r w:rsidR="003F47DF">
        <w:t>Kunde den Zustand</w:t>
      </w:r>
      <w:r>
        <w:t xml:space="preserve"> betret</w:t>
      </w:r>
      <w:r w:rsidR="003F47DF">
        <w:t>en hat</w:t>
      </w:r>
      <w:r>
        <w:t>, für den Zustand konstant. Es gibt also N solcher Beobachtungswahrscheinlichkeitsverteilungen, die natürlich</w:t>
      </w:r>
      <w:r w:rsidR="003F47DF">
        <w:t xml:space="preserve"> </w:t>
      </w:r>
      <w:r>
        <w:t>stochastische Prozesse repräsentieren.</w:t>
      </w:r>
    </w:p>
    <w:p w14:paraId="08959FB0" w14:textId="52CA7861" w:rsidR="004334F6" w:rsidRPr="00EA4E9F" w:rsidRDefault="00A564D4" w:rsidP="00EA4E9F">
      <w:r>
        <w:rPr>
          <w:noProof/>
        </w:rPr>
        <w:drawing>
          <wp:inline distT="0" distB="0" distL="0" distR="0" wp14:anchorId="5588D132" wp14:editId="0528F619">
            <wp:extent cx="5715000" cy="3295650"/>
            <wp:effectExtent l="0" t="0" r="0" b="0"/>
            <wp:docPr id="2396669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295650"/>
                    </a:xfrm>
                    <a:prstGeom prst="rect">
                      <a:avLst/>
                    </a:prstGeom>
                    <a:noFill/>
                    <a:ln>
                      <a:noFill/>
                    </a:ln>
                  </pic:spPr>
                </pic:pic>
              </a:graphicData>
            </a:graphic>
          </wp:inline>
        </w:drawing>
      </w:r>
      <w:bookmarkStart w:id="18" w:name="_Hlk138117446"/>
      <w:r w:rsidR="004334F6" w:rsidRPr="00EA4E9F">
        <w:rPr>
          <w:lang w:val="en-GB"/>
        </w:rPr>
        <w:br w:type="page"/>
      </w:r>
    </w:p>
    <w:bookmarkEnd w:id="18"/>
    <w:p w14:paraId="0E5FC858" w14:textId="75C41CA8" w:rsidR="00DB374D" w:rsidRDefault="00F930D4" w:rsidP="004334F6">
      <w:pPr>
        <w:pStyle w:val="berschrift2"/>
      </w:pPr>
      <w:r>
        <w:lastRenderedPageBreak/>
        <w:t>Öffnungserkennung</w:t>
      </w:r>
    </w:p>
    <w:p w14:paraId="3BA85796" w14:textId="77777777" w:rsidR="00485667" w:rsidRPr="004334F6" w:rsidRDefault="00485667" w:rsidP="004334F6">
      <w:pPr>
        <w:rPr>
          <w:rFonts w:ascii="Times New Roman" w:hAnsi="Times New Roman" w:cs="Times New Roman"/>
          <w:b/>
          <w:bCs/>
          <w:sz w:val="36"/>
          <w:szCs w:val="36"/>
        </w:rPr>
      </w:pPr>
      <w:r w:rsidRPr="004334F6">
        <w:rPr>
          <w:b/>
          <w:bCs/>
        </w:rPr>
        <w:t>Wie funktioniert die Erkennung einer Öffnung?</w:t>
      </w:r>
    </w:p>
    <w:p w14:paraId="1C365464" w14:textId="7F2372FE" w:rsidR="004334F6" w:rsidRDefault="00A073FF" w:rsidP="004334F6">
      <w:r>
        <w:t xml:space="preserve">Die Erkennung einer E-Mail-Öffnung kann technisch realisiert werden, indem ein Tracking-Pixel, ein kleines, unsichtbares Bild, in die E-Mail eingebettet wird. Aufgrund des verzögerten Nachladens aller Bilder, einschließlich des Tracking-Pixels, kann die E-Mail-Marketing-Software eine Öffnung feststellen, sobald das Mail-Programm die Anforderung für das Laden des Tracking-Pixels sendet. Dieser Prozess bleibt für den Empfänger in der Regel unbemerkt, da seine Erkennung nicht offensichtlich ist </w:t>
      </w:r>
      <w:sdt>
        <w:sdtPr>
          <w:rPr>
            <w:color w:val="000000"/>
          </w:rPr>
          <w:alias w:val="To edit, see citavi.com/edit"/>
          <w:tag w:val="CitaviPlaceholder#9f89c20d-79f8-5554-b5ad-851bcfcbd8e0"/>
          <w:id w:val="1664127354"/>
        </w:sdtPr>
        <w:sdtContent>
          <w:r w:rsidR="00086811" w:rsidRPr="00086811">
            <w:rPr>
              <w:color w:val="000000"/>
            </w:rPr>
            <w:fldChar w:fldCharType="begin"/>
          </w:r>
          <w:r w:rsidR="00086811" w:rsidRPr="00086811">
            <w:rPr>
              <w:color w:val="000000"/>
            </w:rPr>
            <w:instrText>ADDIN CitaviPlaceholder{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}</w:instrText>
          </w:r>
          <w:r w:rsidR="00086811" w:rsidRPr="00086811">
            <w:rPr>
              <w:color w:val="000000"/>
            </w:rPr>
            <w:fldChar w:fldCharType="separate"/>
          </w:r>
          <w:r w:rsidR="00086811" w:rsidRPr="00086811">
            <w:rPr>
              <w:color w:val="000000"/>
            </w:rPr>
            <w:t>(vgl.Kornfeld 2023)</w:t>
          </w:r>
          <w:r w:rsidR="00086811" w:rsidRPr="00086811">
            <w:rPr>
              <w:color w:val="000000"/>
            </w:rPr>
            <w:fldChar w:fldCharType="end"/>
          </w:r>
        </w:sdtContent>
      </w:sdt>
      <w:r>
        <w:t>.</w:t>
      </w:r>
    </w:p>
    <w:p w14:paraId="16D62392" w14:textId="77777777" w:rsidR="00485667" w:rsidRDefault="00485667" w:rsidP="004334F6">
      <w:pPr>
        <w:rPr>
          <w:b/>
          <w:bCs/>
        </w:rPr>
      </w:pPr>
      <w:r w:rsidRPr="004334F6">
        <w:rPr>
          <w:b/>
          <w:bCs/>
        </w:rPr>
        <w:t>Wie zuverlässig ist die Öffnungs-Erkennung?</w:t>
      </w:r>
    </w:p>
    <w:p w14:paraId="301F6152" w14:textId="3C3FC31B" w:rsidR="00485667" w:rsidRDefault="00482AC4" w:rsidP="004334F6">
      <w:r>
        <w:t xml:space="preserve">Laut </w:t>
      </w:r>
      <w:sdt>
        <w:sdtPr>
          <w:rPr>
            <w:color w:val="000000"/>
          </w:rPr>
          <w:alias w:val="To edit, see citavi.com/edit"/>
          <w:tag w:val="CitaviPlaceholder#69f240f1-17ac-486f-0f98-2603a03aa5b7"/>
          <w:id w:val="-1265763698"/>
        </w:sdtPr>
        <w:sdtContent>
          <w:r w:rsidR="00086811" w:rsidRPr="00086811">
            <w:rPr>
              <w:color w:val="000000"/>
            </w:rPr>
            <w:fldChar w:fldCharType="begin"/>
          </w:r>
          <w:r w:rsidR="00086811" w:rsidRPr="00086811">
            <w:rPr>
              <w:color w:val="000000"/>
            </w:rPr>
            <w:instrText>ADDIN CitaviPlaceholder{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}</w:instrText>
          </w:r>
          <w:r w:rsidR="00086811" w:rsidRPr="00086811">
            <w:rPr>
              <w:color w:val="000000"/>
            </w:rPr>
            <w:fldChar w:fldCharType="separate"/>
          </w:r>
          <w:r w:rsidR="00086811" w:rsidRPr="00086811">
            <w:rPr>
              <w:color w:val="000000"/>
            </w:rPr>
            <w:t>Kornfeld 2023</w:t>
          </w:r>
          <w:r w:rsidR="00086811" w:rsidRPr="00086811">
            <w:rPr>
              <w:color w:val="000000"/>
            </w:rPr>
            <w:fldChar w:fldCharType="end"/>
          </w:r>
        </w:sdtContent>
      </w:sdt>
      <w:r>
        <w:rPr>
          <w:color w:val="000000"/>
        </w:rPr>
        <w:t xml:space="preserve"> </w:t>
      </w:r>
      <w:r>
        <w:t>ist die exakte Bestimmung der Öffnungsrate nicht zu 100% präzise, da verschiedene Faktoren zu einer Reihe möglicher Verzerrungen führen können, die sowohl positive als auch negative Auswirkungen haben können. Im Folgenden werden mehrere mögliche Faktoren für Verzerrungen, die für unsere Analysen relevant sind, aufgeführt:</w:t>
      </w:r>
    </w:p>
    <w:p w14:paraId="3D93EAC5" w14:textId="77777777" w:rsidR="00482AC4" w:rsidRDefault="00482AC4" w:rsidP="00482AC4">
      <w:r w:rsidRPr="00482AC4">
        <w:rPr>
          <w:b/>
          <w:bCs/>
        </w:rPr>
        <w:t>Vorschau-Fenster</w:t>
      </w:r>
      <w:r>
        <w:t>: Wenn eine E-Mail nur im Vorschau-Fenster angezeigt wird, kann das Tracking-Pixel geladen und als Öffnung gewertet werden, obwohl der Empfänger die E-Mail tatsächlich nicht gelesen hat.</w:t>
      </w:r>
    </w:p>
    <w:p w14:paraId="6EA2654D" w14:textId="5191649F" w:rsidR="00482AC4" w:rsidRDefault="00482AC4" w:rsidP="00482AC4">
      <w:r w:rsidRPr="00482AC4">
        <w:rPr>
          <w:b/>
          <w:bCs/>
        </w:rPr>
        <w:t>Sichtbarer Bereich</w:t>
      </w:r>
      <w:r>
        <w:t>: In einigen E-Mail-Programmen wird das Tracking-Pixel nur dann geladen, wenn es sich im sichtbaren Bereich befindet. Dadurch hängt die Erkennung einer Öffnung beispielsweise von der Position des Tracking-Pixels in der E-Mail ab.</w:t>
      </w:r>
    </w:p>
    <w:p w14:paraId="67151DBA" w14:textId="77777777" w:rsidR="00482AC4" w:rsidRDefault="00482AC4" w:rsidP="00482AC4">
      <w:r w:rsidRPr="00482AC4">
        <w:rPr>
          <w:b/>
          <w:bCs/>
        </w:rPr>
        <w:t>Löschungs-Klick</w:t>
      </w:r>
      <w:r>
        <w:t>: Wenn eine E-Mail lediglich angeklickt wird, um sie sofort danach zu löschen, kann sie möglicherweise (kurzzeitig) im Vorschaufenster angezeigt werden, und somit wird eine Öffnung festgestellt, die in der Praxis tatsächlich nicht stattgefunden hat.</w:t>
      </w:r>
    </w:p>
    <w:p w14:paraId="0FDD2C5C" w14:textId="76F98947" w:rsidR="00C16413" w:rsidRPr="00086811" w:rsidRDefault="00C16413" w:rsidP="00733FEA">
      <w:r w:rsidRPr="00086811">
        <w:rPr>
          <w:b/>
          <w:bCs/>
        </w:rPr>
        <w:t xml:space="preserve">Apple Mail Privacy Protection </w:t>
      </w:r>
      <w:r w:rsidR="00086811">
        <w:rPr>
          <w:b/>
          <w:bCs/>
        </w:rPr>
        <w:t>seit</w:t>
      </w:r>
      <w:r w:rsidRPr="00086811">
        <w:rPr>
          <w:b/>
          <w:bCs/>
        </w:rPr>
        <w:t xml:space="preserve"> 20.September 2021</w:t>
      </w:r>
      <w:r w:rsidR="00733FEA" w:rsidRPr="00086811">
        <w:rPr>
          <w:b/>
          <w:bCs/>
        </w:rPr>
        <w:t>:</w:t>
      </w:r>
      <w:r w:rsidR="00086811" w:rsidRPr="00086811">
        <w:rPr>
          <w:b/>
          <w:bCs/>
        </w:rPr>
        <w:t xml:space="preserve"> </w:t>
      </w:r>
      <w:r w:rsidR="00086811">
        <w:t xml:space="preserve">Die Funktion "Mail Privacy Protection" in der Mail-App von Apple ist standardmäßig deaktiviert. Per Opt-in verhindert sie die Verwendung von Pixeln zur Erfassung von Informationen über den Empfänger. Dies umfasst auch die Erkennung, ob eine E-Mail geöffnet wurde oder nicht </w:t>
      </w:r>
      <w:sdt>
        <w:sdtPr>
          <w:rPr>
            <w:color w:val="000000"/>
          </w:rPr>
          <w:alias w:val="To edit, see citavi.com/edit"/>
          <w:tag w:val="CitaviPlaceholder#6d82fb6f-dd4e-dd89-b5f9-8ac2ee2681e1"/>
          <w:id w:val="-1102635860"/>
        </w:sdtPr>
        <w:sdtContent>
          <w:r w:rsidR="00086811" w:rsidRPr="00086811">
            <w:rPr>
              <w:color w:val="000000"/>
            </w:rPr>
            <w:fldChar w:fldCharType="begin"/>
          </w:r>
          <w:r w:rsidR="00086811" w:rsidRPr="00086811">
            <w:rPr>
              <w:color w:val="000000"/>
            </w:rPr>
            <w:instrText>ADDIN CitaviPlaceholder{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}</w:instrText>
          </w:r>
          <w:r w:rsidR="00086811" w:rsidRPr="00086811">
            <w:rPr>
              <w:color w:val="000000"/>
            </w:rPr>
            <w:fldChar w:fldCharType="separate"/>
          </w:r>
          <w:r w:rsidR="00086811" w:rsidRPr="00086811">
            <w:rPr>
              <w:color w:val="000000"/>
            </w:rPr>
            <w:t>(vgl.Stewart 2021)</w:t>
          </w:r>
          <w:r w:rsidR="00086811" w:rsidRPr="00086811">
            <w:rPr>
              <w:color w:val="000000"/>
            </w:rPr>
            <w:fldChar w:fldCharType="end"/>
          </w:r>
        </w:sdtContent>
      </w:sdt>
      <w:r w:rsidR="00086811">
        <w:rPr>
          <w:color w:val="000000"/>
        </w:rPr>
        <w:t>.</w:t>
      </w:r>
    </w:p>
    <w:p w14:paraId="732E917A" w14:textId="510F2BAD" w:rsidR="00EA4E9F" w:rsidRPr="00F930D4" w:rsidRDefault="00086811" w:rsidP="00DB374D">
      <w:pPr>
        <w:rPr>
          <w:rFonts w:ascii="Times New Roman" w:hAnsi="Times New Roman" w:cs="Times New Roman"/>
          <w:sz w:val="36"/>
          <w:szCs w:val="36"/>
        </w:rPr>
      </w:pPr>
      <w:r>
        <w:rPr>
          <w:rStyle w:val="Fett"/>
        </w:rPr>
        <w:t>Gmail</w:t>
      </w:r>
      <w:r w:rsidR="004334F6" w:rsidRPr="004334F6">
        <w:rPr>
          <w:rStyle w:val="Fett"/>
        </w:rPr>
        <w:t xml:space="preserve"> Privacy Protection </w:t>
      </w:r>
      <w:r>
        <w:rPr>
          <w:rStyle w:val="Fett"/>
        </w:rPr>
        <w:t>seit 2013:</w:t>
      </w:r>
      <w:r>
        <w:rPr>
          <w:rFonts w:ascii="Times New Roman" w:hAnsi="Times New Roman" w:cs="Times New Roman"/>
          <w:sz w:val="36"/>
          <w:szCs w:val="36"/>
        </w:rPr>
        <w:t xml:space="preserve"> </w:t>
      </w:r>
      <w:r>
        <w:t xml:space="preserve">Vor dem Versand einer E-Mail an einen Abonnenten lädt der Gmail-Server die enthaltenen Bilder. Dieser Prozess kann dazu führen, dass E-Mail-Marketingplattformen falsch-positive Ergebnisse übermitteln </w:t>
      </w:r>
      <w:sdt>
        <w:sdtPr>
          <w:rPr>
            <w:color w:val="000000"/>
          </w:rPr>
          <w:alias w:val="To edit, see citavi.com/edit"/>
          <w:tag w:val="CitaviPlaceholder#a1fe1212-38c3-e173-2033-082f12cd668f"/>
          <w:id w:val="388777167"/>
        </w:sdtPr>
        <w:sdtContent>
          <w:r w:rsidRPr="00086811">
            <w:rPr>
              <w:color w:val="000000"/>
            </w:rPr>
            <w:fldChar w:fldCharType="begin"/>
          </w:r>
          <w:r w:rsidRPr="00086811">
            <w:rPr>
              <w:color w:val="000000"/>
            </w:rPr>
            <w:instrText>ADDIN CitaviPlaceholder{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}</w:instrText>
          </w:r>
          <w:r w:rsidRPr="00086811">
            <w:rPr>
              <w:color w:val="000000"/>
            </w:rPr>
            <w:fldChar w:fldCharType="separate"/>
          </w:r>
          <w:r w:rsidRPr="00086811">
            <w:rPr>
              <w:color w:val="000000"/>
            </w:rPr>
            <w:t>(vgl.Stewart 2021)</w:t>
          </w:r>
          <w:r w:rsidRPr="00086811">
            <w:rPr>
              <w:color w:val="000000"/>
            </w:rPr>
            <w:fldChar w:fldCharType="end"/>
          </w:r>
        </w:sdtContent>
      </w:sdt>
      <w:r>
        <w:t>.</w:t>
      </w:r>
    </w:p>
    <w:p w14:paraId="57820A9A" w14:textId="5767D4A5" w:rsidR="00EA4E9F" w:rsidRDefault="00EA4E9F" w:rsidP="00EA4E9F">
      <w:pPr>
        <w:pStyle w:val="berschrift2"/>
      </w:pPr>
      <w:r>
        <w:t>Datensammlung</w:t>
      </w:r>
    </w:p>
    <w:p w14:paraId="26854A90" w14:textId="77777777" w:rsidR="00EE7204" w:rsidRDefault="00EE7204">
      <w:pPr>
        <w:spacing w:line="240" w:lineRule="auto"/>
        <w:jc w:val="left"/>
        <w:rPr>
          <w:color w:val="FF0000"/>
        </w:rPr>
      </w:pPr>
      <w:r>
        <w:rPr>
          <w:color w:val="FF0000"/>
        </w:rPr>
        <w:br w:type="page"/>
      </w:r>
    </w:p>
    <w:p w14:paraId="0ADFFA12" w14:textId="0299B89E" w:rsidR="004334F6" w:rsidRDefault="00EE7204" w:rsidP="00EE7204">
      <w:pPr>
        <w:pStyle w:val="berschrift2"/>
      </w:pPr>
      <w:r>
        <w:lastRenderedPageBreak/>
        <w:t>Modellierungs-Framework</w:t>
      </w:r>
    </w:p>
    <w:p w14:paraId="6E797AAA" w14:textId="5550B511" w:rsidR="00A564D4" w:rsidRDefault="00A564D4" w:rsidP="00A564D4">
      <w:r w:rsidRPr="00A564D4">
        <w:t>file:///C:/Users/felix.oechslein/Desktop/MA/An_introduction_to_hidden_Markov_models-1.pdf</w:t>
      </w:r>
    </w:p>
    <w:p w14:paraId="22C7E61B" w14:textId="2761D01C" w:rsidR="00A564D4" w:rsidRDefault="00A564D4" w:rsidP="00A564D4">
      <w:pPr>
        <w:rPr>
          <w:rFonts w:ascii="Times New Roman" w:hAnsi="Times New Roman" w:cs="Times New Roman"/>
          <w:sz w:val="24"/>
          <w:szCs w:val="24"/>
        </w:rPr>
      </w:pPr>
      <w:r>
        <w:t>Angesichts der Form des HMM, die in dem vorherigen Abschnitt diskutiert wurde, gibt es drei wesentliche Probleme, die gelöst werden müssen, damit das Modell in realen Anwendungen nützlich ist. Diese Probleme sind wie folgt:</w:t>
      </w:r>
    </w:p>
    <w:p w14:paraId="108E4716" w14:textId="55C3A7F5" w:rsidR="00A564D4" w:rsidRDefault="00A564D4" w:rsidP="00363F23">
      <w:r w:rsidRPr="00A564D4">
        <w:t xml:space="preserve">Problem 1: </w:t>
      </w:r>
      <w:r>
        <w:t>Gegeben sei die Beobachtungssequenz O = O1, O2, ..., O7 und das Modell A = (A, B, π). Wie berechnen wir Pr(O|A), die Wahrscheinlichkeit der Beobachtungssequenz unter dem Modell?</w:t>
      </w:r>
    </w:p>
    <w:p w14:paraId="6E5EE59F" w14:textId="29E34DFF" w:rsidR="00A564D4" w:rsidRDefault="00A564D4" w:rsidP="00363F23">
      <w:r>
        <w:t>Problem 2: Gegeben sei die Beobachtungssequenz O = O1, O2, ..., Or. Wie wählen wir eine Zustandssequenz | = i1, i2, ..., i7, die in irgendeinem sinnvollen Sinne optimal ist?</w:t>
      </w:r>
    </w:p>
    <w:p w14:paraId="52C9FEF3" w14:textId="7619E3E9" w:rsidR="00A564D4" w:rsidRPr="00A564D4" w:rsidRDefault="00A564D4" w:rsidP="00363F23">
      <w:r>
        <w:t>Problem 3: Wie passen wir die Modellparameter (A, B, π) an, um Pr(O|A) zu maximieren?</w:t>
      </w:r>
    </w:p>
    <w:p w14:paraId="6E7ADAE3" w14:textId="77777777" w:rsidR="00A564D4" w:rsidRDefault="00A564D4" w:rsidP="00A564D4">
      <w:pPr>
        <w:rPr>
          <w:rFonts w:ascii="Times New Roman" w:hAnsi="Times New Roman" w:cs="Times New Roman"/>
          <w:sz w:val="24"/>
          <w:szCs w:val="24"/>
        </w:rPr>
      </w:pPr>
      <w:r>
        <w:t>Problem 1 ist das Bewertungsproblem: Gegeben ein Modell und eine Sequenz von Beobachtungen, wie können wir die Wahrscheinlichkeit berechnen, dass die beobachtete Sequenz vom Modell erzeugt wurde? Wir können das Problem auch so betrachten: Gegeben ein Modell und eine Sequenz von Beobachtungen, wie können wir das Modell "bewerten" oder "benoten"? Diese Sichtweise ist sehr nützlich. Wenn wir den Fall betrachten, in dem wir mehrere konkurrierende Modelle haben (z. B. die vier Modelle in Abbildung 1 für das Münzwurfexperiment), ermöglicht uns die Lösung von Problem 1 die Auswahl des Modells, das am besten mit den Beobachtungen übereinstimmt.</w:t>
      </w:r>
    </w:p>
    <w:p w14:paraId="0B42A891" w14:textId="5F7ED049" w:rsidR="00A564D4" w:rsidRPr="00A564D4" w:rsidRDefault="003E4E17" w:rsidP="00363F23">
      <w:r>
        <w:t>Problem 2 besteht darin, den verborgenen Teil des Modells, nämlich die Zustandssequenz, zu ermitteln. Dies ist ein typisches Schätzungsproblem. Wir verwenden in der Regel ein Optimalitätskriterium, um dieses Problem bestmöglich zu lösen. Leider gibt es, wie wir sehen werden, mehrere mögliche Optimalitätskriterien, die angewendet werden können, und daher hängt die Wahl des Kriteriums stark von der beabsichtigten Verwendung der ermittelten Zustandssequenz ab. Eine typische Verwendung der wiederhergestellten Zustandssequenz besteht darin, Informationen über die Struktur des Modells zu gewinnen und Durchschnittsstatistiken, Verhalten usw. innerhalb einzelner Zustände zu erhalten.</w:t>
      </w:r>
    </w:p>
    <w:p w14:paraId="1CE0B62D" w14:textId="13918465" w:rsidR="00A564D4" w:rsidRPr="00A564D4" w:rsidRDefault="003E4E17" w:rsidP="00363F23">
      <w:r>
        <w:t>Problem 3 besteht darin, die Modellparameter so zu optimieren, dass sie am besten beschreiben, wie die beobachtete Sequenz entsteht. In diesem Fall nennen wir es eine Trainingsssequenz, da sie dazu verwendet wird, das Modell zu trainieren. Das Training ist das entscheidende Problem für die meisten Anwendungen von HMM's, da es uns ermöglicht, die Modellparameter optimal an beobachtete Trainingsdaten anzupassen, d.h. die besten Modelle für reale Phänomene zu erstellen.</w:t>
      </w:r>
    </w:p>
    <w:p w14:paraId="0A110C83" w14:textId="77777777" w:rsidR="00A564D4" w:rsidRPr="00A564D4" w:rsidRDefault="00A564D4" w:rsidP="00363F23"/>
    <w:p w14:paraId="7DAC6E2B" w14:textId="755647E5" w:rsidR="00C46043" w:rsidRDefault="00EE7204" w:rsidP="00363F23">
      <w:r>
        <w:lastRenderedPageBreak/>
        <w:t>Im Einklang mit früheren Untersuchungen verwenden wir ein HMM, um die</w:t>
      </w:r>
      <w:r w:rsidR="00730F9E">
        <w:t xml:space="preserve"> </w:t>
      </w:r>
      <w:r>
        <w:t>um die Zustände der Kunden-Firmen-Beziehung und die Übergänge zwischen diesen</w:t>
      </w:r>
      <w:r w:rsidR="00730F9E">
        <w:t xml:space="preserve"> </w:t>
      </w:r>
      <w:r>
        <w:t>Zuständen. Ein HMM beschreibt einen Markov-Prozess mit diskreten latenten</w:t>
      </w:r>
      <w:r w:rsidR="00730F9E">
        <w:t xml:space="preserve"> </w:t>
      </w:r>
      <w:r>
        <w:t>Zustände. Ein HMM ist ein stochastisches Modell, das zur Erfassung der Übergänge</w:t>
      </w:r>
      <w:r w:rsidR="00730F9E">
        <w:t xml:space="preserve"> </w:t>
      </w:r>
      <w:r>
        <w:t>zwischen diesen latenten Zuständen zu erfassen und diese Zustände in beobachtete</w:t>
      </w:r>
      <w:r w:rsidR="00730F9E">
        <w:t xml:space="preserve"> </w:t>
      </w:r>
      <w:r>
        <w:t>Verhaltensweisen. In der Marketingliteratur werden HMMs häufig verwendet, um</w:t>
      </w:r>
      <w:r w:rsidR="00730F9E">
        <w:t xml:space="preserve"> </w:t>
      </w:r>
      <w:r>
        <w:t>Beziehungen zwischen Kunden und Unternehmen verwendet (z. B. Kumar et al. 2011; Luo</w:t>
      </w:r>
      <w:r w:rsidR="00730F9E">
        <w:t xml:space="preserve"> </w:t>
      </w:r>
      <w:r>
        <w:t>und Kumar 2013; Montoya, Netzer, und Jedidi 2010; Netzer,</w:t>
      </w:r>
      <w:r w:rsidR="00730F9E">
        <w:t xml:space="preserve"> </w:t>
      </w:r>
      <w:r>
        <w:t>Lattin, und Srinivasan 2008). Im Kontext des E-Mail-Marketings,</w:t>
      </w:r>
      <w:r w:rsidR="00730F9E">
        <w:t xml:space="preserve"> </w:t>
      </w:r>
      <w:r>
        <w:t>verwenden wir ein HMM, um zwei beobachtete Kundenverhaltensweisen zu untersuchen</w:t>
      </w:r>
      <w:r w:rsidR="00730F9E">
        <w:t xml:space="preserve"> </w:t>
      </w:r>
      <w:r>
        <w:t>zu untersuchen: Käufe und E-Mail-Öffnungen.4 In unserer Umgebung entsprechen die latenten Zustände des Markov-Prozesses verschiedenen Ebenen von</w:t>
      </w:r>
      <w:r w:rsidR="00730F9E">
        <w:t xml:space="preserve"> </w:t>
      </w:r>
      <w:r>
        <w:t>Kunden-Firmen-Beziehungen, die eine unterschiedliche Kauf- und</w:t>
      </w:r>
      <w:r w:rsidR="00730F9E">
        <w:t xml:space="preserve"> </w:t>
      </w:r>
      <w:r>
        <w:t>E-Mail-Öffnungsaktivität der Kunden führen. Da es außerdem</w:t>
      </w:r>
      <w:r w:rsidR="00730F9E">
        <w:t xml:space="preserve"> </w:t>
      </w:r>
      <w:r>
        <w:t>eine mögliche Korrelation zwischen dem Kauf- und dem E-Mail-Öffnungsverhalten der Kunden besteht</w:t>
      </w:r>
      <w:r w:rsidR="00730F9E">
        <w:t xml:space="preserve"> </w:t>
      </w:r>
      <w:r>
        <w:t>Kauf- und E-Mail-Öffnungsverhalten besteht, erfassen wir die Korrelation zwischen den beiden</w:t>
      </w:r>
      <w:r w:rsidR="00730F9E">
        <w:t xml:space="preserve"> </w:t>
      </w:r>
      <w:r>
        <w:t>Verhaltensweisen durch eine Frank-Copula-Funktion (für die grafische</w:t>
      </w:r>
      <w:r w:rsidR="00730F9E">
        <w:t xml:space="preserve"> </w:t>
      </w:r>
      <w:r>
        <w:t>graphische</w:t>
      </w:r>
      <w:r w:rsidR="00730F9E">
        <w:t xml:space="preserve"> </w:t>
      </w:r>
      <w:r>
        <w:t>Darstellung des von uns vorgeschlagenen HMM- und Copula-Modells des</w:t>
      </w:r>
      <w:r w:rsidR="00730F9E">
        <w:t xml:space="preserve"> </w:t>
      </w:r>
      <w:r>
        <w:t xml:space="preserve">und des </w:t>
      </w:r>
      <w:r w:rsidR="00730F9E">
        <w:t xml:space="preserve">E-Mail </w:t>
      </w:r>
      <w:r>
        <w:t>Öffnungsverhaltens, siehe Abbildung 3).</w:t>
      </w:r>
      <w:r w:rsidR="00730F9E">
        <w:t xml:space="preserve"> </w:t>
      </w:r>
      <w:r>
        <w:t>In diesem Abschnitt erörtern wir zunächst die Grundzüge unseres HMM.</w:t>
      </w:r>
      <w:r w:rsidR="00730F9E">
        <w:t xml:space="preserve"> </w:t>
      </w:r>
      <w:r>
        <w:t>Zweitens spezifizieren wir unsere bedingten (auf latente Zustände des</w:t>
      </w:r>
      <w:r w:rsidR="00730F9E">
        <w:t xml:space="preserve"> </w:t>
      </w:r>
      <w:r>
        <w:t>Markov-Prozesses) E-Mail-Öffnungs- und Kaufmodelle. Drittens veranschaulichen wir, wie wir die Korelation zwischen zustandsabhängigem</w:t>
      </w:r>
      <w:r w:rsidR="00730F9E">
        <w:t xml:space="preserve"> </w:t>
      </w:r>
      <w:r>
        <w:t>abhängigen E-Mail-Öffnungs- und Kaufverhalten durch unsere</w:t>
      </w:r>
      <w:r w:rsidR="00730F9E">
        <w:t xml:space="preserve"> </w:t>
      </w:r>
      <w:r>
        <w:t>Frank-Kopula-Komponente erfassen. Viertens diskutieren wir die Modellschätzung. Abschließend diskutieren wir die Modellidentifikation.</w:t>
      </w:r>
    </w:p>
    <w:p w14:paraId="1D6DEE70" w14:textId="77777777" w:rsidR="00C46043" w:rsidRDefault="00C46043" w:rsidP="00EE7204">
      <w:pPr>
        <w:spacing w:line="240" w:lineRule="auto"/>
        <w:jc w:val="left"/>
      </w:pPr>
    </w:p>
    <w:p w14:paraId="490E4F4B" w14:textId="2C65F7A4" w:rsidR="00C46043" w:rsidRDefault="00C46043" w:rsidP="00C46043">
      <w:pPr>
        <w:pStyle w:val="berschrift2"/>
      </w:pPr>
      <w:r>
        <w:t>Überblick über das Modell</w:t>
      </w:r>
    </w:p>
    <w:p w14:paraId="2CCFB922" w14:textId="30D48A12" w:rsidR="00955C34" w:rsidRPr="00955C34" w:rsidRDefault="00955C34" w:rsidP="00955C34">
      <w:r w:rsidRPr="00955C34">
        <w:t>Sei O</w:t>
      </w:r>
      <w:r w:rsidRPr="00955C34">
        <w:rPr>
          <w:vertAlign w:val="subscript"/>
        </w:rPr>
        <w:t>it</w:t>
      </w:r>
      <w:r w:rsidRPr="00955C34">
        <w:t xml:space="preserve"> die Anzahl der E-Mails, die Kunde i zur Zeit t öffnet, und Y</w:t>
      </w:r>
      <w:r w:rsidRPr="00955C34">
        <w:rPr>
          <w:vertAlign w:val="subscript"/>
        </w:rPr>
        <w:t>it</w:t>
      </w:r>
      <w:r w:rsidRPr="00955C34">
        <w:t xml:space="preserve"> die Anzahl der Einkäufe, die Kunde i zur Zeit t tätigt. Für Kunden i modellieren wir die Abfolge der Beobachtungen</w:t>
      </w:r>
    </w:p>
    <w:p w14:paraId="3D7553C4" w14:textId="77777777" w:rsidR="00955C34" w:rsidRDefault="00955C34" w:rsidP="00955C34">
      <w:r w:rsidRPr="00955C34">
        <w:t>[(Y</w:t>
      </w:r>
      <w:r w:rsidRPr="00955C34">
        <w:rPr>
          <w:vertAlign w:val="subscript"/>
        </w:rPr>
        <w:t>i1</w:t>
      </w:r>
      <w:r w:rsidRPr="00955C34">
        <w:t xml:space="preserve"> = y</w:t>
      </w:r>
      <w:r w:rsidRPr="00955C34">
        <w:rPr>
          <w:vertAlign w:val="subscript"/>
        </w:rPr>
        <w:t>i1</w:t>
      </w:r>
      <w:r w:rsidRPr="00955C34">
        <w:t>, O</w:t>
      </w:r>
      <w:r w:rsidRPr="00955C34">
        <w:rPr>
          <w:vertAlign w:val="subscript"/>
        </w:rPr>
        <w:t>i1</w:t>
      </w:r>
      <w:r w:rsidRPr="00955C34">
        <w:t xml:space="preserve"> = o</w:t>
      </w:r>
      <w:r w:rsidRPr="00955C34">
        <w:rPr>
          <w:vertAlign w:val="subscript"/>
        </w:rPr>
        <w:t>i1</w:t>
      </w:r>
      <w:r w:rsidRPr="00955C34">
        <w:t>), ..., (Y</w:t>
      </w:r>
      <w:r w:rsidRPr="00955C34">
        <w:rPr>
          <w:vertAlign w:val="subscript"/>
        </w:rPr>
        <w:t>it</w:t>
      </w:r>
      <w:r w:rsidRPr="00955C34">
        <w:t xml:space="preserve"> = y</w:t>
      </w:r>
      <w:r w:rsidRPr="00955C34">
        <w:rPr>
          <w:vertAlign w:val="subscript"/>
        </w:rPr>
        <w:t>it</w:t>
      </w:r>
      <w:r w:rsidRPr="00955C34">
        <w:t>, O</w:t>
      </w:r>
      <w:r w:rsidRPr="00955C34">
        <w:rPr>
          <w:vertAlign w:val="subscript"/>
        </w:rPr>
        <w:t>it</w:t>
      </w:r>
      <w:r w:rsidRPr="00955C34">
        <w:t xml:space="preserve"> = o</w:t>
      </w:r>
      <w:r w:rsidRPr="00955C34">
        <w:rPr>
          <w:vertAlign w:val="subscript"/>
        </w:rPr>
        <w:t>it</w:t>
      </w:r>
      <w:r w:rsidRPr="00955C34">
        <w:t>)] unter Verwendung eines HMM, das durch (1) die Anfangszustandsverteilung (</w:t>
      </w:r>
      <w:r>
        <w:t>ψ</w:t>
      </w:r>
      <w:r w:rsidRPr="00955C34">
        <w:rPr>
          <w:vertAlign w:val="subscript"/>
        </w:rPr>
        <w:t>i</w:t>
      </w:r>
      <w:r w:rsidRPr="00955C34">
        <w:t>), (2) eine Sequenz von Übergangswahrscheinlichkeiten (Q</w:t>
      </w:r>
      <w:r w:rsidRPr="00955C34">
        <w:rPr>
          <w:vertAlign w:val="subscript"/>
        </w:rPr>
        <w:t>it</w:t>
      </w:r>
      <w:r w:rsidRPr="00955C34">
        <w:t>) und (3) einen Vektor von Wahrscheinlichkeiten, die die latenten Zustände mit den beobachteten Kauf- und E-Mail-Öffnungsverhalten in Beziehung setzen (H</w:t>
      </w:r>
      <w:r w:rsidRPr="00955C34">
        <w:rPr>
          <w:vertAlign w:val="subscript"/>
        </w:rPr>
        <w:t>it</w:t>
      </w:r>
      <w:r w:rsidRPr="00955C34">
        <w:t>), charakterisiert wird.</w:t>
      </w:r>
    </w:p>
    <w:p w14:paraId="16D7EBB1" w14:textId="3D493B50" w:rsidR="00363F23" w:rsidRPr="00955C34" w:rsidRDefault="00363F23" w:rsidP="00955C34">
      <w:pPr>
        <w:pStyle w:val="berschrift2"/>
        <w:rPr>
          <w:lang w:val="de-DE"/>
        </w:rPr>
      </w:pPr>
      <w:r>
        <w:t>Startverteilung</w:t>
      </w:r>
    </w:p>
    <w:p w14:paraId="6A26DDE9" w14:textId="18A30DE0" w:rsidR="00363F23" w:rsidRPr="00363F23" w:rsidRDefault="00955C34" w:rsidP="00363F23">
      <w:pPr>
        <w:rPr>
          <w:lang w:val="fr-FR"/>
        </w:rPr>
      </w:pPr>
      <w:r>
        <w:t>Zu einem beliebigen Monat t sei s der Grad der Beziehung des Kunden i. Sei ψ</w:t>
      </w:r>
      <w:r w:rsidRPr="00955C34">
        <w:rPr>
          <w:vertAlign w:val="subscript"/>
        </w:rPr>
        <w:t>is</w:t>
      </w:r>
      <w:r>
        <w:t xml:space="preserve"> die Wahrscheinlichkeit, dass Kunde i zu Beginn in Beziehungszustand s ist, wobei ψ</w:t>
      </w:r>
      <w:r w:rsidRPr="00955C34">
        <w:rPr>
          <w:vertAlign w:val="subscript"/>
        </w:rPr>
        <w:t>is</w:t>
      </w:r>
      <w:r>
        <w:t xml:space="preserve"> ≥ 0 und </w:t>
      </w:r>
      <m:oMath>
        <m:nary>
          <m:naryPr>
            <m:chr m:val="∑"/>
            <m:grow m:val="1"/>
            <m:ctrlPr>
              <w:rPr>
                <w:rFonts w:ascii="Cambria Math" w:hAnsi="Cambria Math"/>
              </w:rPr>
            </m:ctrlPr>
          </m:naryPr>
          <m:sub>
            <m:r>
              <w:rPr>
                <w:rFonts w:ascii="Cambria Math" w:eastAsia="Cambria Math" w:hAnsi="Cambria Math" w:cs="Cambria Math"/>
              </w:rPr>
              <m:t>s=1</m:t>
            </m:r>
          </m:sub>
          <m:sup>
            <m:r>
              <w:rPr>
                <w:rFonts w:ascii="Cambria Math" w:eastAsia="Cambria Math" w:hAnsi="Cambria Math" w:cs="Cambria Math"/>
              </w:rPr>
              <m:t>NS</m:t>
            </m:r>
          </m:sup>
          <m:e>
            <m:sSub>
              <m:sSubPr>
                <m:ctrlPr>
                  <w:rPr>
                    <w:rFonts w:ascii="Cambria Math" w:hAnsi="Cambria Math"/>
                  </w:rPr>
                </m:ctrlPr>
              </m:sSubPr>
              <m:e>
                <m:r>
                  <m:rPr>
                    <m:sty m:val="p"/>
                  </m:rPr>
                  <w:rPr>
                    <w:rFonts w:ascii="Cambria Math" w:hAnsi="Cambria Math"/>
                  </w:rPr>
                  <m:t>ψ</m:t>
                </m:r>
              </m:e>
              <m:sub>
                <m:r>
                  <m:rPr>
                    <m:sty m:val="p"/>
                  </m:rPr>
                  <w:rPr>
                    <w:rFonts w:ascii="Cambria Math" w:hAnsi="Cambria Math"/>
                    <w:vertAlign w:val="subscript"/>
                  </w:rPr>
                  <m:t>is</m:t>
                </m:r>
              </m:sub>
            </m:sSub>
          </m:e>
        </m:nary>
        <m:r>
          <w:rPr>
            <w:rFonts w:ascii="Cambria Math" w:hAnsi="Cambria Math"/>
          </w:rPr>
          <m:t>=1</m:t>
        </m:r>
      </m:oMath>
      <w:r>
        <w:t xml:space="preserve">, wobei NS die Anzahl der latenten Markov-Zustände ist. In dieser Studie gehen wir davon </w:t>
      </w:r>
      <w:r>
        <w:lastRenderedPageBreak/>
        <w:t xml:space="preserve">aus, dass alle Kunden im ersten Monat mit dem niedrigsten Beziehungszustand beginnen. Daher ist </w:t>
      </w:r>
      <w:r w:rsidR="00D92C75">
        <w:t>ψ</w:t>
      </w:r>
      <w:r w:rsidR="00D92C75" w:rsidRPr="00955C34">
        <w:rPr>
          <w:vertAlign w:val="subscript"/>
        </w:rPr>
        <w:t>is</w:t>
      </w:r>
      <w:r w:rsidR="00D92C75">
        <w:t>´ = (ψ</w:t>
      </w:r>
      <w:r w:rsidR="00D92C75" w:rsidRPr="00955C34">
        <w:rPr>
          <w:vertAlign w:val="subscript"/>
        </w:rPr>
        <w:t>i</w:t>
      </w:r>
      <w:r w:rsidR="00D92C75">
        <w:rPr>
          <w:vertAlign w:val="subscript"/>
        </w:rPr>
        <w:t>1</w:t>
      </w:r>
      <w:r w:rsidR="00D92C75">
        <w:t>,</w:t>
      </w:r>
      <w:r w:rsidR="00D92C75" w:rsidRPr="00D92C75">
        <w:t xml:space="preserve"> </w:t>
      </w:r>
      <w:r w:rsidR="00D92C75">
        <w:t>… ,</w:t>
      </w:r>
      <w:r w:rsidR="00D92C75" w:rsidRPr="00D92C75">
        <w:t xml:space="preserve"> </w:t>
      </w:r>
      <w:r w:rsidR="00D92C75">
        <w:t>ψ</w:t>
      </w:r>
      <w:r w:rsidR="00D92C75" w:rsidRPr="00955C34">
        <w:rPr>
          <w:vertAlign w:val="subscript"/>
        </w:rPr>
        <w:t>i</w:t>
      </w:r>
      <w:r w:rsidR="00D92C75">
        <w:rPr>
          <w:vertAlign w:val="subscript"/>
        </w:rPr>
        <w:t>,NS</w:t>
      </w:r>
      <w:r w:rsidR="00D92C75">
        <w:t xml:space="preserve"> ) </w:t>
      </w:r>
      <w:r>
        <w:t>= (1, 0, ..., 0).</w:t>
      </w:r>
    </w:p>
    <w:p w14:paraId="7080D931" w14:textId="762490FE" w:rsidR="00363F23" w:rsidRDefault="00363F23" w:rsidP="00363F23">
      <w:pPr>
        <w:pStyle w:val="berschrift2"/>
      </w:pPr>
      <w:r>
        <w:t>Übergangsmatrix</w:t>
      </w:r>
    </w:p>
    <w:p w14:paraId="3EFE5D47" w14:textId="5ED7188C" w:rsidR="00363F23" w:rsidRPr="002D5EDE" w:rsidRDefault="00D92C75" w:rsidP="00363F23">
      <w:pPr>
        <w:rPr>
          <w:lang w:val="fr-FR"/>
        </w:rPr>
      </w:pPr>
      <w:r w:rsidRPr="002D5EDE">
        <w:rPr>
          <w:lang w:val="fr-FR"/>
        </w:rPr>
        <w:t xml:space="preserve">In unserem vorgeschlagenen HMM-Framework erlauben wir Kunden, in jeden Beziehungszustand s = 1, 2, ..., NS zu wechseln. Wie bei Kumar et al. (2011) verwenden wir eine multinomiale Logit-Spezifikation, um diesen Übergangsprozess zu formulieren. Wir definieren die Übergangsmatrix wie folgt: </w:t>
      </w:r>
    </w:p>
    <w:p w14:paraId="700462D7" w14:textId="77777777" w:rsidR="00D92C75" w:rsidRPr="002D5EDE" w:rsidRDefault="00D92C75" w:rsidP="00FB5417">
      <w:pPr>
        <w:rPr>
          <w:lang w:val="fr-FR"/>
        </w:rPr>
      </w:pPr>
      <w:r w:rsidRPr="002D5EDE">
        <w:rPr>
          <w:noProof/>
          <w:lang w:val="fr-FR"/>
        </w:rPr>
        <w:drawing>
          <wp:inline distT="0" distB="0" distL="0" distR="0" wp14:anchorId="43F2CE57" wp14:editId="74A09A7F">
            <wp:extent cx="4230445" cy="1257300"/>
            <wp:effectExtent l="0" t="0" r="0" b="0"/>
            <wp:docPr id="1678562529" name="Grafik 1"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62529" name="Grafik 1" descr="Ein Bild, das Text, Tisch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1598" cy="1260615"/>
                    </a:xfrm>
                    <a:prstGeom prst="rect">
                      <a:avLst/>
                    </a:prstGeom>
                    <a:noFill/>
                    <a:ln>
                      <a:noFill/>
                    </a:ln>
                  </pic:spPr>
                </pic:pic>
              </a:graphicData>
            </a:graphic>
          </wp:inline>
        </w:drawing>
      </w:r>
    </w:p>
    <w:p w14:paraId="4A7625FB" w14:textId="2673810C" w:rsidR="00FE676F" w:rsidRPr="002D5EDE" w:rsidRDefault="00D92C75" w:rsidP="002D5EDE">
      <w:pPr>
        <w:rPr>
          <w:lang w:val="fr-FR"/>
        </w:rPr>
      </w:pPr>
      <w:r w:rsidRPr="002D5EDE">
        <w:rPr>
          <w:lang w:val="fr-FR"/>
        </w:rPr>
        <w:t>Hierbei ist q</w:t>
      </w:r>
      <w:r w:rsidRPr="002D5EDE">
        <w:rPr>
          <w:vertAlign w:val="subscript"/>
          <w:lang w:val="fr-FR"/>
        </w:rPr>
        <w:t>it,s→s0</w:t>
      </w:r>
      <w:r w:rsidRPr="002D5EDE">
        <w:rPr>
          <w:lang w:val="fr-FR"/>
        </w:rPr>
        <w:t xml:space="preserve"> die Wahrscheinlichkeit, dass Kunde i vom Zustand s zur Zeit t-1 in den Zustand </w:t>
      </w:r>
      <w:r w:rsidR="002D5EDE" w:rsidRPr="002D5EDE">
        <w:rPr>
          <w:lang w:val="fr-FR"/>
        </w:rPr>
        <w:t>s´</w:t>
      </w:r>
      <w:r w:rsidRPr="002D5EDE">
        <w:rPr>
          <w:lang w:val="fr-FR"/>
        </w:rPr>
        <w:t xml:space="preserve"> zur Zeit t wechselt, wobei 0 ≤ q</w:t>
      </w:r>
      <w:r w:rsidRPr="002D5EDE">
        <w:rPr>
          <w:vertAlign w:val="subscript"/>
          <w:lang w:val="fr-FR"/>
        </w:rPr>
        <w:t xml:space="preserve">it,s→s´ </w:t>
      </w:r>
      <w:r w:rsidRPr="002D5EDE">
        <w:rPr>
          <w:lang w:val="fr-FR"/>
        </w:rPr>
        <w:t xml:space="preserve">≤ 1 für alle s,s´ gilt und </w:t>
      </w:r>
      <m:oMath>
        <m:nary>
          <m:naryPr>
            <m:chr m:val="∑"/>
            <m:grow m:val="1"/>
            <m:ctrlPr>
              <w:rPr>
                <w:rFonts w:ascii="Cambria Math" w:hAnsi="Cambria Math"/>
              </w:rPr>
            </m:ctrlPr>
          </m:naryPr>
          <m:sub>
            <m:r>
              <w:rPr>
                <w:rFonts w:ascii="Cambria Math" w:eastAsia="Cambria Math" w:hAnsi="Cambria Math"/>
              </w:rPr>
              <m:t>s´=1</m:t>
            </m:r>
          </m:sub>
          <m:sup>
            <m:r>
              <w:rPr>
                <w:rFonts w:ascii="Cambria Math" w:hAnsi="Cambria Math"/>
              </w:rPr>
              <m:t>NS</m:t>
            </m:r>
          </m:sup>
          <m:e>
            <m:sSub>
              <m:sSubPr>
                <m:ctrlPr>
                  <w:rPr>
                    <w:rFonts w:ascii="Cambria Math" w:hAnsi="Cambria Math"/>
                    <w:lang w:val="fr-FR"/>
                  </w:rPr>
                </m:ctrlPr>
              </m:sSubPr>
              <m:e>
                <m:r>
                  <m:rPr>
                    <m:sty m:val="p"/>
                  </m:rPr>
                  <w:rPr>
                    <w:rFonts w:ascii="Cambria Math" w:hAnsi="Cambria Math"/>
                    <w:lang w:val="fr-FR"/>
                  </w:rPr>
                  <m:t>q</m:t>
                </m:r>
              </m:e>
              <m:sub>
                <m:r>
                  <m:rPr>
                    <m:sty m:val="p"/>
                  </m:rPr>
                  <w:rPr>
                    <w:rFonts w:ascii="Cambria Math" w:hAnsi="Cambria Math"/>
                    <w:vertAlign w:val="subscript"/>
                    <w:lang w:val="fr-FR"/>
                  </w:rPr>
                  <m:t xml:space="preserve">it,s→s´ </m:t>
                </m:r>
              </m:sub>
            </m:sSub>
          </m:e>
        </m:nary>
        <m:r>
          <w:rPr>
            <w:rFonts w:ascii="Cambria Math" w:hAnsi="Cambria Math"/>
          </w:rPr>
          <m:t>=1</m:t>
        </m:r>
      </m:oMath>
      <w:r w:rsidRPr="002D5EDE">
        <w:rPr>
          <w:lang w:val="fr-FR"/>
        </w:rPr>
        <w:t xml:space="preserve"> erfüllt ist. Wir spezifizieren den indirekten Übergangsnutzen des Kunden i für den Wechsel vom Beziehungszustand s im Zeitraum t-1 in den Zustand s</w:t>
      </w:r>
      <w:r w:rsidR="008011BD">
        <w:rPr>
          <w:lang w:val="fr-FR"/>
        </w:rPr>
        <w:t>’</w:t>
      </w:r>
      <w:r w:rsidRPr="002D5EDE">
        <w:rPr>
          <w:lang w:val="fr-FR"/>
        </w:rPr>
        <w:t xml:space="preserve"> zur Zeit t (U</w:t>
      </w:r>
      <w:r w:rsidRPr="008011BD">
        <w:rPr>
          <w:vertAlign w:val="subscript"/>
          <w:lang w:val="fr-FR"/>
        </w:rPr>
        <w:t>it,s→s0</w:t>
      </w:r>
      <w:r w:rsidRPr="002D5EDE">
        <w:rPr>
          <w:lang w:val="fr-FR"/>
        </w:rPr>
        <w:t>) wie folgt: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C36990" w14:paraId="6718B5CC" w14:textId="77777777" w:rsidTr="00FA29B6">
        <w:trPr>
          <w:cantSplit/>
          <w:trHeight w:val="1134"/>
        </w:trPr>
        <w:tc>
          <w:tcPr>
            <w:tcW w:w="8500" w:type="dxa"/>
            <w:vAlign w:val="center"/>
          </w:tcPr>
          <w:p w14:paraId="2BD8E734" w14:textId="57A47BFB" w:rsidR="00FE676F" w:rsidRPr="00FE676F" w:rsidRDefault="00000000" w:rsidP="00FA29B6">
            <w:pPr>
              <w:jc w:val="center"/>
              <w:rPr>
                <w:lang w:val="fr-FR"/>
              </w:rPr>
            </w:pPr>
            <m:oMathPara>
              <m:oMath>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it, s→s'</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it, s→s'</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it, s→s'</m:t>
                    </m:r>
                  </m:sub>
                </m:sSub>
              </m:oMath>
            </m:oMathPara>
          </w:p>
        </w:tc>
        <w:tc>
          <w:tcPr>
            <w:tcW w:w="561" w:type="dxa"/>
            <w:vAlign w:val="center"/>
          </w:tcPr>
          <w:p w14:paraId="3B2A76B4" w14:textId="3A8CA379" w:rsidR="00C36990" w:rsidRPr="00C36990" w:rsidRDefault="00FE676F" w:rsidP="00FA29B6">
            <w:pPr>
              <w:jc w:val="right"/>
            </w:pPr>
            <w:r>
              <w:t>(</w:t>
            </w:r>
            <w:fldSimple w:instr=" SEQ Formel \* ARABIC ">
              <w:r w:rsidR="00C36990">
                <w:rPr>
                  <w:noProof/>
                </w:rPr>
                <w:t>1</w:t>
              </w:r>
            </w:fldSimple>
            <w:r>
              <w:t>)</w:t>
            </w:r>
          </w:p>
        </w:tc>
      </w:tr>
    </w:tbl>
    <w:p w14:paraId="273432BB" w14:textId="0FA136FA" w:rsidR="00FB5417" w:rsidRDefault="002D5EDE" w:rsidP="008011BD">
      <w:pPr>
        <w:rPr>
          <w:lang w:val="fr-FR"/>
        </w:rPr>
      </w:pPr>
      <w:r w:rsidRPr="002D5EDE">
        <w:rPr>
          <w:lang w:val="fr-FR"/>
        </w:rPr>
        <w:t>Hierbei bezeichnen e</w:t>
      </w:r>
      <w:r w:rsidRPr="008011BD">
        <w:rPr>
          <w:vertAlign w:val="subscript"/>
          <w:lang w:val="fr-FR"/>
        </w:rPr>
        <w:t>it,s→s</w:t>
      </w:r>
      <w:r w:rsidR="008011BD" w:rsidRPr="008011BD">
        <w:rPr>
          <w:vertAlign w:val="subscript"/>
          <w:lang w:val="fr-FR"/>
        </w:rPr>
        <w:t>’</w:t>
      </w:r>
      <w:r w:rsidRPr="002D5EDE">
        <w:rPr>
          <w:lang w:val="fr-FR"/>
        </w:rPr>
        <w:t xml:space="preserve"> und V</w:t>
      </w:r>
      <w:r w:rsidRPr="008011BD">
        <w:rPr>
          <w:vertAlign w:val="subscript"/>
          <w:lang w:val="fr-FR"/>
        </w:rPr>
        <w:t>it,s→s</w:t>
      </w:r>
      <w:r w:rsidR="008011BD" w:rsidRPr="008011BD">
        <w:rPr>
          <w:vertAlign w:val="subscript"/>
          <w:lang w:val="fr-FR"/>
        </w:rPr>
        <w:t>’</w:t>
      </w:r>
      <w:r w:rsidRPr="002D5EDE">
        <w:rPr>
          <w:lang w:val="fr-FR"/>
        </w:rPr>
        <w:t xml:space="preserve"> die stochastischen und deterministischen Komponenten des indirekten Nutzens. Wir nehmen an, dass e</w:t>
      </w:r>
      <w:r w:rsidRPr="008011BD">
        <w:rPr>
          <w:vertAlign w:val="subscript"/>
          <w:lang w:val="fr-FR"/>
        </w:rPr>
        <w:t>it,s→s</w:t>
      </w:r>
      <w:r w:rsidR="008011BD" w:rsidRPr="008011BD">
        <w:rPr>
          <w:vertAlign w:val="subscript"/>
          <w:lang w:val="fr-FR"/>
        </w:rPr>
        <w:t>’</w:t>
      </w:r>
      <w:r w:rsidRPr="002D5EDE">
        <w:rPr>
          <w:lang w:val="fr-FR"/>
        </w:rPr>
        <w:t xml:space="preserve"> für i = 1, ..., N; t = 1, ..., T; s, s</w:t>
      </w:r>
      <w:r w:rsidR="008011BD">
        <w:rPr>
          <w:lang w:val="fr-FR"/>
        </w:rPr>
        <w:t>’</w:t>
      </w:r>
      <w:r w:rsidRPr="002D5EDE">
        <w:rPr>
          <w:lang w:val="fr-FR"/>
        </w:rPr>
        <w:t xml:space="preserve"> = 1, ..., NS i.i.d. Gumbel-verteilt mit </w:t>
      </w:r>
      <w:r w:rsidR="008011BD">
        <w:rPr>
          <w:lang w:val="fr-FR"/>
        </w:rPr>
        <w:t>Lageparameter</w:t>
      </w:r>
      <w:r w:rsidRPr="002D5EDE">
        <w:rPr>
          <w:lang w:val="fr-FR"/>
        </w:rPr>
        <w:t xml:space="preserve"> 0 und Skal</w:t>
      </w:r>
      <w:r w:rsidR="008011BD">
        <w:rPr>
          <w:lang w:val="fr-FR"/>
        </w:rPr>
        <w:t>enparameter</w:t>
      </w:r>
      <w:r w:rsidRPr="002D5EDE">
        <w:rPr>
          <w:lang w:val="fr-FR"/>
        </w:rPr>
        <w:t xml:space="preserve"> 1 sind. Wir operationalisieren die deterministische Komponente </w:t>
      </w:r>
      <w:r w:rsidR="008011BD">
        <w:rPr>
          <w:lang w:val="fr-FR"/>
        </w:rPr>
        <w:t>v</w:t>
      </w:r>
      <w:r w:rsidRPr="008011BD">
        <w:rPr>
          <w:vertAlign w:val="subscript"/>
          <w:lang w:val="fr-FR"/>
        </w:rPr>
        <w:t>it,s→s</w:t>
      </w:r>
      <w:r w:rsidR="008011BD">
        <w:rPr>
          <w:vertAlign w:val="subscript"/>
          <w:lang w:val="fr-FR"/>
        </w:rPr>
        <w:t>’</w:t>
      </w:r>
      <w:r w:rsidRPr="002D5EDE">
        <w:rPr>
          <w:lang w:val="fr-FR"/>
        </w:rPr>
        <w:t xml:space="preserve"> wie folgt</w:t>
      </w:r>
      <w:r w:rsidR="008011BD">
        <w:rPr>
          <w:lang w:val="fr-FR"/>
        </w:rPr>
        <w:t>:</w:t>
      </w:r>
    </w:p>
    <w:p w14:paraId="6D45DE9D" w14:textId="77777777" w:rsidR="008011BD" w:rsidRDefault="008011BD" w:rsidP="008011BD">
      <w:pPr>
        <w:rPr>
          <w:lang w:val="fr-FR"/>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FA29B6" w14:paraId="51E4D39E" w14:textId="77777777" w:rsidTr="00FE676F">
        <w:tc>
          <w:tcPr>
            <w:tcW w:w="8500" w:type="dxa"/>
            <w:vAlign w:val="center"/>
          </w:tcPr>
          <w:p w14:paraId="00D0C5EA" w14:textId="778A25D2" w:rsidR="00FA29B6" w:rsidRDefault="00000000" w:rsidP="00C36990">
            <w:pPr>
              <w:jc w:val="center"/>
              <w:rPr>
                <w:lang w:val="fr-FR"/>
              </w:rPr>
            </w:pPr>
            <m:oMathPara>
              <m:oMath>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it, s→s'</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α</m:t>
                    </m:r>
                  </m:e>
                  <m:sub>
                    <m:r>
                      <w:rPr>
                        <w:rFonts w:ascii="Cambria Math" w:hAnsi="Cambria Math"/>
                        <w:lang w:val="fr-FR"/>
                      </w:rPr>
                      <m:t>s→s'</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γ</m:t>
                    </m:r>
                  </m:e>
                  <m:sub>
                    <m:r>
                      <w:rPr>
                        <w:rFonts w:ascii="Cambria Math" w:hAnsi="Cambria Math"/>
                        <w:lang w:val="fr-FR"/>
                      </w:rPr>
                      <m:t xml:space="preserve"> s→s'</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i,t-1</m:t>
                    </m:r>
                  </m:sub>
                </m:sSub>
              </m:oMath>
            </m:oMathPara>
          </w:p>
        </w:tc>
        <w:tc>
          <w:tcPr>
            <w:tcW w:w="561" w:type="dxa"/>
            <w:vAlign w:val="center"/>
          </w:tcPr>
          <w:p w14:paraId="64454E97" w14:textId="3D9BD11F" w:rsidR="00FA29B6" w:rsidRPr="00C36990" w:rsidRDefault="00FA29B6" w:rsidP="00FE676F">
            <w:pPr>
              <w:jc w:val="right"/>
            </w:pPr>
            <w:r>
              <w:t>(</w:t>
            </w:r>
            <w:fldSimple w:instr=" SEQ Formel \* ARABIC ">
              <w:r>
                <w:rPr>
                  <w:noProof/>
                </w:rPr>
                <w:t>2</w:t>
              </w:r>
            </w:fldSimple>
            <w:r>
              <w:t>)</w:t>
            </w:r>
          </w:p>
        </w:tc>
      </w:tr>
    </w:tbl>
    <w:p w14:paraId="31AA8471" w14:textId="77777777" w:rsidR="008011BD" w:rsidRDefault="008011BD" w:rsidP="005876EA">
      <w:pPr>
        <w:rPr>
          <w:lang w:val="fr-FR"/>
        </w:rPr>
      </w:pPr>
    </w:p>
    <w:p w14:paraId="6454E174" w14:textId="3384FEFD" w:rsidR="005876EA" w:rsidRDefault="00227A04" w:rsidP="00227A04">
      <w:pPr>
        <w:rPr>
          <w:lang w:val="fr-FR"/>
        </w:rPr>
      </w:pPr>
      <w:r w:rsidRPr="00227A04">
        <w:rPr>
          <w:lang w:val="fr-FR"/>
        </w:rPr>
        <w:t xml:space="preserve">wobei </w:t>
      </w:r>
      <w:r>
        <w:rPr>
          <w:lang w:val="fr-FR"/>
        </w:rPr>
        <w:t>α</w:t>
      </w:r>
      <w:r w:rsidRPr="00227A04">
        <w:rPr>
          <w:vertAlign w:val="subscript"/>
          <w:lang w:val="fr-FR"/>
        </w:rPr>
        <w:t xml:space="preserve">s→s’ </w:t>
      </w:r>
      <w:r w:rsidRPr="00227A04">
        <w:rPr>
          <w:lang w:val="fr-FR"/>
        </w:rPr>
        <w:t>der intrinsische Nutzen ist, der mit der Transition von Zustand s zu s</w:t>
      </w:r>
      <w:r>
        <w:rPr>
          <w:lang w:val="fr-FR"/>
        </w:rPr>
        <w:t>’</w:t>
      </w:r>
      <w:r w:rsidRPr="00227A04">
        <w:rPr>
          <w:lang w:val="fr-FR"/>
        </w:rPr>
        <w:t xml:space="preserve"> zum Zeitpunkt t einhergeht. X</w:t>
      </w:r>
      <w:r w:rsidRPr="00227A04">
        <w:rPr>
          <w:vertAlign w:val="subscript"/>
          <w:lang w:val="fr-FR"/>
        </w:rPr>
        <w:t>i,t−1</w:t>
      </w:r>
      <w:r w:rsidRPr="00227A04">
        <w:rPr>
          <w:lang w:val="fr-FR"/>
        </w:rPr>
        <w:t xml:space="preserve"> enthält folgende Variablen: I[O</w:t>
      </w:r>
      <w:r w:rsidRPr="00227A04">
        <w:rPr>
          <w:vertAlign w:val="subscript"/>
          <w:lang w:val="fr-FR"/>
        </w:rPr>
        <w:t>i,t−1</w:t>
      </w:r>
      <w:r w:rsidRPr="00227A04">
        <w:rPr>
          <w:lang w:val="fr-FR"/>
        </w:rPr>
        <w:t xml:space="preserve"> &gt; 0], I[Y</w:t>
      </w:r>
      <w:r w:rsidRPr="00227A04">
        <w:rPr>
          <w:vertAlign w:val="subscript"/>
          <w:lang w:val="fr-FR"/>
        </w:rPr>
        <w:t>i,t−1</w:t>
      </w:r>
      <w:r w:rsidRPr="00227A04">
        <w:rPr>
          <w:lang w:val="fr-FR"/>
        </w:rPr>
        <w:t xml:space="preserve"> &gt; 0], EM</w:t>
      </w:r>
      <w:r w:rsidRPr="00227A04">
        <w:rPr>
          <w:vertAlign w:val="subscript"/>
          <w:lang w:val="fr-FR"/>
        </w:rPr>
        <w:t>i,t−1</w:t>
      </w:r>
      <w:r w:rsidRPr="00227A04">
        <w:rPr>
          <w:lang w:val="fr-FR"/>
        </w:rPr>
        <w:t>, EM</w:t>
      </w:r>
      <w:r w:rsidRPr="00227A04">
        <w:rPr>
          <w:vertAlign w:val="subscript"/>
          <w:lang w:val="fr-FR"/>
        </w:rPr>
        <w:t xml:space="preserve"> i,t-1</w:t>
      </w:r>
      <w:r w:rsidRPr="00227A04">
        <w:rPr>
          <w:vertAlign w:val="superscript"/>
          <w:lang w:val="fr-FR"/>
        </w:rPr>
        <w:t>2</w:t>
      </w:r>
      <w:r w:rsidRPr="00227A04">
        <w:rPr>
          <w:lang w:val="fr-FR"/>
        </w:rPr>
        <w:t xml:space="preserve"> , wobei I[A] die Indikatorfunktion ist, die den Wert 1 annimmt, wenn das Ereignis A eintritt, und sonst den Wert 0 annimmt. O</w:t>
      </w:r>
      <w:r w:rsidRPr="00DE112C">
        <w:rPr>
          <w:vertAlign w:val="subscript"/>
          <w:lang w:val="fr-FR"/>
        </w:rPr>
        <w:t>i,t−1</w:t>
      </w:r>
      <w:r w:rsidRPr="00227A04">
        <w:rPr>
          <w:lang w:val="fr-FR"/>
        </w:rPr>
        <w:t xml:space="preserve"> ist die verzögerte Anzahl geöffneter E-Mails, Y</w:t>
      </w:r>
      <w:r w:rsidRPr="00DE112C">
        <w:rPr>
          <w:vertAlign w:val="subscript"/>
          <w:lang w:val="fr-FR"/>
        </w:rPr>
        <w:t>i,t−1</w:t>
      </w:r>
      <w:r w:rsidRPr="00227A04">
        <w:rPr>
          <w:lang w:val="fr-FR"/>
        </w:rPr>
        <w:t xml:space="preserve"> ist die verzögerte Anzahl von Käufen und EM</w:t>
      </w:r>
      <w:r w:rsidRPr="00DE112C">
        <w:rPr>
          <w:vertAlign w:val="subscript"/>
          <w:lang w:val="fr-FR"/>
        </w:rPr>
        <w:t>i,t−1</w:t>
      </w:r>
      <w:r w:rsidRPr="00227A04">
        <w:rPr>
          <w:lang w:val="fr-FR"/>
        </w:rPr>
        <w:t xml:space="preserve"> ist die Anzahl der vom Unternehmen zum Zeitpunkt t−1 gesendeten E-Mails.</w:t>
      </w:r>
      <w:r>
        <w:rPr>
          <w:lang w:val="fr-FR"/>
        </w:rPr>
        <w:t xml:space="preserve"> </w:t>
      </w:r>
      <w:r w:rsidR="00DE112C">
        <w:rPr>
          <w:lang w:val="fr-FR"/>
        </w:rPr>
        <w:t>γ</w:t>
      </w:r>
      <w:r w:rsidRPr="00DE112C">
        <w:rPr>
          <w:vertAlign w:val="subscript"/>
          <w:lang w:val="fr-FR"/>
        </w:rPr>
        <w:t>s→s</w:t>
      </w:r>
      <w:r w:rsidR="00086530">
        <w:rPr>
          <w:vertAlign w:val="subscript"/>
          <w:lang w:val="fr-FR"/>
        </w:rPr>
        <w:t>’</w:t>
      </w:r>
      <w:r w:rsidRPr="00DE112C">
        <w:rPr>
          <w:vertAlign w:val="subscript"/>
          <w:lang w:val="fr-FR"/>
        </w:rPr>
        <w:t xml:space="preserve"> </w:t>
      </w:r>
      <w:r w:rsidRPr="00227A04">
        <w:rPr>
          <w:lang w:val="fr-FR"/>
        </w:rPr>
        <w:t>= [</w:t>
      </w:r>
      <w:r w:rsidR="00DE112C">
        <w:rPr>
          <w:lang w:val="fr-FR"/>
        </w:rPr>
        <w:t>γ</w:t>
      </w:r>
      <w:r w:rsidRPr="00DE112C">
        <w:rPr>
          <w:vertAlign w:val="subscript"/>
          <w:lang w:val="fr-FR"/>
        </w:rPr>
        <w:t>1,s→s</w:t>
      </w:r>
      <w:r w:rsidR="00DE112C" w:rsidRPr="00DE112C">
        <w:rPr>
          <w:vertAlign w:val="subscript"/>
          <w:lang w:val="fr-FR"/>
        </w:rPr>
        <w:t>’</w:t>
      </w:r>
      <w:r w:rsidRPr="00227A04">
        <w:rPr>
          <w:lang w:val="fr-FR"/>
        </w:rPr>
        <w:t xml:space="preserve">, </w:t>
      </w:r>
      <w:r w:rsidR="00DE112C">
        <w:rPr>
          <w:lang w:val="fr-FR"/>
        </w:rPr>
        <w:t>γ</w:t>
      </w:r>
      <w:r w:rsidRPr="00DE112C">
        <w:rPr>
          <w:vertAlign w:val="subscript"/>
          <w:lang w:val="fr-FR"/>
        </w:rPr>
        <w:t>2,s→s</w:t>
      </w:r>
      <w:r w:rsidR="00DE112C" w:rsidRPr="00DE112C">
        <w:rPr>
          <w:vertAlign w:val="subscript"/>
          <w:lang w:val="fr-FR"/>
        </w:rPr>
        <w:t>’</w:t>
      </w:r>
      <w:r w:rsidRPr="00227A04">
        <w:rPr>
          <w:lang w:val="fr-FR"/>
        </w:rPr>
        <w:t xml:space="preserve">, </w:t>
      </w:r>
      <w:r w:rsidR="00DE112C">
        <w:rPr>
          <w:lang w:val="fr-FR"/>
        </w:rPr>
        <w:t>γ</w:t>
      </w:r>
      <w:r w:rsidRPr="00DE112C">
        <w:rPr>
          <w:vertAlign w:val="subscript"/>
          <w:lang w:val="fr-FR"/>
        </w:rPr>
        <w:t>3,s→s</w:t>
      </w:r>
      <w:r w:rsidR="00DE112C">
        <w:rPr>
          <w:vertAlign w:val="subscript"/>
          <w:lang w:val="fr-FR"/>
        </w:rPr>
        <w:t>’</w:t>
      </w:r>
      <w:r w:rsidRPr="00227A04">
        <w:rPr>
          <w:lang w:val="fr-FR"/>
        </w:rPr>
        <w:t xml:space="preserve">, </w:t>
      </w:r>
      <w:r w:rsidR="00DE112C">
        <w:rPr>
          <w:lang w:val="fr-FR"/>
        </w:rPr>
        <w:t>γ</w:t>
      </w:r>
      <w:r w:rsidRPr="00DE112C">
        <w:rPr>
          <w:vertAlign w:val="subscript"/>
          <w:lang w:val="fr-FR"/>
        </w:rPr>
        <w:t>4,s→s0</w:t>
      </w:r>
      <w:r w:rsidRPr="00227A04">
        <w:rPr>
          <w:lang w:val="fr-FR"/>
        </w:rPr>
        <w:t>] bezeichnet den Vektor der entsprechenden Antwortkoeffizienten. Wir normalisieren den deterministischen Nutzen für Kunden i zum Zeitpunkt t, um zur niedrigsten Stufe (V</w:t>
      </w:r>
      <w:r w:rsidRPr="00CF50CA">
        <w:rPr>
          <w:vertAlign w:val="subscript"/>
          <w:lang w:val="fr-FR"/>
        </w:rPr>
        <w:t>it,s→1</w:t>
      </w:r>
      <w:r w:rsidRPr="00227A04">
        <w:rPr>
          <w:lang w:val="fr-FR"/>
        </w:rPr>
        <w:t>) den Wert 0 für Identifikationszwecke zu erhalten (d. h., U</w:t>
      </w:r>
      <w:r w:rsidRPr="00CF50CA">
        <w:rPr>
          <w:vertAlign w:val="subscript"/>
          <w:lang w:val="fr-FR"/>
        </w:rPr>
        <w:t>it,s→1</w:t>
      </w:r>
      <w:r w:rsidRPr="00227A04">
        <w:rPr>
          <w:lang w:val="fr-FR"/>
        </w:rPr>
        <w:t xml:space="preserve"> = e</w:t>
      </w:r>
      <w:r w:rsidRPr="00CF50CA">
        <w:rPr>
          <w:vertAlign w:val="subscript"/>
          <w:lang w:val="fr-FR"/>
        </w:rPr>
        <w:t>it,s→1</w:t>
      </w:r>
      <w:r w:rsidRPr="00227A04">
        <w:rPr>
          <w:lang w:val="fr-FR"/>
        </w:rPr>
        <w:t>, wobei e</w:t>
      </w:r>
      <w:r w:rsidRPr="00CF50CA">
        <w:rPr>
          <w:vertAlign w:val="subscript"/>
          <w:lang w:val="fr-FR"/>
        </w:rPr>
        <w:t>it,s→1</w:t>
      </w:r>
      <w:r w:rsidRPr="00227A04">
        <w:rPr>
          <w:lang w:val="fr-FR"/>
        </w:rPr>
        <w:t xml:space="preserve"> für i = 1, ..., N; t = 1, ..., T; s = 1, ..., NS i.i.d. Gumbel-verteilt mit </w:t>
      </w:r>
      <w:r w:rsidR="00CF50CA">
        <w:rPr>
          <w:lang w:val="fr-FR"/>
        </w:rPr>
        <w:lastRenderedPageBreak/>
        <w:t>Lageparameter</w:t>
      </w:r>
      <w:r w:rsidRPr="00227A04">
        <w:rPr>
          <w:lang w:val="fr-FR"/>
        </w:rPr>
        <w:t xml:space="preserve"> 0 und Skal</w:t>
      </w:r>
      <w:r w:rsidR="00CF50CA">
        <w:rPr>
          <w:lang w:val="fr-FR"/>
        </w:rPr>
        <w:t>enparameter</w:t>
      </w:r>
      <w:r w:rsidRPr="00227A04">
        <w:rPr>
          <w:lang w:val="fr-FR"/>
        </w:rPr>
        <w:t xml:space="preserve"> 1 sind). Daher wird die Übergangswahrscheinlichkeit für Kunden i, der von Zustand s zu s</w:t>
      </w:r>
      <w:r w:rsidR="00CF50CA">
        <w:rPr>
          <w:lang w:val="fr-FR"/>
        </w:rPr>
        <w:t>’</w:t>
      </w:r>
      <w:r w:rsidRPr="00227A04">
        <w:rPr>
          <w:lang w:val="fr-FR"/>
        </w:rPr>
        <w:t xml:space="preserve"> zum Zeitpunkt t übergeht (q</w:t>
      </w:r>
      <w:r w:rsidRPr="00CF50CA">
        <w:rPr>
          <w:vertAlign w:val="subscript"/>
          <w:lang w:val="fr-FR"/>
        </w:rPr>
        <w:t>it,s→s0</w:t>
      </w:r>
      <w:r w:rsidRPr="00227A04">
        <w:rPr>
          <w:lang w:val="fr-FR"/>
        </w:rPr>
        <w:t>), zur folgenden bekannten Multinomial-Logit-Share-Funktion:</w:t>
      </w:r>
    </w:p>
    <w:p w14:paraId="2921A6A2" w14:textId="77777777" w:rsidR="00CF50CA" w:rsidRDefault="00CF50CA" w:rsidP="00227A04">
      <w:pPr>
        <w:rPr>
          <w:lang w:val="fr-FR"/>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CE50CB" w14:paraId="5DAD3084" w14:textId="77777777" w:rsidTr="00FE676F">
        <w:tc>
          <w:tcPr>
            <w:tcW w:w="8500" w:type="dxa"/>
            <w:vAlign w:val="center"/>
          </w:tcPr>
          <w:p w14:paraId="636821DD" w14:textId="5B0EF013" w:rsidR="00CE50CB" w:rsidRPr="00CE50CB" w:rsidRDefault="00000000" w:rsidP="00CE50CB">
            <m:oMathPara>
              <m:oMath>
                <m:sSub>
                  <m:sSubPr>
                    <m:ctrlPr>
                      <w:rPr>
                        <w:rFonts w:ascii="Cambria Math" w:hAnsi="Cambria Math"/>
                        <w:i/>
                        <w:lang w:val="fr-FR"/>
                      </w:rPr>
                    </m:ctrlPr>
                  </m:sSubPr>
                  <m:e>
                    <m:r>
                      <w:rPr>
                        <w:rFonts w:ascii="Cambria Math" w:hAnsi="Cambria Math"/>
                        <w:lang w:val="fr-FR"/>
                      </w:rPr>
                      <m:t>q</m:t>
                    </m:r>
                  </m:e>
                  <m:sub>
                    <m:r>
                      <w:rPr>
                        <w:rFonts w:ascii="Cambria Math" w:hAnsi="Cambria Math"/>
                        <w:lang w:val="fr-FR"/>
                      </w:rPr>
                      <m:t>it, s→s'</m:t>
                    </m:r>
                  </m:sub>
                </m:sSub>
                <m:r>
                  <w:rPr>
                    <w:rFonts w:ascii="Cambria Math" w:hAnsi="Cambria Math"/>
                  </w:rPr>
                  <m:t>=</m:t>
                </m:r>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it, s→</m:t>
                        </m:r>
                        <m:sSup>
                          <m:sSupPr>
                            <m:ctrlPr>
                              <w:rPr>
                                <w:rFonts w:ascii="Cambria Math" w:hAnsi="Cambria Math"/>
                                <w:i/>
                                <w:lang w:val="fr-FR"/>
                              </w:rPr>
                            </m:ctrlPr>
                          </m:sSupPr>
                          <m:e>
                            <m:r>
                              <w:rPr>
                                <w:rFonts w:ascii="Cambria Math" w:hAnsi="Cambria Math"/>
                                <w:lang w:val="fr-FR"/>
                              </w:rPr>
                              <m:t>s</m:t>
                            </m:r>
                          </m:e>
                          <m:sup>
                            <m:r>
                              <w:rPr>
                                <w:rFonts w:ascii="Cambria Math" w:hAnsi="Cambria Math"/>
                                <w:lang w:val="fr-FR"/>
                              </w:rPr>
                              <m:t>'</m:t>
                            </m:r>
                          </m:sup>
                        </m:sSup>
                      </m:sub>
                    </m:sSub>
                    <m:r>
                      <w:rPr>
                        <w:rFonts w:ascii="Cambria Math" w:hAnsi="Cambria Math"/>
                        <w:lang w:val="fr-FR"/>
                      </w:rPr>
                      <m:t>)</m:t>
                    </m:r>
                  </m:num>
                  <m:den>
                    <m:r>
                      <m:rPr>
                        <m:sty m:val="p"/>
                      </m:rPr>
                      <w:rPr>
                        <w:rFonts w:ascii="Cambria Math" w:hAnsi="Cambria Math"/>
                      </w:rPr>
                      <m:t>1+</m:t>
                    </m:r>
                    <m:nary>
                      <m:naryPr>
                        <m:chr m:val="∑"/>
                        <m:grow m:val="1"/>
                        <m:ctrlPr>
                          <w:rPr>
                            <w:rFonts w:ascii="Cambria Math" w:hAnsi="Cambria Math"/>
                          </w:rPr>
                        </m:ctrlPr>
                      </m:naryPr>
                      <m:sub>
                        <m:r>
                          <w:rPr>
                            <w:rFonts w:ascii="Cambria Math" w:eastAsia="Cambria Math" w:hAnsi="Cambria Math" w:cs="Cambria Math"/>
                          </w:rPr>
                          <m:t>k=2</m:t>
                        </m:r>
                      </m:sub>
                      <m:sup>
                        <m:r>
                          <w:rPr>
                            <w:rFonts w:ascii="Cambria Math" w:hAnsi="Cambria Math"/>
                          </w:rPr>
                          <m:t>NS</m:t>
                        </m:r>
                      </m:sup>
                      <m:e>
                        <m:r>
                          <m:rPr>
                            <m:sty m:val="p"/>
                          </m:rPr>
                          <w:rPr>
                            <w:rFonts w:ascii="Cambria Math" w:hAnsi="Cambria Math"/>
                          </w:rPr>
                          <m:t>exp⁡</m:t>
                        </m:r>
                        <m:r>
                          <w:rPr>
                            <w:rFonts w:ascii="Cambria Math" w:hAnsi="Cambria Math"/>
                          </w:rPr>
                          <m:t>(</m:t>
                        </m:r>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it, s→k</m:t>
                            </m:r>
                          </m:sub>
                        </m:sSub>
                        <m:r>
                          <w:rPr>
                            <w:rFonts w:ascii="Cambria Math" w:hAnsi="Cambria Math"/>
                            <w:lang w:val="fr-FR"/>
                          </w:rPr>
                          <m:t>)</m:t>
                        </m:r>
                      </m:e>
                    </m:nary>
                  </m:den>
                </m:f>
              </m:oMath>
            </m:oMathPara>
          </w:p>
        </w:tc>
        <w:tc>
          <w:tcPr>
            <w:tcW w:w="561" w:type="dxa"/>
            <w:vAlign w:val="center"/>
          </w:tcPr>
          <w:p w14:paraId="2CE80FA6" w14:textId="1D8F77D1" w:rsidR="00CE50CB" w:rsidRPr="00C36990" w:rsidRDefault="00CE50CB" w:rsidP="00FE676F">
            <w:pPr>
              <w:jc w:val="right"/>
            </w:pPr>
            <w:r>
              <w:t>(</w:t>
            </w:r>
            <w:fldSimple w:instr=" SEQ Formel \* ARABIC ">
              <w:r>
                <w:rPr>
                  <w:noProof/>
                </w:rPr>
                <w:t>3</w:t>
              </w:r>
            </w:fldSimple>
            <w:r>
              <w:t>)</w:t>
            </w:r>
          </w:p>
        </w:tc>
      </w:tr>
    </w:tbl>
    <w:p w14:paraId="2423C42F" w14:textId="755C3E2A" w:rsidR="005876EA" w:rsidRDefault="005876EA" w:rsidP="005876EA">
      <w:pPr>
        <w:rPr>
          <w:lang w:val="fr-FR"/>
        </w:rPr>
      </w:pPr>
    </w:p>
    <w:p w14:paraId="2FCFD3BE" w14:textId="2804D1C5" w:rsidR="00363F23" w:rsidRPr="005876EA" w:rsidRDefault="00B367B9" w:rsidP="005876EA">
      <w:pPr>
        <w:rPr>
          <w:lang w:val="fr-FR"/>
        </w:rPr>
      </w:pPr>
      <w:r w:rsidRPr="00B367B9">
        <w:rPr>
          <w:lang w:val="fr-FR"/>
        </w:rPr>
        <w:t>Als nächstes diskutieren wir unser bedingtes E-Mail-Öffnungszählmodell (CEOM) und unser Kaufzählmodell (CPM)</w:t>
      </w:r>
      <w:r>
        <w:rPr>
          <w:lang w:val="fr-FR"/>
        </w:rPr>
        <w:t>.</w:t>
      </w:r>
    </w:p>
    <w:p w14:paraId="16FBC708" w14:textId="2FBBB64A" w:rsidR="00363F23" w:rsidRDefault="005876EA" w:rsidP="00363F23">
      <w:pPr>
        <w:pStyle w:val="berschrift2"/>
      </w:pPr>
      <w:r>
        <w:t>Bedingte Email-Öffungsanzahl (CEOM)</w:t>
      </w:r>
    </w:p>
    <w:p w14:paraId="76DEDFF8" w14:textId="422E8999" w:rsidR="005876EA" w:rsidRDefault="00B367B9" w:rsidP="005876EA">
      <w:r>
        <w:t>Wir nehmen an, dass die Anzahl der E-Mails, die Kunde i (im Zustand s) zum Zeitpunkt t öffnet, einer Binomialverteilung mit Parametern EM</w:t>
      </w:r>
      <w:r w:rsidRPr="00B367B9">
        <w:rPr>
          <w:vertAlign w:val="subscript"/>
        </w:rPr>
        <w:t>it</w:t>
      </w:r>
      <w:r>
        <w:t xml:space="preserve"> und p</w:t>
      </w:r>
      <w:r w:rsidRPr="00B367B9">
        <w:rPr>
          <w:vertAlign w:val="subscript"/>
        </w:rPr>
        <w:t>it</w:t>
      </w:r>
      <w:r>
        <w:rPr>
          <w:vertAlign w:val="subscript"/>
        </w:rPr>
        <w:t>|</w:t>
      </w:r>
      <w:r w:rsidRPr="00B367B9">
        <w:rPr>
          <w:vertAlign w:val="subscript"/>
        </w:rPr>
        <w:t>s</w:t>
      </w:r>
      <w:r>
        <w:t xml:space="preserve"> folgt, gegeben durch:</w:t>
      </w:r>
    </w:p>
    <w:p w14:paraId="116A3C89" w14:textId="77777777" w:rsidR="00B367B9" w:rsidRDefault="00B367B9" w:rsidP="005876EA">
      <w:pPr>
        <w:rPr>
          <w:lang w:val="fr-FR"/>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0B7073" w14:paraId="44A2A06B" w14:textId="77777777" w:rsidTr="00FE676F">
        <w:tc>
          <w:tcPr>
            <w:tcW w:w="8500" w:type="dxa"/>
            <w:vAlign w:val="center"/>
          </w:tcPr>
          <w:p w14:paraId="38D022A9" w14:textId="4D9967BB" w:rsidR="000B7073" w:rsidRPr="000B7073" w:rsidRDefault="000B7073" w:rsidP="000B7073">
            <w:pPr>
              <w:jc w:val="center"/>
              <w:rPr>
                <w:lang w:val="fr-FR"/>
              </w:rPr>
            </w:pPr>
            <m:oMathPara>
              <m:oMath>
                <m:r>
                  <m:rPr>
                    <m:sty m:val="p"/>
                  </m:rPr>
                  <w:rPr>
                    <w:rFonts w:ascii="Cambria Math" w:hAnsi="Cambria Math"/>
                    <w:lang w:val="fr-FR"/>
                  </w:rPr>
                  <m:t>P</m:t>
                </m:r>
                <m:d>
                  <m:dPr>
                    <m:endChr m:val="|"/>
                    <m:ctrlPr>
                      <w:rPr>
                        <w:rFonts w:ascii="Cambria Math" w:hAnsi="Cambria Math"/>
                        <w:lang w:val="fr-FR"/>
                      </w:rPr>
                    </m:ctrlPr>
                  </m:dPr>
                  <m:e>
                    <m:sSub>
                      <m:sSubPr>
                        <m:ctrlPr>
                          <w:rPr>
                            <w:rFonts w:ascii="Cambria Math" w:hAnsi="Cambria Math"/>
                            <w:lang w:val="fr-FR"/>
                          </w:rPr>
                        </m:ctrlPr>
                      </m:sSubPr>
                      <m:e>
                        <m:r>
                          <m:rPr>
                            <m:sty m:val="p"/>
                          </m:rPr>
                          <w:rPr>
                            <w:rFonts w:ascii="Cambria Math" w:hAnsi="Cambria Math"/>
                            <w:lang w:val="fr-FR"/>
                          </w:rPr>
                          <m:t>O</m:t>
                        </m:r>
                      </m:e>
                      <m:sub>
                        <m:r>
                          <m:rPr>
                            <m:sty m:val="p"/>
                          </m:rPr>
                          <w:rPr>
                            <w:rFonts w:ascii="Cambria Math" w:hAnsi="Cambria Math"/>
                            <w:lang w:val="fr-FR"/>
                          </w:rPr>
                          <m:t>it</m:t>
                        </m:r>
                      </m:sub>
                    </m:sSub>
                    <m:r>
                      <w:rPr>
                        <w:rFonts w:ascii="Cambria Math" w:eastAsia="Cambria Math" w:hAnsi="Cambria Math" w:cs="Cambria Math"/>
                        <w:lang w:val="fr-FR"/>
                      </w:rPr>
                      <m:t>=</m:t>
                    </m:r>
                    <m:sSub>
                      <m:sSubPr>
                        <m:ctrlPr>
                          <w:rPr>
                            <w:rFonts w:ascii="Cambria Math" w:eastAsia="Cambria Math" w:hAnsi="Cambria Math" w:cs="Cambria Math"/>
                            <w:i/>
                            <w:lang w:val="fr-FR"/>
                          </w:rPr>
                        </m:ctrlPr>
                      </m:sSubPr>
                      <m:e>
                        <m:r>
                          <w:rPr>
                            <w:rFonts w:ascii="Cambria Math" w:eastAsia="Cambria Math" w:hAnsi="Cambria Math" w:cs="Cambria Math"/>
                            <w:lang w:val="fr-FR"/>
                          </w:rPr>
                          <m:t>o</m:t>
                        </m:r>
                      </m:e>
                      <m:sub>
                        <m:r>
                          <w:rPr>
                            <w:rFonts w:ascii="Cambria Math" w:eastAsia="Cambria Math" w:hAnsi="Cambria Math" w:cs="Cambria Math"/>
                            <w:lang w:val="fr-FR"/>
                          </w:rPr>
                          <m:t>it</m:t>
                        </m:r>
                      </m:sub>
                    </m:sSub>
                    <m:ctrlPr>
                      <w:rPr>
                        <w:rFonts w:ascii="Cambria Math" w:eastAsia="Cambria Math" w:hAnsi="Cambria Math" w:cs="Cambria Math"/>
                        <w:i/>
                        <w:lang w:val="fr-FR"/>
                      </w:rPr>
                    </m:ctrlPr>
                  </m:e>
                </m:d>
                <m:r>
                  <w:rPr>
                    <w:rFonts w:ascii="Cambria Math" w:eastAsia="Cambria Math" w:hAnsi="Cambria Math" w:cs="Cambria Math"/>
                    <w:lang w:val="fr-FR"/>
                  </w:rPr>
                  <m:t>s)=</m:t>
                </m:r>
                <m:d>
                  <m:dPr>
                    <m:ctrlPr>
                      <w:rPr>
                        <w:rFonts w:ascii="Cambria Math" w:hAnsi="Cambria Math"/>
                        <w:lang w:val="fr-FR"/>
                      </w:rPr>
                    </m:ctrlPr>
                  </m:dPr>
                  <m:e>
                    <m:f>
                      <m:fPr>
                        <m:type m:val="noBar"/>
                        <m:ctrlPr>
                          <w:rPr>
                            <w:rFonts w:ascii="Cambria Math" w:hAnsi="Cambria Math"/>
                            <w:lang w:val="fr-FR"/>
                          </w:rPr>
                        </m:ctrlPr>
                      </m:fPr>
                      <m:num>
                        <m:sSub>
                          <m:sSubPr>
                            <m:ctrlPr>
                              <w:rPr>
                                <w:rFonts w:ascii="Cambria Math" w:hAnsi="Cambria Math"/>
                                <w:i/>
                                <w:lang w:val="fr-FR"/>
                              </w:rPr>
                            </m:ctrlPr>
                          </m:sSubPr>
                          <m:e>
                            <m:r>
                              <w:rPr>
                                <w:rFonts w:ascii="Cambria Math" w:hAnsi="Cambria Math"/>
                                <w:lang w:val="fr-FR"/>
                              </w:rPr>
                              <m:t>EM</m:t>
                            </m:r>
                          </m:e>
                          <m:sub>
                            <m:r>
                              <w:rPr>
                                <w:rFonts w:ascii="Cambria Math" w:hAnsi="Cambria Math"/>
                                <w:lang w:val="fr-FR"/>
                              </w:rPr>
                              <m:t>it</m:t>
                            </m:r>
                          </m:sub>
                        </m:sSub>
                      </m:num>
                      <m:den>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it</m:t>
                            </m:r>
                          </m:sub>
                        </m:sSub>
                      </m:den>
                    </m:f>
                  </m:e>
                </m:d>
                <m:r>
                  <w:rPr>
                    <w:rFonts w:ascii="Cambria Math" w:hAnsi="Cambria Math"/>
                    <w:lang w:val="fr-FR"/>
                  </w:rPr>
                  <m:t xml:space="preserve"> </m:t>
                </m:r>
                <m:sSubSup>
                  <m:sSubSupPr>
                    <m:ctrlPr>
                      <w:rPr>
                        <w:rFonts w:ascii="Cambria Math" w:eastAsia="Cambria Math" w:hAnsi="Cambria Math" w:cs="Cambria Math"/>
                        <w:i/>
                        <w:lang w:val="fr-FR"/>
                      </w:rPr>
                    </m:ctrlPr>
                  </m:sSubSupPr>
                  <m:e>
                    <m:r>
                      <w:rPr>
                        <w:rFonts w:ascii="Cambria Math" w:eastAsia="Cambria Math" w:hAnsi="Cambria Math" w:cs="Cambria Math"/>
                        <w:lang w:val="fr-FR"/>
                      </w:rPr>
                      <m:t>p</m:t>
                    </m:r>
                  </m:e>
                  <m:sub>
                    <m:r>
                      <w:rPr>
                        <w:rFonts w:ascii="Cambria Math" w:eastAsia="Cambria Math" w:hAnsi="Cambria Math" w:cs="Cambria Math"/>
                        <w:lang w:val="fr-FR"/>
                      </w:rPr>
                      <m:t>it|s</m:t>
                    </m:r>
                  </m:sub>
                  <m:sup>
                    <m:sSub>
                      <m:sSubPr>
                        <m:ctrlPr>
                          <w:rPr>
                            <w:rFonts w:ascii="Cambria Math" w:eastAsia="Cambria Math" w:hAnsi="Cambria Math" w:cs="Cambria Math"/>
                            <w:i/>
                            <w:lang w:val="fr-FR"/>
                          </w:rPr>
                        </m:ctrlPr>
                      </m:sSubPr>
                      <m:e>
                        <m:r>
                          <w:rPr>
                            <w:rFonts w:ascii="Cambria Math" w:eastAsia="Cambria Math" w:hAnsi="Cambria Math" w:cs="Cambria Math"/>
                            <w:lang w:val="fr-FR"/>
                          </w:rPr>
                          <m:t>o</m:t>
                        </m:r>
                      </m:e>
                      <m:sub>
                        <m:r>
                          <w:rPr>
                            <w:rFonts w:ascii="Cambria Math" w:eastAsia="Cambria Math" w:hAnsi="Cambria Math" w:cs="Cambria Math"/>
                            <w:lang w:val="fr-FR"/>
                          </w:rPr>
                          <m:t>it</m:t>
                        </m:r>
                      </m:sub>
                    </m:sSub>
                  </m:sup>
                </m:sSubSup>
                <m:r>
                  <w:rPr>
                    <w:rFonts w:ascii="Cambria Math" w:eastAsia="Cambria Math" w:hAnsi="Cambria Math" w:cs="Cambria Math"/>
                    <w:lang w:val="fr-FR"/>
                  </w:rPr>
                  <m:t xml:space="preserve"> </m:t>
                </m:r>
                <m:sSup>
                  <m:sSupPr>
                    <m:ctrlPr>
                      <w:rPr>
                        <w:rFonts w:ascii="Cambria Math" w:eastAsia="Cambria Math" w:hAnsi="Cambria Math" w:cs="Cambria Math"/>
                        <w:i/>
                        <w:lang w:val="fr-FR"/>
                      </w:rPr>
                    </m:ctrlPr>
                  </m:sSupPr>
                  <m:e>
                    <m:d>
                      <m:dPr>
                        <m:ctrlPr>
                          <w:rPr>
                            <w:rFonts w:ascii="Cambria Math" w:hAnsi="Cambria Math"/>
                            <w:i/>
                            <w:lang w:val="fr-FR"/>
                          </w:rPr>
                        </m:ctrlPr>
                      </m:dPr>
                      <m:e>
                        <m:r>
                          <w:rPr>
                            <w:rFonts w:ascii="Cambria Math" w:hAnsi="Cambria Math"/>
                            <w:lang w:val="fr-FR"/>
                          </w:rPr>
                          <m:t>1-</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it|s</m:t>
                            </m:r>
                          </m:sub>
                        </m:sSub>
                      </m:e>
                    </m:d>
                  </m:e>
                  <m:sup>
                    <m:r>
                      <w:rPr>
                        <w:rFonts w:ascii="Cambria Math" w:hAnsi="Cambria Math"/>
                        <w:lang w:val="fr-FR"/>
                      </w:rPr>
                      <m:t>E</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it</m:t>
                        </m:r>
                      </m:sub>
                    </m:sSub>
                  </m:sup>
                </m:sSup>
              </m:oMath>
            </m:oMathPara>
          </w:p>
        </w:tc>
        <w:tc>
          <w:tcPr>
            <w:tcW w:w="561" w:type="dxa"/>
            <w:vAlign w:val="center"/>
          </w:tcPr>
          <w:p w14:paraId="23CE83CA" w14:textId="76CCAAFF" w:rsidR="000B7073" w:rsidRPr="00C36990" w:rsidRDefault="000B7073" w:rsidP="00FE676F">
            <w:pPr>
              <w:jc w:val="right"/>
            </w:pPr>
            <w:r>
              <w:t>(</w:t>
            </w:r>
            <w:fldSimple w:instr=" SEQ Formel \* ARABIC ">
              <w:r>
                <w:rPr>
                  <w:noProof/>
                </w:rPr>
                <w:t>4</w:t>
              </w:r>
            </w:fldSimple>
            <w:r>
              <w:t>)</w:t>
            </w:r>
          </w:p>
        </w:tc>
      </w:tr>
    </w:tbl>
    <w:p w14:paraId="3280C349" w14:textId="28F8FC05" w:rsidR="005876EA" w:rsidRDefault="005876EA" w:rsidP="005876EA">
      <w:pPr>
        <w:rPr>
          <w:lang w:val="fr-FR"/>
        </w:rPr>
      </w:pPr>
    </w:p>
    <w:p w14:paraId="46AF2D98" w14:textId="5081E8F5" w:rsidR="005876EA" w:rsidRDefault="005876EA" w:rsidP="00B367B9">
      <w:r w:rsidRPr="005876EA">
        <w:rPr>
          <w:lang w:val="fr-FR"/>
        </w:rPr>
        <w:t>wobei p</w:t>
      </w:r>
      <w:r w:rsidRPr="00B367B9">
        <w:rPr>
          <w:vertAlign w:val="subscript"/>
          <w:lang w:val="fr-FR"/>
        </w:rPr>
        <w:t>it</w:t>
      </w:r>
      <w:r w:rsidR="00B367B9">
        <w:rPr>
          <w:vertAlign w:val="subscript"/>
          <w:lang w:val="fr-FR"/>
        </w:rPr>
        <w:t>|</w:t>
      </w:r>
      <w:r w:rsidRPr="00B367B9">
        <w:rPr>
          <w:vertAlign w:val="subscript"/>
          <w:lang w:val="fr-FR"/>
        </w:rPr>
        <w:t>s</w:t>
      </w:r>
      <w:r w:rsidRPr="005876EA">
        <w:rPr>
          <w:lang w:val="fr-FR"/>
        </w:rPr>
        <w:t xml:space="preserve"> </w:t>
      </w:r>
      <w:r w:rsidR="00B367B9">
        <w:t>die bedingte Wahrscheinlichkeit ist, dass Kunde i (im Zustand s) im Monat t eine E-Mail öffnet. Wir modellieren p</w:t>
      </w:r>
      <w:r w:rsidR="00B367B9" w:rsidRPr="00B367B9">
        <w:rPr>
          <w:vertAlign w:val="subscript"/>
        </w:rPr>
        <w:t xml:space="preserve">it|s </w:t>
      </w:r>
      <w:r w:rsidR="00B367B9">
        <w:t>als Funktion des vergangenen E-Mail-Öffnungsverhaltens der Kunden wie folgt:</w:t>
      </w:r>
    </w:p>
    <w:p w14:paraId="43ADAAAD" w14:textId="77777777" w:rsidR="00B367B9" w:rsidRDefault="00B367B9" w:rsidP="00B367B9">
      <w:pPr>
        <w:rPr>
          <w:lang w:val="fr-FR"/>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53560C" w14:paraId="5537F1DB" w14:textId="77777777" w:rsidTr="00FE676F">
        <w:tc>
          <w:tcPr>
            <w:tcW w:w="8500" w:type="dxa"/>
            <w:vAlign w:val="center"/>
          </w:tcPr>
          <w:p w14:paraId="2AF3158C" w14:textId="1465A7E0" w:rsidR="0053560C" w:rsidRDefault="00000000" w:rsidP="00C36990">
            <w:pPr>
              <w:jc w:val="center"/>
              <w:rPr>
                <w:lang w:val="fr-FR"/>
              </w:rPr>
            </w:pPr>
            <m:oMathPara>
              <m:oMath>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it|s</m:t>
                    </m:r>
                  </m:sub>
                </m:sSub>
                <m:r>
                  <w:rPr>
                    <w:rFonts w:ascii="Cambria Math" w:hAnsi="Cambria Math"/>
                    <w:lang w:val="fr-FR"/>
                  </w:rPr>
                  <m:t xml:space="preserve">= </m:t>
                </m:r>
                <m:f>
                  <m:fPr>
                    <m:ctrlPr>
                      <w:rPr>
                        <w:rFonts w:ascii="Cambria Math" w:hAnsi="Cambria Math"/>
                        <w:i/>
                      </w:rPr>
                    </m:ctrlPr>
                  </m:fPr>
                  <m:num>
                    <m:r>
                      <m:rPr>
                        <m:sty m:val="p"/>
                      </m:rPr>
                      <w:rPr>
                        <w:rFonts w:ascii="Cambria Math" w:hAnsi="Cambria Math"/>
                      </w:rPr>
                      <m:t>exp⁡[</m:t>
                    </m:r>
                    <m:sSub>
                      <m:sSubPr>
                        <m:ctrlPr>
                          <w:rPr>
                            <w:rFonts w:ascii="Cambria Math" w:hAnsi="Cambria Math"/>
                            <w:i/>
                            <w:lang w:val="fr-FR"/>
                          </w:rPr>
                        </m:ctrlPr>
                      </m:sSubPr>
                      <m:e>
                        <m:r>
                          <w:rPr>
                            <w:rFonts w:ascii="Cambria Math" w:hAnsi="Cambria Math"/>
                            <w:lang w:val="fr-FR"/>
                          </w:rPr>
                          <m:t>α</m:t>
                        </m:r>
                      </m:e>
                      <m:sub>
                        <m:r>
                          <w:rPr>
                            <w:rFonts w:ascii="Cambria Math" w:hAnsi="Cambria Math"/>
                            <w:lang w:val="fr-FR"/>
                          </w:rPr>
                          <m:t>io|s</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io</m:t>
                        </m:r>
                      </m:sub>
                    </m:sSub>
                    <m:func>
                      <m:funcPr>
                        <m:ctrlPr>
                          <w:rPr>
                            <w:rFonts w:ascii="Cambria Math" w:hAnsi="Cambria Math"/>
                            <w:lang w:val="fr-FR"/>
                          </w:rPr>
                        </m:ctrlPr>
                      </m:funcPr>
                      <m:fName>
                        <m:r>
                          <m:rPr>
                            <m:sty m:val="p"/>
                          </m:rPr>
                          <w:rPr>
                            <w:rFonts w:ascii="Cambria Math" w:hAnsi="Cambria Math"/>
                            <w:lang w:val="fr-FR"/>
                          </w:rPr>
                          <m:t>ln</m:t>
                        </m:r>
                      </m:fName>
                      <m:e>
                        <m:d>
                          <m:dPr>
                            <m:ctrlPr>
                              <w:rPr>
                                <w:rFonts w:ascii="Cambria Math" w:hAnsi="Cambria Math"/>
                                <w:i/>
                                <w:lang w:val="fr-FR"/>
                              </w:rPr>
                            </m:ctrlPr>
                          </m:dPr>
                          <m:e>
                            <m:r>
                              <w:rPr>
                                <w:rFonts w:ascii="Cambria Math" w:hAnsi="Cambria Math"/>
                                <w:lang w:val="fr-FR"/>
                              </w:rPr>
                              <m:t>L</m:t>
                            </m:r>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it</m:t>
                                </m:r>
                              </m:sub>
                            </m:sSub>
                          </m:e>
                        </m:d>
                      </m:e>
                    </m:func>
                    <m:r>
                      <w:rPr>
                        <w:rFonts w:ascii="Cambria Math" w:hAnsi="Cambria Math"/>
                        <w:lang w:val="fr-FR"/>
                      </w:rPr>
                      <m:t>]</m:t>
                    </m:r>
                  </m:num>
                  <m:den>
                    <m:r>
                      <m:rPr>
                        <m:sty m:val="p"/>
                      </m:rPr>
                      <w:rPr>
                        <w:rFonts w:ascii="Cambria Math" w:hAnsi="Cambria Math"/>
                      </w:rPr>
                      <m:t>1+exp⁡[</m:t>
                    </m:r>
                    <m:sSub>
                      <m:sSubPr>
                        <m:ctrlPr>
                          <w:rPr>
                            <w:rFonts w:ascii="Cambria Math" w:hAnsi="Cambria Math"/>
                            <w:i/>
                            <w:lang w:val="fr-FR"/>
                          </w:rPr>
                        </m:ctrlPr>
                      </m:sSubPr>
                      <m:e>
                        <m:r>
                          <w:rPr>
                            <w:rFonts w:ascii="Cambria Math" w:hAnsi="Cambria Math"/>
                            <w:lang w:val="fr-FR"/>
                          </w:rPr>
                          <m:t>α</m:t>
                        </m:r>
                      </m:e>
                      <m:sub>
                        <m:r>
                          <w:rPr>
                            <w:rFonts w:ascii="Cambria Math" w:hAnsi="Cambria Math"/>
                            <w:lang w:val="fr-FR"/>
                          </w:rPr>
                          <m:t>io|s</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io</m:t>
                        </m:r>
                      </m:sub>
                    </m:sSub>
                    <m:func>
                      <m:funcPr>
                        <m:ctrlPr>
                          <w:rPr>
                            <w:rFonts w:ascii="Cambria Math" w:hAnsi="Cambria Math"/>
                            <w:lang w:val="fr-FR"/>
                          </w:rPr>
                        </m:ctrlPr>
                      </m:funcPr>
                      <m:fName>
                        <m:r>
                          <m:rPr>
                            <m:sty m:val="p"/>
                          </m:rPr>
                          <w:rPr>
                            <w:rFonts w:ascii="Cambria Math" w:hAnsi="Cambria Math"/>
                            <w:lang w:val="fr-FR"/>
                          </w:rPr>
                          <m:t>ln</m:t>
                        </m:r>
                      </m:fName>
                      <m:e>
                        <m:d>
                          <m:dPr>
                            <m:ctrlPr>
                              <w:rPr>
                                <w:rFonts w:ascii="Cambria Math" w:hAnsi="Cambria Math"/>
                                <w:i/>
                                <w:lang w:val="fr-FR"/>
                              </w:rPr>
                            </m:ctrlPr>
                          </m:dPr>
                          <m:e>
                            <m:r>
                              <w:rPr>
                                <w:rFonts w:ascii="Cambria Math" w:hAnsi="Cambria Math"/>
                                <w:lang w:val="fr-FR"/>
                              </w:rPr>
                              <m:t>L</m:t>
                            </m:r>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it</m:t>
                                </m:r>
                              </m:sub>
                            </m:sSub>
                          </m:e>
                        </m:d>
                      </m:e>
                    </m:func>
                    <m:r>
                      <w:rPr>
                        <w:rFonts w:ascii="Cambria Math" w:hAnsi="Cambria Math"/>
                        <w:lang w:val="fr-FR"/>
                      </w:rPr>
                      <m:t>]</m:t>
                    </m:r>
                  </m:den>
                </m:f>
              </m:oMath>
            </m:oMathPara>
          </w:p>
        </w:tc>
        <w:tc>
          <w:tcPr>
            <w:tcW w:w="561" w:type="dxa"/>
            <w:vAlign w:val="center"/>
          </w:tcPr>
          <w:p w14:paraId="4A8E6EA8" w14:textId="22FB52CC" w:rsidR="0053560C" w:rsidRPr="00C36990" w:rsidRDefault="0053560C" w:rsidP="00FE676F">
            <w:pPr>
              <w:jc w:val="right"/>
            </w:pPr>
            <w:r>
              <w:t>(</w:t>
            </w:r>
            <w:fldSimple w:instr=" SEQ Formel \* ARABIC ">
              <w:r>
                <w:rPr>
                  <w:noProof/>
                </w:rPr>
                <w:t>5</w:t>
              </w:r>
            </w:fldSimple>
            <w:r>
              <w:t>)</w:t>
            </w:r>
          </w:p>
        </w:tc>
      </w:tr>
    </w:tbl>
    <w:p w14:paraId="21B4E9FF" w14:textId="1A5712C8" w:rsidR="005876EA" w:rsidRDefault="005876EA" w:rsidP="005876EA">
      <w:pPr>
        <w:rPr>
          <w:lang w:val="fr-FR"/>
        </w:rPr>
      </w:pPr>
    </w:p>
    <w:p w14:paraId="5F1B85EA" w14:textId="66E953FE" w:rsidR="005876EA" w:rsidRDefault="00B367B9" w:rsidP="005876EA">
      <w:r>
        <w:t>wobei α</w:t>
      </w:r>
      <w:r w:rsidRPr="00B367B9">
        <w:rPr>
          <w:vertAlign w:val="subscript"/>
        </w:rPr>
        <w:t>io|s</w:t>
      </w:r>
      <w:r>
        <w:t xml:space="preserve"> und β</w:t>
      </w:r>
      <w:r w:rsidRPr="00B367B9">
        <w:rPr>
          <w:vertAlign w:val="subscript"/>
        </w:rPr>
        <w:t>io</w:t>
      </w:r>
      <w:r>
        <w:t xml:space="preserve"> den intrinsischen Nutzen des Öffnens einer E-Mail und den Einfluss des zeitlichen Abstands zwischen Käufen (im Zustand s) erfassen. Wir erfassen die Dauerabhängigkeit durch die Variable der Zeit seit dem letzten geöffneten E-Mail (d. h. LO</w:t>
      </w:r>
      <w:r w:rsidRPr="00B367B9">
        <w:rPr>
          <w:vertAlign w:val="subscript"/>
        </w:rPr>
        <w:t>it</w:t>
      </w:r>
      <w:r>
        <w:t>). Wir verwenden den natürlichen Logarithmus von LO</w:t>
      </w:r>
      <w:r w:rsidRPr="00B367B9">
        <w:rPr>
          <w:vertAlign w:val="subscript"/>
        </w:rPr>
        <w:t>it</w:t>
      </w:r>
      <w:r>
        <w:t>, um den abnehmenden Effekt zu erfassen. Zur Identifikation legen wir die folgenden Beschränkungen fest: (1) α</w:t>
      </w:r>
      <w:r w:rsidRPr="00B367B9">
        <w:rPr>
          <w:vertAlign w:val="subscript"/>
        </w:rPr>
        <w:t xml:space="preserve">io|s+1 </w:t>
      </w:r>
      <w:r>
        <w:t>= α</w:t>
      </w:r>
      <w:r w:rsidRPr="00B367B9">
        <w:rPr>
          <w:vertAlign w:val="subscript"/>
        </w:rPr>
        <w:t>io|s</w:t>
      </w:r>
      <w:r>
        <w:t xml:space="preserve"> + exp(</w:t>
      </w:r>
      <w:r>
        <w:rPr>
          <w:rFonts w:ascii="Cambria Math" w:hAnsi="Cambria Math"/>
        </w:rPr>
        <w:t>∇</w:t>
      </w:r>
      <w:r>
        <w:t>α</w:t>
      </w:r>
      <w:r w:rsidRPr="00B367B9">
        <w:rPr>
          <w:vertAlign w:val="subscript"/>
        </w:rPr>
        <w:t>io|s+1</w:t>
      </w:r>
      <w:r>
        <w:t xml:space="preserve">), wobei </w:t>
      </w:r>
      <w:r>
        <w:rPr>
          <w:rFonts w:ascii="Cambria Math" w:hAnsi="Cambria Math"/>
        </w:rPr>
        <w:t>∇</w:t>
      </w:r>
      <w:r>
        <w:t>α</w:t>
      </w:r>
      <w:r w:rsidRPr="00B367B9">
        <w:rPr>
          <w:vertAlign w:val="subscript"/>
        </w:rPr>
        <w:t>io|s+1</w:t>
      </w:r>
      <w:r>
        <w:rPr>
          <w:vertAlign w:val="subscript"/>
        </w:rPr>
        <w:t xml:space="preserve"> </w:t>
      </w:r>
      <w:r>
        <w:t>ein Parameter ist, der aus den Daten geschätzt wird, und (2) β</w:t>
      </w:r>
      <w:r w:rsidRPr="00B367B9">
        <w:rPr>
          <w:vertAlign w:val="subscript"/>
        </w:rPr>
        <w:t>io</w:t>
      </w:r>
      <w:r>
        <w:t xml:space="preserve"> ist zustandsinvariant. Diese beiden Einschränkungen garantieren, dass Kunden in einem höheren Beziehungszustand bei gleichen Bedingungen eine höhere Wahrscheinlichkeit haben, E-Mails zu öffnen als Kunden in einem niedrigeren Zustand. Zusätzlich erlauben wir sowohl </w:t>
      </w:r>
      <w:r w:rsidR="00352B13">
        <w:t>α</w:t>
      </w:r>
      <w:r w:rsidRPr="00352B13">
        <w:rPr>
          <w:vertAlign w:val="subscript"/>
        </w:rPr>
        <w:t>io</w:t>
      </w:r>
      <w:r w:rsidR="00352B13" w:rsidRPr="00352B13">
        <w:rPr>
          <w:vertAlign w:val="subscript"/>
        </w:rPr>
        <w:t>|</w:t>
      </w:r>
      <w:r w:rsidRPr="00352B13">
        <w:rPr>
          <w:vertAlign w:val="subscript"/>
        </w:rPr>
        <w:t>s</w:t>
      </w:r>
      <w:r>
        <w:t xml:space="preserve"> als auch </w:t>
      </w:r>
      <w:r w:rsidR="00352B13">
        <w:t>β</w:t>
      </w:r>
      <w:r w:rsidR="00352B13" w:rsidRPr="00B367B9">
        <w:rPr>
          <w:vertAlign w:val="subscript"/>
        </w:rPr>
        <w:t>io</w:t>
      </w:r>
      <w:r>
        <w:t xml:space="preserve"> kundenspezifisch zu sein, um die unbeobachtete Kundenheterogenität zu kontrollieren. Wir nehmen an, dass </w:t>
      </w:r>
      <w:r w:rsidR="00352B13">
        <w:t>α</w:t>
      </w:r>
      <w:r w:rsidR="00352B13" w:rsidRPr="00352B13">
        <w:rPr>
          <w:vertAlign w:val="subscript"/>
        </w:rPr>
        <w:t>io|s</w:t>
      </w:r>
      <w:r>
        <w:t xml:space="preserve"> und </w:t>
      </w:r>
      <w:r w:rsidR="00352B13">
        <w:t>β</w:t>
      </w:r>
      <w:r w:rsidR="00352B13" w:rsidRPr="00B367B9">
        <w:rPr>
          <w:vertAlign w:val="subscript"/>
        </w:rPr>
        <w:t>io</w:t>
      </w:r>
      <w:r>
        <w:t xml:space="preserve"> mit den folgenden Normalverteilungen verteilt sind.</w:t>
      </w:r>
    </w:p>
    <w:p w14:paraId="51D38328" w14:textId="77777777" w:rsidR="00352B13" w:rsidRPr="00352B13" w:rsidRDefault="00352B13" w:rsidP="005876EA"/>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53560C" w14:paraId="4CFBCCDC" w14:textId="77777777" w:rsidTr="00FE676F">
        <w:tc>
          <w:tcPr>
            <w:tcW w:w="8500" w:type="dxa"/>
            <w:vAlign w:val="center"/>
          </w:tcPr>
          <w:p w14:paraId="79D43EDC" w14:textId="28BBF925" w:rsidR="0053560C" w:rsidRPr="0053560C" w:rsidRDefault="00000000" w:rsidP="00C36990">
            <w:pPr>
              <w:jc w:val="center"/>
              <w:rPr>
                <w:lang w:val="fr-FR"/>
              </w:rPr>
            </w:pPr>
            <m:oMathPara>
              <m:oMath>
                <m:sSub>
                  <m:sSubPr>
                    <m:ctrlPr>
                      <w:rPr>
                        <w:rFonts w:ascii="Cambria Math" w:hAnsi="Cambria Math"/>
                        <w:i/>
                        <w:lang w:val="fr-FR"/>
                      </w:rPr>
                    </m:ctrlPr>
                  </m:sSubPr>
                  <m:e>
                    <m:r>
                      <w:rPr>
                        <w:rFonts w:ascii="Cambria Math" w:hAnsi="Cambria Math"/>
                        <w:lang w:val="fr-FR"/>
                      </w:rPr>
                      <m:t>α</m:t>
                    </m:r>
                  </m:e>
                  <m:sub>
                    <m:r>
                      <w:rPr>
                        <w:rFonts w:ascii="Cambria Math" w:hAnsi="Cambria Math"/>
                        <w:lang w:val="fr-FR"/>
                      </w:rPr>
                      <m:t>io|s</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α</m:t>
                    </m:r>
                  </m:e>
                  <m:sub>
                    <m:r>
                      <w:rPr>
                        <w:rFonts w:ascii="Cambria Math" w:hAnsi="Cambria Math"/>
                        <w:lang w:val="fr-FR"/>
                      </w:rPr>
                      <m:t>o|s</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∇α</m:t>
                    </m:r>
                  </m:e>
                  <m:sub>
                    <m:r>
                      <w:rPr>
                        <w:rFonts w:ascii="Cambria Math" w:hAnsi="Cambria Math"/>
                        <w:lang w:val="fr-FR"/>
                      </w:rPr>
                      <m:t>io</m:t>
                    </m:r>
                  </m:sub>
                </m:sSub>
                <m:r>
                  <w:rPr>
                    <w:rFonts w:ascii="Cambria Math" w:hAnsi="Cambria Math"/>
                    <w:lang w:val="fr-FR"/>
                  </w:rPr>
                  <m:t xml:space="preserve">  und</m:t>
                </m:r>
              </m:oMath>
            </m:oMathPara>
          </w:p>
          <w:p w14:paraId="5F4E7704" w14:textId="36821BE5" w:rsidR="00DC2C24" w:rsidRDefault="00000000" w:rsidP="00DC2C24">
            <w:pPr>
              <w:jc w:val="center"/>
              <w:rPr>
                <w:lang w:val="fr-FR"/>
              </w:rPr>
            </w:pPr>
            <m:oMath>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io</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o</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io</m:t>
                  </m:r>
                </m:sub>
              </m:sSub>
            </m:oMath>
            <w:r w:rsidR="00DC2C24">
              <w:rPr>
                <w:lang w:val="fr-FR"/>
              </w:rPr>
              <w:t xml:space="preserve"> ,</w:t>
            </w:r>
          </w:p>
          <w:p w14:paraId="70E87249" w14:textId="3396C2A7" w:rsidR="00DC2C24" w:rsidRDefault="00DC2C24" w:rsidP="00DC2C24">
            <w:pPr>
              <w:jc w:val="center"/>
              <w:rPr>
                <w:lang w:val="fr-FR"/>
              </w:rPr>
            </w:pPr>
            <w:r>
              <w:rPr>
                <w:lang w:val="fr-FR"/>
              </w:rPr>
              <w:t xml:space="preserve">wobei </w:t>
            </w:r>
            <m:oMath>
              <m:sSub>
                <m:sSubPr>
                  <m:ctrlPr>
                    <w:rPr>
                      <w:rFonts w:ascii="Cambria Math" w:hAnsi="Cambria Math"/>
                      <w:i/>
                      <w:lang w:val="fr-FR"/>
                    </w:rPr>
                  </m:ctrlPr>
                </m:sSubPr>
                <m:e>
                  <m:r>
                    <w:rPr>
                      <w:rFonts w:ascii="Cambria Math" w:hAnsi="Cambria Math"/>
                      <w:lang w:val="fr-FR"/>
                    </w:rPr>
                    <m:t>∇α</m:t>
                  </m:r>
                </m:e>
                <m:sub>
                  <m:r>
                    <w:rPr>
                      <w:rFonts w:ascii="Cambria Math" w:hAnsi="Cambria Math"/>
                      <w:lang w:val="fr-FR"/>
                    </w:rPr>
                    <m:t>io</m:t>
                  </m:r>
                </m:sub>
              </m:sSub>
              <m:r>
                <w:rPr>
                  <w:rFonts w:ascii="Cambria Math" w:hAnsi="Cambria Math"/>
                  <w:lang w:val="fr-FR"/>
                </w:rPr>
                <m:t xml:space="preserve"> ∼ N</m:t>
              </m:r>
              <m:d>
                <m:dPr>
                  <m:ctrlPr>
                    <w:rPr>
                      <w:rFonts w:ascii="Cambria Math" w:hAnsi="Cambria Math"/>
                      <w:i/>
                      <w:lang w:val="fr-FR"/>
                    </w:rPr>
                  </m:ctrlPr>
                </m:dPr>
                <m:e>
                  <m:r>
                    <w:rPr>
                      <w:rFonts w:ascii="Cambria Math" w:hAnsi="Cambria Math"/>
                      <w:lang w:val="fr-FR"/>
                    </w:rPr>
                    <m:t xml:space="preserve">0, </m:t>
                  </m:r>
                  <m:sSubSup>
                    <m:sSubSupPr>
                      <m:ctrlPr>
                        <w:rPr>
                          <w:rFonts w:ascii="Cambria Math" w:hAnsi="Cambria Math"/>
                          <w:i/>
                          <w:lang w:val="fr-FR"/>
                        </w:rPr>
                      </m:ctrlPr>
                    </m:sSubSupPr>
                    <m:e>
                      <m:r>
                        <w:rPr>
                          <w:rFonts w:ascii="Cambria Math" w:hAnsi="Cambria Math"/>
                          <w:lang w:val="fr-FR"/>
                        </w:rPr>
                        <m:t>σ</m:t>
                      </m:r>
                    </m:e>
                    <m:sub>
                      <m:sSub>
                        <m:sSubPr>
                          <m:ctrlPr>
                            <w:rPr>
                              <w:rFonts w:ascii="Cambria Math" w:hAnsi="Cambria Math"/>
                              <w:i/>
                              <w:lang w:val="fr-FR"/>
                            </w:rPr>
                          </m:ctrlPr>
                        </m:sSubPr>
                        <m:e>
                          <m:r>
                            <w:rPr>
                              <w:rFonts w:ascii="Cambria Math" w:hAnsi="Cambria Math"/>
                              <w:lang w:val="fr-FR"/>
                            </w:rPr>
                            <m:t>α</m:t>
                          </m:r>
                        </m:e>
                        <m:sub>
                          <m:r>
                            <w:rPr>
                              <w:rFonts w:ascii="Cambria Math" w:hAnsi="Cambria Math"/>
                              <w:lang w:val="fr-FR"/>
                            </w:rPr>
                            <m:t>o</m:t>
                          </m:r>
                        </m:sub>
                      </m:sSub>
                    </m:sub>
                    <m:sup>
                      <m:r>
                        <w:rPr>
                          <w:rFonts w:ascii="Cambria Math" w:hAnsi="Cambria Math"/>
                          <w:lang w:val="fr-FR"/>
                        </w:rPr>
                        <m:t>2</m:t>
                      </m:r>
                    </m:sup>
                  </m:sSubSup>
                </m:e>
              </m:d>
              <m:r>
                <w:rPr>
                  <w:rFonts w:ascii="Cambria Math" w:hAnsi="Cambria Math"/>
                  <w:lang w:val="fr-FR"/>
                </w:rPr>
                <m:t xml:space="preserve"> und </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io</m:t>
                  </m:r>
                </m:sub>
              </m:sSub>
              <m:r>
                <w:rPr>
                  <w:rFonts w:ascii="Cambria Math" w:hAnsi="Cambria Math"/>
                  <w:lang w:val="fr-FR"/>
                </w:rPr>
                <m:t xml:space="preserve"> ∼ N</m:t>
              </m:r>
              <m:d>
                <m:dPr>
                  <m:ctrlPr>
                    <w:rPr>
                      <w:rFonts w:ascii="Cambria Math" w:hAnsi="Cambria Math"/>
                      <w:i/>
                      <w:lang w:val="fr-FR"/>
                    </w:rPr>
                  </m:ctrlPr>
                </m:dPr>
                <m:e>
                  <m:r>
                    <w:rPr>
                      <w:rFonts w:ascii="Cambria Math" w:hAnsi="Cambria Math"/>
                      <w:lang w:val="fr-FR"/>
                    </w:rPr>
                    <m:t xml:space="preserve">0, </m:t>
                  </m:r>
                  <m:sSubSup>
                    <m:sSubSupPr>
                      <m:ctrlPr>
                        <w:rPr>
                          <w:rFonts w:ascii="Cambria Math" w:hAnsi="Cambria Math"/>
                          <w:i/>
                          <w:lang w:val="fr-FR"/>
                        </w:rPr>
                      </m:ctrlPr>
                    </m:sSubSupPr>
                    <m:e>
                      <m:r>
                        <w:rPr>
                          <w:rFonts w:ascii="Cambria Math" w:hAnsi="Cambria Math"/>
                          <w:lang w:val="fr-FR"/>
                        </w:rPr>
                        <m:t>σ</m:t>
                      </m:r>
                    </m:e>
                    <m:sub>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o</m:t>
                          </m:r>
                        </m:sub>
                      </m:sSub>
                    </m:sub>
                    <m:sup>
                      <m:r>
                        <w:rPr>
                          <w:rFonts w:ascii="Cambria Math" w:hAnsi="Cambria Math"/>
                          <w:lang w:val="fr-FR"/>
                        </w:rPr>
                        <m:t>2</m:t>
                      </m:r>
                    </m:sup>
                  </m:sSubSup>
                </m:e>
              </m:d>
              <m:r>
                <w:rPr>
                  <w:rFonts w:ascii="Cambria Math" w:hAnsi="Cambria Math"/>
                  <w:lang w:val="fr-FR"/>
                </w:rPr>
                <m:t xml:space="preserve"> </m:t>
              </m:r>
            </m:oMath>
          </w:p>
        </w:tc>
        <w:tc>
          <w:tcPr>
            <w:tcW w:w="561" w:type="dxa"/>
            <w:vAlign w:val="center"/>
          </w:tcPr>
          <w:p w14:paraId="20753EED" w14:textId="61D7E56A" w:rsidR="0053560C" w:rsidRPr="00C36990" w:rsidRDefault="0053560C" w:rsidP="00FE676F">
            <w:pPr>
              <w:jc w:val="right"/>
            </w:pPr>
            <w:r>
              <w:t>(</w:t>
            </w:r>
            <w:fldSimple w:instr=" SEQ Formel \* ARABIC ">
              <w:r>
                <w:rPr>
                  <w:noProof/>
                </w:rPr>
                <w:t>6</w:t>
              </w:r>
            </w:fldSimple>
            <w:r>
              <w:t>)</w:t>
            </w:r>
          </w:p>
        </w:tc>
      </w:tr>
    </w:tbl>
    <w:p w14:paraId="0BF30B9A" w14:textId="614D801D" w:rsidR="005876EA" w:rsidRPr="005876EA" w:rsidRDefault="005876EA" w:rsidP="005876EA">
      <w:pPr>
        <w:rPr>
          <w:lang w:val="fr-FR"/>
        </w:rPr>
      </w:pPr>
    </w:p>
    <w:p w14:paraId="671EBFF3" w14:textId="7E535940" w:rsidR="005876EA" w:rsidRDefault="00363F23" w:rsidP="005876EA">
      <w:pPr>
        <w:pStyle w:val="berschrift2"/>
      </w:pPr>
      <w:r>
        <w:t>M</w:t>
      </w:r>
      <w:r w:rsidR="005876EA">
        <w:t>odell der Kaufanzahl (C</w:t>
      </w:r>
      <w:r w:rsidR="00352B13">
        <w:t>P</w:t>
      </w:r>
      <w:r w:rsidR="005876EA">
        <w:t>M)</w:t>
      </w:r>
    </w:p>
    <w:p w14:paraId="4E9C1415" w14:textId="2E9CA427" w:rsidR="00DC2C24" w:rsidRDefault="00352B13" w:rsidP="005876EA">
      <w:r>
        <w:t>Unter der Bedingung, dass sich der Kunde i zum Zeitpunkt t im Beziehungszustand s befindet, nehmen wir an, dass die Anzahl der Einkäufe, die der Kunde tätigt, einer ZINBD mit Parametern φ</w:t>
      </w:r>
      <w:r w:rsidRPr="00352B13">
        <w:rPr>
          <w:vertAlign w:val="subscript"/>
        </w:rPr>
        <w:t>it|s</w:t>
      </w:r>
      <w:r>
        <w:t>, λ</w:t>
      </w:r>
      <w:r w:rsidRPr="00352B13">
        <w:rPr>
          <w:vertAlign w:val="subscript"/>
        </w:rPr>
        <w:t>it|s</w:t>
      </w:r>
      <w:r>
        <w:t xml:space="preserve"> und r folgt. Für jede Beobachtung y</w:t>
      </w:r>
      <w:r w:rsidRPr="00352B13">
        <w:rPr>
          <w:vertAlign w:val="subscript"/>
        </w:rPr>
        <w:t>it</w:t>
      </w:r>
      <w:r>
        <w:t xml:space="preserve"> nimmt ZINBD an, dass es zwei datengenerierende Prozesse gibt (basierend darauf, ob das Ergebnis gleich Null oder größer als Null ist), die wie folgt definiert sind:</w:t>
      </w:r>
    </w:p>
    <w:p w14:paraId="628F0904" w14:textId="77777777" w:rsidR="00352B13" w:rsidRDefault="00352B13" w:rsidP="005876EA">
      <w:pPr>
        <w:rPr>
          <w:lang w:val="fr-FR"/>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DC2C24" w14:paraId="34419509" w14:textId="77777777" w:rsidTr="00FE676F">
        <w:tc>
          <w:tcPr>
            <w:tcW w:w="8500" w:type="dxa"/>
            <w:vAlign w:val="center"/>
          </w:tcPr>
          <w:p w14:paraId="63FFEB5C" w14:textId="20594E0D" w:rsidR="00DC2C24" w:rsidRDefault="00DC2C24" w:rsidP="00C36990">
            <w:pPr>
              <w:jc w:val="center"/>
              <w:rPr>
                <w:lang w:val="fr-FR"/>
              </w:rPr>
            </w:pPr>
            <m:oMathPara>
              <m:oMath>
                <m:r>
                  <m:rPr>
                    <m:sty m:val="p"/>
                  </m:rPr>
                  <w:rPr>
                    <w:rFonts w:ascii="Cambria Math" w:hAnsi="Cambria Math"/>
                    <w:lang w:val="fr-FR"/>
                  </w:rPr>
                  <m:t>P</m:t>
                </m:r>
                <m:d>
                  <m:dPr>
                    <m:endChr m:val="|"/>
                    <m:ctrlPr>
                      <w:rPr>
                        <w:rFonts w:ascii="Cambria Math" w:hAnsi="Cambria Math"/>
                        <w:lang w:val="fr-FR"/>
                      </w:rPr>
                    </m:ctrlPr>
                  </m:dPr>
                  <m:e>
                    <m:sSub>
                      <m:sSubPr>
                        <m:ctrlPr>
                          <w:rPr>
                            <w:rFonts w:ascii="Cambria Math" w:hAnsi="Cambria Math"/>
                            <w:lang w:val="fr-FR"/>
                          </w:rPr>
                        </m:ctrlPr>
                      </m:sSubPr>
                      <m:e>
                        <m:r>
                          <w:rPr>
                            <w:rFonts w:ascii="Cambria Math" w:hAnsi="Cambria Math"/>
                            <w:lang w:val="fr-FR"/>
                          </w:rPr>
                          <m:t>Y</m:t>
                        </m:r>
                      </m:e>
                      <m:sub>
                        <m:r>
                          <m:rPr>
                            <m:sty m:val="p"/>
                          </m:rPr>
                          <w:rPr>
                            <w:rFonts w:ascii="Cambria Math" w:hAnsi="Cambria Math"/>
                            <w:lang w:val="fr-FR"/>
                          </w:rPr>
                          <m:t>it</m:t>
                        </m:r>
                      </m:sub>
                    </m:sSub>
                    <m:r>
                      <w:rPr>
                        <w:rFonts w:ascii="Cambria Math" w:eastAsia="Cambria Math" w:hAnsi="Cambria Math" w:cs="Cambria Math"/>
                        <w:lang w:val="fr-FR"/>
                      </w:rPr>
                      <m:t>=</m:t>
                    </m:r>
                    <m:sSub>
                      <m:sSubPr>
                        <m:ctrlPr>
                          <w:rPr>
                            <w:rFonts w:ascii="Cambria Math" w:eastAsia="Cambria Math" w:hAnsi="Cambria Math" w:cs="Cambria Math"/>
                            <w:i/>
                            <w:lang w:val="fr-FR"/>
                          </w:rPr>
                        </m:ctrlPr>
                      </m:sSubPr>
                      <m:e>
                        <m:r>
                          <w:rPr>
                            <w:rFonts w:ascii="Cambria Math" w:eastAsia="Cambria Math" w:hAnsi="Cambria Math" w:cs="Cambria Math"/>
                            <w:lang w:val="fr-FR"/>
                          </w:rPr>
                          <m:t>y</m:t>
                        </m:r>
                      </m:e>
                      <m:sub>
                        <m:r>
                          <w:rPr>
                            <w:rFonts w:ascii="Cambria Math" w:eastAsia="Cambria Math" w:hAnsi="Cambria Math" w:cs="Cambria Math"/>
                            <w:lang w:val="fr-FR"/>
                          </w:rPr>
                          <m:t>it</m:t>
                        </m:r>
                      </m:sub>
                    </m:sSub>
                    <m:ctrlPr>
                      <w:rPr>
                        <w:rFonts w:ascii="Cambria Math" w:eastAsia="Cambria Math" w:hAnsi="Cambria Math" w:cs="Cambria Math"/>
                        <w:i/>
                        <w:lang w:val="fr-FR"/>
                      </w:rPr>
                    </m:ctrlPr>
                  </m:e>
                </m:d>
                <m:r>
                  <w:rPr>
                    <w:rFonts w:ascii="Cambria Math" w:eastAsia="Cambria Math" w:hAnsi="Cambria Math" w:cs="Cambria Math"/>
                    <w:lang w:val="fr-FR"/>
                  </w:rPr>
                  <m:t xml:space="preserve">s)= </m:t>
                </m:r>
                <m:d>
                  <m:dPr>
                    <m:begChr m:val="{"/>
                    <m:endChr m:val=""/>
                    <m:ctrlPr>
                      <w:rPr>
                        <w:rFonts w:ascii="Cambria Math" w:eastAsia="Cambria Math" w:hAnsi="Cambria Math" w:cs="Cambria Math"/>
                        <w:i/>
                        <w:lang w:val="fr-FR"/>
                      </w:rPr>
                    </m:ctrlPr>
                  </m:dPr>
                  <m:e>
                    <m:eqArr>
                      <m:eqArrPr>
                        <m:ctrlPr>
                          <w:rPr>
                            <w:rFonts w:ascii="Cambria Math" w:eastAsia="Cambria Math" w:hAnsi="Cambria Math" w:cs="Cambria Math"/>
                            <w:i/>
                            <w:lang w:val="fr-FR"/>
                          </w:rPr>
                        </m:ctrlPr>
                      </m:eqArrPr>
                      <m:e>
                        <m:sSub>
                          <m:sSubPr>
                            <m:ctrlPr>
                              <w:rPr>
                                <w:rFonts w:ascii="Cambria Math" w:eastAsia="Cambria Math" w:hAnsi="Cambria Math" w:cs="Cambria Math"/>
                                <w:i/>
                                <w:lang w:val="fr-FR"/>
                              </w:rPr>
                            </m:ctrlPr>
                          </m:sSubPr>
                          <m:e>
                            <m:r>
                              <w:rPr>
                                <w:rFonts w:ascii="Cambria Math" w:eastAsia="Cambria Math" w:hAnsi="Cambria Math" w:cs="Cambria Math"/>
                                <w:lang w:val="fr-FR"/>
                              </w:rPr>
                              <m:t>φ</m:t>
                            </m:r>
                          </m:e>
                          <m:sub>
                            <m:r>
                              <w:rPr>
                                <w:rFonts w:ascii="Cambria Math" w:eastAsia="Cambria Math" w:hAnsi="Cambria Math" w:cs="Cambria Math"/>
                                <w:lang w:val="fr-FR"/>
                              </w:rPr>
                              <m:t>it|s</m:t>
                            </m:r>
                          </m:sub>
                        </m:sSub>
                        <m:r>
                          <w:rPr>
                            <w:rFonts w:ascii="Cambria Math" w:eastAsia="Cambria Math" w:hAnsi="Cambria Math" w:cs="Cambria Math"/>
                            <w:lang w:val="fr-FR"/>
                          </w:rPr>
                          <m:t>+</m:t>
                        </m:r>
                        <m:d>
                          <m:dPr>
                            <m:ctrlPr>
                              <w:rPr>
                                <w:rFonts w:ascii="Cambria Math" w:eastAsia="Cambria Math" w:hAnsi="Cambria Math" w:cs="Cambria Math"/>
                                <w:i/>
                                <w:lang w:val="fr-FR"/>
                              </w:rPr>
                            </m:ctrlPr>
                          </m:dPr>
                          <m:e>
                            <m:r>
                              <w:rPr>
                                <w:rFonts w:ascii="Cambria Math" w:eastAsia="Cambria Math" w:hAnsi="Cambria Math" w:cs="Cambria Math"/>
                                <w:lang w:val="fr-FR"/>
                              </w:rPr>
                              <m:t>1-</m:t>
                            </m:r>
                            <m:sSub>
                              <m:sSubPr>
                                <m:ctrlPr>
                                  <w:rPr>
                                    <w:rFonts w:ascii="Cambria Math" w:eastAsia="Cambria Math" w:hAnsi="Cambria Math" w:cs="Cambria Math"/>
                                    <w:i/>
                                    <w:lang w:val="fr-FR"/>
                                  </w:rPr>
                                </m:ctrlPr>
                              </m:sSubPr>
                              <m:e>
                                <m:r>
                                  <w:rPr>
                                    <w:rFonts w:ascii="Cambria Math" w:eastAsia="Cambria Math" w:hAnsi="Cambria Math" w:cs="Cambria Math"/>
                                    <w:lang w:val="fr-FR"/>
                                  </w:rPr>
                                  <m:t>φ</m:t>
                                </m:r>
                              </m:e>
                              <m:sub>
                                <m:r>
                                  <w:rPr>
                                    <w:rFonts w:ascii="Cambria Math" w:eastAsia="Cambria Math" w:hAnsi="Cambria Math" w:cs="Cambria Math"/>
                                    <w:lang w:val="fr-FR"/>
                                  </w:rPr>
                                  <m:t>it|s</m:t>
                                </m:r>
                              </m:sub>
                            </m:sSub>
                          </m:e>
                        </m:d>
                        <m:sSup>
                          <m:sSupPr>
                            <m:ctrlPr>
                              <w:rPr>
                                <w:rFonts w:ascii="Cambria Math" w:eastAsia="Cambria Math" w:hAnsi="Cambria Math" w:cs="Cambria Math"/>
                                <w:i/>
                                <w:lang w:val="fr-FR"/>
                              </w:rPr>
                            </m:ctrlPr>
                          </m:sSupPr>
                          <m:e>
                            <m:d>
                              <m:dPr>
                                <m:ctrlPr>
                                  <w:rPr>
                                    <w:rFonts w:ascii="Cambria Math" w:eastAsia="Cambria Math" w:hAnsi="Cambria Math" w:cs="Cambria Math"/>
                                    <w:i/>
                                    <w:lang w:val="fr-FR"/>
                                  </w:rPr>
                                </m:ctrlPr>
                              </m:dPr>
                              <m:e>
                                <m:r>
                                  <w:rPr>
                                    <w:rFonts w:ascii="Cambria Math" w:eastAsia="Cambria Math" w:hAnsi="Cambria Math" w:cs="Cambria Math"/>
                                    <w:lang w:val="fr-FR"/>
                                  </w:rPr>
                                  <m:t>1+</m:t>
                                </m:r>
                                <m:f>
                                  <m:fPr>
                                    <m:ctrlPr>
                                      <w:rPr>
                                        <w:rFonts w:ascii="Cambria Math" w:eastAsia="Cambria Math" w:hAnsi="Cambria Math" w:cs="Cambria Math"/>
                                        <w:i/>
                                        <w:lang w:val="fr-FR"/>
                                      </w:rPr>
                                    </m:ctrlPr>
                                  </m:fPr>
                                  <m:num>
                                    <m:sSub>
                                      <m:sSubPr>
                                        <m:ctrlPr>
                                          <w:rPr>
                                            <w:rFonts w:ascii="Cambria Math" w:eastAsia="Cambria Math" w:hAnsi="Cambria Math" w:cs="Cambria Math"/>
                                            <w:i/>
                                            <w:lang w:val="fr-FR"/>
                                          </w:rPr>
                                        </m:ctrlPr>
                                      </m:sSubPr>
                                      <m:e>
                                        <m:r>
                                          <w:rPr>
                                            <w:rFonts w:ascii="Cambria Math" w:eastAsia="Cambria Math" w:hAnsi="Cambria Math" w:cs="Cambria Math"/>
                                            <w:lang w:val="fr-FR"/>
                                          </w:rPr>
                                          <m:t>λ</m:t>
                                        </m:r>
                                      </m:e>
                                      <m:sub>
                                        <m:r>
                                          <w:rPr>
                                            <w:rFonts w:ascii="Cambria Math" w:eastAsia="Cambria Math" w:hAnsi="Cambria Math" w:cs="Cambria Math"/>
                                            <w:lang w:val="fr-FR"/>
                                          </w:rPr>
                                          <m:t>it|s</m:t>
                                        </m:r>
                                      </m:sub>
                                    </m:sSub>
                                  </m:num>
                                  <m:den>
                                    <m:r>
                                      <w:rPr>
                                        <w:rFonts w:ascii="Cambria Math" w:eastAsia="Cambria Math" w:hAnsi="Cambria Math" w:cs="Cambria Math"/>
                                        <w:lang w:val="fr-FR"/>
                                      </w:rPr>
                                      <m:t>r</m:t>
                                    </m:r>
                                  </m:den>
                                </m:f>
                              </m:e>
                            </m:d>
                          </m:e>
                          <m:sup>
                            <m:r>
                              <w:rPr>
                                <w:rFonts w:ascii="Cambria Math" w:eastAsia="Cambria Math" w:hAnsi="Cambria Math" w:cs="Cambria Math"/>
                                <w:lang w:val="fr-FR"/>
                              </w:rPr>
                              <m:t>-r</m:t>
                            </m:r>
                          </m:sup>
                        </m:sSup>
                        <m:r>
                          <w:rPr>
                            <w:rFonts w:ascii="Cambria Math" w:eastAsia="Cambria Math" w:hAnsi="Cambria Math" w:cs="Cambria Math"/>
                            <w:lang w:val="fr-FR"/>
                          </w:rPr>
                          <m:t xml:space="preserve">falls </m:t>
                        </m:r>
                        <m:sSub>
                          <m:sSubPr>
                            <m:ctrlPr>
                              <w:rPr>
                                <w:rFonts w:ascii="Cambria Math" w:eastAsia="Cambria Math" w:hAnsi="Cambria Math" w:cs="Cambria Math"/>
                                <w:i/>
                                <w:lang w:val="fr-FR"/>
                              </w:rPr>
                            </m:ctrlPr>
                          </m:sSubPr>
                          <m:e>
                            <m:r>
                              <w:rPr>
                                <w:rFonts w:ascii="Cambria Math" w:eastAsia="Cambria Math" w:hAnsi="Cambria Math" w:cs="Cambria Math"/>
                                <w:lang w:val="fr-FR"/>
                              </w:rPr>
                              <m:t>y</m:t>
                            </m:r>
                          </m:e>
                          <m:sub>
                            <m:r>
                              <w:rPr>
                                <w:rFonts w:ascii="Cambria Math" w:eastAsia="Cambria Math" w:hAnsi="Cambria Math" w:cs="Cambria Math"/>
                                <w:lang w:val="fr-FR"/>
                              </w:rPr>
                              <m:t>it</m:t>
                            </m:r>
                          </m:sub>
                        </m:sSub>
                        <m:r>
                          <w:rPr>
                            <w:rFonts w:ascii="Cambria Math" w:eastAsia="Cambria Math" w:hAnsi="Cambria Math" w:cs="Cambria Math"/>
                            <w:lang w:val="fr-FR"/>
                          </w:rPr>
                          <m:t>=0</m:t>
                        </m:r>
                      </m:e>
                      <m:e>
                        <m:d>
                          <m:dPr>
                            <m:ctrlPr>
                              <w:rPr>
                                <w:rFonts w:ascii="Cambria Math" w:eastAsia="Cambria Math" w:hAnsi="Cambria Math" w:cs="Cambria Math"/>
                                <w:i/>
                                <w:lang w:val="fr-FR"/>
                              </w:rPr>
                            </m:ctrlPr>
                          </m:dPr>
                          <m:e>
                            <m:r>
                              <w:rPr>
                                <w:rFonts w:ascii="Cambria Math" w:eastAsia="Cambria Math" w:hAnsi="Cambria Math" w:cs="Cambria Math"/>
                                <w:lang w:val="fr-FR"/>
                              </w:rPr>
                              <m:t>1-</m:t>
                            </m:r>
                            <m:sSub>
                              <m:sSubPr>
                                <m:ctrlPr>
                                  <w:rPr>
                                    <w:rFonts w:ascii="Cambria Math" w:eastAsia="Cambria Math" w:hAnsi="Cambria Math" w:cs="Cambria Math"/>
                                    <w:i/>
                                    <w:lang w:val="fr-FR"/>
                                  </w:rPr>
                                </m:ctrlPr>
                              </m:sSubPr>
                              <m:e>
                                <m:r>
                                  <w:rPr>
                                    <w:rFonts w:ascii="Cambria Math" w:eastAsia="Cambria Math" w:hAnsi="Cambria Math" w:cs="Cambria Math"/>
                                    <w:lang w:val="fr-FR"/>
                                  </w:rPr>
                                  <m:t>φ</m:t>
                                </m:r>
                              </m:e>
                              <m:sub>
                                <m:r>
                                  <w:rPr>
                                    <w:rFonts w:ascii="Cambria Math" w:eastAsia="Cambria Math" w:hAnsi="Cambria Math" w:cs="Cambria Math"/>
                                    <w:lang w:val="fr-FR"/>
                                  </w:rPr>
                                  <m:t>it|s</m:t>
                                </m:r>
                              </m:sub>
                            </m:sSub>
                          </m:e>
                        </m:d>
                        <m:f>
                          <m:fPr>
                            <m:ctrlPr>
                              <w:rPr>
                                <w:rFonts w:ascii="Cambria Math" w:eastAsia="Cambria Math" w:hAnsi="Cambria Math" w:cs="Cambria Math"/>
                                <w:i/>
                                <w:lang w:val="fr-FR"/>
                              </w:rPr>
                            </m:ctrlPr>
                          </m:fPr>
                          <m:num>
                            <m:r>
                              <w:rPr>
                                <w:rFonts w:ascii="Cambria Math" w:eastAsia="Cambria Math" w:hAnsi="Cambria Math" w:cs="Cambria Math"/>
                                <w:lang w:val="fr-FR"/>
                              </w:rPr>
                              <m:t>Г</m:t>
                            </m:r>
                            <m:d>
                              <m:dPr>
                                <m:ctrlPr>
                                  <w:rPr>
                                    <w:rFonts w:ascii="Cambria Math" w:eastAsia="Cambria Math" w:hAnsi="Cambria Math" w:cs="Cambria Math"/>
                                    <w:i/>
                                    <w:lang w:val="fr-FR"/>
                                  </w:rPr>
                                </m:ctrlPr>
                              </m:dPr>
                              <m:e>
                                <m:sSub>
                                  <m:sSubPr>
                                    <m:ctrlPr>
                                      <w:rPr>
                                        <w:rFonts w:ascii="Cambria Math" w:eastAsia="Cambria Math" w:hAnsi="Cambria Math" w:cs="Cambria Math"/>
                                        <w:i/>
                                        <w:lang w:val="fr-FR"/>
                                      </w:rPr>
                                    </m:ctrlPr>
                                  </m:sSubPr>
                                  <m:e>
                                    <m:r>
                                      <w:rPr>
                                        <w:rFonts w:ascii="Cambria Math" w:eastAsia="Cambria Math" w:hAnsi="Cambria Math" w:cs="Cambria Math"/>
                                        <w:lang w:val="fr-FR"/>
                                      </w:rPr>
                                      <m:t>y</m:t>
                                    </m:r>
                                  </m:e>
                                  <m:sub>
                                    <m:r>
                                      <w:rPr>
                                        <w:rFonts w:ascii="Cambria Math" w:eastAsia="Cambria Math" w:hAnsi="Cambria Math" w:cs="Cambria Math"/>
                                        <w:lang w:val="fr-FR"/>
                                      </w:rPr>
                                      <m:t>it</m:t>
                                    </m:r>
                                  </m:sub>
                                </m:sSub>
                                <m:r>
                                  <w:rPr>
                                    <w:rFonts w:ascii="Cambria Math" w:eastAsia="Cambria Math" w:hAnsi="Cambria Math" w:cs="Cambria Math"/>
                                    <w:lang w:val="fr-FR"/>
                                  </w:rPr>
                                  <m:t>+r</m:t>
                                </m:r>
                              </m:e>
                            </m:d>
                          </m:num>
                          <m:den>
                            <m:sSub>
                              <m:sSubPr>
                                <m:ctrlPr>
                                  <w:rPr>
                                    <w:rFonts w:ascii="Cambria Math" w:eastAsia="Cambria Math" w:hAnsi="Cambria Math" w:cs="Cambria Math"/>
                                    <w:i/>
                                    <w:lang w:val="fr-FR"/>
                                  </w:rPr>
                                </m:ctrlPr>
                              </m:sSubPr>
                              <m:e>
                                <m:r>
                                  <w:rPr>
                                    <w:rFonts w:ascii="Cambria Math" w:eastAsia="Cambria Math" w:hAnsi="Cambria Math" w:cs="Cambria Math"/>
                                    <w:lang w:val="fr-FR"/>
                                  </w:rPr>
                                  <m:t>y</m:t>
                                </m:r>
                              </m:e>
                              <m:sub>
                                <m:r>
                                  <w:rPr>
                                    <w:rFonts w:ascii="Cambria Math" w:eastAsia="Cambria Math" w:hAnsi="Cambria Math" w:cs="Cambria Math"/>
                                    <w:lang w:val="fr-FR"/>
                                  </w:rPr>
                                  <m:t>it</m:t>
                                </m:r>
                              </m:sub>
                            </m:sSub>
                            <m:r>
                              <w:rPr>
                                <w:rFonts w:ascii="Cambria Math" w:eastAsia="Cambria Math" w:hAnsi="Cambria Math" w:cs="Cambria Math"/>
                                <w:lang w:val="fr-FR"/>
                              </w:rPr>
                              <m:t>!Г</m:t>
                            </m:r>
                            <m:d>
                              <m:dPr>
                                <m:ctrlPr>
                                  <w:rPr>
                                    <w:rFonts w:ascii="Cambria Math" w:eastAsia="Cambria Math" w:hAnsi="Cambria Math" w:cs="Cambria Math"/>
                                    <w:i/>
                                    <w:lang w:val="fr-FR"/>
                                  </w:rPr>
                                </m:ctrlPr>
                              </m:dPr>
                              <m:e>
                                <m:r>
                                  <w:rPr>
                                    <w:rFonts w:ascii="Cambria Math" w:eastAsia="Cambria Math" w:hAnsi="Cambria Math" w:cs="Cambria Math"/>
                                    <w:lang w:val="fr-FR"/>
                                  </w:rPr>
                                  <m:t>r</m:t>
                                </m:r>
                              </m:e>
                            </m:d>
                          </m:den>
                        </m:f>
                        <m:sSup>
                          <m:sSupPr>
                            <m:ctrlPr>
                              <w:rPr>
                                <w:rFonts w:ascii="Cambria Math" w:eastAsia="Cambria Math" w:hAnsi="Cambria Math" w:cs="Cambria Math"/>
                                <w:i/>
                                <w:lang w:val="fr-FR"/>
                              </w:rPr>
                            </m:ctrlPr>
                          </m:sSupPr>
                          <m:e>
                            <m:d>
                              <m:dPr>
                                <m:ctrlPr>
                                  <w:rPr>
                                    <w:rFonts w:ascii="Cambria Math" w:eastAsia="Cambria Math" w:hAnsi="Cambria Math" w:cs="Cambria Math"/>
                                    <w:i/>
                                    <w:lang w:val="fr-FR"/>
                                  </w:rPr>
                                </m:ctrlPr>
                              </m:dPr>
                              <m:e>
                                <m:r>
                                  <w:rPr>
                                    <w:rFonts w:ascii="Cambria Math" w:eastAsia="Cambria Math" w:hAnsi="Cambria Math" w:cs="Cambria Math"/>
                                    <w:lang w:val="fr-FR"/>
                                  </w:rPr>
                                  <m:t>1+</m:t>
                                </m:r>
                                <m:f>
                                  <m:fPr>
                                    <m:ctrlPr>
                                      <w:rPr>
                                        <w:rFonts w:ascii="Cambria Math" w:eastAsia="Cambria Math" w:hAnsi="Cambria Math" w:cs="Cambria Math"/>
                                        <w:i/>
                                        <w:lang w:val="fr-FR"/>
                                      </w:rPr>
                                    </m:ctrlPr>
                                  </m:fPr>
                                  <m:num>
                                    <m:sSub>
                                      <m:sSubPr>
                                        <m:ctrlPr>
                                          <w:rPr>
                                            <w:rFonts w:ascii="Cambria Math" w:eastAsia="Cambria Math" w:hAnsi="Cambria Math" w:cs="Cambria Math"/>
                                            <w:i/>
                                            <w:lang w:val="fr-FR"/>
                                          </w:rPr>
                                        </m:ctrlPr>
                                      </m:sSubPr>
                                      <m:e>
                                        <m:r>
                                          <w:rPr>
                                            <w:rFonts w:ascii="Cambria Math" w:eastAsia="Cambria Math" w:hAnsi="Cambria Math" w:cs="Cambria Math"/>
                                            <w:lang w:val="fr-FR"/>
                                          </w:rPr>
                                          <m:t>λ</m:t>
                                        </m:r>
                                      </m:e>
                                      <m:sub>
                                        <m:r>
                                          <w:rPr>
                                            <w:rFonts w:ascii="Cambria Math" w:eastAsia="Cambria Math" w:hAnsi="Cambria Math" w:cs="Cambria Math"/>
                                            <w:lang w:val="fr-FR"/>
                                          </w:rPr>
                                          <m:t>it|s</m:t>
                                        </m:r>
                                      </m:sub>
                                    </m:sSub>
                                  </m:num>
                                  <m:den>
                                    <m:r>
                                      <w:rPr>
                                        <w:rFonts w:ascii="Cambria Math" w:eastAsia="Cambria Math" w:hAnsi="Cambria Math" w:cs="Cambria Math"/>
                                        <w:lang w:val="fr-FR"/>
                                      </w:rPr>
                                      <m:t>r</m:t>
                                    </m:r>
                                  </m:den>
                                </m:f>
                              </m:e>
                            </m:d>
                          </m:e>
                          <m:sup>
                            <m:r>
                              <w:rPr>
                                <w:rFonts w:ascii="Cambria Math" w:eastAsia="Cambria Math" w:hAnsi="Cambria Math" w:cs="Cambria Math"/>
                                <w:lang w:val="fr-FR"/>
                              </w:rPr>
                              <m:t>-r</m:t>
                            </m:r>
                          </m:sup>
                        </m:sSup>
                        <m:sSup>
                          <m:sSupPr>
                            <m:ctrlPr>
                              <w:rPr>
                                <w:rFonts w:ascii="Cambria Math" w:eastAsia="Cambria Math" w:hAnsi="Cambria Math" w:cs="Cambria Math"/>
                                <w:i/>
                                <w:lang w:val="fr-FR"/>
                              </w:rPr>
                            </m:ctrlPr>
                          </m:sSupPr>
                          <m:e>
                            <m:d>
                              <m:dPr>
                                <m:ctrlPr>
                                  <w:rPr>
                                    <w:rFonts w:ascii="Cambria Math" w:eastAsia="Cambria Math" w:hAnsi="Cambria Math" w:cs="Cambria Math"/>
                                    <w:i/>
                                    <w:lang w:val="fr-FR"/>
                                  </w:rPr>
                                </m:ctrlPr>
                              </m:dPr>
                              <m:e>
                                <m:r>
                                  <w:rPr>
                                    <w:rFonts w:ascii="Cambria Math" w:eastAsia="Cambria Math" w:hAnsi="Cambria Math" w:cs="Cambria Math"/>
                                    <w:lang w:val="fr-FR"/>
                                  </w:rPr>
                                  <m:t>1+</m:t>
                                </m:r>
                                <m:f>
                                  <m:fPr>
                                    <m:ctrlPr>
                                      <w:rPr>
                                        <w:rFonts w:ascii="Cambria Math" w:eastAsia="Cambria Math" w:hAnsi="Cambria Math" w:cs="Cambria Math"/>
                                        <w:i/>
                                        <w:lang w:val="fr-FR"/>
                                      </w:rPr>
                                    </m:ctrlPr>
                                  </m:fPr>
                                  <m:num>
                                    <m:r>
                                      <w:rPr>
                                        <w:rFonts w:ascii="Cambria Math" w:eastAsia="Cambria Math" w:hAnsi="Cambria Math" w:cs="Cambria Math"/>
                                        <w:lang w:val="fr-FR"/>
                                      </w:rPr>
                                      <m:t>r</m:t>
                                    </m:r>
                                  </m:num>
                                  <m:den>
                                    <m:sSub>
                                      <m:sSubPr>
                                        <m:ctrlPr>
                                          <w:rPr>
                                            <w:rFonts w:ascii="Cambria Math" w:eastAsia="Cambria Math" w:hAnsi="Cambria Math" w:cs="Cambria Math"/>
                                            <w:i/>
                                            <w:lang w:val="fr-FR"/>
                                          </w:rPr>
                                        </m:ctrlPr>
                                      </m:sSubPr>
                                      <m:e>
                                        <m:r>
                                          <w:rPr>
                                            <w:rFonts w:ascii="Cambria Math" w:eastAsia="Cambria Math" w:hAnsi="Cambria Math" w:cs="Cambria Math"/>
                                            <w:lang w:val="fr-FR"/>
                                          </w:rPr>
                                          <m:t>λ</m:t>
                                        </m:r>
                                      </m:e>
                                      <m:sub>
                                        <m:r>
                                          <w:rPr>
                                            <w:rFonts w:ascii="Cambria Math" w:eastAsia="Cambria Math" w:hAnsi="Cambria Math" w:cs="Cambria Math"/>
                                            <w:lang w:val="fr-FR"/>
                                          </w:rPr>
                                          <m:t>it|s</m:t>
                                        </m:r>
                                      </m:sub>
                                    </m:sSub>
                                  </m:den>
                                </m:f>
                              </m:e>
                            </m:d>
                          </m:e>
                          <m:sup>
                            <m:r>
                              <w:rPr>
                                <w:rFonts w:ascii="Cambria Math" w:eastAsia="Cambria Math" w:hAnsi="Cambria Math" w:cs="Cambria Math"/>
                                <w:lang w:val="fr-FR"/>
                              </w:rPr>
                              <m:t>-</m:t>
                            </m:r>
                            <m:sSub>
                              <m:sSubPr>
                                <m:ctrlPr>
                                  <w:rPr>
                                    <w:rFonts w:ascii="Cambria Math" w:eastAsia="Cambria Math" w:hAnsi="Cambria Math" w:cs="Cambria Math"/>
                                    <w:i/>
                                    <w:lang w:val="fr-FR"/>
                                  </w:rPr>
                                </m:ctrlPr>
                              </m:sSubPr>
                              <m:e>
                                <m:r>
                                  <w:rPr>
                                    <w:rFonts w:ascii="Cambria Math" w:eastAsia="Cambria Math" w:hAnsi="Cambria Math" w:cs="Cambria Math"/>
                                    <w:lang w:val="fr-FR"/>
                                  </w:rPr>
                                  <m:t>y</m:t>
                                </m:r>
                              </m:e>
                              <m:sub>
                                <m:r>
                                  <w:rPr>
                                    <w:rFonts w:ascii="Cambria Math" w:eastAsia="Cambria Math" w:hAnsi="Cambria Math" w:cs="Cambria Math"/>
                                    <w:lang w:val="fr-FR"/>
                                  </w:rPr>
                                  <m:t>it</m:t>
                                </m:r>
                              </m:sub>
                            </m:sSub>
                          </m:sup>
                        </m:sSup>
                        <m:r>
                          <w:rPr>
                            <w:rFonts w:ascii="Cambria Math" w:eastAsia="Cambria Math" w:hAnsi="Cambria Math" w:cs="Cambria Math"/>
                            <w:lang w:val="fr-FR"/>
                          </w:rPr>
                          <m:t xml:space="preserve">falls </m:t>
                        </m:r>
                        <m:sSub>
                          <m:sSubPr>
                            <m:ctrlPr>
                              <w:rPr>
                                <w:rFonts w:ascii="Cambria Math" w:eastAsia="Cambria Math" w:hAnsi="Cambria Math" w:cs="Cambria Math"/>
                                <w:i/>
                                <w:lang w:val="fr-FR"/>
                              </w:rPr>
                            </m:ctrlPr>
                          </m:sSubPr>
                          <m:e>
                            <m:r>
                              <w:rPr>
                                <w:rFonts w:ascii="Cambria Math" w:eastAsia="Cambria Math" w:hAnsi="Cambria Math" w:cs="Cambria Math"/>
                                <w:lang w:val="fr-FR"/>
                              </w:rPr>
                              <m:t>y</m:t>
                            </m:r>
                          </m:e>
                          <m:sub>
                            <m:r>
                              <w:rPr>
                                <w:rFonts w:ascii="Cambria Math" w:eastAsia="Cambria Math" w:hAnsi="Cambria Math" w:cs="Cambria Math"/>
                                <w:lang w:val="fr-FR"/>
                              </w:rPr>
                              <m:t>it</m:t>
                            </m:r>
                          </m:sub>
                        </m:sSub>
                        <m:r>
                          <w:rPr>
                            <w:rFonts w:ascii="Cambria Math" w:eastAsia="Cambria Math" w:hAnsi="Cambria Math" w:cs="Cambria Math"/>
                            <w:lang w:val="fr-FR"/>
                          </w:rPr>
                          <m:t>&gt;0</m:t>
                        </m:r>
                      </m:e>
                    </m:eqArr>
                  </m:e>
                </m:d>
              </m:oMath>
            </m:oMathPara>
          </w:p>
        </w:tc>
        <w:tc>
          <w:tcPr>
            <w:tcW w:w="561" w:type="dxa"/>
            <w:vAlign w:val="center"/>
          </w:tcPr>
          <w:p w14:paraId="6BF5155E" w14:textId="05D6FFF1" w:rsidR="00DC2C24" w:rsidRPr="00C36990" w:rsidRDefault="00DC2C24" w:rsidP="00FE676F">
            <w:pPr>
              <w:jc w:val="right"/>
            </w:pPr>
            <w:r>
              <w:t>(</w:t>
            </w:r>
            <w:fldSimple w:instr=" SEQ Formel \* ARABIC ">
              <w:r>
                <w:rPr>
                  <w:noProof/>
                </w:rPr>
                <w:t>7</w:t>
              </w:r>
            </w:fldSimple>
            <w:r>
              <w:t>)</w:t>
            </w:r>
          </w:p>
        </w:tc>
      </w:tr>
    </w:tbl>
    <w:p w14:paraId="2B472916" w14:textId="77777777" w:rsidR="00DC2C24" w:rsidRDefault="00DC2C24" w:rsidP="005876EA">
      <w:pPr>
        <w:rPr>
          <w:noProof/>
          <w:lang w:val="fr-FR"/>
        </w:rPr>
      </w:pPr>
    </w:p>
    <w:p w14:paraId="3886D58C" w14:textId="7AFEEB3E" w:rsidR="005876EA" w:rsidRDefault="005876EA" w:rsidP="005876EA">
      <w:pPr>
        <w:rPr>
          <w:noProof/>
          <w:lang w:val="fr-FR"/>
        </w:rPr>
      </w:pPr>
    </w:p>
    <w:p w14:paraId="0B79F9F3" w14:textId="3076FF53" w:rsidR="00352B13" w:rsidRPr="00352B13" w:rsidRDefault="00352B13" w:rsidP="00352B13">
      <w:pPr>
        <w:rPr>
          <w:lang w:val="fr-FR"/>
        </w:rPr>
      </w:pPr>
      <w:r w:rsidRPr="00352B13">
        <w:rPr>
          <w:lang w:val="fr-FR"/>
        </w:rPr>
        <w:t xml:space="preserve">wobei r ein Streuparameter ist, </w:t>
      </w:r>
      <w:r w:rsidR="007263C9">
        <w:rPr>
          <w:lang w:val="fr-FR"/>
        </w:rPr>
        <w:t>für den</w:t>
      </w:r>
      <w:r w:rsidRPr="00352B13">
        <w:rPr>
          <w:lang w:val="fr-FR"/>
        </w:rPr>
        <w:t xml:space="preserve"> angenommen wird, nicht von Kovariaten abhängig zu sein. Der bedingte Mittelwert und die Varianz des ZINBD sind gegeben durch E(y</w:t>
      </w:r>
      <w:r w:rsidRPr="007263C9">
        <w:rPr>
          <w:vertAlign w:val="subscript"/>
          <w:lang w:val="fr-FR"/>
        </w:rPr>
        <w:t>it</w:t>
      </w:r>
      <w:r w:rsidR="007263C9" w:rsidRPr="007263C9">
        <w:rPr>
          <w:vertAlign w:val="subscript"/>
          <w:lang w:val="fr-FR"/>
        </w:rPr>
        <w:t>|</w:t>
      </w:r>
      <w:r w:rsidRPr="007263C9">
        <w:rPr>
          <w:vertAlign w:val="subscript"/>
          <w:lang w:val="fr-FR"/>
        </w:rPr>
        <w:t>s</w:t>
      </w:r>
      <w:r w:rsidRPr="00352B13">
        <w:rPr>
          <w:lang w:val="fr-FR"/>
        </w:rPr>
        <w:t>) = (1-</w:t>
      </w:r>
      <w:r w:rsidR="007263C9">
        <w:rPr>
          <w:lang w:val="fr-FR"/>
        </w:rPr>
        <w:t>φ</w:t>
      </w:r>
      <w:r w:rsidRPr="007263C9">
        <w:rPr>
          <w:vertAlign w:val="subscript"/>
          <w:lang w:val="fr-FR"/>
        </w:rPr>
        <w:t>it</w:t>
      </w:r>
      <w:r w:rsidR="007263C9" w:rsidRPr="007263C9">
        <w:rPr>
          <w:vertAlign w:val="subscript"/>
          <w:lang w:val="fr-FR"/>
        </w:rPr>
        <w:t>|</w:t>
      </w:r>
      <w:r w:rsidRPr="007263C9">
        <w:rPr>
          <w:vertAlign w:val="subscript"/>
          <w:lang w:val="fr-FR"/>
        </w:rPr>
        <w:t>s</w:t>
      </w:r>
      <w:r w:rsidRPr="00352B13">
        <w:rPr>
          <w:lang w:val="fr-FR"/>
        </w:rPr>
        <w:t>)</w:t>
      </w:r>
      <w:r w:rsidR="007263C9">
        <w:rPr>
          <w:lang w:val="fr-FR"/>
        </w:rPr>
        <w:t>λ</w:t>
      </w:r>
      <w:r w:rsidRPr="007263C9">
        <w:rPr>
          <w:vertAlign w:val="subscript"/>
          <w:lang w:val="fr-FR"/>
        </w:rPr>
        <w:t>it</w:t>
      </w:r>
      <w:r w:rsidR="007263C9" w:rsidRPr="007263C9">
        <w:rPr>
          <w:vertAlign w:val="subscript"/>
          <w:lang w:val="fr-FR"/>
        </w:rPr>
        <w:t>|</w:t>
      </w:r>
      <w:r w:rsidRPr="007263C9">
        <w:rPr>
          <w:vertAlign w:val="subscript"/>
          <w:lang w:val="fr-FR"/>
        </w:rPr>
        <w:t>s</w:t>
      </w:r>
      <w:r w:rsidRPr="00352B13">
        <w:rPr>
          <w:lang w:val="fr-FR"/>
        </w:rPr>
        <w:t xml:space="preserve"> und Var(y</w:t>
      </w:r>
      <w:r w:rsidRPr="007263C9">
        <w:rPr>
          <w:vertAlign w:val="subscript"/>
          <w:lang w:val="fr-FR"/>
        </w:rPr>
        <w:t>it</w:t>
      </w:r>
      <w:r w:rsidR="007263C9" w:rsidRPr="007263C9">
        <w:rPr>
          <w:vertAlign w:val="subscript"/>
          <w:lang w:val="fr-FR"/>
        </w:rPr>
        <w:t>|</w:t>
      </w:r>
      <w:r w:rsidRPr="007263C9">
        <w:rPr>
          <w:vertAlign w:val="subscript"/>
          <w:lang w:val="fr-FR"/>
        </w:rPr>
        <w:t>s</w:t>
      </w:r>
      <w:r w:rsidRPr="00352B13">
        <w:rPr>
          <w:lang w:val="fr-FR"/>
        </w:rPr>
        <w:t>) = (1-</w:t>
      </w:r>
      <w:r w:rsidR="007263C9" w:rsidRPr="007263C9">
        <w:rPr>
          <w:lang w:val="fr-FR"/>
        </w:rPr>
        <w:t xml:space="preserve"> </w:t>
      </w:r>
      <w:r w:rsidR="007263C9">
        <w:rPr>
          <w:lang w:val="fr-FR"/>
        </w:rPr>
        <w:t>φ</w:t>
      </w:r>
      <w:r w:rsidR="007263C9" w:rsidRPr="007263C9">
        <w:rPr>
          <w:vertAlign w:val="subscript"/>
          <w:lang w:val="fr-FR"/>
        </w:rPr>
        <w:t>it|s</w:t>
      </w:r>
      <w:r w:rsidRPr="00352B13">
        <w:rPr>
          <w:lang w:val="fr-FR"/>
        </w:rPr>
        <w:t>)</w:t>
      </w:r>
      <w:r w:rsidR="007263C9" w:rsidRPr="007263C9">
        <w:rPr>
          <w:lang w:val="fr-FR"/>
        </w:rPr>
        <w:t xml:space="preserve"> </w:t>
      </w:r>
      <w:r w:rsidR="007263C9">
        <w:rPr>
          <w:lang w:val="fr-FR"/>
        </w:rPr>
        <w:t>λ</w:t>
      </w:r>
      <w:r w:rsidR="007263C9" w:rsidRPr="007263C9">
        <w:rPr>
          <w:vertAlign w:val="subscript"/>
          <w:lang w:val="fr-FR"/>
        </w:rPr>
        <w:t>it|s</w:t>
      </w:r>
      <w:r w:rsidR="007263C9" w:rsidRPr="00352B13">
        <w:rPr>
          <w:lang w:val="fr-FR"/>
        </w:rPr>
        <w:t xml:space="preserve"> </w:t>
      </w:r>
      <w:r w:rsidRPr="00352B13">
        <w:rPr>
          <w:lang w:val="fr-FR"/>
        </w:rPr>
        <w:t>(1+</w:t>
      </w:r>
      <w:r w:rsidR="007263C9" w:rsidRPr="007263C9">
        <w:rPr>
          <w:lang w:val="fr-FR"/>
        </w:rPr>
        <w:t xml:space="preserve"> </w:t>
      </w:r>
      <w:r w:rsidR="007263C9">
        <w:rPr>
          <w:lang w:val="fr-FR"/>
        </w:rPr>
        <w:t>φ</w:t>
      </w:r>
      <w:r w:rsidR="007263C9" w:rsidRPr="007263C9">
        <w:rPr>
          <w:vertAlign w:val="subscript"/>
          <w:lang w:val="fr-FR"/>
        </w:rPr>
        <w:t>it|s</w:t>
      </w:r>
      <w:r w:rsidR="007263C9" w:rsidRPr="00352B13">
        <w:rPr>
          <w:lang w:val="fr-FR"/>
        </w:rPr>
        <w:t xml:space="preserve"> </w:t>
      </w:r>
      <w:r w:rsidR="007263C9">
        <w:rPr>
          <w:lang w:val="fr-FR"/>
        </w:rPr>
        <w:t>λ</w:t>
      </w:r>
      <w:r w:rsidR="007263C9" w:rsidRPr="007263C9">
        <w:rPr>
          <w:vertAlign w:val="subscript"/>
          <w:lang w:val="fr-FR"/>
        </w:rPr>
        <w:t>it|s</w:t>
      </w:r>
      <w:r w:rsidR="007263C9" w:rsidRPr="00352B13">
        <w:rPr>
          <w:lang w:val="fr-FR"/>
        </w:rPr>
        <w:t xml:space="preserve"> </w:t>
      </w:r>
      <w:r w:rsidRPr="00352B13">
        <w:rPr>
          <w:lang w:val="fr-FR"/>
        </w:rPr>
        <w:t>+</w:t>
      </w:r>
      <w:r w:rsidR="007263C9">
        <w:rPr>
          <w:lang w:val="fr-FR"/>
        </w:rPr>
        <w:t xml:space="preserve"> λ</w:t>
      </w:r>
      <w:r w:rsidR="007263C9" w:rsidRPr="007263C9">
        <w:rPr>
          <w:vertAlign w:val="subscript"/>
          <w:lang w:val="fr-FR"/>
        </w:rPr>
        <w:t>it|s</w:t>
      </w:r>
      <w:r w:rsidR="007263C9">
        <w:rPr>
          <w:vertAlign w:val="subscript"/>
          <w:lang w:val="fr-FR"/>
        </w:rPr>
        <w:t xml:space="preserve"> </w:t>
      </w:r>
      <w:r w:rsidR="007263C9">
        <w:rPr>
          <w:lang w:val="fr-FR"/>
        </w:rPr>
        <w:t>r)</w:t>
      </w:r>
      <w:r w:rsidRPr="00352B13">
        <w:rPr>
          <w:lang w:val="fr-FR"/>
        </w:rPr>
        <w:t xml:space="preserve">, respectively. </w:t>
      </w:r>
      <w:r w:rsidR="007263C9">
        <w:rPr>
          <w:lang w:val="fr-FR"/>
        </w:rPr>
        <w:t>φ</w:t>
      </w:r>
      <w:r w:rsidR="007263C9" w:rsidRPr="007263C9">
        <w:rPr>
          <w:vertAlign w:val="subscript"/>
          <w:lang w:val="fr-FR"/>
        </w:rPr>
        <w:t>it|s</w:t>
      </w:r>
      <w:r w:rsidRPr="00352B13">
        <w:rPr>
          <w:lang w:val="fr-FR"/>
        </w:rPr>
        <w:t xml:space="preserve"> und </w:t>
      </w:r>
      <w:r w:rsidR="007263C9">
        <w:rPr>
          <w:lang w:val="fr-FR"/>
        </w:rPr>
        <w:t>λ</w:t>
      </w:r>
      <w:r w:rsidR="007263C9" w:rsidRPr="007263C9">
        <w:rPr>
          <w:vertAlign w:val="subscript"/>
          <w:lang w:val="fr-FR"/>
        </w:rPr>
        <w:t>it|s</w:t>
      </w:r>
      <w:r w:rsidRPr="00352B13">
        <w:rPr>
          <w:lang w:val="fr-FR"/>
        </w:rPr>
        <w:t xml:space="preserve"> erfassen die bedingte Null-Infations-Wahrscheinlichkeit und den bedingten erwarteten Kauf des Kunden i (im Zustand s) zum Zeitpunkt t.</w:t>
      </w:r>
    </w:p>
    <w:p w14:paraId="61769E24" w14:textId="77777777" w:rsidR="00352B13" w:rsidRPr="00352B13" w:rsidRDefault="00352B13" w:rsidP="00352B13">
      <w:pPr>
        <w:rPr>
          <w:lang w:val="fr-FR"/>
        </w:rPr>
      </w:pPr>
    </w:p>
    <w:p w14:paraId="6AAC111B" w14:textId="4E48DAA8" w:rsidR="00126D8E" w:rsidRDefault="00352B13" w:rsidP="00352B13">
      <w:pPr>
        <w:rPr>
          <w:lang w:val="fr-FR"/>
        </w:rPr>
      </w:pPr>
      <w:r w:rsidRPr="00352B13">
        <w:rPr>
          <w:lang w:val="fr-FR"/>
        </w:rPr>
        <w:t>Um den Überschuss an Nicht-Käufen zu berücksichtigen, modellieren wir die bedingte Null-Infations-Komponente der ZINBD (</w:t>
      </w:r>
      <w:r w:rsidR="007263C9">
        <w:rPr>
          <w:lang w:val="fr-FR"/>
        </w:rPr>
        <w:t>φ</w:t>
      </w:r>
      <w:r w:rsidR="007263C9" w:rsidRPr="007263C9">
        <w:rPr>
          <w:vertAlign w:val="subscript"/>
          <w:lang w:val="fr-FR"/>
        </w:rPr>
        <w:t>it|s</w:t>
      </w:r>
      <w:r w:rsidRPr="00352B13">
        <w:rPr>
          <w:lang w:val="fr-FR"/>
        </w:rPr>
        <w:t>) als:</w:t>
      </w:r>
    </w:p>
    <w:p w14:paraId="1F79BDB2" w14:textId="77777777" w:rsidR="007263C9" w:rsidRDefault="007263C9" w:rsidP="00352B13">
      <w:pPr>
        <w:rPr>
          <w:lang w:val="fr-FR"/>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BE5991" w14:paraId="133B5FCD" w14:textId="77777777" w:rsidTr="00FE676F">
        <w:tc>
          <w:tcPr>
            <w:tcW w:w="8500" w:type="dxa"/>
            <w:vAlign w:val="center"/>
          </w:tcPr>
          <w:p w14:paraId="6957A9A5" w14:textId="3B81FE08" w:rsidR="00BE5991" w:rsidRDefault="00000000" w:rsidP="00C36990">
            <w:pPr>
              <w:jc w:val="center"/>
              <w:rPr>
                <w:lang w:val="fr-FR"/>
              </w:rPr>
            </w:pPr>
            <m:oMathPara>
              <m:oMath>
                <m:sSub>
                  <m:sSubPr>
                    <m:ctrlPr>
                      <w:rPr>
                        <w:rFonts w:ascii="Cambria Math" w:eastAsia="Cambria Math" w:hAnsi="Cambria Math" w:cs="Cambria Math"/>
                        <w:i/>
                        <w:lang w:val="fr-FR"/>
                      </w:rPr>
                    </m:ctrlPr>
                  </m:sSubPr>
                  <m:e>
                    <m:r>
                      <w:rPr>
                        <w:rFonts w:ascii="Cambria Math" w:eastAsia="Cambria Math" w:hAnsi="Cambria Math" w:cs="Cambria Math"/>
                        <w:lang w:val="fr-FR"/>
                      </w:rPr>
                      <m:t>φ</m:t>
                    </m:r>
                  </m:e>
                  <m:sub>
                    <m:r>
                      <w:rPr>
                        <w:rFonts w:ascii="Cambria Math" w:eastAsia="Cambria Math" w:hAnsi="Cambria Math" w:cs="Cambria Math"/>
                        <w:lang w:val="fr-FR"/>
                      </w:rPr>
                      <m:t>it|s</m:t>
                    </m:r>
                  </m:sub>
                </m:sSub>
                <m:r>
                  <w:rPr>
                    <w:rFonts w:ascii="Cambria Math" w:eastAsia="Cambria Math" w:hAnsi="Cambria Math" w:cs="Cambria Math"/>
                    <w:lang w:val="fr-FR"/>
                  </w:rPr>
                  <m:t xml:space="preserve">= </m:t>
                </m:r>
                <m:f>
                  <m:fPr>
                    <m:ctrlPr>
                      <w:rPr>
                        <w:rFonts w:ascii="Cambria Math" w:hAnsi="Cambria Math"/>
                        <w:i/>
                      </w:rPr>
                    </m:ctrlPr>
                  </m:fPr>
                  <m:num>
                    <m:r>
                      <w:rPr>
                        <w:rFonts w:ascii="Cambria Math" w:hAnsi="Cambria Math"/>
                      </w:rPr>
                      <m:t>1</m:t>
                    </m:r>
                  </m:num>
                  <m:den>
                    <m:r>
                      <m:rPr>
                        <m:sty m:val="p"/>
                      </m:rPr>
                      <w:rPr>
                        <w:rFonts w:ascii="Cambria Math" w:hAnsi="Cambria Math"/>
                      </w:rPr>
                      <m:t>1+exp⁡[</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0i|s</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1i|s</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it</m:t>
                                </m:r>
                              </m:sub>
                            </m:sSub>
                          </m:e>
                        </m:d>
                      </m:e>
                    </m:func>
                    <m:r>
                      <w:rPr>
                        <w:rFonts w:ascii="Cambria Math" w:hAnsi="Cambria Math"/>
                      </w:rPr>
                      <m:t xml:space="preserve">] </m:t>
                    </m:r>
                  </m:den>
                </m:f>
              </m:oMath>
            </m:oMathPara>
          </w:p>
        </w:tc>
        <w:tc>
          <w:tcPr>
            <w:tcW w:w="561" w:type="dxa"/>
            <w:vAlign w:val="center"/>
          </w:tcPr>
          <w:p w14:paraId="63140CC9" w14:textId="5229F255" w:rsidR="00BE5991" w:rsidRPr="00C36990" w:rsidRDefault="00BE5991" w:rsidP="00FE676F">
            <w:pPr>
              <w:jc w:val="right"/>
            </w:pPr>
            <w:r>
              <w:t>(</w:t>
            </w:r>
            <w:fldSimple w:instr=" SEQ Formel \* ARABIC ">
              <w:r>
                <w:rPr>
                  <w:noProof/>
                </w:rPr>
                <w:t>8</w:t>
              </w:r>
            </w:fldSimple>
            <w:r>
              <w:t>)</w:t>
            </w:r>
          </w:p>
        </w:tc>
      </w:tr>
    </w:tbl>
    <w:p w14:paraId="15ACC575" w14:textId="7CFF76C4" w:rsidR="00126D8E" w:rsidRDefault="00126D8E" w:rsidP="00126D8E">
      <w:pPr>
        <w:rPr>
          <w:lang w:val="fr-FR"/>
        </w:rPr>
      </w:pPr>
    </w:p>
    <w:p w14:paraId="0CE20497" w14:textId="60725D21" w:rsidR="00126D8E" w:rsidRDefault="007263C9" w:rsidP="00126D8E">
      <w:pPr>
        <w:rPr>
          <w:lang w:val="fr-FR"/>
        </w:rPr>
      </w:pPr>
      <w:r>
        <w:t>wobei δ</w:t>
      </w:r>
      <w:r w:rsidRPr="007263C9">
        <w:rPr>
          <w:vertAlign w:val="subscript"/>
        </w:rPr>
        <w:t xml:space="preserve">0i|s </w:t>
      </w:r>
      <w:r>
        <w:t>und δ</w:t>
      </w:r>
      <w:r w:rsidRPr="007263C9">
        <w:rPr>
          <w:vertAlign w:val="subscript"/>
        </w:rPr>
        <w:t>1i</w:t>
      </w:r>
      <w:r>
        <w:rPr>
          <w:vertAlign w:val="subscript"/>
        </w:rPr>
        <w:t>|</w:t>
      </w:r>
      <w:r w:rsidRPr="007263C9">
        <w:rPr>
          <w:vertAlign w:val="subscript"/>
        </w:rPr>
        <w:t>s</w:t>
      </w:r>
      <w:r>
        <w:t xml:space="preserve"> den intrinsischen Nutzen des Kaufs und den Effekt der Dauerabhängigkeit im Zustand s wiedergeben, jeweils. Wir erfassen die Dauerabhängigkeit durch die Variable Zeit seit dem letzten Kauf (LY</w:t>
      </w:r>
      <w:r w:rsidRPr="00CB2437">
        <w:rPr>
          <w:vertAlign w:val="subscript"/>
        </w:rPr>
        <w:t>it</w:t>
      </w:r>
      <w:r>
        <w:t>). Wir verwenden den natürlichen Logarithmus von LY</w:t>
      </w:r>
      <w:r w:rsidRPr="00CB2437">
        <w:rPr>
          <w:vertAlign w:val="subscript"/>
        </w:rPr>
        <w:t>it</w:t>
      </w:r>
      <w:r>
        <w:t xml:space="preserve">, um den abnehmenden Effekt zu erfassen. Um die unerfasste Heterogenität zu berücksichtigen, erlauben wir, dass </w:t>
      </w:r>
      <w:r w:rsidR="00CB2437">
        <w:t>δ</w:t>
      </w:r>
      <w:r w:rsidRPr="00CB2437">
        <w:rPr>
          <w:vertAlign w:val="subscript"/>
        </w:rPr>
        <w:t>ki</w:t>
      </w:r>
      <w:r w:rsidR="00CB2437">
        <w:rPr>
          <w:vertAlign w:val="subscript"/>
        </w:rPr>
        <w:t>|</w:t>
      </w:r>
      <w:r w:rsidRPr="00CB2437">
        <w:rPr>
          <w:vertAlign w:val="subscript"/>
        </w:rPr>
        <w:t>s</w:t>
      </w:r>
      <w:r>
        <w:t xml:space="preserve"> (für k=0,1) kundenspezifisch sind. Wir nehmen an, dass </w:t>
      </w:r>
      <w:r w:rsidR="00CB2437">
        <w:t>δ</w:t>
      </w:r>
      <w:r w:rsidR="00CB2437" w:rsidRPr="00CB2437">
        <w:rPr>
          <w:vertAlign w:val="subscript"/>
        </w:rPr>
        <w:t>ki</w:t>
      </w:r>
      <w:r w:rsidR="00CB2437">
        <w:rPr>
          <w:vertAlign w:val="subscript"/>
        </w:rPr>
        <w:t>|</w:t>
      </w:r>
      <w:r w:rsidR="00CB2437" w:rsidRPr="00CB2437">
        <w:rPr>
          <w:vertAlign w:val="subscript"/>
        </w:rPr>
        <w:t>s</w:t>
      </w:r>
      <w:r>
        <w:t xml:space="preserve"> (für k=0,1) über Kunden wie folgt normal verteilt sind: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6D35B1" w14:paraId="0EB7B778" w14:textId="77777777" w:rsidTr="00FE676F">
        <w:tc>
          <w:tcPr>
            <w:tcW w:w="8500" w:type="dxa"/>
            <w:vAlign w:val="center"/>
          </w:tcPr>
          <w:p w14:paraId="0B5B07DA" w14:textId="6F8ED864" w:rsidR="006D35B1" w:rsidRDefault="00000000" w:rsidP="00C36990">
            <w:pPr>
              <w:jc w:val="center"/>
              <w:rPr>
                <w:lang w:val="fr-FR"/>
              </w:rPr>
            </w:pPr>
            <m:oMathPara>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ki|s</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k|s</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ki</m:t>
                    </m:r>
                  </m:sub>
                </m:sSub>
                <m:r>
                  <w:rPr>
                    <w:rFonts w:ascii="Cambria Math" w:hAnsi="Cambria Math"/>
                  </w:rPr>
                  <m:t>, k=0, 1</m:t>
                </m:r>
              </m:oMath>
            </m:oMathPara>
          </w:p>
        </w:tc>
        <w:tc>
          <w:tcPr>
            <w:tcW w:w="561" w:type="dxa"/>
            <w:vAlign w:val="center"/>
          </w:tcPr>
          <w:p w14:paraId="3E48ECF8" w14:textId="594CDD3C" w:rsidR="006D35B1" w:rsidRPr="00C36990" w:rsidRDefault="006D35B1" w:rsidP="00FE676F">
            <w:pPr>
              <w:jc w:val="right"/>
            </w:pPr>
            <w:r>
              <w:t>(</w:t>
            </w:r>
            <w:fldSimple w:instr=" SEQ Formel \* ARABIC ">
              <w:r>
                <w:rPr>
                  <w:noProof/>
                </w:rPr>
                <w:t>9</w:t>
              </w:r>
            </w:fldSimple>
            <w:r>
              <w:t>)</w:t>
            </w:r>
          </w:p>
        </w:tc>
      </w:tr>
    </w:tbl>
    <w:p w14:paraId="7F2BDAC2" w14:textId="03FC7079" w:rsidR="00126D8E" w:rsidRDefault="00126D8E" w:rsidP="00126D8E">
      <w:pPr>
        <w:rPr>
          <w:lang w:val="fr-FR"/>
        </w:rPr>
      </w:pPr>
    </w:p>
    <w:p w14:paraId="490BC137" w14:textId="700B30B3" w:rsidR="00CB2437" w:rsidRDefault="00CB2437" w:rsidP="00CB2437">
      <w:r>
        <w:t xml:space="preserve">wobei </w:t>
      </w:r>
      <w:r>
        <w:rPr>
          <w:rFonts w:ascii="Cambria Math" w:hAnsi="Cambria Math"/>
        </w:rPr>
        <w:t>∇</w:t>
      </w:r>
      <w:r>
        <w:t>δ</w:t>
      </w:r>
      <w:r w:rsidRPr="00CB2437">
        <w:rPr>
          <w:vertAlign w:val="subscript"/>
        </w:rPr>
        <w:t>ki</w:t>
      </w:r>
      <w:r>
        <w:t xml:space="preserve"> ~ N(0, σ</w:t>
      </w:r>
      <w:r w:rsidRPr="00CB2437">
        <w:rPr>
          <w:vertAlign w:val="subscript"/>
        </w:rPr>
        <w:t>ki</w:t>
      </w:r>
      <w:r w:rsidRPr="00CB2437">
        <w:rPr>
          <w:vertAlign w:val="superscript"/>
        </w:rPr>
        <w:t>2</w:t>
      </w:r>
      <w:r>
        <w:t>) für k = 0,1.</w:t>
      </w:r>
    </w:p>
    <w:p w14:paraId="4A36D676" w14:textId="20D953EB" w:rsidR="00126D8E" w:rsidRDefault="00CB2437" w:rsidP="00126D8E">
      <w:r>
        <w:t>Wir modellieren die zweite Komponente des bedingten Kaufmodells (d. h. bedingter erwartete Anzahl an Käufen [</w:t>
      </w:r>
      <w:r w:rsidR="00BC56B1">
        <w:rPr>
          <w:lang w:val="fr-FR"/>
        </w:rPr>
        <w:t>λ</w:t>
      </w:r>
      <w:r w:rsidR="00BC56B1" w:rsidRPr="007263C9">
        <w:rPr>
          <w:vertAlign w:val="subscript"/>
          <w:lang w:val="fr-FR"/>
        </w:rPr>
        <w:t>it|s</w:t>
      </w:r>
      <w:r>
        <w:t>]) als eine Funktion der Anzahl der E-Mails, die von der Firma gesendet wurden (EM</w:t>
      </w:r>
      <w:r w:rsidRPr="00BC56B1">
        <w:rPr>
          <w:vertAlign w:val="subscript"/>
        </w:rPr>
        <w:t>it</w:t>
      </w:r>
      <w:r>
        <w:t>), gegeben durch</w:t>
      </w:r>
    </w:p>
    <w:p w14:paraId="5612CAEB" w14:textId="77777777" w:rsidR="00CB2437" w:rsidRPr="00CB2437" w:rsidRDefault="00CB2437" w:rsidP="00126D8E"/>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3"/>
        <w:gridCol w:w="608"/>
      </w:tblGrid>
      <w:tr w:rsidR="006D35B1" w14:paraId="4168C190" w14:textId="77777777" w:rsidTr="00FE676F">
        <w:tc>
          <w:tcPr>
            <w:tcW w:w="8500" w:type="dxa"/>
            <w:vAlign w:val="center"/>
          </w:tcPr>
          <w:p w14:paraId="53C67203" w14:textId="2EA4318C" w:rsidR="006D35B1" w:rsidRDefault="00000000" w:rsidP="00C36990">
            <w:pPr>
              <w:jc w:val="center"/>
              <w:rPr>
                <w:lang w:val="fr-FR"/>
              </w:rPr>
            </w:pPr>
            <m:oMathPara>
              <m:oMath>
                <m:sSub>
                  <m:sSubPr>
                    <m:ctrlPr>
                      <w:rPr>
                        <w:rFonts w:ascii="Cambria Math" w:eastAsia="Cambria Math" w:hAnsi="Cambria Math" w:cs="Cambria Math"/>
                        <w:i/>
                        <w:lang w:val="fr-FR"/>
                      </w:rPr>
                    </m:ctrlPr>
                  </m:sSubPr>
                  <m:e>
                    <m:r>
                      <w:rPr>
                        <w:rFonts w:ascii="Cambria Math" w:eastAsia="Cambria Math" w:hAnsi="Cambria Math" w:cs="Cambria Math"/>
                        <w:lang w:val="fr-FR"/>
                      </w:rPr>
                      <m:t>λ</m:t>
                    </m:r>
                  </m:e>
                  <m:sub>
                    <m:r>
                      <w:rPr>
                        <w:rFonts w:ascii="Cambria Math" w:eastAsia="Cambria Math" w:hAnsi="Cambria Math" w:cs="Cambria Math"/>
                        <w:lang w:val="fr-FR"/>
                      </w:rPr>
                      <m:t>it|s</m:t>
                    </m:r>
                  </m:sub>
                </m:sSub>
                <m:r>
                  <w:rPr>
                    <w:rFonts w:ascii="Cambria Math" w:eastAsia="Cambria Math" w:hAnsi="Cambria Math" w:cs="Cambria Math"/>
                    <w:lang w:val="fr-FR"/>
                  </w:rPr>
                  <m:t>=</m:t>
                </m:r>
                <m:r>
                  <m:rPr>
                    <m:sty m:val="p"/>
                  </m:rPr>
                  <w:rPr>
                    <w:rFonts w:ascii="Cambria Math" w:eastAsia="Cambria Math" w:hAnsi="Cambria Math" w:cs="Cambria Math"/>
                    <w:lang w:val="fr-FR"/>
                  </w:rPr>
                  <m:t>exp⁡</m:t>
                </m:r>
                <m:r>
                  <w:rPr>
                    <w:rFonts w:ascii="Cambria Math" w:eastAsia="Cambria Math" w:hAnsi="Cambria Math" w:cs="Cambria Math"/>
                    <w:lang w:val="fr-FR"/>
                  </w:rPr>
                  <m:t>(</m:t>
                </m:r>
                <m:sSub>
                  <m:sSubPr>
                    <m:ctrlPr>
                      <w:rPr>
                        <w:rFonts w:ascii="Cambria Math" w:hAnsi="Cambria Math"/>
                        <w:i/>
                        <w:lang w:val="fr-FR"/>
                      </w:rPr>
                    </m:ctrlPr>
                  </m:sSubPr>
                  <m:e>
                    <m:r>
                      <w:rPr>
                        <w:rFonts w:ascii="Cambria Math" w:hAnsi="Cambria Math"/>
                        <w:lang w:val="fr-FR"/>
                      </w:rPr>
                      <m:t>α</m:t>
                    </m:r>
                  </m:e>
                  <m:sub>
                    <m:r>
                      <w:rPr>
                        <w:rFonts w:ascii="Cambria Math" w:hAnsi="Cambria Math"/>
                        <w:lang w:val="fr-FR"/>
                      </w:rPr>
                      <m:t>ip|s</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1,ip|s</m:t>
                    </m:r>
                  </m:sub>
                </m:sSub>
                <m:r>
                  <w:rPr>
                    <w:rFonts w:ascii="Cambria Math" w:hAnsi="Cambria Math"/>
                    <w:lang w:val="fr-FR"/>
                  </w:rPr>
                  <m:t>E</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it</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2,ip|s</m:t>
                    </m:r>
                  </m:sub>
                </m:sSub>
                <m:r>
                  <w:rPr>
                    <w:rFonts w:ascii="Cambria Math" w:hAnsi="Cambria Math"/>
                    <w:lang w:val="fr-FR"/>
                  </w:rPr>
                  <m:t>E</m:t>
                </m:r>
                <m:sSubSup>
                  <m:sSubSupPr>
                    <m:ctrlPr>
                      <w:rPr>
                        <w:rFonts w:ascii="Cambria Math" w:hAnsi="Cambria Math"/>
                        <w:i/>
                        <w:lang w:val="fr-FR"/>
                      </w:rPr>
                    </m:ctrlPr>
                  </m:sSubSupPr>
                  <m:e>
                    <m:r>
                      <w:rPr>
                        <w:rFonts w:ascii="Cambria Math" w:hAnsi="Cambria Math"/>
                        <w:lang w:val="fr-FR"/>
                      </w:rPr>
                      <m:t>M</m:t>
                    </m:r>
                  </m:e>
                  <m:sub>
                    <m:r>
                      <w:rPr>
                        <w:rFonts w:ascii="Cambria Math" w:hAnsi="Cambria Math"/>
                        <w:lang w:val="fr-FR"/>
                      </w:rPr>
                      <m:t>it</m:t>
                    </m:r>
                  </m:sub>
                  <m:sup>
                    <m:r>
                      <w:rPr>
                        <w:rFonts w:ascii="Cambria Math" w:hAnsi="Cambria Math"/>
                        <w:lang w:val="fr-FR"/>
                      </w:rPr>
                      <m:t>2</m:t>
                    </m:r>
                  </m:sup>
                </m:sSubSup>
                <m:r>
                  <w:rPr>
                    <w:rFonts w:ascii="Cambria Math" w:hAnsi="Cambria Math"/>
                    <w:lang w:val="fr-FR"/>
                  </w:rPr>
                  <m:t>)</m:t>
                </m:r>
              </m:oMath>
            </m:oMathPara>
          </w:p>
        </w:tc>
        <w:tc>
          <w:tcPr>
            <w:tcW w:w="561" w:type="dxa"/>
            <w:vAlign w:val="center"/>
          </w:tcPr>
          <w:p w14:paraId="7F10C529" w14:textId="47F3A091" w:rsidR="006D35B1" w:rsidRPr="00C36990" w:rsidRDefault="006D35B1" w:rsidP="00FE676F">
            <w:pPr>
              <w:jc w:val="right"/>
            </w:pPr>
            <w:r>
              <w:t>(</w:t>
            </w:r>
            <w:fldSimple w:instr=" SEQ Formel \* ARABIC ">
              <w:r>
                <w:rPr>
                  <w:noProof/>
                </w:rPr>
                <w:t>10</w:t>
              </w:r>
            </w:fldSimple>
            <w:r>
              <w:t>)</w:t>
            </w:r>
          </w:p>
        </w:tc>
      </w:tr>
    </w:tbl>
    <w:p w14:paraId="75A14A18" w14:textId="0CB59C32" w:rsidR="00126D8E" w:rsidRDefault="00126D8E" w:rsidP="00126D8E">
      <w:pPr>
        <w:rPr>
          <w:lang w:val="fr-FR"/>
        </w:rPr>
      </w:pPr>
    </w:p>
    <w:p w14:paraId="3458E08E" w14:textId="67CD90AE" w:rsidR="00BC56B1" w:rsidRDefault="00BC56B1" w:rsidP="00BC56B1">
      <w:r>
        <w:t>Bedingt auf den Zustand s, ist α</w:t>
      </w:r>
      <w:r w:rsidRPr="00BC56B1">
        <w:rPr>
          <w:vertAlign w:val="subscript"/>
        </w:rPr>
        <w:t>ip|s</w:t>
      </w:r>
      <w:r>
        <w:t xml:space="preserve"> die intrinsische Neigung zum Kauf und β</w:t>
      </w:r>
      <w:r w:rsidRPr="00BC56B1">
        <w:rPr>
          <w:vertAlign w:val="subscript"/>
        </w:rPr>
        <w:t>1,ip|s</w:t>
      </w:r>
      <w:r>
        <w:t xml:space="preserve"> und β</w:t>
      </w:r>
      <w:r w:rsidRPr="00BC56B1">
        <w:rPr>
          <w:vertAlign w:val="subscript"/>
        </w:rPr>
        <w:t>2,ip</w:t>
      </w:r>
      <w:r>
        <w:rPr>
          <w:vertAlign w:val="subscript"/>
        </w:rPr>
        <w:t>|</w:t>
      </w:r>
      <w:r w:rsidRPr="00BC56B1">
        <w:rPr>
          <w:vertAlign w:val="subscript"/>
        </w:rPr>
        <w:t>s</w:t>
      </w:r>
      <w:r>
        <w:t xml:space="preserve"> sind die entsprechenden Antwortparameter. Beachten Sie, dass wir im Gegensatz zum CEOM keine Identifikationsbeschränkungen für die Parameter des CPM auferlegen. Mit anderen Worten, wir machen keine Einschränkungen wie α</w:t>
      </w:r>
      <w:r w:rsidRPr="00BC56B1">
        <w:rPr>
          <w:vertAlign w:val="subscript"/>
        </w:rPr>
        <w:t>ip|</w:t>
      </w:r>
      <w:r>
        <w:rPr>
          <w:vertAlign w:val="subscript"/>
        </w:rPr>
        <w:t>1</w:t>
      </w:r>
      <w:r>
        <w:t xml:space="preserve"> ≤ α</w:t>
      </w:r>
      <w:r w:rsidRPr="00BC56B1">
        <w:rPr>
          <w:vertAlign w:val="subscript"/>
        </w:rPr>
        <w:t>ip|</w:t>
      </w:r>
      <w:r>
        <w:rPr>
          <w:vertAlign w:val="subscript"/>
        </w:rPr>
        <w:t>2</w:t>
      </w:r>
      <w:r>
        <w:t xml:space="preserve"> ≤ … ≤ α</w:t>
      </w:r>
      <w:r w:rsidRPr="00BC56B1">
        <w:rPr>
          <w:vertAlign w:val="subscript"/>
        </w:rPr>
        <w:t>ip|</w:t>
      </w:r>
      <w:r>
        <w:rPr>
          <w:vertAlign w:val="subscript"/>
        </w:rPr>
        <w:t>NS</w:t>
      </w:r>
      <w:r>
        <w:t xml:space="preserve"> und/oder δ</w:t>
      </w:r>
      <w:r w:rsidRPr="00BC56B1">
        <w:rPr>
          <w:vertAlign w:val="subscript"/>
        </w:rPr>
        <w:t>ip|</w:t>
      </w:r>
      <w:r>
        <w:rPr>
          <w:vertAlign w:val="subscript"/>
        </w:rPr>
        <w:t>1</w:t>
      </w:r>
      <w:r>
        <w:t xml:space="preserve"> ≤ δ</w:t>
      </w:r>
      <w:r w:rsidRPr="00BC56B1">
        <w:rPr>
          <w:vertAlign w:val="subscript"/>
        </w:rPr>
        <w:t>ip|</w:t>
      </w:r>
      <w:r>
        <w:rPr>
          <w:vertAlign w:val="subscript"/>
        </w:rPr>
        <w:t>2</w:t>
      </w:r>
      <w:r>
        <w:t xml:space="preserve"> ≤ … ≤ δ</w:t>
      </w:r>
      <w:r w:rsidRPr="00BC56B1">
        <w:rPr>
          <w:vertAlign w:val="subscript"/>
        </w:rPr>
        <w:t>ip|</w:t>
      </w:r>
      <w:r>
        <w:rPr>
          <w:vertAlign w:val="subscript"/>
        </w:rPr>
        <w:t>NS</w:t>
      </w:r>
      <w:r>
        <w:t>. Diese freiheitsgradreiche Spezifikation (im CPM) ermöglicht es unserem Modell flexibel zu sein, sodass beispielsweise Kunden in einem aktiveren E-Mail-Öffnungsstatus weniger aktiv bei Käufen sein können oder umgekehrt. Mit anderen Worten, anstatt Beschränkungen vorzugeben, dass e-mail-aktive Kunden auf Käufen aktiv sein müssen, lassen wir die Daten zeigen, ob dies wirklich der Fall ist.</w:t>
      </w:r>
    </w:p>
    <w:p w14:paraId="50AB74FC" w14:textId="77777777" w:rsidR="00BC56B1" w:rsidRDefault="00BC56B1" w:rsidP="00BC56B1"/>
    <w:p w14:paraId="4B5FD7EA" w14:textId="08B5BB71" w:rsidR="00126D8E" w:rsidRDefault="00BC56B1" w:rsidP="00126D8E">
      <w:r>
        <w:t>Um die unerkannte Heterogenität zu berücksichtigen, erlauben wir α</w:t>
      </w:r>
      <w:r w:rsidRPr="00BC56B1">
        <w:rPr>
          <w:vertAlign w:val="subscript"/>
        </w:rPr>
        <w:t>ip|s</w:t>
      </w:r>
      <w:r>
        <w:t>, β</w:t>
      </w:r>
      <w:r w:rsidRPr="00BC56B1">
        <w:rPr>
          <w:vertAlign w:val="subscript"/>
        </w:rPr>
        <w:t>1,ip|s</w:t>
      </w:r>
      <w:r>
        <w:t xml:space="preserve"> und β</w:t>
      </w:r>
      <w:r>
        <w:rPr>
          <w:vertAlign w:val="subscript"/>
        </w:rPr>
        <w:t>2</w:t>
      </w:r>
      <w:r w:rsidRPr="00BC56B1">
        <w:rPr>
          <w:vertAlign w:val="subscript"/>
        </w:rPr>
        <w:t>,ip|s</w:t>
      </w:r>
      <w:r>
        <w:t xml:space="preserve"> kundenspezifisch zu sein. Wir gehen davon aus, dass α</w:t>
      </w:r>
      <w:r w:rsidRPr="00BC56B1">
        <w:rPr>
          <w:vertAlign w:val="subscript"/>
        </w:rPr>
        <w:t>ip|s</w:t>
      </w:r>
      <w:r>
        <w:t xml:space="preserve"> und β</w:t>
      </w:r>
      <w:r>
        <w:rPr>
          <w:vertAlign w:val="subscript"/>
        </w:rPr>
        <w:t>k</w:t>
      </w:r>
      <w:r w:rsidRPr="00BC56B1">
        <w:rPr>
          <w:vertAlign w:val="subscript"/>
        </w:rPr>
        <w:t>,ip|s</w:t>
      </w:r>
      <w:r>
        <w:t xml:space="preserve"> (für k = 1,2) bei den Kunden wie folgt normal verteilt sind:</w:t>
      </w:r>
    </w:p>
    <w:p w14:paraId="59DCA5AB" w14:textId="77777777" w:rsidR="00BC56B1" w:rsidRPr="00BC56B1" w:rsidRDefault="00BC56B1" w:rsidP="00126D8E"/>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3"/>
        <w:gridCol w:w="608"/>
      </w:tblGrid>
      <w:tr w:rsidR="006D35B1" w14:paraId="7AB8E811" w14:textId="77777777" w:rsidTr="00FE676F">
        <w:tc>
          <w:tcPr>
            <w:tcW w:w="8500" w:type="dxa"/>
            <w:vAlign w:val="center"/>
          </w:tcPr>
          <w:p w14:paraId="5FC59175" w14:textId="12FFAE41" w:rsidR="006D35B1" w:rsidRPr="0053560C" w:rsidRDefault="00000000" w:rsidP="006D35B1">
            <w:pPr>
              <w:jc w:val="center"/>
              <w:rPr>
                <w:lang w:val="fr-FR"/>
              </w:rPr>
            </w:pPr>
            <m:oMathPara>
              <m:oMath>
                <m:sSub>
                  <m:sSubPr>
                    <m:ctrlPr>
                      <w:rPr>
                        <w:rFonts w:ascii="Cambria Math" w:hAnsi="Cambria Math"/>
                        <w:i/>
                        <w:lang w:val="fr-FR"/>
                      </w:rPr>
                    </m:ctrlPr>
                  </m:sSubPr>
                  <m:e>
                    <m:r>
                      <w:rPr>
                        <w:rFonts w:ascii="Cambria Math" w:hAnsi="Cambria Math"/>
                        <w:lang w:val="fr-FR"/>
                      </w:rPr>
                      <m:t>α</m:t>
                    </m:r>
                  </m:e>
                  <m:sub>
                    <m:r>
                      <w:rPr>
                        <w:rFonts w:ascii="Cambria Math" w:hAnsi="Cambria Math"/>
                        <w:lang w:val="fr-FR"/>
                      </w:rPr>
                      <m:t>ip|s</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α</m:t>
                    </m:r>
                  </m:e>
                  <m:sub>
                    <m:r>
                      <w:rPr>
                        <w:rFonts w:ascii="Cambria Math" w:hAnsi="Cambria Math"/>
                        <w:lang w:val="fr-FR"/>
                      </w:rPr>
                      <m:t>p|s</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∇α</m:t>
                    </m:r>
                  </m:e>
                  <m:sub>
                    <m:r>
                      <w:rPr>
                        <w:rFonts w:ascii="Cambria Math" w:hAnsi="Cambria Math"/>
                        <w:lang w:val="fr-FR"/>
                      </w:rPr>
                      <m:t>ip</m:t>
                    </m:r>
                  </m:sub>
                </m:sSub>
                <m:r>
                  <w:rPr>
                    <w:rFonts w:ascii="Cambria Math" w:hAnsi="Cambria Math"/>
                    <w:lang w:val="fr-FR"/>
                  </w:rPr>
                  <m:t xml:space="preserve">  und</m:t>
                </m:r>
              </m:oMath>
            </m:oMathPara>
          </w:p>
          <w:p w14:paraId="396A1723" w14:textId="332704B2" w:rsidR="006D35B1" w:rsidRDefault="00000000" w:rsidP="006D35B1">
            <w:pPr>
              <w:jc w:val="center"/>
              <w:rPr>
                <w:lang w:val="fr-FR"/>
              </w:rPr>
            </w:pPr>
            <m:oMath>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k,ip|s</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k,p|s</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k,ip</m:t>
                  </m:r>
                </m:sub>
              </m:sSub>
              <m:r>
                <w:rPr>
                  <w:rFonts w:ascii="Cambria Math" w:hAnsi="Cambria Math"/>
                  <w:lang w:val="fr-FR"/>
                </w:rPr>
                <m:t>, k=1,2,</m:t>
              </m:r>
            </m:oMath>
            <w:r w:rsidR="006D35B1">
              <w:rPr>
                <w:lang w:val="fr-FR"/>
              </w:rPr>
              <w:t xml:space="preserve"> ,</w:t>
            </w:r>
          </w:p>
          <w:p w14:paraId="1B236F53" w14:textId="7DDB1B7D" w:rsidR="006D35B1" w:rsidRDefault="006D35B1" w:rsidP="006D35B1">
            <w:pPr>
              <w:jc w:val="center"/>
              <w:rPr>
                <w:lang w:val="fr-FR"/>
              </w:rPr>
            </w:pPr>
            <w:r>
              <w:rPr>
                <w:lang w:val="fr-FR"/>
              </w:rPr>
              <w:t xml:space="preserve">wobei </w:t>
            </w:r>
            <m:oMath>
              <m:sSub>
                <m:sSubPr>
                  <m:ctrlPr>
                    <w:rPr>
                      <w:rFonts w:ascii="Cambria Math" w:hAnsi="Cambria Math"/>
                      <w:i/>
                      <w:lang w:val="fr-FR"/>
                    </w:rPr>
                  </m:ctrlPr>
                </m:sSubPr>
                <m:e>
                  <m:r>
                    <w:rPr>
                      <w:rFonts w:ascii="Cambria Math" w:hAnsi="Cambria Math"/>
                      <w:lang w:val="fr-FR"/>
                    </w:rPr>
                    <m:t>∇α</m:t>
                  </m:r>
                </m:e>
                <m:sub>
                  <m:r>
                    <w:rPr>
                      <w:rFonts w:ascii="Cambria Math" w:hAnsi="Cambria Math"/>
                      <w:lang w:val="fr-FR"/>
                    </w:rPr>
                    <m:t>ip</m:t>
                  </m:r>
                </m:sub>
              </m:sSub>
              <m:r>
                <w:rPr>
                  <w:rFonts w:ascii="Cambria Math" w:hAnsi="Cambria Math"/>
                  <w:lang w:val="fr-FR"/>
                </w:rPr>
                <m:t xml:space="preserve"> ∼ N</m:t>
              </m:r>
              <m:d>
                <m:dPr>
                  <m:ctrlPr>
                    <w:rPr>
                      <w:rFonts w:ascii="Cambria Math" w:hAnsi="Cambria Math"/>
                      <w:i/>
                      <w:lang w:val="fr-FR"/>
                    </w:rPr>
                  </m:ctrlPr>
                </m:dPr>
                <m:e>
                  <m:r>
                    <w:rPr>
                      <w:rFonts w:ascii="Cambria Math" w:hAnsi="Cambria Math"/>
                      <w:lang w:val="fr-FR"/>
                    </w:rPr>
                    <m:t xml:space="preserve">0, </m:t>
                  </m:r>
                  <m:sSubSup>
                    <m:sSubSupPr>
                      <m:ctrlPr>
                        <w:rPr>
                          <w:rFonts w:ascii="Cambria Math" w:hAnsi="Cambria Math"/>
                          <w:i/>
                          <w:lang w:val="fr-FR"/>
                        </w:rPr>
                      </m:ctrlPr>
                    </m:sSubSupPr>
                    <m:e>
                      <m:r>
                        <w:rPr>
                          <w:rFonts w:ascii="Cambria Math" w:hAnsi="Cambria Math"/>
                          <w:lang w:val="fr-FR"/>
                        </w:rPr>
                        <m:t>σ</m:t>
                      </m:r>
                    </m:e>
                    <m:sub>
                      <m:sSub>
                        <m:sSubPr>
                          <m:ctrlPr>
                            <w:rPr>
                              <w:rFonts w:ascii="Cambria Math" w:hAnsi="Cambria Math"/>
                              <w:i/>
                              <w:lang w:val="fr-FR"/>
                            </w:rPr>
                          </m:ctrlPr>
                        </m:sSubPr>
                        <m:e>
                          <m:r>
                            <w:rPr>
                              <w:rFonts w:ascii="Cambria Math" w:hAnsi="Cambria Math"/>
                              <w:lang w:val="fr-FR"/>
                            </w:rPr>
                            <m:t>α</m:t>
                          </m:r>
                        </m:e>
                        <m:sub>
                          <m:r>
                            <w:rPr>
                              <w:rFonts w:ascii="Cambria Math" w:hAnsi="Cambria Math"/>
                              <w:lang w:val="fr-FR"/>
                            </w:rPr>
                            <m:t>p</m:t>
                          </m:r>
                        </m:sub>
                      </m:sSub>
                    </m:sub>
                    <m:sup>
                      <m:r>
                        <w:rPr>
                          <w:rFonts w:ascii="Cambria Math" w:hAnsi="Cambria Math"/>
                          <w:lang w:val="fr-FR"/>
                        </w:rPr>
                        <m:t>2</m:t>
                      </m:r>
                    </m:sup>
                  </m:sSubSup>
                </m:e>
              </m:d>
              <m:r>
                <w:rPr>
                  <w:rFonts w:ascii="Cambria Math" w:hAnsi="Cambria Math"/>
                  <w:lang w:val="fr-FR"/>
                </w:rPr>
                <m:t xml:space="preserve"> und </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k,ip</m:t>
                  </m:r>
                </m:sub>
              </m:sSub>
              <m:r>
                <w:rPr>
                  <w:rFonts w:ascii="Cambria Math" w:hAnsi="Cambria Math"/>
                  <w:lang w:val="fr-FR"/>
                </w:rPr>
                <m:t xml:space="preserve"> ∼ N</m:t>
              </m:r>
              <m:d>
                <m:dPr>
                  <m:ctrlPr>
                    <w:rPr>
                      <w:rFonts w:ascii="Cambria Math" w:hAnsi="Cambria Math"/>
                      <w:i/>
                      <w:lang w:val="fr-FR"/>
                    </w:rPr>
                  </m:ctrlPr>
                </m:dPr>
                <m:e>
                  <m:r>
                    <w:rPr>
                      <w:rFonts w:ascii="Cambria Math" w:hAnsi="Cambria Math"/>
                      <w:lang w:val="fr-FR"/>
                    </w:rPr>
                    <m:t xml:space="preserve">0, </m:t>
                  </m:r>
                  <m:sSubSup>
                    <m:sSubSupPr>
                      <m:ctrlPr>
                        <w:rPr>
                          <w:rFonts w:ascii="Cambria Math" w:hAnsi="Cambria Math"/>
                          <w:i/>
                          <w:lang w:val="fr-FR"/>
                        </w:rPr>
                      </m:ctrlPr>
                    </m:sSubSupPr>
                    <m:e>
                      <m:r>
                        <w:rPr>
                          <w:rFonts w:ascii="Cambria Math" w:hAnsi="Cambria Math"/>
                          <w:lang w:val="fr-FR"/>
                        </w:rPr>
                        <m:t>σ</m:t>
                      </m:r>
                    </m:e>
                    <m:sub>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k,p</m:t>
                          </m:r>
                        </m:sub>
                      </m:sSub>
                    </m:sub>
                    <m:sup>
                      <m:r>
                        <w:rPr>
                          <w:rFonts w:ascii="Cambria Math" w:hAnsi="Cambria Math"/>
                          <w:lang w:val="fr-FR"/>
                        </w:rPr>
                        <m:t>2</m:t>
                      </m:r>
                    </m:sup>
                  </m:sSubSup>
                </m:e>
              </m:d>
              <m:r>
                <w:rPr>
                  <w:rFonts w:ascii="Cambria Math" w:hAnsi="Cambria Math"/>
                  <w:lang w:val="fr-FR"/>
                </w:rPr>
                <m:t xml:space="preserve">für k=1,2 </m:t>
              </m:r>
            </m:oMath>
          </w:p>
        </w:tc>
        <w:tc>
          <w:tcPr>
            <w:tcW w:w="561" w:type="dxa"/>
            <w:vAlign w:val="center"/>
          </w:tcPr>
          <w:p w14:paraId="39728DDB" w14:textId="3D9A92F7" w:rsidR="006D35B1" w:rsidRPr="00C36990" w:rsidRDefault="006D35B1" w:rsidP="00FE676F">
            <w:pPr>
              <w:jc w:val="right"/>
            </w:pPr>
            <w:r>
              <w:t>(</w:t>
            </w:r>
            <w:fldSimple w:instr=" SEQ Formel \* ARABIC ">
              <w:r>
                <w:rPr>
                  <w:noProof/>
                </w:rPr>
                <w:t>11</w:t>
              </w:r>
            </w:fldSimple>
            <w:r>
              <w:t>)</w:t>
            </w:r>
          </w:p>
        </w:tc>
      </w:tr>
    </w:tbl>
    <w:p w14:paraId="70D97AB9" w14:textId="7F802466" w:rsidR="00126D8E" w:rsidRPr="005876EA" w:rsidRDefault="00126D8E" w:rsidP="00126D8E">
      <w:pPr>
        <w:rPr>
          <w:lang w:val="fr-FR"/>
        </w:rPr>
      </w:pPr>
    </w:p>
    <w:p w14:paraId="2A10FEFC" w14:textId="218D372C" w:rsidR="00363F23" w:rsidRDefault="00126D8E" w:rsidP="00363F23">
      <w:pPr>
        <w:pStyle w:val="berschrift2"/>
      </w:pPr>
      <w:r>
        <w:t>Die Korrelatio</w:t>
      </w:r>
      <w:r w:rsidR="00CA7A7A">
        <w:t>n</w:t>
      </w:r>
      <w:r>
        <w:t xml:space="preserve"> zwischen Kaufetscheidung und Email</w:t>
      </w:r>
      <w:r w:rsidR="00CA7A7A">
        <w:t xml:space="preserve"> Öffnungen</w:t>
      </w:r>
    </w:p>
    <w:p w14:paraId="125EA004" w14:textId="5A9A0B1E" w:rsidR="00FA083D" w:rsidRPr="00FA083D" w:rsidRDefault="00FA083D" w:rsidP="00FA083D">
      <w:pPr>
        <w:rPr>
          <w:lang w:val="fr-FR"/>
        </w:rPr>
      </w:pPr>
      <w:r w:rsidRPr="00FA083D">
        <w:rPr>
          <w:lang w:val="fr-FR"/>
        </w:rPr>
        <w:t>In jedem Monat können sowohl die Anzahl der geöffneten E-Mails als auch die getätigten Käufe durch einen Kunden dessen Interesse und Interaktionsniveau mit dem Unternehmen anzeigen. Daher argumentieren wir, dass es eine mögliche Korrelation zwischen den Verteilungen der Kauf- und E-Mail-Öffnungszahlen gibt. Beachten Sie, dass sowohl die Kaufanzahl Y</w:t>
      </w:r>
      <w:r w:rsidRPr="00FA083D">
        <w:rPr>
          <w:vertAlign w:val="subscript"/>
          <w:lang w:val="fr-FR"/>
        </w:rPr>
        <w:t>it</w:t>
      </w:r>
      <w:r w:rsidRPr="00FA083D">
        <w:rPr>
          <w:lang w:val="fr-FR"/>
        </w:rPr>
        <w:t xml:space="preserve"> als auch die E-Mail-Öffnungszahl O</w:t>
      </w:r>
      <w:r w:rsidRPr="00FA083D">
        <w:rPr>
          <w:vertAlign w:val="subscript"/>
          <w:lang w:val="fr-FR"/>
        </w:rPr>
        <w:t>it</w:t>
      </w:r>
      <w:r w:rsidRPr="00FA083D">
        <w:rPr>
          <w:lang w:val="fr-FR"/>
        </w:rPr>
        <w:t xml:space="preserve"> einer diskreten Verteilung folgen. Es ist nicht einfach, eine bivariate Verteilung zu finden, die die Korrelation zwischen der ZINBD und der BD erfassen kann.</w:t>
      </w:r>
    </w:p>
    <w:p w14:paraId="532D704D" w14:textId="77777777" w:rsidR="00FA083D" w:rsidRPr="00FA083D" w:rsidRDefault="00FA083D" w:rsidP="00FA083D">
      <w:pPr>
        <w:rPr>
          <w:lang w:val="fr-FR"/>
        </w:rPr>
      </w:pPr>
    </w:p>
    <w:p w14:paraId="32F06AF7" w14:textId="113A1251" w:rsidR="00CA7A7A" w:rsidRDefault="00FA083D" w:rsidP="00FA083D">
      <w:pPr>
        <w:rPr>
          <w:lang w:val="fr-FR"/>
        </w:rPr>
      </w:pPr>
      <w:r w:rsidRPr="00FA083D">
        <w:rPr>
          <w:lang w:val="fr-FR"/>
        </w:rPr>
        <w:t>Danaher und Smith (2011) haben als Pioniere den Copula-Ansatz im Marketing eingeführt, um zwei marginale Verteilungen zu verknüpfen, die nicht aus derselben Familie stammen. Copula-Modelle werden in verschiedenen Studien zur Untersuchung multidimensionaler Marketingprobleme verwendet (z. B. Glady, Lemmens und Croux 2015; Kumar, Zhang und Luo 2014; Park und Gupta 2012; Schweidel und Knox 2013; Stephen und Galak 2012). Die meisten Studien konzentrieren sich jedoch darauf, Copula-Modelle zu verwenden, um Variablen aus kontinuierlichen Verteilungsfamilien zu korrelieren. Stephen und Galak (2012) modellieren multivariate Zählvariablen mit einem doppelten Poisson-Modell, konvertieren jedoch zuerst diese diskreten Variablen in kontinuierliche und verwenden die Gauss'sche Copula, um diese konvertierten Variablen zu korrelieren. Im Kontext dieser Studie haben wir es jedoch mit zwei diskreten Variablen zu tun, die durch zwei verschiedene Verteilungen charakterisiert sind: ZINBD und BD. Es ist ungewiss, ob der Ansatz von Stephen und Galak mit solch unterschiedlichen diskreten Verteilungen funktionieren wird. Darüber hinaus ist es aus Effizienzgründen wünschenswert, die Korrelation zwischen den beiden diskreten Variablen direkt zu modellieren, anstatt sie zuerst in kontinuierliche umzuwandeln und sie als kontinuierliche zu behandeln.</w:t>
      </w:r>
    </w:p>
    <w:p w14:paraId="6C201BFB" w14:textId="3C4156E7" w:rsidR="00FA083D" w:rsidRDefault="00FA083D" w:rsidP="00FA083D">
      <w:r>
        <w:t>Um die Herausforderung der Korrelation diskreter Verteilungen anzugehen, greifen wir auf die Literatur der Mathematik und Statistik zurück. Entsprechend dem Satz von Sklar (1959) können kumulative Verteilungsfunktionen beliebiger Variablen mithilfe einer Copula-Funktion verbunden werden, und diese Copula-Funktion ist eindeutig, wenn die beiden Variablen kontinuierlich sind. Bei zwei kontinuierlichen Variablen kann die bivariate Dichte aus den partiellen Ableitungen der gewählten Copula-Funktion abgeleitet werden. Bei zwei diskreten Variablen, wie den bivariaten Zähldaten in dieser Studie, können wir uns zwar nicht auf partielle Ableitungen verlassen, aber wir können trotzdem die bivariate Wahrscheinlichkeitsmassefunktion mithilfe von endlichen Differenzen der gewählten Copula-Funktion erhalten. Es gibt mehrere statistische Anwendungen dieser Idee zur Modellierung von bivariaten Zähldaten. Lee (1999) entwickelt eine bivariate negative BD zur Modellierung von Rugby-League-Punkten unter Verwendung von Frank-Copula. Song (2000) entwickelt ein multivariates Streuungsmodell, das aus der Gaußschen Copula generiert wird. Nikoloulopoulos und Karlis (2010) erfassen die Beziehung zwischen den Kaufzahlen bestimmter Produktkategorien. Nach Nikoloulopoulos und Karlis (2010) und anderen verwenden wir eine Copula, um die bivariate Wahrscheinlichkeitsmassefunktion von O</w:t>
      </w:r>
      <w:r w:rsidRPr="00FA083D">
        <w:rPr>
          <w:vertAlign w:val="subscript"/>
        </w:rPr>
        <w:t xml:space="preserve">it </w:t>
      </w:r>
      <w:r>
        <w:t>und Y</w:t>
      </w:r>
      <w:r w:rsidRPr="00FA083D">
        <w:rPr>
          <w:vertAlign w:val="subscript"/>
        </w:rPr>
        <w:t>it</w:t>
      </w:r>
      <w:r>
        <w:t xml:space="preserve"> wie folgt zu konstruieren:</w:t>
      </w:r>
    </w:p>
    <w:p w14:paraId="0FFD9EBC" w14:textId="77777777" w:rsidR="00FA083D" w:rsidRDefault="00FA083D" w:rsidP="00FA083D">
      <w:pPr>
        <w:rPr>
          <w:lang w:val="fr-FR"/>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3"/>
        <w:gridCol w:w="608"/>
      </w:tblGrid>
      <w:tr w:rsidR="006D35B1" w14:paraId="2EA0B648" w14:textId="77777777" w:rsidTr="00FE676F">
        <w:tc>
          <w:tcPr>
            <w:tcW w:w="8500" w:type="dxa"/>
            <w:vAlign w:val="center"/>
          </w:tcPr>
          <w:p w14:paraId="0F585908" w14:textId="1B9E8FD7" w:rsidR="006D35B1" w:rsidRPr="006D35B1" w:rsidRDefault="006D35B1" w:rsidP="006D35B1">
            <w:pPr>
              <w:jc w:val="center"/>
              <w:rPr>
                <w:lang w:val="fr-FR"/>
              </w:rPr>
            </w:pPr>
            <m:oMathPara>
              <m:oMath>
                <m:r>
                  <w:rPr>
                    <w:rFonts w:ascii="Cambria Math" w:hAnsi="Cambria Math"/>
                    <w:lang w:val="fr-FR"/>
                  </w:rPr>
                  <m:t>h</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y</m:t>
                        </m:r>
                      </m:e>
                      <m:sub>
                        <m:r>
                          <w:rPr>
                            <w:rFonts w:ascii="Cambria Math" w:hAnsi="Cambria Math"/>
                            <w:lang w:val="fr-FR"/>
                          </w:rPr>
                          <m:t>it</m:t>
                        </m:r>
                      </m:sub>
                    </m:sSub>
                  </m:e>
                </m:d>
                <m:r>
                  <w:rPr>
                    <w:rFonts w:ascii="Cambria Math" w:hAnsi="Cambria Math"/>
                    <w:lang w:val="fr-FR"/>
                  </w:rPr>
                  <m:t>=C</m:t>
                </m:r>
                <m:d>
                  <m:dPr>
                    <m:begChr m:val="["/>
                    <m:endChr m:val="]"/>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1</m:t>
                        </m:r>
                      </m:sub>
                    </m:sSub>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it</m:t>
                            </m:r>
                          </m:sub>
                        </m:sSub>
                      </m:e>
                    </m:d>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2</m:t>
                        </m:r>
                      </m:sub>
                    </m:sSub>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y</m:t>
                            </m:r>
                          </m:e>
                          <m:sub>
                            <m:r>
                              <w:rPr>
                                <w:rFonts w:ascii="Cambria Math" w:hAnsi="Cambria Math"/>
                                <w:lang w:val="fr-FR"/>
                              </w:rPr>
                              <m:t>it</m:t>
                            </m:r>
                          </m:sub>
                        </m:sSub>
                      </m:e>
                    </m:d>
                  </m:e>
                </m:d>
                <m:r>
                  <w:rPr>
                    <w:rFonts w:ascii="Cambria Math" w:hAnsi="Cambria Math"/>
                    <w:lang w:val="fr-FR"/>
                  </w:rPr>
                  <m:t>- C</m:t>
                </m:r>
                <m:d>
                  <m:dPr>
                    <m:begChr m:val="["/>
                    <m:endChr m:val="]"/>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1</m:t>
                        </m:r>
                      </m:sub>
                    </m:sSub>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it</m:t>
                            </m:r>
                          </m:sub>
                        </m:sSub>
                        <m:r>
                          <w:rPr>
                            <w:rFonts w:ascii="Cambria Math" w:hAnsi="Cambria Math"/>
                            <w:lang w:val="fr-FR"/>
                          </w:rPr>
                          <m:t>-1</m:t>
                        </m:r>
                      </m:e>
                    </m:d>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2</m:t>
                        </m:r>
                      </m:sub>
                    </m:sSub>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y</m:t>
                            </m:r>
                          </m:e>
                          <m:sub>
                            <m:r>
                              <w:rPr>
                                <w:rFonts w:ascii="Cambria Math" w:hAnsi="Cambria Math"/>
                                <w:lang w:val="fr-FR"/>
                              </w:rPr>
                              <m:t>it</m:t>
                            </m:r>
                          </m:sub>
                        </m:sSub>
                      </m:e>
                    </m:d>
                  </m:e>
                </m:d>
                <m:r>
                  <w:rPr>
                    <w:rFonts w:ascii="Cambria Math" w:hAnsi="Cambria Math"/>
                    <w:lang w:val="fr-FR"/>
                  </w:rPr>
                  <m:t>- C</m:t>
                </m:r>
                <m:d>
                  <m:dPr>
                    <m:begChr m:val="["/>
                    <m:endChr m:val="]"/>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1</m:t>
                        </m:r>
                      </m:sub>
                    </m:sSub>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it</m:t>
                            </m:r>
                          </m:sub>
                        </m:sSub>
                      </m:e>
                    </m:d>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2</m:t>
                        </m:r>
                      </m:sub>
                    </m:sSub>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y</m:t>
                            </m:r>
                          </m:e>
                          <m:sub>
                            <m:r>
                              <w:rPr>
                                <w:rFonts w:ascii="Cambria Math" w:hAnsi="Cambria Math"/>
                                <w:lang w:val="fr-FR"/>
                              </w:rPr>
                              <m:t>it</m:t>
                            </m:r>
                          </m:sub>
                        </m:sSub>
                        <m:r>
                          <w:rPr>
                            <w:rFonts w:ascii="Cambria Math" w:hAnsi="Cambria Math"/>
                            <w:lang w:val="fr-FR"/>
                          </w:rPr>
                          <m:t>-1</m:t>
                        </m:r>
                      </m:e>
                    </m:d>
                  </m:e>
                </m:d>
                <m:r>
                  <w:rPr>
                    <w:rFonts w:ascii="Cambria Math" w:hAnsi="Cambria Math"/>
                    <w:lang w:val="fr-FR"/>
                  </w:rPr>
                  <m:t>+ C</m:t>
                </m:r>
                <m:d>
                  <m:dPr>
                    <m:begChr m:val="["/>
                    <m:endChr m:val="]"/>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1</m:t>
                        </m:r>
                      </m:sub>
                    </m:sSub>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it</m:t>
                            </m:r>
                          </m:sub>
                        </m:sSub>
                        <m:r>
                          <w:rPr>
                            <w:rFonts w:ascii="Cambria Math" w:hAnsi="Cambria Math"/>
                            <w:lang w:val="fr-FR"/>
                          </w:rPr>
                          <m:t>-1</m:t>
                        </m:r>
                      </m:e>
                    </m:d>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2</m:t>
                        </m:r>
                      </m:sub>
                    </m:sSub>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y</m:t>
                            </m:r>
                          </m:e>
                          <m:sub>
                            <m:r>
                              <w:rPr>
                                <w:rFonts w:ascii="Cambria Math" w:hAnsi="Cambria Math"/>
                                <w:lang w:val="fr-FR"/>
                              </w:rPr>
                              <m:t>it</m:t>
                            </m:r>
                          </m:sub>
                        </m:sSub>
                        <m:r>
                          <w:rPr>
                            <w:rFonts w:ascii="Cambria Math" w:hAnsi="Cambria Math"/>
                            <w:lang w:val="fr-FR"/>
                          </w:rPr>
                          <m:t>-1</m:t>
                        </m:r>
                      </m:e>
                    </m:d>
                  </m:e>
                </m:d>
              </m:oMath>
            </m:oMathPara>
          </w:p>
        </w:tc>
        <w:tc>
          <w:tcPr>
            <w:tcW w:w="561" w:type="dxa"/>
            <w:vAlign w:val="center"/>
          </w:tcPr>
          <w:p w14:paraId="4B5C4A71" w14:textId="64FA3C2A" w:rsidR="006D35B1" w:rsidRPr="00C36990" w:rsidRDefault="006D35B1" w:rsidP="00FE676F">
            <w:pPr>
              <w:jc w:val="right"/>
            </w:pPr>
            <w:r>
              <w:t>(</w:t>
            </w:r>
            <w:fldSimple w:instr=" SEQ Formel \* ARABIC ">
              <w:r>
                <w:rPr>
                  <w:noProof/>
                </w:rPr>
                <w:t>12</w:t>
              </w:r>
            </w:fldSimple>
            <w:r>
              <w:t>)</w:t>
            </w:r>
          </w:p>
        </w:tc>
      </w:tr>
    </w:tbl>
    <w:p w14:paraId="2F8FC7C4" w14:textId="0C43C990" w:rsidR="00CA7A7A" w:rsidRPr="00CA7A7A" w:rsidRDefault="00CA7A7A" w:rsidP="00CA7A7A">
      <w:pPr>
        <w:rPr>
          <w:lang w:val="fr-FR"/>
        </w:rPr>
      </w:pPr>
    </w:p>
    <w:p w14:paraId="6C40D0BC" w14:textId="3D8C5245" w:rsidR="002625DE" w:rsidRDefault="00FA083D" w:rsidP="00CA7A7A">
      <w:r>
        <w:lastRenderedPageBreak/>
        <w:t>wobei C(∙) die Copula-Funktion ist und F</w:t>
      </w:r>
      <w:r w:rsidRPr="00FA083D">
        <w:rPr>
          <w:vertAlign w:val="subscript"/>
        </w:rPr>
        <w:t>1</w:t>
      </w:r>
      <w:r>
        <w:t>(o</w:t>
      </w:r>
      <w:r w:rsidRPr="00FA083D">
        <w:rPr>
          <w:vertAlign w:val="subscript"/>
        </w:rPr>
        <w:t>it</w:t>
      </w:r>
      <w:r>
        <w:t>) und F2(y</w:t>
      </w:r>
      <w:r w:rsidRPr="00FA083D">
        <w:rPr>
          <w:vertAlign w:val="subscript"/>
        </w:rPr>
        <w:t>it</w:t>
      </w:r>
      <w:r>
        <w:t>) die Verteilungsfunktionen von O</w:t>
      </w:r>
      <w:r w:rsidRPr="00FA083D">
        <w:rPr>
          <w:vertAlign w:val="subscript"/>
        </w:rPr>
        <w:t xml:space="preserve">it </w:t>
      </w:r>
      <w:r>
        <w:t>und Y</w:t>
      </w:r>
      <w:r w:rsidRPr="00FA083D">
        <w:rPr>
          <w:vertAlign w:val="subscript"/>
        </w:rPr>
        <w:t xml:space="preserve">it </w:t>
      </w:r>
      <w:r>
        <w:t>sind. In diesem Zusammenhang verwenden wir eine Frank-Copula-Funktion (z.B. Frank 1979; Genest 1987) aufgrund ihrer Flexibilität, den gesamten Bereich der Korrelation zu erfassen. Die Frank-Copula-Funktion ist gegeben durch:</w:t>
      </w:r>
    </w:p>
    <w:p w14:paraId="340478F0" w14:textId="77777777" w:rsidR="000279B3" w:rsidRDefault="000279B3" w:rsidP="00CA7A7A"/>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3"/>
        <w:gridCol w:w="608"/>
      </w:tblGrid>
      <w:tr w:rsidR="00B46523" w14:paraId="74651A5F" w14:textId="77777777" w:rsidTr="00FE676F">
        <w:tc>
          <w:tcPr>
            <w:tcW w:w="8500" w:type="dxa"/>
            <w:vAlign w:val="center"/>
          </w:tcPr>
          <w:p w14:paraId="709AF090" w14:textId="568DF660" w:rsidR="00B46523" w:rsidRDefault="00B46523" w:rsidP="00C36990">
            <w:pPr>
              <w:jc w:val="center"/>
              <w:rPr>
                <w:lang w:val="fr-FR"/>
              </w:rPr>
            </w:pPr>
            <m:oMathPara>
              <m:oMath>
                <m:r>
                  <w:rPr>
                    <w:rFonts w:ascii="Cambria Math" w:hAnsi="Cambria Math"/>
                    <w:lang w:val="fr-FR"/>
                  </w:rPr>
                  <m:t>C</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2</m:t>
                        </m:r>
                      </m:sub>
                    </m:sSub>
                    <m:r>
                      <w:rPr>
                        <w:rFonts w:ascii="Cambria Math" w:hAnsi="Cambria Math"/>
                        <w:lang w:val="fr-FR"/>
                      </w:rPr>
                      <m:t>; Θ</m:t>
                    </m:r>
                  </m:e>
                </m:d>
                <m:r>
                  <w:rPr>
                    <w:rFonts w:ascii="Cambria Math" w:hAnsi="Cambria Math"/>
                    <w:lang w:val="fr-FR"/>
                  </w:rPr>
                  <m:t>=-</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Θ</m:t>
                    </m:r>
                  </m:den>
                </m:f>
                <m:r>
                  <m:rPr>
                    <m:sty m:val="p"/>
                  </m:rPr>
                  <w:rPr>
                    <w:rFonts w:ascii="Cambria Math" w:hAnsi="Cambria Math"/>
                    <w:lang w:val="fr-FR"/>
                  </w:rPr>
                  <m:t>log⁡</m:t>
                </m:r>
                <m:r>
                  <w:rPr>
                    <w:rFonts w:ascii="Cambria Math" w:hAnsi="Cambria Math"/>
                    <w:lang w:val="fr-FR"/>
                  </w:rPr>
                  <m:t>[1+</m:t>
                </m:r>
                <m:f>
                  <m:fPr>
                    <m:ctrlPr>
                      <w:rPr>
                        <w:rFonts w:ascii="Cambria Math" w:hAnsi="Cambria Math"/>
                        <w:i/>
                        <w:lang w:val="fr-FR"/>
                      </w:rPr>
                    </m:ctrlPr>
                  </m:fPr>
                  <m:num>
                    <m:sSup>
                      <m:sSupPr>
                        <m:ctrlPr>
                          <w:rPr>
                            <w:rFonts w:ascii="Cambria Math" w:hAnsi="Cambria Math"/>
                            <w:i/>
                            <w:lang w:val="fr-FR"/>
                          </w:rPr>
                        </m:ctrlPr>
                      </m:sSupPr>
                      <m:e>
                        <m:r>
                          <w:rPr>
                            <w:rFonts w:ascii="Cambria Math" w:hAnsi="Cambria Math"/>
                            <w:lang w:val="fr-FR"/>
                          </w:rPr>
                          <m:t>(e</m:t>
                        </m:r>
                      </m:e>
                      <m:sup>
                        <m:r>
                          <w:rPr>
                            <w:rFonts w:ascii="Cambria Math" w:hAnsi="Cambria Math"/>
                            <w:lang w:val="fr-FR"/>
                          </w:rPr>
                          <m:t>-Θ</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1</m:t>
                            </m:r>
                          </m:sub>
                        </m:sSub>
                      </m:sup>
                    </m:sSup>
                    <m:r>
                      <w:rPr>
                        <w:rFonts w:ascii="Cambria Math" w:hAnsi="Cambria Math"/>
                        <w:lang w:val="fr-FR"/>
                      </w:rPr>
                      <m:t>-1)</m:t>
                    </m:r>
                    <m:sSup>
                      <m:sSupPr>
                        <m:ctrlPr>
                          <w:rPr>
                            <w:rFonts w:ascii="Cambria Math" w:hAnsi="Cambria Math"/>
                            <w:i/>
                            <w:lang w:val="fr-FR"/>
                          </w:rPr>
                        </m:ctrlPr>
                      </m:sSupPr>
                      <m:e>
                        <m:r>
                          <w:rPr>
                            <w:rFonts w:ascii="Cambria Math" w:hAnsi="Cambria Math"/>
                            <w:lang w:val="fr-FR"/>
                          </w:rPr>
                          <m:t>(e</m:t>
                        </m:r>
                      </m:e>
                      <m:sup>
                        <m:r>
                          <w:rPr>
                            <w:rFonts w:ascii="Cambria Math" w:hAnsi="Cambria Math"/>
                            <w:lang w:val="fr-FR"/>
                          </w:rPr>
                          <m:t>-Θ</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2</m:t>
                            </m:r>
                          </m:sub>
                        </m:sSub>
                      </m:sup>
                    </m:sSup>
                    <m:r>
                      <w:rPr>
                        <w:rFonts w:ascii="Cambria Math" w:hAnsi="Cambria Math"/>
                        <w:lang w:val="fr-FR"/>
                      </w:rPr>
                      <m:t>-1)</m:t>
                    </m:r>
                  </m:num>
                  <m:den>
                    <m:sSup>
                      <m:sSupPr>
                        <m:ctrlPr>
                          <w:rPr>
                            <w:rFonts w:ascii="Cambria Math" w:hAnsi="Cambria Math"/>
                            <w:i/>
                            <w:lang w:val="fr-FR"/>
                          </w:rPr>
                        </m:ctrlPr>
                      </m:sSupPr>
                      <m:e>
                        <m:r>
                          <w:rPr>
                            <w:rFonts w:ascii="Cambria Math" w:hAnsi="Cambria Math"/>
                            <w:lang w:val="fr-FR"/>
                          </w:rPr>
                          <m:t>e</m:t>
                        </m:r>
                      </m:e>
                      <m:sup>
                        <m:r>
                          <w:rPr>
                            <w:rFonts w:ascii="Cambria Math" w:hAnsi="Cambria Math"/>
                            <w:lang w:val="fr-FR"/>
                          </w:rPr>
                          <m:t>-Θ</m:t>
                        </m:r>
                      </m:sup>
                    </m:sSup>
                    <m:r>
                      <w:rPr>
                        <w:rFonts w:ascii="Cambria Math" w:hAnsi="Cambria Math"/>
                        <w:lang w:val="fr-FR"/>
                      </w:rPr>
                      <m:t>-1</m:t>
                    </m:r>
                  </m:den>
                </m:f>
              </m:oMath>
            </m:oMathPara>
          </w:p>
        </w:tc>
        <w:tc>
          <w:tcPr>
            <w:tcW w:w="561" w:type="dxa"/>
            <w:vAlign w:val="center"/>
          </w:tcPr>
          <w:p w14:paraId="030BBD2D" w14:textId="3ADCDCBE" w:rsidR="00B46523" w:rsidRPr="00C36990" w:rsidRDefault="00B46523" w:rsidP="00FE676F">
            <w:pPr>
              <w:jc w:val="right"/>
            </w:pPr>
            <w:r>
              <w:t>(</w:t>
            </w:r>
            <w:fldSimple w:instr=" SEQ Formel \* ARABIC ">
              <w:r>
                <w:rPr>
                  <w:noProof/>
                </w:rPr>
                <w:t>13</w:t>
              </w:r>
            </w:fldSimple>
            <w:r>
              <w:t>)</w:t>
            </w:r>
          </w:p>
        </w:tc>
      </w:tr>
    </w:tbl>
    <w:p w14:paraId="50BFF4A1" w14:textId="4E25049C" w:rsidR="00CA7A7A" w:rsidRDefault="00CA7A7A" w:rsidP="00CA7A7A"/>
    <w:p w14:paraId="45585092" w14:textId="5331A29A" w:rsidR="00CA7A7A" w:rsidRDefault="000279B3" w:rsidP="00CA7A7A">
      <w:r>
        <w:t>Hierbei sind u1 und u2 die Verteilungsfunktionen (ZINBD und BD in unserem Fall) und q ist der Korrelationsparameter der Frank-Copula.</w:t>
      </w:r>
    </w:p>
    <w:p w14:paraId="7B2D4372" w14:textId="362CEA9E" w:rsidR="00CA7A7A" w:rsidRDefault="00CA7A7A" w:rsidP="00CA7A7A">
      <w:pPr>
        <w:pStyle w:val="berschrift2"/>
      </w:pPr>
      <w:r w:rsidRPr="00CA7A7A">
        <w:t>Berichtigung der Endogenität</w:t>
      </w:r>
    </w:p>
    <w:p w14:paraId="3396301F" w14:textId="4B0735F8" w:rsidR="00CA7A7A" w:rsidRPr="00CA7A7A" w:rsidRDefault="000279B3" w:rsidP="00CA7A7A">
      <w:pPr>
        <w:rPr>
          <w:lang w:val="fr-FR"/>
        </w:rPr>
      </w:pPr>
      <w:r>
        <w:t>Es besteht die Möglichkeit, dass das Unternehmen Kunden gezielt anspricht, indem es je nach früheren Kaufaktivitäten und inhärenten Eigenschaften der Kunden (die wir nicht beobachtet haben) unterschiedliche Anzahlen von E-Mails sendet. Mit anderen Worten, die E-Mail-Kontaktvariable (d. h. EM) könnte endogen sein. Um dieses potenzielle Endogenitätsproblem in EM zu lösen, verwenden wir einen Kontrollfunktionsansatz (Petrin und Train 2010), der ähnlich wie der Ansatz von Villas-Boas und Winer (1999) ist. Dabei wird eine lineare Regression der EM auf Instrumente als erste Stufe durchgeführt, die Kunden-Kaufhäufigkeit und Kunden-Festeffekte umfasst, um andere Kundenmerkmale zu berücksichtigen, die vom Unternehmen beobachtet werden können (um gezieltes E-Mailing durchzuführen), jedoch nicht vom Forscher. Aus der ersten Schritt Regression erhalten wir ein R2 von 48,5%. Darüber hinaus stellen wir fest, dass die Koeffizienten der Kaufhäufigkeit und -häufigkeit positiv und statistisch signifikant sind. Im zweiten Schritt integrieren wir die Residuen aus der ersten Stufe Regression als zusätzliche Kontrollvariablen in die HMM-Übergangs- (Gleichung 3) und CPM-Komponenten (Gleichung 11) unseres vorgeschlagenen Modells für Kunden-E-Mail-Öffnungen und -Käufe.</w:t>
      </w:r>
    </w:p>
    <w:p w14:paraId="5731B9B5" w14:textId="13820C40" w:rsidR="00CA7A7A" w:rsidRDefault="00E37581" w:rsidP="00CA7A7A">
      <w:pPr>
        <w:pStyle w:val="berschrift2"/>
      </w:pPr>
      <w:r>
        <w:t>Model estimation</w:t>
      </w:r>
    </w:p>
    <w:p w14:paraId="04C0AED9" w14:textId="4BEE6A3A" w:rsidR="000279B3" w:rsidRDefault="00E37581" w:rsidP="00E37581">
      <w:r>
        <w:t>Es gibt vier Parameter-Sets, die aus unserem Modell geschätzt werden müssen: (1) Parameter der Übergangsmatrix (Gleichung 3), (2) Parameter der CEOM (Gleichungen 6-7), (3) Parameter der CPM (Gleichungen 9-12) und (4) der Korrelationsparameter der Frank-Kopula-Funktion (Gleichung 14). Gemäß Netzer, Lattin und Srinivasan (2008) schreiben wir den Vektor der bivariaten Wahrscheinlichkeitsmassefunktion als Diagonalmatrix H</w:t>
      </w:r>
      <w:r w:rsidRPr="00A63085">
        <w:rPr>
          <w:vertAlign w:val="subscript"/>
        </w:rPr>
        <w:t>it</w:t>
      </w:r>
      <w:r>
        <w:t>. Gegeben der vorgeschlagenen HMM-Struktur kann die Likelihood-Funktion für eine Sequenz von Beobachtungen [ (Y i1 = y i1 , Oi1 = o i1), ..., (Y it = y it, O it = o it) ] ausgedrückt werden</w:t>
      </w:r>
      <w:r w:rsidR="000279B3">
        <w:t>:</w:t>
      </w:r>
    </w:p>
    <w:p w14:paraId="4EB255D1" w14:textId="77777777" w:rsidR="000279B3" w:rsidRDefault="000279B3" w:rsidP="00E3758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3"/>
        <w:gridCol w:w="608"/>
      </w:tblGrid>
      <w:tr w:rsidR="00E37581" w14:paraId="3A0F7271" w14:textId="77777777" w:rsidTr="000279B3">
        <w:tc>
          <w:tcPr>
            <w:tcW w:w="8463" w:type="dxa"/>
            <w:vAlign w:val="center"/>
          </w:tcPr>
          <w:p w14:paraId="471C39EA" w14:textId="1550C3C6" w:rsidR="00E37581" w:rsidRDefault="00E37581">
            <m:oMathPara>
              <m:oMath>
                <m:r>
                  <w:rPr>
                    <w:rFonts w:ascii="Cambria Math" w:hAnsi="Cambria Math"/>
                    <w:lang w:val="fr-FR"/>
                  </w:rPr>
                  <w:lastRenderedPageBreak/>
                  <m:t xml:space="preserve">L= </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it</m:t>
                                </m:r>
                              </m:sub>
                            </m:sSub>
                          </m:e>
                        </m:d>
                      </m:e>
                    </m:d>
                    <m:r>
                      <w:rPr>
                        <w:rFonts w:ascii="Cambria Math" w:hAnsi="Cambria Math"/>
                      </w:rPr>
                      <m:t>=</m:t>
                    </m:r>
                  </m:e>
                </m:nary>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ψ</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H</m:t>
                        </m:r>
                      </m:e>
                      <m:sub>
                        <m:r>
                          <w:rPr>
                            <w:rFonts w:ascii="Cambria Math" w:hAnsi="Cambria Math"/>
                          </w:rPr>
                          <m:t>i1</m:t>
                        </m:r>
                      </m:sub>
                    </m:sSub>
                    <m:nary>
                      <m:naryPr>
                        <m:chr m:val="∏"/>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Q</m:t>
                            </m:r>
                          </m:e>
                          <m:sub>
                            <m:r>
                              <w:rPr>
                                <w:rFonts w:ascii="Cambria Math" w:hAnsi="Cambria Math"/>
                              </w:rPr>
                              <m:t>it</m:t>
                            </m:r>
                          </m:sub>
                        </m:sSub>
                        <m:sSub>
                          <m:sSubPr>
                            <m:ctrlPr>
                              <w:rPr>
                                <w:rFonts w:ascii="Cambria Math" w:hAnsi="Cambria Math"/>
                                <w:i/>
                              </w:rPr>
                            </m:ctrlPr>
                          </m:sSubPr>
                          <m:e>
                            <m:r>
                              <w:rPr>
                                <w:rFonts w:ascii="Cambria Math" w:hAnsi="Cambria Math"/>
                              </w:rPr>
                              <m:t>H</m:t>
                            </m:r>
                          </m:e>
                          <m:sub>
                            <m:r>
                              <w:rPr>
                                <w:rFonts w:ascii="Cambria Math" w:hAnsi="Cambria Math"/>
                              </w:rPr>
                              <m:t>it</m:t>
                            </m:r>
                          </m:sub>
                        </m:sSub>
                      </m:e>
                    </m:nary>
                  </m:e>
                </m:nary>
                <m:r>
                  <w:rPr>
                    <w:rFonts w:ascii="Cambria Math" w:hAnsi="Cambria Math"/>
                  </w:rPr>
                  <m:t>1</m:t>
                </m:r>
              </m:oMath>
            </m:oMathPara>
          </w:p>
          <w:p w14:paraId="2BA4808E" w14:textId="20E691FD" w:rsidR="00E37581" w:rsidRDefault="00E37581" w:rsidP="00C36990">
            <w:pPr>
              <w:jc w:val="center"/>
              <w:rPr>
                <w:lang w:val="fr-FR"/>
              </w:rPr>
            </w:pPr>
          </w:p>
        </w:tc>
        <w:tc>
          <w:tcPr>
            <w:tcW w:w="608" w:type="dxa"/>
            <w:vAlign w:val="center"/>
          </w:tcPr>
          <w:p w14:paraId="60E486AD" w14:textId="3000CAB6" w:rsidR="00E37581" w:rsidRPr="00C36990" w:rsidRDefault="00E37581" w:rsidP="00FE676F">
            <w:pPr>
              <w:jc w:val="right"/>
            </w:pPr>
            <w:bookmarkStart w:id="19" w:name="_Ref134643989"/>
            <w:bookmarkStart w:id="20" w:name="_Ref134644042"/>
            <w:r>
              <w:t>(</w:t>
            </w:r>
            <w:fldSimple w:instr=" SEQ Formel \* ARABIC ">
              <w:bookmarkStart w:id="21" w:name="_Ref134643906"/>
              <w:r>
                <w:rPr>
                  <w:noProof/>
                </w:rPr>
                <w:t>14</w:t>
              </w:r>
              <w:bookmarkEnd w:id="21"/>
            </w:fldSimple>
            <w:bookmarkEnd w:id="19"/>
            <w:r>
              <w:t>)</w:t>
            </w:r>
            <w:bookmarkEnd w:id="20"/>
          </w:p>
        </w:tc>
      </w:tr>
    </w:tbl>
    <w:p w14:paraId="2C5575EB" w14:textId="0C4E2A1C" w:rsidR="00894119" w:rsidRPr="00EA4E9F" w:rsidRDefault="000279B3" w:rsidP="00EA4E9F">
      <w:r>
        <w:t>wobei 1 ein S x 1 Vektor aus Einsen ist.</w:t>
      </w:r>
      <w:r w:rsidR="00894119">
        <w:br w:type="page"/>
      </w:r>
    </w:p>
    <w:p w14:paraId="23FE3AB7" w14:textId="4A7B4640" w:rsidR="00DB374D" w:rsidRDefault="00894119" w:rsidP="008B2148">
      <w:pPr>
        <w:pStyle w:val="berschrift1"/>
      </w:pPr>
      <w:r>
        <w:lastRenderedPageBreak/>
        <w:t>Verwandte Arbeiten</w:t>
      </w:r>
    </w:p>
    <w:p w14:paraId="225DE1F8" w14:textId="34A590C4" w:rsidR="009B2DDB" w:rsidRPr="009B2DDB" w:rsidRDefault="009B2DDB">
      <w:pPr>
        <w:spacing w:line="240" w:lineRule="auto"/>
        <w:jc w:val="left"/>
        <w:rPr>
          <w:color w:val="C00000"/>
          <w:lang w:val="en-GB"/>
        </w:rPr>
      </w:pPr>
      <w:r w:rsidRPr="009B2DDB">
        <w:rPr>
          <w:color w:val="C00000"/>
          <w:lang w:val="en-GB"/>
        </w:rPr>
        <w:t>Masterareit Lars</w:t>
      </w:r>
    </w:p>
    <w:p w14:paraId="417A064F" w14:textId="4D98848D" w:rsidR="009B2DDB" w:rsidRDefault="00000000">
      <w:pPr>
        <w:spacing w:line="240" w:lineRule="auto"/>
        <w:jc w:val="left"/>
        <w:rPr>
          <w:color w:val="C00000"/>
          <w:lang w:val="en-GB"/>
        </w:rPr>
      </w:pPr>
      <w:hyperlink r:id="rId25" w:history="1">
        <w:r w:rsidR="009B2DDB" w:rsidRPr="00397787">
          <w:rPr>
            <w:rStyle w:val="Hyperlink"/>
            <w:lang w:val="en-GB"/>
          </w:rPr>
          <w:t>file:///C:/Users/felix.oechslein/Downloads/Masterarbeit%20Lars%20Moestue.pdf</w:t>
        </w:r>
      </w:hyperlink>
    </w:p>
    <w:p w14:paraId="2530A86A" w14:textId="77777777" w:rsidR="009B2DDB" w:rsidRPr="009B2DDB" w:rsidRDefault="009B2DDB">
      <w:pPr>
        <w:spacing w:line="240" w:lineRule="auto"/>
        <w:jc w:val="left"/>
        <w:rPr>
          <w:color w:val="C00000"/>
          <w:lang w:val="en-GB"/>
        </w:rPr>
      </w:pPr>
    </w:p>
    <w:p w14:paraId="71FA3DBB" w14:textId="77777777" w:rsidR="009B2DDB" w:rsidRPr="009B2DDB" w:rsidRDefault="009B2DDB">
      <w:pPr>
        <w:spacing w:line="240" w:lineRule="auto"/>
        <w:jc w:val="left"/>
        <w:rPr>
          <w:color w:val="C00000"/>
          <w:lang w:val="en-GB"/>
        </w:rPr>
      </w:pPr>
    </w:p>
    <w:p w14:paraId="38FED453" w14:textId="77777777" w:rsidR="009B2DDB" w:rsidRPr="009B2DDB" w:rsidRDefault="009B2DDB">
      <w:pPr>
        <w:spacing w:line="240" w:lineRule="auto"/>
        <w:jc w:val="left"/>
        <w:rPr>
          <w:color w:val="C00000"/>
          <w:lang w:val="en-GB"/>
        </w:rPr>
      </w:pPr>
    </w:p>
    <w:p w14:paraId="22D4D0C6" w14:textId="362EB5BD" w:rsidR="004D29FE" w:rsidRPr="004D29FE" w:rsidRDefault="004D29FE">
      <w:pPr>
        <w:spacing w:line="240" w:lineRule="auto"/>
        <w:jc w:val="left"/>
        <w:rPr>
          <w:color w:val="C00000"/>
        </w:rPr>
      </w:pPr>
      <w:r w:rsidRPr="004D29FE">
        <w:rPr>
          <w:color w:val="C00000"/>
        </w:rPr>
        <w:t>Warum Messung des Costumer E</w:t>
      </w:r>
      <w:r>
        <w:rPr>
          <w:color w:val="C00000"/>
        </w:rPr>
        <w:t>ngagment Levels für Email Marketing wichtig ist</w:t>
      </w:r>
    </w:p>
    <w:p w14:paraId="36D87AE1" w14:textId="77777777" w:rsidR="004D29FE" w:rsidRPr="004D29FE" w:rsidRDefault="004D29FE">
      <w:pPr>
        <w:spacing w:line="240" w:lineRule="auto"/>
        <w:jc w:val="left"/>
      </w:pPr>
    </w:p>
    <w:p w14:paraId="6FEBF6BB" w14:textId="68503593" w:rsidR="00DE1679" w:rsidRDefault="004D29FE">
      <w:pPr>
        <w:spacing w:line="240" w:lineRule="auto"/>
        <w:jc w:val="left"/>
        <w:rPr>
          <w:lang w:val="en-GB"/>
        </w:rPr>
      </w:pPr>
      <w:r w:rsidRPr="004D29FE">
        <w:rPr>
          <w:lang w:val="en-GB"/>
        </w:rPr>
        <w:t>Consistent with this argument, a study by Return Path (2015), an industry expert on</w:t>
      </w:r>
      <w:r>
        <w:rPr>
          <w:lang w:val="en-GB"/>
        </w:rPr>
        <w:t xml:space="preserve"> </w:t>
      </w:r>
      <w:r w:rsidRPr="004D29FE">
        <w:rPr>
          <w:lang w:val="en-GB"/>
        </w:rPr>
        <w:t>email optimization, suggests that email frequency optimization</w:t>
      </w:r>
      <w:r>
        <w:rPr>
          <w:lang w:val="en-GB"/>
        </w:rPr>
        <w:t xml:space="preserve"> </w:t>
      </w:r>
      <w:r w:rsidRPr="004D29FE">
        <w:rPr>
          <w:lang w:val="en-GB"/>
        </w:rPr>
        <w:t>should depend on customers’ engagement level. However, the</w:t>
      </w:r>
      <w:r>
        <w:rPr>
          <w:lang w:val="en-GB"/>
        </w:rPr>
        <w:t xml:space="preserve"> </w:t>
      </w:r>
      <w:r w:rsidRPr="004D29FE">
        <w:rPr>
          <w:lang w:val="en-GB"/>
        </w:rPr>
        <w:t xml:space="preserve">study does not provide an actionable tool for </w:t>
      </w:r>
      <w:r w:rsidRPr="004D29FE">
        <w:rPr>
          <w:rFonts w:ascii="Courier New" w:hAnsi="Courier New" w:cs="Courier New"/>
          <w:lang w:val="en-GB"/>
        </w:rPr>
        <w:t>fi</w:t>
      </w:r>
      <w:r w:rsidRPr="004D29FE">
        <w:rPr>
          <w:lang w:val="en-GB"/>
        </w:rPr>
        <w:t>rms to adopt to</w:t>
      </w:r>
      <w:r>
        <w:rPr>
          <w:lang w:val="en-GB"/>
        </w:rPr>
        <w:t xml:space="preserve"> </w:t>
      </w:r>
      <w:r w:rsidRPr="004D29FE">
        <w:rPr>
          <w:lang w:val="en-GB"/>
        </w:rPr>
        <w:t>launch effective email marketing programs.</w:t>
      </w:r>
    </w:p>
    <w:p w14:paraId="68242BD4" w14:textId="77777777" w:rsidR="00A50391" w:rsidRDefault="00A50391">
      <w:pPr>
        <w:spacing w:line="240" w:lineRule="auto"/>
        <w:jc w:val="left"/>
        <w:rPr>
          <w:lang w:val="en-GB"/>
        </w:rPr>
      </w:pPr>
    </w:p>
    <w:p w14:paraId="7484DE05" w14:textId="3E9E281C" w:rsidR="00635FBF" w:rsidRDefault="00000000">
      <w:pPr>
        <w:spacing w:line="240" w:lineRule="auto"/>
        <w:jc w:val="left"/>
        <w:rPr>
          <w:lang w:val="en-GB"/>
        </w:rPr>
      </w:pPr>
      <w:hyperlink r:id="rId26" w:history="1">
        <w:r w:rsidR="00635FBF" w:rsidRPr="00397787">
          <w:rPr>
            <w:rStyle w:val="Hyperlink"/>
            <w:lang w:val="en-GB"/>
          </w:rPr>
          <w:t>http://returnpath.com/wp-content/uploads/2015/06/RP-Frequency-Report-FINAL.pdf</w:t>
        </w:r>
      </w:hyperlink>
    </w:p>
    <w:p w14:paraId="05E0B568" w14:textId="77777777" w:rsidR="00635FBF" w:rsidRDefault="00635FBF">
      <w:pPr>
        <w:spacing w:line="240" w:lineRule="auto"/>
        <w:jc w:val="left"/>
        <w:rPr>
          <w:lang w:val="en-GB"/>
        </w:rPr>
      </w:pPr>
    </w:p>
    <w:p w14:paraId="4BAFA19D" w14:textId="77777777" w:rsidR="00635FBF" w:rsidRPr="00C17A9F" w:rsidRDefault="00635FBF">
      <w:pPr>
        <w:spacing w:line="240" w:lineRule="auto"/>
        <w:jc w:val="left"/>
        <w:rPr>
          <w:color w:val="FF0000"/>
          <w:lang w:val="en-GB"/>
        </w:rPr>
      </w:pPr>
    </w:p>
    <w:p w14:paraId="2F31D5B1" w14:textId="77777777" w:rsidR="00635FBF" w:rsidRPr="00C17A9F" w:rsidRDefault="00635FBF">
      <w:pPr>
        <w:spacing w:line="240" w:lineRule="auto"/>
        <w:jc w:val="left"/>
        <w:rPr>
          <w:color w:val="FF0000"/>
          <w:lang w:val="en-GB"/>
        </w:rPr>
      </w:pPr>
    </w:p>
    <w:p w14:paraId="711EED20" w14:textId="7C203CF8" w:rsidR="00635FBF" w:rsidRDefault="00635FBF">
      <w:pPr>
        <w:spacing w:line="240" w:lineRule="auto"/>
        <w:jc w:val="left"/>
        <w:rPr>
          <w:color w:val="FF0000"/>
        </w:rPr>
      </w:pPr>
      <w:r w:rsidRPr="00635FBF">
        <w:rPr>
          <w:color w:val="FF0000"/>
        </w:rPr>
        <w:t>Email Marketing als Weg Meschen von einem Produkt zu überzteugen</w:t>
      </w:r>
    </w:p>
    <w:p w14:paraId="178F1756" w14:textId="397B0D8D" w:rsidR="00635FBF" w:rsidRDefault="00000000">
      <w:pPr>
        <w:spacing w:line="240" w:lineRule="auto"/>
        <w:jc w:val="left"/>
      </w:pPr>
      <w:hyperlink r:id="rId27" w:history="1">
        <w:r w:rsidR="00635FBF" w:rsidRPr="00397787">
          <w:rPr>
            <w:rStyle w:val="Hyperlink"/>
          </w:rPr>
          <w:t>https://journals.sagepub.com/doi/epub/10.1177/10949968221095552</w:t>
        </w:r>
      </w:hyperlink>
    </w:p>
    <w:p w14:paraId="6BB0253A" w14:textId="77777777" w:rsidR="00635FBF" w:rsidRDefault="00635FBF">
      <w:pPr>
        <w:spacing w:line="240" w:lineRule="auto"/>
        <w:jc w:val="left"/>
      </w:pPr>
    </w:p>
    <w:p w14:paraId="17E75B65" w14:textId="77777777" w:rsidR="00635FBF" w:rsidRDefault="00635FBF">
      <w:pPr>
        <w:spacing w:line="240" w:lineRule="auto"/>
        <w:jc w:val="left"/>
      </w:pPr>
    </w:p>
    <w:p w14:paraId="22AFB235" w14:textId="77777777" w:rsidR="00635FBF" w:rsidRDefault="00635FBF">
      <w:pPr>
        <w:spacing w:line="240" w:lineRule="auto"/>
        <w:jc w:val="left"/>
      </w:pPr>
    </w:p>
    <w:p w14:paraId="7E1F282A" w14:textId="32E57909" w:rsidR="00635FBF" w:rsidRPr="00635FBF" w:rsidRDefault="00635FBF">
      <w:pPr>
        <w:spacing w:line="240" w:lineRule="auto"/>
        <w:jc w:val="left"/>
        <w:rPr>
          <w:color w:val="FF0000"/>
        </w:rPr>
      </w:pPr>
      <w:r w:rsidRPr="00635FBF">
        <w:rPr>
          <w:color w:val="FF0000"/>
        </w:rPr>
        <w:t>Literaturübersicht zu Big Data/Ai/ML und CRM</w:t>
      </w:r>
    </w:p>
    <w:p w14:paraId="7A1A819E" w14:textId="24407776" w:rsidR="00635FBF" w:rsidRDefault="00000000">
      <w:pPr>
        <w:spacing w:line="240" w:lineRule="auto"/>
        <w:jc w:val="left"/>
      </w:pPr>
      <w:hyperlink r:id="rId28" w:history="1">
        <w:r w:rsidR="00635FBF" w:rsidRPr="00397787">
          <w:rPr>
            <w:rStyle w:val="Hyperlink"/>
          </w:rPr>
          <w:t>file:///C:/Users/felix.oechslein/Downloads/10-1108_JBIM-07-2021-0332-1.pdf</w:t>
        </w:r>
      </w:hyperlink>
    </w:p>
    <w:p w14:paraId="17A250C7" w14:textId="77777777" w:rsidR="00635FBF" w:rsidRDefault="00635FBF">
      <w:pPr>
        <w:spacing w:line="240" w:lineRule="auto"/>
        <w:jc w:val="left"/>
      </w:pPr>
    </w:p>
    <w:p w14:paraId="51996BE2" w14:textId="77777777" w:rsidR="00635FBF" w:rsidRDefault="00635FBF">
      <w:pPr>
        <w:spacing w:line="240" w:lineRule="auto"/>
        <w:jc w:val="left"/>
      </w:pPr>
    </w:p>
    <w:p w14:paraId="40473FC9" w14:textId="77777777" w:rsidR="00635FBF" w:rsidRDefault="00635FBF">
      <w:pPr>
        <w:spacing w:line="240" w:lineRule="auto"/>
        <w:jc w:val="left"/>
        <w:rPr>
          <w:color w:val="FF0000"/>
        </w:rPr>
      </w:pPr>
    </w:p>
    <w:p w14:paraId="2724D33F" w14:textId="718EEF91" w:rsidR="00635FBF" w:rsidRDefault="00635FBF">
      <w:pPr>
        <w:spacing w:line="240" w:lineRule="auto"/>
        <w:jc w:val="left"/>
      </w:pPr>
      <w:r w:rsidRPr="00635FBF">
        <w:rPr>
          <w:color w:val="FF0000"/>
        </w:rPr>
        <w:t>„The meaning and measurement of customer retention” -&gt; insbesondere Aufschlüsselung des Wertes von Kundenloyalität</w:t>
      </w:r>
    </w:p>
    <w:p w14:paraId="16AF6BFA" w14:textId="2A0C771F" w:rsidR="00635FBF" w:rsidRDefault="00000000">
      <w:pPr>
        <w:spacing w:line="240" w:lineRule="auto"/>
        <w:jc w:val="left"/>
        <w:rPr>
          <w:lang w:val="en-GB"/>
        </w:rPr>
      </w:pPr>
      <w:hyperlink r:id="rId29" w:history="1">
        <w:r w:rsidR="00635FBF" w:rsidRPr="00397787">
          <w:rPr>
            <w:rStyle w:val="Hyperlink"/>
            <w:lang w:val="en-GB"/>
          </w:rPr>
          <w:t>file:///C:/Users/felix.oechslein/Downloads/palgrave.jt.5740035.pdf</w:t>
        </w:r>
      </w:hyperlink>
      <w:r w:rsidR="00635FBF" w:rsidRPr="00635FBF">
        <w:rPr>
          <w:lang w:val="en-GB"/>
        </w:rPr>
        <w:t xml:space="preserve"> </w:t>
      </w:r>
    </w:p>
    <w:p w14:paraId="5FD3265C" w14:textId="77777777" w:rsidR="00635FBF" w:rsidRDefault="00635FBF">
      <w:pPr>
        <w:spacing w:line="240" w:lineRule="auto"/>
        <w:jc w:val="left"/>
        <w:rPr>
          <w:lang w:val="en-GB"/>
        </w:rPr>
      </w:pPr>
    </w:p>
    <w:p w14:paraId="1A571205" w14:textId="77777777" w:rsidR="009B2DDB" w:rsidRPr="00C17A9F" w:rsidRDefault="009B2DDB">
      <w:pPr>
        <w:spacing w:line="240" w:lineRule="auto"/>
        <w:jc w:val="left"/>
        <w:rPr>
          <w:color w:val="FF0000"/>
          <w:sz w:val="32"/>
          <w:szCs w:val="32"/>
          <w:lang w:val="en-GB"/>
        </w:rPr>
      </w:pPr>
    </w:p>
    <w:p w14:paraId="60FBE9EA" w14:textId="77777777" w:rsidR="009B2DDB" w:rsidRDefault="009B2DDB">
      <w:pPr>
        <w:spacing w:line="240" w:lineRule="auto"/>
        <w:jc w:val="left"/>
        <w:rPr>
          <w:color w:val="FF0000"/>
          <w:sz w:val="32"/>
          <w:szCs w:val="32"/>
        </w:rPr>
      </w:pPr>
      <w:r w:rsidRPr="009B2DDB">
        <w:rPr>
          <w:color w:val="FF0000"/>
          <w:sz w:val="32"/>
          <w:szCs w:val="32"/>
        </w:rPr>
        <w:t>Bestes Buch zu CRM, viele wichtige Themen -&gt; Kumar MVP!!!</w:t>
      </w:r>
    </w:p>
    <w:p w14:paraId="47D53E17" w14:textId="0BE55045" w:rsidR="009B2DDB" w:rsidRDefault="00000000">
      <w:pPr>
        <w:spacing w:line="240" w:lineRule="auto"/>
        <w:jc w:val="left"/>
      </w:pPr>
      <w:hyperlink r:id="rId30" w:history="1">
        <w:r w:rsidR="009B2DDB" w:rsidRPr="00397787">
          <w:rPr>
            <w:rStyle w:val="Hyperlink"/>
          </w:rPr>
          <w:t>https://weblibrary.miu.edu.my/upload/ebook/management%20_and_business/2018_Book_CustomerRelationshipManagement.pdf</w:t>
        </w:r>
      </w:hyperlink>
    </w:p>
    <w:p w14:paraId="1307812A" w14:textId="77777777" w:rsidR="009B2DDB" w:rsidRDefault="009B2DDB">
      <w:pPr>
        <w:spacing w:line="240" w:lineRule="auto"/>
        <w:jc w:val="left"/>
      </w:pPr>
    </w:p>
    <w:p w14:paraId="476BFD90" w14:textId="77777777" w:rsidR="009B2DDB" w:rsidRDefault="009B2DDB">
      <w:pPr>
        <w:spacing w:line="240" w:lineRule="auto"/>
        <w:jc w:val="left"/>
      </w:pPr>
    </w:p>
    <w:p w14:paraId="76F98808" w14:textId="77777777" w:rsidR="009B2DDB" w:rsidRDefault="009B2DDB">
      <w:pPr>
        <w:spacing w:line="240" w:lineRule="auto"/>
        <w:jc w:val="left"/>
      </w:pPr>
    </w:p>
    <w:p w14:paraId="6E4AF8DF" w14:textId="77777777" w:rsidR="009B2DDB" w:rsidRDefault="009B2DDB">
      <w:pPr>
        <w:spacing w:line="240" w:lineRule="auto"/>
        <w:jc w:val="left"/>
      </w:pPr>
      <w:r w:rsidRPr="009B2DDB">
        <w:rPr>
          <w:color w:val="FF0000"/>
        </w:rPr>
        <w:t>Muss ich noch lesen</w:t>
      </w:r>
      <w:r>
        <w:t xml:space="preserve"> -&gt; Einordnung von Kundenbindung und Vorgaben zur Messung von Kundenbindung</w:t>
      </w:r>
    </w:p>
    <w:p w14:paraId="7642E096" w14:textId="2EB9A103" w:rsidR="00DB374D" w:rsidRPr="009B2DDB" w:rsidRDefault="009B2DDB">
      <w:pPr>
        <w:spacing w:line="240" w:lineRule="auto"/>
        <w:jc w:val="left"/>
        <w:rPr>
          <w:b/>
          <w:bCs/>
          <w:kern w:val="32"/>
          <w:lang w:val="en-GB"/>
        </w:rPr>
      </w:pPr>
      <w:r w:rsidRPr="009B2DDB">
        <w:rPr>
          <w:lang w:val="en-GB"/>
        </w:rPr>
        <w:t xml:space="preserve">file:///C:/Users/felix.oechslein/Downloads/s40547-017-0080-0.pdf </w:t>
      </w:r>
      <w:r w:rsidR="00DB374D" w:rsidRPr="009B2DDB">
        <w:rPr>
          <w:lang w:val="en-GB"/>
        </w:rPr>
        <w:br w:type="page"/>
      </w:r>
    </w:p>
    <w:p w14:paraId="7D5BEC0A" w14:textId="764CCA03" w:rsidR="000436C0" w:rsidRDefault="00DB374D" w:rsidP="008B2148">
      <w:pPr>
        <w:pStyle w:val="berschrift1"/>
      </w:pPr>
      <w:r>
        <w:lastRenderedPageBreak/>
        <w:t>Datenanalyse</w:t>
      </w:r>
    </w:p>
    <w:p w14:paraId="63DA13C0" w14:textId="6BF8865D" w:rsidR="0031201E" w:rsidRDefault="0031201E" w:rsidP="0031201E">
      <w:pPr>
        <w:spacing w:line="240" w:lineRule="auto"/>
        <w:jc w:val="left"/>
      </w:pPr>
      <w:r>
        <w:t>(</w:t>
      </w:r>
      <w:hyperlink r:id="rId31" w:history="1">
        <w:r w:rsidRPr="00397787">
          <w:rPr>
            <w:rStyle w:val="Hyperlink"/>
          </w:rPr>
          <w:t>https://www.deloittedigital.at/kundenbindung-kundenloyalitat/</w:t>
        </w:r>
      </w:hyperlink>
      <w:r>
        <w:t>:</w:t>
      </w:r>
    </w:p>
    <w:p w14:paraId="69B8F5A6" w14:textId="40F3CBB1" w:rsidR="000436C0" w:rsidRDefault="002714C0" w:rsidP="002714C0">
      <w:pPr>
        <w:pStyle w:val="Listenabsatz"/>
        <w:numPr>
          <w:ilvl w:val="0"/>
          <w:numId w:val="10"/>
        </w:numPr>
        <w:spacing w:line="240" w:lineRule="auto"/>
        <w:jc w:val="left"/>
      </w:pPr>
      <w:r>
        <w:t>Kundenabwanderungsrate</w:t>
      </w:r>
    </w:p>
    <w:p w14:paraId="08850335" w14:textId="4DB3C510" w:rsidR="002714C0" w:rsidRDefault="002714C0" w:rsidP="002714C0">
      <w:pPr>
        <w:pStyle w:val="Listenabsatz"/>
        <w:numPr>
          <w:ilvl w:val="0"/>
          <w:numId w:val="10"/>
        </w:numPr>
        <w:spacing w:line="240" w:lineRule="auto"/>
        <w:jc w:val="left"/>
      </w:pPr>
      <w:r>
        <w:t xml:space="preserve">Wiederholungskaufrate </w:t>
      </w:r>
    </w:p>
    <w:p w14:paraId="6FA60284" w14:textId="0060E716" w:rsidR="0031201E" w:rsidRDefault="0031201E" w:rsidP="0031201E">
      <w:pPr>
        <w:spacing w:line="240" w:lineRule="auto"/>
        <w:jc w:val="left"/>
      </w:pPr>
    </w:p>
    <w:p w14:paraId="208DF004" w14:textId="1B81E0DE" w:rsidR="0031201E" w:rsidRDefault="0031201E" w:rsidP="0031201E">
      <w:pPr>
        <w:spacing w:line="240" w:lineRule="auto"/>
        <w:jc w:val="left"/>
      </w:pPr>
      <w:r w:rsidRPr="0031201E">
        <w:t>(</w:t>
      </w:r>
      <w:hyperlink r:id="rId32" w:history="1">
        <w:r w:rsidRPr="0031201E">
          <w:rPr>
            <w:rStyle w:val="Hyperlink"/>
          </w:rPr>
          <w:t>https://weblibrary.miu.edu.my/upload/ebook/management%20_and_business/2018_Book_CustomerRelationshipManagement.pdf</w:t>
        </w:r>
      </w:hyperlink>
      <w:r w:rsidRPr="0031201E">
        <w:t>)</w:t>
      </w:r>
      <w:r>
        <w:t xml:space="preserve"> :</w:t>
      </w:r>
    </w:p>
    <w:p w14:paraId="14E1721F" w14:textId="06D0DF6B" w:rsidR="002714C0" w:rsidRDefault="002714C0" w:rsidP="002714C0">
      <w:pPr>
        <w:pStyle w:val="Listenabsatz"/>
        <w:numPr>
          <w:ilvl w:val="0"/>
          <w:numId w:val="10"/>
        </w:numPr>
        <w:spacing w:line="240" w:lineRule="auto"/>
        <w:jc w:val="left"/>
      </w:pPr>
      <w:r>
        <w:t>Average Iter-Purchase Time</w:t>
      </w:r>
    </w:p>
    <w:p w14:paraId="1DA4CA6A" w14:textId="77777777" w:rsidR="002714C0" w:rsidRDefault="002714C0" w:rsidP="002714C0">
      <w:pPr>
        <w:pStyle w:val="Listenabsatz"/>
        <w:numPr>
          <w:ilvl w:val="0"/>
          <w:numId w:val="10"/>
        </w:numPr>
        <w:spacing w:line="240" w:lineRule="auto"/>
        <w:jc w:val="left"/>
        <w:rPr>
          <w:lang w:val="en-GB"/>
        </w:rPr>
      </w:pPr>
      <w:r w:rsidRPr="002714C0">
        <w:rPr>
          <w:lang w:val="en-GB"/>
        </w:rPr>
        <w:t xml:space="preserve">Retention and Detection Rate </w:t>
      </w:r>
    </w:p>
    <w:p w14:paraId="4786327D" w14:textId="066FBB68" w:rsidR="002714C0" w:rsidRDefault="002714C0" w:rsidP="002714C0">
      <w:pPr>
        <w:pStyle w:val="Listenabsatz"/>
        <w:numPr>
          <w:ilvl w:val="0"/>
          <w:numId w:val="10"/>
        </w:numPr>
        <w:spacing w:line="240" w:lineRule="auto"/>
        <w:jc w:val="left"/>
        <w:rPr>
          <w:lang w:val="en-GB"/>
        </w:rPr>
      </w:pPr>
      <w:r>
        <w:rPr>
          <w:lang w:val="en-GB"/>
        </w:rPr>
        <w:t>Survival Rate</w:t>
      </w:r>
    </w:p>
    <w:p w14:paraId="4631CF6C" w14:textId="767806AA" w:rsidR="002714C0" w:rsidRDefault="002714C0" w:rsidP="002714C0">
      <w:pPr>
        <w:pStyle w:val="Listenabsatz"/>
        <w:numPr>
          <w:ilvl w:val="0"/>
          <w:numId w:val="10"/>
        </w:numPr>
        <w:spacing w:line="240" w:lineRule="auto"/>
        <w:jc w:val="left"/>
        <w:rPr>
          <w:lang w:val="en-GB"/>
        </w:rPr>
      </w:pPr>
      <w:r>
        <w:rPr>
          <w:lang w:val="en-GB"/>
        </w:rPr>
        <w:t>Lifetime Duration</w:t>
      </w:r>
    </w:p>
    <w:p w14:paraId="2DFFFB2F" w14:textId="56E7ADFB" w:rsidR="00DE1679" w:rsidRPr="00DE1679" w:rsidRDefault="002714C0" w:rsidP="00DE1679">
      <w:pPr>
        <w:pStyle w:val="Listenabsatz"/>
        <w:numPr>
          <w:ilvl w:val="0"/>
          <w:numId w:val="10"/>
        </w:numPr>
        <w:spacing w:line="240" w:lineRule="auto"/>
        <w:jc w:val="left"/>
        <w:rPr>
          <w:lang w:val="en-GB"/>
        </w:rPr>
      </w:pPr>
      <w:r>
        <w:rPr>
          <w:lang w:val="en-GB"/>
        </w:rPr>
        <w:t>P(Active)</w:t>
      </w:r>
    </w:p>
    <w:p w14:paraId="7E9A0F62" w14:textId="202AFB48" w:rsidR="00784409" w:rsidRDefault="00784409" w:rsidP="00784409">
      <w:pPr>
        <w:spacing w:line="240" w:lineRule="auto"/>
        <w:jc w:val="left"/>
        <w:rPr>
          <w:lang w:val="en-GB"/>
        </w:rPr>
      </w:pPr>
    </w:p>
    <w:p w14:paraId="2BF6B806" w14:textId="7790ADE8" w:rsidR="00784409" w:rsidRDefault="0031201E" w:rsidP="00784409">
      <w:pPr>
        <w:spacing w:line="240" w:lineRule="auto"/>
        <w:jc w:val="left"/>
        <w:rPr>
          <w:lang w:val="en-GB"/>
        </w:rPr>
      </w:pPr>
      <w:r>
        <w:rPr>
          <w:lang w:val="en-GB"/>
        </w:rPr>
        <w:t>Eigene Überlegungen:</w:t>
      </w:r>
    </w:p>
    <w:p w14:paraId="046C9745" w14:textId="4654A9EA" w:rsidR="0031201E" w:rsidRDefault="0031201E" w:rsidP="0031201E">
      <w:pPr>
        <w:pStyle w:val="Listenabsatz"/>
        <w:numPr>
          <w:ilvl w:val="0"/>
          <w:numId w:val="10"/>
        </w:numPr>
        <w:spacing w:line="240" w:lineRule="auto"/>
        <w:jc w:val="left"/>
      </w:pPr>
      <w:r w:rsidRPr="0031201E">
        <w:t>Wahrscheilichkeit eine Email zu ö</w:t>
      </w:r>
      <w:r>
        <w:t>ffnen in Abhänigkeit von der Gesamtzahl erhaltener Emails</w:t>
      </w:r>
    </w:p>
    <w:p w14:paraId="39075A0A" w14:textId="478A6BFB" w:rsidR="00DE1679" w:rsidRDefault="00DE1679" w:rsidP="0031201E">
      <w:pPr>
        <w:pStyle w:val="Listenabsatz"/>
        <w:numPr>
          <w:ilvl w:val="0"/>
          <w:numId w:val="10"/>
        </w:numPr>
        <w:spacing w:line="240" w:lineRule="auto"/>
        <w:jc w:val="left"/>
      </w:pPr>
      <w:r>
        <w:t>Analyse der Öffnungen: Wie viel Prozent aller Öffungen werden von highly engaged costumers getätigt? Etc.</w:t>
      </w:r>
    </w:p>
    <w:p w14:paraId="245D4BC2" w14:textId="76017263" w:rsidR="00DE1679" w:rsidRPr="0031201E" w:rsidRDefault="00DE1679" w:rsidP="0031201E">
      <w:pPr>
        <w:pStyle w:val="Listenabsatz"/>
        <w:numPr>
          <w:ilvl w:val="0"/>
          <w:numId w:val="10"/>
        </w:numPr>
        <w:spacing w:line="240" w:lineRule="auto"/>
        <w:jc w:val="left"/>
      </w:pPr>
      <w:r>
        <w:t>Abmeldungen beim NL wichtig</w:t>
      </w:r>
    </w:p>
    <w:p w14:paraId="7AEF9ED9" w14:textId="5B424785" w:rsidR="00784409" w:rsidRPr="0031201E" w:rsidRDefault="00784409" w:rsidP="00784409">
      <w:pPr>
        <w:spacing w:line="240" w:lineRule="auto"/>
        <w:jc w:val="left"/>
      </w:pPr>
    </w:p>
    <w:p w14:paraId="18BE976E" w14:textId="0E68080B" w:rsidR="00784409" w:rsidRDefault="00784409" w:rsidP="00784409">
      <w:pPr>
        <w:spacing w:line="240" w:lineRule="auto"/>
        <w:jc w:val="left"/>
        <w:rPr>
          <w:lang w:val="en-GB"/>
        </w:rPr>
      </w:pPr>
      <w:r w:rsidRPr="00784409">
        <w:rPr>
          <w:color w:val="C00000"/>
          <w:lang w:val="en-GB"/>
        </w:rPr>
        <w:t>Recency Coding</w:t>
      </w:r>
      <w:r w:rsidRPr="00784409">
        <w:rPr>
          <w:lang w:val="en-GB"/>
        </w:rPr>
        <w:br/>
        <w:t>Assume this firm sends its $150 mailer campaign</w:t>
      </w:r>
      <w:r>
        <w:rPr>
          <w:lang w:val="en-GB"/>
        </w:rPr>
        <w:t xml:space="preserve"> </w:t>
      </w:r>
      <w:r w:rsidRPr="00784409">
        <w:rPr>
          <w:lang w:val="en-GB"/>
        </w:rPr>
        <w:t>to the 40,000 customers in the test group, and</w:t>
      </w:r>
      <w:r>
        <w:rPr>
          <w:lang w:val="en-GB"/>
        </w:rPr>
        <w:t xml:space="preserve"> </w:t>
      </w:r>
      <w:r w:rsidRPr="00784409">
        <w:rPr>
          <w:lang w:val="en-GB"/>
        </w:rPr>
        <w:t>assume that 808 customers (2.02% of 40,000)</w:t>
      </w:r>
      <w:r>
        <w:rPr>
          <w:lang w:val="en-GB"/>
        </w:rPr>
        <w:t xml:space="preserve"> </w:t>
      </w:r>
      <w:r w:rsidRPr="00784409">
        <w:rPr>
          <w:lang w:val="en-GB"/>
        </w:rPr>
        <w:t>responded. In order to determine if there is any</w:t>
      </w:r>
      <w:r>
        <w:rPr>
          <w:lang w:val="en-GB"/>
        </w:rPr>
        <w:t xml:space="preserve"> </w:t>
      </w:r>
      <w:r w:rsidRPr="00784409">
        <w:rPr>
          <w:color w:val="4472C4" w:themeColor="accent1"/>
          <w:lang w:val="en-GB"/>
        </w:rPr>
        <w:t>correlation between those customers who responded to the mailer campaign and their corresponding historical recency</w:t>
      </w:r>
      <w:r w:rsidRPr="00784409">
        <w:rPr>
          <w:lang w:val="en-GB"/>
        </w:rPr>
        <w:t>, the following analysis is done.</w:t>
      </w:r>
      <w:r>
        <w:rPr>
          <w:lang w:val="en-GB"/>
        </w:rPr>
        <w:t xml:space="preserve"> </w:t>
      </w:r>
      <w:r w:rsidRPr="00784409">
        <w:rPr>
          <w:lang w:val="en-GB"/>
        </w:rPr>
        <w:t>The test group of 40,000</w:t>
      </w:r>
      <w:r>
        <w:rPr>
          <w:lang w:val="en-GB"/>
        </w:rPr>
        <w:t xml:space="preserve"> </w:t>
      </w:r>
      <w:r w:rsidRPr="00784409">
        <w:rPr>
          <w:lang w:val="en-GB"/>
        </w:rPr>
        <w:t>customers is sorted in</w:t>
      </w:r>
      <w:r>
        <w:rPr>
          <w:lang w:val="en-GB"/>
        </w:rPr>
        <w:t xml:space="preserve"> </w:t>
      </w:r>
      <w:r w:rsidRPr="00784409">
        <w:rPr>
          <w:lang w:val="en-GB"/>
        </w:rPr>
        <w:t xml:space="preserve">descending order based on the criterion of </w:t>
      </w:r>
      <w:r w:rsidRPr="00784409">
        <w:rPr>
          <w:color w:val="4472C4" w:themeColor="accent1"/>
          <w:lang w:val="en-GB"/>
        </w:rPr>
        <w:t>most recent purchase date</w:t>
      </w:r>
      <w:r w:rsidRPr="00784409">
        <w:rPr>
          <w:lang w:val="en-GB"/>
        </w:rPr>
        <w:t>. The earliest purchasers are</w:t>
      </w:r>
      <w:r>
        <w:rPr>
          <w:lang w:val="en-GB"/>
        </w:rPr>
        <w:t xml:space="preserve"> </w:t>
      </w:r>
      <w:r w:rsidRPr="00784409">
        <w:rPr>
          <w:lang w:val="en-GB"/>
        </w:rPr>
        <w:t>listed on the top and the oldest are listed at the</w:t>
      </w:r>
      <w:r>
        <w:rPr>
          <w:lang w:val="en-GB"/>
        </w:rPr>
        <w:t xml:space="preserve"> </w:t>
      </w:r>
      <w:r w:rsidRPr="00784409">
        <w:rPr>
          <w:lang w:val="en-GB"/>
        </w:rPr>
        <w:t>bottom. The</w:t>
      </w:r>
      <w:r>
        <w:rPr>
          <w:lang w:val="en-GB"/>
        </w:rPr>
        <w:t xml:space="preserve"> </w:t>
      </w:r>
      <w:r w:rsidRPr="00784409">
        <w:rPr>
          <w:lang w:val="en-GB"/>
        </w:rPr>
        <w:t xml:space="preserve">sorted data are further </w:t>
      </w:r>
      <w:r w:rsidRPr="00784409">
        <w:rPr>
          <w:color w:val="4472C4" w:themeColor="accent1"/>
          <w:lang w:val="en-GB"/>
        </w:rPr>
        <w:t xml:space="preserve">divided into five groups </w:t>
      </w:r>
      <w:r w:rsidRPr="00784409">
        <w:rPr>
          <w:lang w:val="en-GB"/>
        </w:rPr>
        <w:t>of equal size (20% in each group). The</w:t>
      </w:r>
      <w:r>
        <w:rPr>
          <w:lang w:val="en-GB"/>
        </w:rPr>
        <w:t xml:space="preserve"> </w:t>
      </w:r>
      <w:r w:rsidRPr="00784409">
        <w:rPr>
          <w:lang w:val="en-GB"/>
        </w:rPr>
        <w:t>top-most group is assigned a recency code of 1,</w:t>
      </w:r>
      <w:r>
        <w:rPr>
          <w:lang w:val="en-GB"/>
        </w:rPr>
        <w:t xml:space="preserve"> </w:t>
      </w:r>
      <w:r w:rsidRPr="00784409">
        <w:rPr>
          <w:lang w:val="en-GB"/>
        </w:rPr>
        <w:t>the next group is assigned a code of 2, and so on,</w:t>
      </w:r>
      <w:r>
        <w:rPr>
          <w:lang w:val="en-GB"/>
        </w:rPr>
        <w:t xml:space="preserve"> </w:t>
      </w:r>
      <w:r w:rsidRPr="00784409">
        <w:rPr>
          <w:lang w:val="en-GB"/>
        </w:rPr>
        <w:t>until the bottom-most group is assigned a code of</w:t>
      </w:r>
      <w:r>
        <w:rPr>
          <w:lang w:val="en-GB"/>
        </w:rPr>
        <w:t xml:space="preserve"> </w:t>
      </w:r>
      <w:r w:rsidRPr="00784409">
        <w:rPr>
          <w:lang w:val="en-GB"/>
        </w:rPr>
        <w:t>5. An analysis of the customer response data from</w:t>
      </w:r>
      <w:r>
        <w:rPr>
          <w:lang w:val="en-GB"/>
        </w:rPr>
        <w:t xml:space="preserve"> </w:t>
      </w:r>
      <w:r w:rsidRPr="00784409">
        <w:rPr>
          <w:lang w:val="en-GB"/>
        </w:rPr>
        <w:t>the mailer campaign and the recency-based</w:t>
      </w:r>
      <w:r>
        <w:rPr>
          <w:lang w:val="en-GB"/>
        </w:rPr>
        <w:t xml:space="preserve"> </w:t>
      </w:r>
      <w:r w:rsidRPr="00784409">
        <w:rPr>
          <w:lang w:val="en-GB"/>
        </w:rPr>
        <w:t>grouping point out that the mailer campaign</w:t>
      </w:r>
      <w:r>
        <w:rPr>
          <w:lang w:val="en-GB"/>
        </w:rPr>
        <w:t xml:space="preserve"> </w:t>
      </w:r>
      <w:r w:rsidRPr="00784409">
        <w:rPr>
          <w:lang w:val="en-GB"/>
        </w:rPr>
        <w:t>received the highest response from those customers grouped in recency code 1, followed by those</w:t>
      </w:r>
      <w:r>
        <w:rPr>
          <w:lang w:val="en-GB"/>
        </w:rPr>
        <w:t xml:space="preserve"> </w:t>
      </w:r>
      <w:r w:rsidRPr="00784409">
        <w:rPr>
          <w:lang w:val="en-GB"/>
        </w:rPr>
        <w:t>grouped in code 2, and so on. . Figure 6.1 depicts</w:t>
      </w:r>
      <w:r>
        <w:rPr>
          <w:lang w:val="en-GB"/>
        </w:rPr>
        <w:t xml:space="preserve"> </w:t>
      </w:r>
      <w:r w:rsidRPr="00784409">
        <w:rPr>
          <w:lang w:val="en-GB"/>
        </w:rPr>
        <w:t xml:space="preserve">the </w:t>
      </w:r>
      <w:r w:rsidRPr="000473E5">
        <w:rPr>
          <w:color w:val="4472C4" w:themeColor="accent1"/>
          <w:lang w:val="en-GB"/>
        </w:rPr>
        <w:t>distribution of relative frequencies of customers who responded across the recency groups</w:t>
      </w:r>
      <w:r w:rsidRPr="00784409">
        <w:rPr>
          <w:lang w:val="en-GB"/>
        </w:rPr>
        <w:br/>
        <w:t>coded 1 through 5. The highest response rate</w:t>
      </w:r>
      <w:r>
        <w:rPr>
          <w:lang w:val="en-GB"/>
        </w:rPr>
        <w:t xml:space="preserve"> </w:t>
      </w:r>
      <w:r w:rsidRPr="00784409">
        <w:rPr>
          <w:lang w:val="en-GB"/>
        </w:rPr>
        <w:t>(4.5%) for the campaign was from those cutomers in the test group who had the highest recency</w:t>
      </w:r>
      <w:r>
        <w:rPr>
          <w:lang w:val="en-GB"/>
        </w:rPr>
        <w:t xml:space="preserve"> </w:t>
      </w:r>
      <w:r w:rsidRPr="00784409">
        <w:rPr>
          <w:lang w:val="en-GB"/>
        </w:rPr>
        <w:t>quintile (recency code = 1). Note the</w:t>
      </w:r>
      <w:r>
        <w:rPr>
          <w:lang w:val="en-GB"/>
        </w:rPr>
        <w:t xml:space="preserve"> </w:t>
      </w:r>
      <w:r w:rsidRPr="00784409">
        <w:rPr>
          <w:lang w:val="en-GB"/>
        </w:rPr>
        <w:t>average customer response rate computed for all five groups</w:t>
      </w:r>
      <w:r>
        <w:rPr>
          <w:lang w:val="en-GB"/>
        </w:rPr>
        <w:t xml:space="preserve"> </w:t>
      </w:r>
      <w:r w:rsidRPr="00784409">
        <w:rPr>
          <w:lang w:val="en-GB"/>
        </w:rPr>
        <w:t>would be none other than the</w:t>
      </w:r>
      <w:r>
        <w:rPr>
          <w:lang w:val="en-GB"/>
        </w:rPr>
        <w:t xml:space="preserve"> </w:t>
      </w:r>
      <w:r w:rsidRPr="00784409">
        <w:rPr>
          <w:lang w:val="en-GB"/>
        </w:rPr>
        <w:t>actual response rate</w:t>
      </w:r>
      <w:r>
        <w:rPr>
          <w:lang w:val="en-GB"/>
        </w:rPr>
        <w:t xml:space="preserve"> </w:t>
      </w:r>
      <w:r w:rsidRPr="00784409">
        <w:rPr>
          <w:lang w:val="en-GB"/>
        </w:rPr>
        <w:t>of 2.02% achieved by the campaign, i.e., (4.50% +</w:t>
      </w:r>
      <w:r>
        <w:rPr>
          <w:lang w:val="en-GB"/>
        </w:rPr>
        <w:t xml:space="preserve"> </w:t>
      </w:r>
      <w:r w:rsidRPr="00784409">
        <w:rPr>
          <w:lang w:val="en-GB"/>
        </w:rPr>
        <w:t>2.80% + 1.50% +</w:t>
      </w:r>
      <w:r>
        <w:rPr>
          <w:lang w:val="en-GB"/>
        </w:rPr>
        <w:t xml:space="preserve"> </w:t>
      </w:r>
      <w:r w:rsidRPr="00784409">
        <w:rPr>
          <w:lang w:val="en-GB"/>
        </w:rPr>
        <w:t>1.05% + 0.25%)/5 = 2.02%.</w:t>
      </w:r>
      <w:r>
        <w:rPr>
          <w:lang w:val="en-GB"/>
        </w:rPr>
        <w:t xml:space="preserve"> </w:t>
      </w:r>
      <w:r w:rsidRPr="00784409">
        <w:rPr>
          <w:lang w:val="en-GB"/>
        </w:rPr>
        <w:t>At the end of this recency coding exercise we</w:t>
      </w:r>
      <w:r>
        <w:rPr>
          <w:lang w:val="en-GB"/>
        </w:rPr>
        <w:t xml:space="preserve"> </w:t>
      </w:r>
      <w:r w:rsidRPr="00784409">
        <w:rPr>
          <w:lang w:val="en-GB"/>
        </w:rPr>
        <w:t>would assign recency values of r = 1 through 5 for</w:t>
      </w:r>
      <w:r>
        <w:rPr>
          <w:lang w:val="en-GB"/>
        </w:rPr>
        <w:t xml:space="preserve"> </w:t>
      </w:r>
      <w:r w:rsidRPr="00784409">
        <w:rPr>
          <w:lang w:val="en-GB"/>
        </w:rPr>
        <w:t>groups of customers, depending on the quintile</w:t>
      </w:r>
      <w:r>
        <w:rPr>
          <w:lang w:val="en-GB"/>
        </w:rPr>
        <w:t xml:space="preserve"> </w:t>
      </w:r>
      <w:r w:rsidRPr="00784409">
        <w:rPr>
          <w:lang w:val="en-GB"/>
        </w:rPr>
        <w:t>that they belong to.</w:t>
      </w:r>
    </w:p>
    <w:p w14:paraId="4809478A" w14:textId="478AE78C" w:rsidR="000473E5" w:rsidRDefault="000473E5" w:rsidP="00784409">
      <w:pPr>
        <w:spacing w:line="240" w:lineRule="auto"/>
        <w:jc w:val="left"/>
        <w:rPr>
          <w:lang w:val="en-GB"/>
        </w:rPr>
      </w:pPr>
    </w:p>
    <w:p w14:paraId="36E1BF53" w14:textId="2DDAC65A" w:rsidR="000473E5" w:rsidRDefault="000473E5" w:rsidP="00784409">
      <w:pPr>
        <w:spacing w:line="240" w:lineRule="auto"/>
        <w:jc w:val="left"/>
        <w:rPr>
          <w:color w:val="C00000"/>
        </w:rPr>
      </w:pPr>
      <w:r w:rsidRPr="000473E5">
        <w:rPr>
          <w:color w:val="C00000"/>
        </w:rPr>
        <w:t>Dasselbe für Frequency und Money</w:t>
      </w:r>
    </w:p>
    <w:p w14:paraId="3CF835A0" w14:textId="5D565695" w:rsidR="000473E5" w:rsidRDefault="000473E5" w:rsidP="00784409">
      <w:pPr>
        <w:spacing w:line="240" w:lineRule="auto"/>
        <w:jc w:val="left"/>
        <w:rPr>
          <w:color w:val="C00000"/>
        </w:rPr>
      </w:pPr>
    </w:p>
    <w:p w14:paraId="54448511" w14:textId="77777777" w:rsidR="000473E5" w:rsidRPr="000473E5" w:rsidRDefault="000473E5" w:rsidP="00784409">
      <w:pPr>
        <w:spacing w:line="240" w:lineRule="auto"/>
        <w:jc w:val="left"/>
        <w:rPr>
          <w:color w:val="C00000"/>
        </w:rPr>
      </w:pPr>
    </w:p>
    <w:p w14:paraId="335C5E69" w14:textId="77777777" w:rsidR="00635FBF" w:rsidRDefault="000473E5">
      <w:pPr>
        <w:spacing w:line="240" w:lineRule="auto"/>
        <w:jc w:val="left"/>
      </w:pPr>
      <w:r>
        <w:rPr>
          <w:noProof/>
        </w:rPr>
        <w:lastRenderedPageBreak/>
        <w:drawing>
          <wp:inline distT="0" distB="0" distL="0" distR="0" wp14:anchorId="0AA681AA" wp14:editId="14E1CF8E">
            <wp:extent cx="3790950" cy="2071215"/>
            <wp:effectExtent l="0" t="0" r="0" b="5715"/>
            <wp:docPr id="1103870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703" name="Grafik 1" descr="Ein Bild, das Diagramm enthält.&#10;&#10;Automatisch generierte Beschreibu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30843" cy="2093011"/>
                    </a:xfrm>
                    <a:prstGeom prst="rect">
                      <a:avLst/>
                    </a:prstGeom>
                    <a:noFill/>
                    <a:ln>
                      <a:noFill/>
                    </a:ln>
                  </pic:spPr>
                </pic:pic>
              </a:graphicData>
            </a:graphic>
          </wp:inline>
        </w:drawing>
      </w:r>
    </w:p>
    <w:p w14:paraId="6A15D5F9" w14:textId="77777777" w:rsidR="00635FBF" w:rsidRDefault="00635FBF">
      <w:pPr>
        <w:spacing w:line="240" w:lineRule="auto"/>
        <w:jc w:val="left"/>
      </w:pPr>
    </w:p>
    <w:p w14:paraId="33183645" w14:textId="77777777" w:rsidR="00635FBF" w:rsidRDefault="00635FBF">
      <w:pPr>
        <w:spacing w:line="240" w:lineRule="auto"/>
        <w:jc w:val="left"/>
      </w:pPr>
    </w:p>
    <w:p w14:paraId="03843CDE" w14:textId="3CAF7B41" w:rsidR="00635FBF" w:rsidRPr="00635FBF" w:rsidRDefault="00635FBF">
      <w:pPr>
        <w:spacing w:line="240" w:lineRule="auto"/>
        <w:jc w:val="left"/>
        <w:rPr>
          <w:color w:val="FF0000"/>
        </w:rPr>
      </w:pPr>
      <w:r w:rsidRPr="00635FBF">
        <w:rPr>
          <w:color w:val="FF0000"/>
        </w:rPr>
        <w:t>Vorgehen für Regressionsanalyse und verwendete Formel:</w:t>
      </w:r>
    </w:p>
    <w:p w14:paraId="486BFAB0" w14:textId="38A0D909" w:rsidR="00635FBF" w:rsidRDefault="00635FBF">
      <w:pPr>
        <w:spacing w:line="240" w:lineRule="auto"/>
        <w:jc w:val="left"/>
        <w:rPr>
          <w:lang w:val="en-GB"/>
        </w:rPr>
      </w:pPr>
      <w:r w:rsidRPr="00635FBF">
        <w:rPr>
          <w:lang w:val="en-GB"/>
        </w:rPr>
        <w:t xml:space="preserve">„Statistical Modeling“ bei </w:t>
      </w:r>
      <w:hyperlink r:id="rId34" w:history="1">
        <w:r w:rsidRPr="00397787">
          <w:rPr>
            <w:rStyle w:val="Hyperlink"/>
            <w:lang w:val="en-GB"/>
          </w:rPr>
          <w:t>https://journals.sagepub.com/doi/epub/10.1177/10949968221095552</w:t>
        </w:r>
      </w:hyperlink>
    </w:p>
    <w:p w14:paraId="3045403C" w14:textId="77777777" w:rsidR="00635FBF" w:rsidRDefault="00635FBF">
      <w:pPr>
        <w:spacing w:line="240" w:lineRule="auto"/>
        <w:jc w:val="left"/>
        <w:rPr>
          <w:lang w:val="en-GB"/>
        </w:rPr>
      </w:pPr>
    </w:p>
    <w:p w14:paraId="70A55860" w14:textId="77777777" w:rsidR="00635FBF" w:rsidRPr="00C17A9F" w:rsidRDefault="00635FBF">
      <w:pPr>
        <w:spacing w:line="240" w:lineRule="auto"/>
        <w:jc w:val="left"/>
      </w:pPr>
      <w:r w:rsidRPr="00C17A9F">
        <w:t>Verwendete Formel:</w:t>
      </w:r>
    </w:p>
    <w:p w14:paraId="564AC581" w14:textId="68F8FA2B" w:rsidR="008D7DDB" w:rsidRDefault="00000000">
      <w:pPr>
        <w:spacing w:line="240" w:lineRule="auto"/>
        <w:jc w:val="left"/>
      </w:pPr>
      <w:hyperlink r:id="rId35" w:history="1">
        <w:r w:rsidR="008D7DDB" w:rsidRPr="00A044E9">
          <w:rPr>
            <w:rStyle w:val="Hyperlink"/>
          </w:rPr>
          <w:t>https://journals.sagepub.com/doi/epub/10.1509/jmr.13.0169</w:t>
        </w:r>
      </w:hyperlink>
    </w:p>
    <w:p w14:paraId="2F056935" w14:textId="77777777" w:rsidR="008D7DDB" w:rsidRDefault="008D7DDB">
      <w:pPr>
        <w:spacing w:line="240" w:lineRule="auto"/>
        <w:jc w:val="left"/>
      </w:pPr>
      <w:r>
        <w:br w:type="page"/>
      </w:r>
    </w:p>
    <w:p w14:paraId="60950D70" w14:textId="631E22DB" w:rsidR="008D7DDB" w:rsidRDefault="008D7DDB" w:rsidP="008D7DDB">
      <w:pPr>
        <w:pStyle w:val="berschrift2"/>
      </w:pPr>
      <w:r>
        <w:lastRenderedPageBreak/>
        <w:t>Model</w:t>
      </w:r>
      <w:r w:rsidR="000B23B4">
        <w:t>lidentifikation</w:t>
      </w:r>
    </w:p>
    <w:p w14:paraId="1C1500D3" w14:textId="77777777" w:rsidR="00112138" w:rsidRDefault="008D7DDB" w:rsidP="008D7DDB">
      <w:r>
        <w:t xml:space="preserve">Da alle Modellkomponenten (Übergangsmatrix, CEOM und CPM) immer als Einheit in die Berechnung der Wahrscheinlichkeit einfließen (siehe Gleichung 15), ist es nicht möglich, die Koeffizienten einer bestimmten Variable separat zu identifizieren, wenn diese Variable wiederholt in verschiedenen Gleichungen verwendet wird. Daher wählen wir in den verschiedenen Komponenten unseres Modells eine unterschiedliche Gruppe von Variablen aus. Die gewählten Variablen repräsentieren die vergangenen Aktivitäten der Kunden und die vergangenen und aktuellen Marketingaktivitäten des Unternehmens. Diese Entscheidungen sind mit der Literatur zum Customer Relationship Marketing (z. B. Kumar et al. 2011; Li, Sun und Montgomery 2011; Netzer, Lattin und Srinivasan 2008) in Einklang. Konkret modellieren wir die Übergangswahrscheinlichkeit des Kunden i (von Periode t-1 auf t) zwischen den Zuständen des Markov-Prozesses als Funktion der Interaktionen zwischen dem Kunden i und dem Unternehmen in der Periode t-1. Wir verwenden Oi,t-1, Yi,t-1, um die jüngste Interaktion des Kunden i mit dem Unternehmen zu erfassen, und EMi,t-1, um die jüngste Interaktion des Unternehmens mit dem Kunden i zu erfassen. Wir modellieren die CEOM-Komponente als Funktion der Zeit seit dem letzten Öffnen einer E-Mail des Kunden i (d. h. LOit). Wir modellieren die CPM-Komponente als Funktion der Zeit seit dem letzten Kauf des Kunden i (LYit) und der E-Mail-Marketing-Kontaktpolitik des Unternehmens (EMit). Beachten Sie außerdem, dass wir verzögerte und gleichzeitige Werte der Verhaltensvariablen auf Kunden- und Unternehmensebene in den Übergangs- und bedingten Verhaltenskomponenten (CEOM und CPM) unseres Modells verwenden. </w:t>
      </w:r>
      <w:r w:rsidRPr="009831E6">
        <w:rPr>
          <w:color w:val="FF0000"/>
        </w:rPr>
        <w:t xml:space="preserve">Da wir ausreichende Variation innerhalb der Variablen im Laufe der Zeit haben (für diese Verhaltensvariablen), können wir alle drei Komponenten unseres Modells (Übergang, CEOM und CPM) separat identifizieren. </w:t>
      </w:r>
      <w:r>
        <w:t xml:space="preserve">Wir identifizieren die Parameter jeder der Komponenten wie folgt. </w:t>
      </w:r>
      <w:r w:rsidRPr="009831E6">
        <w:rPr>
          <w:color w:val="4472C4" w:themeColor="accent1"/>
        </w:rPr>
        <w:t>Für die Übergangskomponente selbst beobachten wir signifikante Variationen des Verhaltens (E-Mail-Öffnung und Kauf) innerhalb der Kunden im Laufe der Zeit. Dies bedeutet, dass die Beziehungsebenen der Kunden zum Unternehmen sich im Laufe der Zeit signifikant ändern. Dies ist der Schlüssel für uns, die Parameter der Übergangskomponente empirisch zu identifizieren (d. h. die Parameter in Gleichung 3).</w:t>
      </w:r>
      <w:r>
        <w:t xml:space="preserve"> Innerhalb der Beziehungsebenen beobachten wir auch unterschiedliches Verhalten der Kunden, und dies hilft uns, die unbekannten Parameter der Kundenheterogenität zu identifizieren (d. h. die Parameter der Heterogenitätsverteilungen in den Gleichungen 7, 10 und 12). </w:t>
      </w:r>
      <w:r w:rsidRPr="009831E6">
        <w:rPr>
          <w:color w:val="385623" w:themeColor="accent6" w:themeShade="80"/>
        </w:rPr>
        <w:t xml:space="preserve">Für die CEOM- und CPM-Komponenten beobachten wir eine signifikante Variation der E-Mail-Öffnungs- und Kaufverhalten der Kunden im Laufe der Zeit. Zum Beispiel sind zu einem bestimm ten Zeitpunkt einige Kunden in einem Verhalten aktiv, einige in beiden Verhaltensweisen aktiv und einige in beiden passiv. Darüber hinaus variiert innerhalb der Kunden die Intensität der beiden Verhaltensweisen signifikant im </w:t>
      </w:r>
      <w:r w:rsidRPr="009831E6">
        <w:rPr>
          <w:color w:val="385623" w:themeColor="accent6" w:themeShade="80"/>
        </w:rPr>
        <w:lastRenderedPageBreak/>
        <w:t>Laufe der Zeit</w:t>
      </w:r>
      <w:r>
        <w:t>. Diese Variationen helfen uns, die Parameter der CEOM- und CPM-Komponenten zu identifizieren (d. h. die Parameter in den Gleichungen 6, 9 und 11). Im nächsten Abschnitt diskutieren wir unsere empirischen Ergebnisse.</w:t>
      </w:r>
    </w:p>
    <w:p w14:paraId="65491839" w14:textId="5E06E5A3" w:rsidR="00112138" w:rsidRDefault="00112138" w:rsidP="00112138">
      <w:pPr>
        <w:pStyle w:val="berschrift2"/>
      </w:pPr>
      <w:r>
        <w:t>Empirische Ergebnisse</w:t>
      </w:r>
    </w:p>
    <w:p w14:paraId="7DF1E77F" w14:textId="77777777" w:rsidR="00112138" w:rsidRDefault="00112138" w:rsidP="00112138">
      <w:pPr>
        <w:rPr>
          <w:rFonts w:ascii="Times New Roman" w:hAnsi="Times New Roman" w:cs="Times New Roman"/>
          <w:sz w:val="24"/>
          <w:szCs w:val="24"/>
        </w:rPr>
      </w:pPr>
      <w:r>
        <w:t xml:space="preserve">Wir schätzen unser HMM mithilfe der Maximum-Likelihood-Schätzmethode. Wir maximieren die logarithmische Wahrscheinlichkeit </w:t>
      </w:r>
      <w:r w:rsidRPr="00112138">
        <w:rPr>
          <w:color w:val="C00000"/>
        </w:rPr>
        <w:t>der simulierten Stichprobe</w:t>
      </w:r>
      <w:r>
        <w:t>, um unsere Modellparameter zu schätzen. Wir entscheiden über die Anzahl der HMM-Zustände mithilfe des Bayesian Information Criterion (BIC). In unserer Anwendung vergleichen wir die Leistung von HMMs mit bis zu vier Zuständen (siehe Tabelle 3). Wir stellen fest, dass das HMM mit drei Zuständen die beste Anpassung an die Daten liefert, da es den niedrigsten BIC-Wert aufweist. Daher wählen wir das HMM mit drei Zuständen für weitere Analysen aus.</w:t>
      </w:r>
    </w:p>
    <w:p w14:paraId="444B0180" w14:textId="77777777" w:rsidR="00112138" w:rsidRDefault="00112138" w:rsidP="00112138">
      <w:r>
        <w:t>Im folgenden Abschnitt diskutieren wir zunächst die Parameterschätzungen aus unserem vorgeschlagenen HMM und dem Copula-Modell für das Kauf- und E-Mail-Öffnungsverhalten der Kunden. Zweitens verdeutlichen wir, wie die E-Mail-Kontaktentscheidung des Unternehmens die Kunden-Unternehmens-Beziehungszustände beeinflusst. Insbesondere diskutieren wir, wie sie die Übergänge der Kunden zwischen verschiedenen Beziehungszuständen beeinflusst. Drittens besprechen wir die Verteilung der Kunden in den drei Kunden-Unternehmens-Beziehungszuständen. Konkret stellen wir den Anteil der Kunden dar, die zu verschiedenen Beziehungszuständen gehören, im Laufe der Zeit.</w:t>
      </w:r>
    </w:p>
    <w:p w14:paraId="67DE2FBC" w14:textId="67D158D0" w:rsidR="000436C0" w:rsidRPr="00C17A9F" w:rsidRDefault="000436C0" w:rsidP="008D7DDB">
      <w:r w:rsidRPr="00C17A9F">
        <w:br w:type="page"/>
      </w:r>
    </w:p>
    <w:p w14:paraId="217A05FA" w14:textId="1D550C81" w:rsidR="000A4FA8" w:rsidRDefault="00894119" w:rsidP="008B2148">
      <w:pPr>
        <w:pStyle w:val="berschrift1"/>
      </w:pPr>
      <w:r>
        <w:lastRenderedPageBreak/>
        <w:t>Formatierung</w:t>
      </w:r>
      <w:r w:rsidR="00506934">
        <w:t xml:space="preserve"> </w:t>
      </w:r>
    </w:p>
    <w:p w14:paraId="7EAD7915" w14:textId="2B4EC088" w:rsidR="00483291" w:rsidRPr="00483291" w:rsidRDefault="00483291" w:rsidP="008B2148">
      <w:r>
        <w:t xml:space="preserve">Alle arabisch nummerierten Seiten stellen den Kernteil der Arbeit dar und </w:t>
      </w:r>
      <w:r w:rsidR="0093461B">
        <w:t>werden,</w:t>
      </w:r>
      <w:r>
        <w:t xml:space="preserve"> wie in Tabelle 1 dargestellt formatiert.</w:t>
      </w:r>
    </w:p>
    <w:tbl>
      <w:tblPr>
        <w:tblW w:w="90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2"/>
        <w:gridCol w:w="5556"/>
      </w:tblGrid>
      <w:tr w:rsidR="00F83B37" w14:paraId="5D72127B" w14:textId="77777777" w:rsidTr="00DE626A">
        <w:tc>
          <w:tcPr>
            <w:tcW w:w="3482" w:type="dxa"/>
            <w:shd w:val="clear" w:color="auto" w:fill="auto"/>
          </w:tcPr>
          <w:p w14:paraId="3822DCB6" w14:textId="77777777" w:rsidR="00F83B37" w:rsidRDefault="00F83B37" w:rsidP="008B2148">
            <w:pPr>
              <w:jc w:val="left"/>
            </w:pPr>
            <w:r>
              <w:t>Format</w:t>
            </w:r>
          </w:p>
        </w:tc>
        <w:tc>
          <w:tcPr>
            <w:tcW w:w="5556" w:type="dxa"/>
            <w:shd w:val="clear" w:color="auto" w:fill="auto"/>
          </w:tcPr>
          <w:p w14:paraId="2C79F328" w14:textId="77777777" w:rsidR="00F83B37" w:rsidRDefault="00F83B37" w:rsidP="008B2148">
            <w:pPr>
              <w:jc w:val="left"/>
            </w:pPr>
            <w:r>
              <w:t>DIN A4, hochkant</w:t>
            </w:r>
          </w:p>
        </w:tc>
      </w:tr>
      <w:tr w:rsidR="00F83B37" w14:paraId="69F12DA7" w14:textId="77777777" w:rsidTr="00DE626A">
        <w:tc>
          <w:tcPr>
            <w:tcW w:w="3482" w:type="dxa"/>
            <w:shd w:val="clear" w:color="auto" w:fill="auto"/>
          </w:tcPr>
          <w:p w14:paraId="7C3BE76D" w14:textId="77777777" w:rsidR="00F83B37" w:rsidRDefault="00F83B37" w:rsidP="008B2148">
            <w:pPr>
              <w:jc w:val="left"/>
            </w:pPr>
            <w:r>
              <w:t>Seitenränder</w:t>
            </w:r>
          </w:p>
        </w:tc>
        <w:tc>
          <w:tcPr>
            <w:tcW w:w="5556" w:type="dxa"/>
            <w:shd w:val="clear" w:color="auto" w:fill="auto"/>
          </w:tcPr>
          <w:p w14:paraId="212A2C46" w14:textId="77777777" w:rsidR="00F83B37" w:rsidRDefault="00F83B37" w:rsidP="008B2148">
            <w:pPr>
              <w:jc w:val="left"/>
            </w:pPr>
            <w:r>
              <w:t>oben und unten je 2,5 cm, links 3 cm, rechts 2 cm</w:t>
            </w:r>
          </w:p>
        </w:tc>
      </w:tr>
      <w:tr w:rsidR="00F83B37" w14:paraId="572B7E28" w14:textId="77777777" w:rsidTr="00DE626A">
        <w:tc>
          <w:tcPr>
            <w:tcW w:w="3482" w:type="dxa"/>
            <w:shd w:val="clear" w:color="auto" w:fill="auto"/>
          </w:tcPr>
          <w:p w14:paraId="647150A8" w14:textId="77777777" w:rsidR="00F83B37" w:rsidRDefault="00F83B37" w:rsidP="008B2148">
            <w:pPr>
              <w:jc w:val="left"/>
            </w:pPr>
            <w:r>
              <w:t>Schriftart</w:t>
            </w:r>
          </w:p>
        </w:tc>
        <w:tc>
          <w:tcPr>
            <w:tcW w:w="5556" w:type="dxa"/>
            <w:shd w:val="clear" w:color="auto" w:fill="auto"/>
          </w:tcPr>
          <w:p w14:paraId="6A3039EF" w14:textId="77777777" w:rsidR="00F83B37" w:rsidRDefault="00F83B37" w:rsidP="008B2148">
            <w:pPr>
              <w:jc w:val="left"/>
            </w:pPr>
            <w:r>
              <w:t>Arial</w:t>
            </w:r>
          </w:p>
        </w:tc>
      </w:tr>
      <w:tr w:rsidR="00F83B37" w14:paraId="7C346C71" w14:textId="77777777" w:rsidTr="00DE626A">
        <w:tc>
          <w:tcPr>
            <w:tcW w:w="3482" w:type="dxa"/>
            <w:shd w:val="clear" w:color="auto" w:fill="auto"/>
          </w:tcPr>
          <w:p w14:paraId="3A93B9CB" w14:textId="77777777" w:rsidR="00F83B37" w:rsidRDefault="00F83B37" w:rsidP="008B2148">
            <w:pPr>
              <w:jc w:val="left"/>
            </w:pPr>
            <w:r>
              <w:t>Schriftgröße</w:t>
            </w:r>
          </w:p>
        </w:tc>
        <w:tc>
          <w:tcPr>
            <w:tcW w:w="5556" w:type="dxa"/>
            <w:shd w:val="clear" w:color="auto" w:fill="auto"/>
          </w:tcPr>
          <w:p w14:paraId="504B84DA" w14:textId="77777777" w:rsidR="00F83B37" w:rsidRDefault="00F83B37" w:rsidP="008B2148">
            <w:pPr>
              <w:jc w:val="left"/>
            </w:pPr>
            <w:r>
              <w:t>11 pt</w:t>
            </w:r>
          </w:p>
        </w:tc>
      </w:tr>
      <w:tr w:rsidR="00F83B37" w14:paraId="461EBE74" w14:textId="77777777" w:rsidTr="00DE626A">
        <w:tc>
          <w:tcPr>
            <w:tcW w:w="3482" w:type="dxa"/>
            <w:shd w:val="clear" w:color="auto" w:fill="auto"/>
          </w:tcPr>
          <w:p w14:paraId="023135AC" w14:textId="77777777" w:rsidR="00F83B37" w:rsidRDefault="00F83B37" w:rsidP="008B2148">
            <w:pPr>
              <w:jc w:val="left"/>
            </w:pPr>
            <w:r>
              <w:t>Überschriften</w:t>
            </w:r>
          </w:p>
        </w:tc>
        <w:tc>
          <w:tcPr>
            <w:tcW w:w="5556" w:type="dxa"/>
            <w:shd w:val="clear" w:color="auto" w:fill="auto"/>
          </w:tcPr>
          <w:p w14:paraId="34E4BC76" w14:textId="77777777" w:rsidR="00F83B37" w:rsidRDefault="00F83B37" w:rsidP="008B2148">
            <w:pPr>
              <w:jc w:val="left"/>
            </w:pPr>
            <w:r>
              <w:t>evtl. fett</w:t>
            </w:r>
          </w:p>
        </w:tc>
      </w:tr>
      <w:tr w:rsidR="00F83B37" w14:paraId="030BBB5A" w14:textId="77777777" w:rsidTr="00DE626A">
        <w:tc>
          <w:tcPr>
            <w:tcW w:w="3482" w:type="dxa"/>
            <w:shd w:val="clear" w:color="auto" w:fill="auto"/>
          </w:tcPr>
          <w:p w14:paraId="247D52D7" w14:textId="77777777" w:rsidR="00F83B37" w:rsidRDefault="00F83B37" w:rsidP="008B2148">
            <w:pPr>
              <w:jc w:val="left"/>
            </w:pPr>
            <w:r>
              <w:t>Zeilenabstand</w:t>
            </w:r>
          </w:p>
        </w:tc>
        <w:tc>
          <w:tcPr>
            <w:tcW w:w="5556" w:type="dxa"/>
            <w:shd w:val="clear" w:color="auto" w:fill="auto"/>
          </w:tcPr>
          <w:p w14:paraId="76DFCEC1" w14:textId="77777777" w:rsidR="00F83B37" w:rsidRDefault="00F83B37" w:rsidP="008B2148">
            <w:pPr>
              <w:jc w:val="left"/>
            </w:pPr>
            <w:r>
              <w:t>1,5</w:t>
            </w:r>
          </w:p>
        </w:tc>
      </w:tr>
      <w:tr w:rsidR="00F83B37" w14:paraId="045C4516" w14:textId="77777777" w:rsidTr="00DE626A">
        <w:tc>
          <w:tcPr>
            <w:tcW w:w="3482" w:type="dxa"/>
            <w:shd w:val="clear" w:color="auto" w:fill="auto"/>
          </w:tcPr>
          <w:p w14:paraId="741F1B46" w14:textId="77777777" w:rsidR="00F83B37" w:rsidRDefault="00F83B37" w:rsidP="008B2148">
            <w:pPr>
              <w:jc w:val="left"/>
            </w:pPr>
            <w:r>
              <w:t>Ausrichtung</w:t>
            </w:r>
          </w:p>
        </w:tc>
        <w:tc>
          <w:tcPr>
            <w:tcW w:w="5556" w:type="dxa"/>
            <w:shd w:val="clear" w:color="auto" w:fill="auto"/>
          </w:tcPr>
          <w:p w14:paraId="68663362" w14:textId="77777777" w:rsidR="00F83B37" w:rsidRDefault="00F83B37" w:rsidP="007300BD">
            <w:pPr>
              <w:spacing w:line="240" w:lineRule="auto"/>
              <w:jc w:val="left"/>
            </w:pPr>
            <w:r>
              <w:t>Blocksatz</w:t>
            </w:r>
          </w:p>
          <w:p w14:paraId="33CE172F" w14:textId="77777777" w:rsidR="00F83B37" w:rsidRDefault="00F83B37" w:rsidP="007300BD">
            <w:pPr>
              <w:spacing w:line="240" w:lineRule="auto"/>
              <w:jc w:val="left"/>
            </w:pPr>
            <w:r>
              <w:t>Silbentrennung wird empfohlen</w:t>
            </w:r>
          </w:p>
        </w:tc>
      </w:tr>
      <w:tr w:rsidR="00F83B37" w14:paraId="0758E92A" w14:textId="77777777" w:rsidTr="00DE626A">
        <w:tc>
          <w:tcPr>
            <w:tcW w:w="3482" w:type="dxa"/>
            <w:shd w:val="clear" w:color="auto" w:fill="auto"/>
          </w:tcPr>
          <w:p w14:paraId="62D31CC1" w14:textId="77777777" w:rsidR="00F83B37" w:rsidRDefault="00F83B37" w:rsidP="008B2148">
            <w:pPr>
              <w:jc w:val="left"/>
            </w:pPr>
            <w:r>
              <w:t>Seitenzahlen</w:t>
            </w:r>
          </w:p>
        </w:tc>
        <w:tc>
          <w:tcPr>
            <w:tcW w:w="5556" w:type="dxa"/>
            <w:shd w:val="clear" w:color="auto" w:fill="auto"/>
          </w:tcPr>
          <w:p w14:paraId="5803080E" w14:textId="77777777" w:rsidR="00F83B37" w:rsidRDefault="00F83B37" w:rsidP="00D744FF">
            <w:pPr>
              <w:keepNext/>
              <w:jc w:val="left"/>
            </w:pPr>
            <w:r>
              <w:t>arabische Ziffern</w:t>
            </w:r>
          </w:p>
        </w:tc>
      </w:tr>
      <w:tr w:rsidR="000A4FA8" w14:paraId="3355CF6A" w14:textId="77777777" w:rsidTr="00DE626A">
        <w:tc>
          <w:tcPr>
            <w:tcW w:w="3482" w:type="dxa"/>
            <w:shd w:val="clear" w:color="auto" w:fill="auto"/>
          </w:tcPr>
          <w:p w14:paraId="2C6078A8" w14:textId="1B598AF9" w:rsidR="000A4FA8" w:rsidRDefault="009F5913" w:rsidP="009F5913">
            <w:pPr>
              <w:jc w:val="left"/>
            </w:pPr>
            <w:r>
              <w:t>Seitenu</w:t>
            </w:r>
            <w:r w:rsidR="000A4FA8">
              <w:t>mfang</w:t>
            </w:r>
          </w:p>
        </w:tc>
        <w:tc>
          <w:tcPr>
            <w:tcW w:w="5556" w:type="dxa"/>
            <w:shd w:val="clear" w:color="auto" w:fill="auto"/>
          </w:tcPr>
          <w:p w14:paraId="2E74E20F" w14:textId="05270FFF" w:rsidR="000A4FA8" w:rsidRDefault="000A4FA8" w:rsidP="00D744FF">
            <w:pPr>
              <w:keepNext/>
              <w:jc w:val="left"/>
            </w:pPr>
            <w:r>
              <w:t>Bachelorarbeit:</w:t>
            </w:r>
            <w:r w:rsidR="009F5913">
              <w:t xml:space="preserve"> 40-50 Seiten (min./max.)</w:t>
            </w:r>
          </w:p>
          <w:p w14:paraId="104B2B29" w14:textId="72BF27B9" w:rsidR="000A4FA8" w:rsidRDefault="000A4FA8" w:rsidP="00D744FF">
            <w:pPr>
              <w:keepNext/>
              <w:jc w:val="left"/>
            </w:pPr>
            <w:r>
              <w:t>Masterarbeit:</w:t>
            </w:r>
            <w:r w:rsidR="009F5913">
              <w:t xml:space="preserve"> 50-80 Seiten (min./max.)</w:t>
            </w:r>
          </w:p>
          <w:p w14:paraId="0C01924A" w14:textId="47AFD186" w:rsidR="000A4FA8" w:rsidRDefault="000A4FA8" w:rsidP="009F5913">
            <w:pPr>
              <w:keepNext/>
              <w:jc w:val="left"/>
            </w:pPr>
            <w:r>
              <w:t xml:space="preserve">Seminararbeit: </w:t>
            </w:r>
            <w:r w:rsidR="009F5913">
              <w:t>15-20 Seiten (min./max.)</w:t>
            </w:r>
          </w:p>
        </w:tc>
      </w:tr>
    </w:tbl>
    <w:p w14:paraId="78F5AF32" w14:textId="4A8B389D" w:rsidR="00FD5783" w:rsidRPr="00D744FF" w:rsidRDefault="00D744FF">
      <w:pPr>
        <w:pStyle w:val="Beschriftung"/>
        <w:rPr>
          <w:b w:val="0"/>
          <w:sz w:val="22"/>
          <w:szCs w:val="22"/>
        </w:rPr>
      </w:pPr>
      <w:bookmarkStart w:id="22" w:name="_Toc494356283"/>
      <w:r w:rsidRPr="00D744FF">
        <w:rPr>
          <w:b w:val="0"/>
          <w:sz w:val="22"/>
          <w:szCs w:val="22"/>
        </w:rPr>
        <w:t xml:space="preserve">Tabelle </w:t>
      </w:r>
      <w:r w:rsidRPr="00D744FF">
        <w:rPr>
          <w:b w:val="0"/>
          <w:sz w:val="22"/>
          <w:szCs w:val="22"/>
        </w:rPr>
        <w:fldChar w:fldCharType="begin"/>
      </w:r>
      <w:r w:rsidRPr="00D744FF">
        <w:rPr>
          <w:b w:val="0"/>
          <w:sz w:val="22"/>
          <w:szCs w:val="22"/>
        </w:rPr>
        <w:instrText xml:space="preserve"> SEQ Tabelle \* ARABIC </w:instrText>
      </w:r>
      <w:r w:rsidRPr="00D744FF">
        <w:rPr>
          <w:b w:val="0"/>
          <w:sz w:val="22"/>
          <w:szCs w:val="22"/>
        </w:rPr>
        <w:fldChar w:fldCharType="separate"/>
      </w:r>
      <w:r w:rsidR="00563066">
        <w:rPr>
          <w:b w:val="0"/>
          <w:noProof/>
          <w:sz w:val="22"/>
          <w:szCs w:val="22"/>
        </w:rPr>
        <w:t>1</w:t>
      </w:r>
      <w:r w:rsidRPr="00D744FF">
        <w:rPr>
          <w:b w:val="0"/>
          <w:sz w:val="22"/>
          <w:szCs w:val="22"/>
        </w:rPr>
        <w:fldChar w:fldCharType="end"/>
      </w:r>
      <w:r w:rsidRPr="00D744FF">
        <w:rPr>
          <w:b w:val="0"/>
          <w:sz w:val="22"/>
          <w:szCs w:val="22"/>
        </w:rPr>
        <w:t>: Formatierung des Texts</w:t>
      </w:r>
      <w:r w:rsidR="00FD5783" w:rsidRPr="00D744FF">
        <w:rPr>
          <w:rStyle w:val="Funotenzeichen"/>
          <w:b w:val="0"/>
          <w:sz w:val="22"/>
          <w:szCs w:val="22"/>
        </w:rPr>
        <w:footnoteReference w:id="1"/>
      </w:r>
      <w:bookmarkEnd w:id="22"/>
    </w:p>
    <w:p w14:paraId="044F0130" w14:textId="77777777" w:rsidR="00FD5783" w:rsidRPr="00FD5783" w:rsidRDefault="00FD5783" w:rsidP="00FD5783"/>
    <w:p w14:paraId="65ED30D4" w14:textId="0006BDCB" w:rsidR="00F83B37" w:rsidRDefault="00F83B37" w:rsidP="00F83B37">
      <w:r>
        <w:t xml:space="preserve">Der Inhalt der Tabelle wird in der </w:t>
      </w:r>
      <w:r w:rsidR="00FD5783">
        <w:t>Unterschrift</w:t>
      </w:r>
      <w:r>
        <w:t xml:space="preserve"> </w:t>
      </w:r>
      <w:r w:rsidR="00465D48">
        <w:t xml:space="preserve">beschrieben. </w:t>
      </w:r>
      <w:r w:rsidR="006859DA">
        <w:t>Darüber hinaus muss die Quelle der Tabelle angegeben werden. Diese</w:t>
      </w:r>
      <w:r w:rsidR="00465D48">
        <w:t xml:space="preserve"> kann entweder in einer Klammer in der Tabellenunterschrift stehen oder durch eine Fußnote kenntlich gemacht werden</w:t>
      </w:r>
      <w:r w:rsidR="00F35548">
        <w:t xml:space="preserve"> – je nachdem, welcher Zitierstil grundsätzlich in der Arbeit verwendet wird.</w:t>
      </w:r>
      <w:r w:rsidR="00E42CFE">
        <w:t xml:space="preserve"> </w:t>
      </w:r>
      <w:r w:rsidR="009E4253">
        <w:t xml:space="preserve">(Hinweis: konsistente Zitierweise </w:t>
      </w:r>
      <w:r w:rsidR="000D2DF7">
        <w:t>innerhalb</w:t>
      </w:r>
      <w:r w:rsidR="009E4253">
        <w:t xml:space="preserve"> der gesamten Arbeit zwingend erforderlich). </w:t>
      </w:r>
      <w:r w:rsidR="00E42CFE">
        <w:t>Handelt es sich um eine eigene Darstellung (ggf. in Anlehnung an eine bestehende Darstellung), so muss auch dies angegeben werden.</w:t>
      </w:r>
    </w:p>
    <w:p w14:paraId="57771D2A" w14:textId="2B544FCD" w:rsidR="002328A3" w:rsidRDefault="002328A3" w:rsidP="00F83B37">
      <w:r>
        <w:t xml:space="preserve">Abbildungen erhalten zur Beschreibung eine </w:t>
      </w:r>
      <w:r w:rsidR="00E42CFE">
        <w:t xml:space="preserve">analoge </w:t>
      </w:r>
      <w:r>
        <w:t>Unterschrift.</w:t>
      </w:r>
    </w:p>
    <w:p w14:paraId="0FA6C088" w14:textId="59967ADC" w:rsidR="009C6DBA" w:rsidRDefault="007300BD" w:rsidP="009C6DBA">
      <w:pPr>
        <w:keepNext/>
      </w:pPr>
      <w:r>
        <w:rPr>
          <w:noProof/>
        </w:rPr>
        <w:lastRenderedPageBreak/>
        <w:drawing>
          <wp:inline distT="0" distB="0" distL="0" distR="0" wp14:anchorId="0C180CD1" wp14:editId="135BEF77">
            <wp:extent cx="3960000" cy="2234040"/>
            <wp:effectExtent l="0" t="0" r="2540" b="0"/>
            <wp:docPr id="13" name="Bild 1" descr="abschlussarbeit-schreiben-form-erfolgreich-100~_v-img__16__9__xl_-d31c35f8186ebeb80b0cd843a7c267a0e0c8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chlussarbeit-schreiben-form-erfolgreich-100~_v-img__16__9__xl_-d31c35f8186ebeb80b0cd843a7c267a0e0c8164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60000" cy="2234040"/>
                    </a:xfrm>
                    <a:prstGeom prst="rect">
                      <a:avLst/>
                    </a:prstGeom>
                    <a:noFill/>
                    <a:ln>
                      <a:noFill/>
                    </a:ln>
                  </pic:spPr>
                </pic:pic>
              </a:graphicData>
            </a:graphic>
          </wp:inline>
        </w:drawing>
      </w:r>
    </w:p>
    <w:p w14:paraId="0B34E6F1" w14:textId="49B4DE9A" w:rsidR="00657CDE" w:rsidRPr="008B2148" w:rsidRDefault="00657CDE" w:rsidP="00657CDE">
      <w:pPr>
        <w:pStyle w:val="Beschriftung"/>
        <w:rPr>
          <w:iCs/>
          <w:sz w:val="22"/>
          <w:szCs w:val="22"/>
          <w:lang w:val="fr-FR"/>
        </w:rPr>
      </w:pPr>
      <w:bookmarkStart w:id="23" w:name="_Toc489367724"/>
      <w:r w:rsidRPr="008B2148">
        <w:rPr>
          <w:b w:val="0"/>
          <w:sz w:val="22"/>
          <w:szCs w:val="22"/>
        </w:rPr>
        <w:t xml:space="preserve">Abbildung </w:t>
      </w:r>
      <w:r w:rsidRPr="008B2148">
        <w:rPr>
          <w:b w:val="0"/>
          <w:sz w:val="22"/>
          <w:szCs w:val="22"/>
        </w:rPr>
        <w:fldChar w:fldCharType="begin"/>
      </w:r>
      <w:r w:rsidRPr="008B2148">
        <w:rPr>
          <w:b w:val="0"/>
          <w:sz w:val="22"/>
          <w:szCs w:val="22"/>
        </w:rPr>
        <w:instrText xml:space="preserve"> SEQ Abbildung \* ARABIC </w:instrText>
      </w:r>
      <w:r w:rsidRPr="008B2148">
        <w:rPr>
          <w:b w:val="0"/>
          <w:sz w:val="22"/>
          <w:szCs w:val="22"/>
        </w:rPr>
        <w:fldChar w:fldCharType="separate"/>
      </w:r>
      <w:r w:rsidR="008B5B22">
        <w:rPr>
          <w:b w:val="0"/>
          <w:noProof/>
          <w:sz w:val="22"/>
          <w:szCs w:val="22"/>
        </w:rPr>
        <w:t>7</w:t>
      </w:r>
      <w:r w:rsidRPr="008B2148">
        <w:rPr>
          <w:b w:val="0"/>
          <w:sz w:val="22"/>
          <w:szCs w:val="22"/>
        </w:rPr>
        <w:fldChar w:fldCharType="end"/>
      </w:r>
      <w:r w:rsidRPr="008B2148">
        <w:rPr>
          <w:b w:val="0"/>
          <w:sz w:val="22"/>
          <w:szCs w:val="22"/>
        </w:rPr>
        <w:t>: Wie schaffe ich meine Abschlussarbeit?</w:t>
      </w:r>
      <w:bookmarkEnd w:id="23"/>
      <w:r w:rsidR="002F646F" w:rsidRPr="008B2148">
        <w:rPr>
          <w:rStyle w:val="Funotenzeichen"/>
          <w:b w:val="0"/>
          <w:sz w:val="22"/>
          <w:szCs w:val="22"/>
        </w:rPr>
        <w:footnoteReference w:id="2"/>
      </w:r>
    </w:p>
    <w:p w14:paraId="078C749C" w14:textId="77777777" w:rsidR="00506934" w:rsidRPr="005F142D" w:rsidRDefault="00A64325" w:rsidP="007D058D">
      <w:pPr>
        <w:pStyle w:val="berschrift2"/>
        <w:numPr>
          <w:ilvl w:val="1"/>
          <w:numId w:val="4"/>
        </w:numPr>
        <w:ind w:left="567" w:hanging="567"/>
        <w:rPr>
          <w:lang w:val="de-DE"/>
        </w:rPr>
      </w:pPr>
      <w:bookmarkStart w:id="24" w:name="_Toc489363985"/>
      <w:bookmarkStart w:id="25" w:name="_Toc489364076"/>
      <w:bookmarkStart w:id="26" w:name="_Toc69975043"/>
      <w:r w:rsidRPr="005F142D">
        <w:rPr>
          <w:lang w:val="de-DE"/>
        </w:rPr>
        <w:t>Untergliederung der Kapitel</w:t>
      </w:r>
      <w:bookmarkEnd w:id="24"/>
      <w:bookmarkEnd w:id="25"/>
      <w:bookmarkEnd w:id="26"/>
    </w:p>
    <w:p w14:paraId="32623BF8" w14:textId="332E92B4" w:rsidR="00A316A4" w:rsidRPr="00A316A4" w:rsidRDefault="00A64325" w:rsidP="00A316A4">
      <w:r>
        <w:t xml:space="preserve">Für die weiteren Überschriften der </w:t>
      </w:r>
      <w:r w:rsidR="001C56BE">
        <w:t xml:space="preserve">untergeordneten </w:t>
      </w:r>
      <w:r>
        <w:t xml:space="preserve">Abschnitte wird dieselbe Formatierung wie für die Überschrift des ganzen Kapitels benutzt. </w:t>
      </w:r>
      <w:r w:rsidR="00A316A4">
        <w:t xml:space="preserve">Dabei ist zu beachten, dass </w:t>
      </w:r>
      <w:r w:rsidR="001C56BE">
        <w:t xml:space="preserve">die formale Aufteilung in </w:t>
      </w:r>
      <w:r w:rsidR="00A316A4">
        <w:t>Unterkapitel</w:t>
      </w:r>
      <w:r w:rsidR="001C56BE">
        <w:t xml:space="preserve"> und weitere untergeordnete Abschnitte auch eine inhaltliche Logik widerspiegeln sollte</w:t>
      </w:r>
      <w:r w:rsidR="00A316A4">
        <w:t xml:space="preserve">. Bevor ein Kapitel in weitere Abschnitte untergliedert wird, wird wenigstens </w:t>
      </w:r>
      <w:r w:rsidR="00657CDE">
        <w:t>eine kurze Einführung benötigt.</w:t>
      </w:r>
    </w:p>
    <w:p w14:paraId="7DA374E1" w14:textId="77777777" w:rsidR="00506934" w:rsidRDefault="00A316A4" w:rsidP="007D058D">
      <w:pPr>
        <w:pStyle w:val="berschrift3"/>
        <w:ind w:left="567" w:hanging="567"/>
      </w:pPr>
      <w:bookmarkStart w:id="27" w:name="_Toc489363986"/>
      <w:bookmarkStart w:id="28" w:name="_Toc489364077"/>
      <w:bookmarkStart w:id="29" w:name="_Toc69975044"/>
      <w:r>
        <w:t xml:space="preserve">Weitere Untergliederung der </w:t>
      </w:r>
      <w:r w:rsidR="001D7831">
        <w:t>Unterkapitel</w:t>
      </w:r>
      <w:bookmarkEnd w:id="27"/>
      <w:bookmarkEnd w:id="28"/>
      <w:bookmarkEnd w:id="29"/>
    </w:p>
    <w:p w14:paraId="02C7C923" w14:textId="5E1AD60E" w:rsidR="002328A3" w:rsidRDefault="00A316A4" w:rsidP="002328A3">
      <w:r>
        <w:t>Eine weitere logische Auftrennung ist durch eine dritte Ebene</w:t>
      </w:r>
      <w:r w:rsidR="001D7831">
        <w:t xml:space="preserve"> der Überschriften </w:t>
      </w:r>
      <w:r>
        <w:t>gegeben</w:t>
      </w:r>
      <w:r w:rsidR="001D7831">
        <w:t xml:space="preserve">. Hier gilt wie bei der Untergliederung der Kapitel, dass die Unterteilung nie in nur einen untergeordneten Abschnitt erfolgen kann. In </w:t>
      </w:r>
      <w:r w:rsidR="001C56BE">
        <w:t xml:space="preserve">letzterem </w:t>
      </w:r>
      <w:r w:rsidR="001D7831">
        <w:t xml:space="preserve">Fall kann man </w:t>
      </w:r>
      <w:r w:rsidR="001C56BE">
        <w:t xml:space="preserve">auf die Unterteilung </w:t>
      </w:r>
      <w:r w:rsidR="001D7831">
        <w:t xml:space="preserve">verzichten. </w:t>
      </w:r>
      <w:r w:rsidR="0069549E">
        <w:t xml:space="preserve">Wenn es also </w:t>
      </w:r>
      <w:r w:rsidR="001C56BE">
        <w:t xml:space="preserve">beispielsweise </w:t>
      </w:r>
      <w:r w:rsidR="0069549E">
        <w:t>einen Abschnitt 1.1.1 gibt, muss a</w:t>
      </w:r>
      <w:r w:rsidR="002328A3">
        <w:t>uch ein Abschnitt 1.1.2 folgen</w:t>
      </w:r>
      <w:r w:rsidR="00FD5783">
        <w:t xml:space="preserve"> (vice versa)</w:t>
      </w:r>
      <w:r w:rsidR="002328A3">
        <w:t>.</w:t>
      </w:r>
    </w:p>
    <w:p w14:paraId="457BFEAF" w14:textId="77777777" w:rsidR="00506934" w:rsidRPr="00316944" w:rsidRDefault="00506934" w:rsidP="00316944">
      <w:pPr>
        <w:pStyle w:val="berschrift4"/>
      </w:pPr>
      <w:bookmarkStart w:id="30" w:name="_Toc489363987"/>
      <w:bookmarkStart w:id="31" w:name="_Toc489364078"/>
      <w:bookmarkStart w:id="32" w:name="_Toc489369019"/>
      <w:r w:rsidRPr="00316944">
        <w:t>Zwischenüberschrift</w:t>
      </w:r>
      <w:bookmarkEnd w:id="30"/>
      <w:bookmarkEnd w:id="31"/>
      <w:bookmarkEnd w:id="32"/>
    </w:p>
    <w:p w14:paraId="40E6578B" w14:textId="77777777" w:rsidR="007B749D" w:rsidRDefault="00A316A4" w:rsidP="002328A3">
      <w:r>
        <w:t xml:space="preserve">Wichtige Begriffe </w:t>
      </w:r>
      <w:r w:rsidR="001D7831">
        <w:t xml:space="preserve">oder weitere thematische Abgrenzungen </w:t>
      </w:r>
      <w:r>
        <w:t xml:space="preserve">können durch eine weitere Zwischenüberschrift </w:t>
      </w:r>
      <w:r w:rsidR="0069549E">
        <w:t>vorgenommen</w:t>
      </w:r>
      <w:r w:rsidR="001D7831">
        <w:t xml:space="preserve"> werden. Darüber hinaus sollte im Text jedoch größtenteils auf Betonungen durch </w:t>
      </w:r>
      <w:r w:rsidR="001D7831" w:rsidRPr="001D7831">
        <w:rPr>
          <w:b/>
        </w:rPr>
        <w:t>fett</w:t>
      </w:r>
      <w:r w:rsidR="001D7831">
        <w:t xml:space="preserve"> oder </w:t>
      </w:r>
      <w:r w:rsidR="001D7831" w:rsidRPr="001D7831">
        <w:rPr>
          <w:i/>
        </w:rPr>
        <w:t>kursiv</w:t>
      </w:r>
      <w:r w:rsidR="001D7831">
        <w:t xml:space="preserve"> mar</w:t>
      </w:r>
      <w:r w:rsidR="002328A3">
        <w:t>kierten Text verzichtet werden.</w:t>
      </w:r>
    </w:p>
    <w:p w14:paraId="5FB9436A" w14:textId="77777777" w:rsidR="00506934" w:rsidRDefault="00506934" w:rsidP="00316944">
      <w:pPr>
        <w:pStyle w:val="berschrift4"/>
      </w:pPr>
      <w:bookmarkStart w:id="33" w:name="_Toc489363988"/>
      <w:bookmarkStart w:id="34" w:name="_Toc489364079"/>
      <w:bookmarkStart w:id="35" w:name="_Toc489369020"/>
      <w:r>
        <w:t>Aufzählung</w:t>
      </w:r>
      <w:bookmarkEnd w:id="33"/>
      <w:bookmarkEnd w:id="34"/>
      <w:bookmarkEnd w:id="35"/>
    </w:p>
    <w:p w14:paraId="615C2421" w14:textId="77777777" w:rsidR="00506934" w:rsidRPr="0069549E" w:rsidRDefault="00316944" w:rsidP="00465D48">
      <w:pPr>
        <w:pStyle w:val="Textkrper"/>
        <w:numPr>
          <w:ilvl w:val="0"/>
          <w:numId w:val="2"/>
        </w:numPr>
        <w:ind w:left="567" w:hanging="567"/>
        <w:rPr>
          <w:sz w:val="22"/>
        </w:rPr>
      </w:pPr>
      <w:r w:rsidRPr="0069549E">
        <w:rPr>
          <w:sz w:val="22"/>
        </w:rPr>
        <w:t>Aufzählungspunkt 1</w:t>
      </w:r>
    </w:p>
    <w:p w14:paraId="26E2F209" w14:textId="77777777" w:rsidR="00316944" w:rsidRPr="0069549E" w:rsidRDefault="00316944" w:rsidP="00465D48">
      <w:pPr>
        <w:pStyle w:val="Textkrper"/>
        <w:numPr>
          <w:ilvl w:val="0"/>
          <w:numId w:val="7"/>
        </w:numPr>
        <w:ind w:left="709" w:hanging="426"/>
        <w:rPr>
          <w:sz w:val="22"/>
        </w:rPr>
      </w:pPr>
      <w:r w:rsidRPr="0069549E">
        <w:rPr>
          <w:sz w:val="22"/>
        </w:rPr>
        <w:t xml:space="preserve">Falls ein Punkt in der Aufzählung weitere Unterpunkte hat, werden diese </w:t>
      </w:r>
      <w:r w:rsidR="00465D48">
        <w:rPr>
          <w:sz w:val="22"/>
        </w:rPr>
        <w:t xml:space="preserve">wie hier </w:t>
      </w:r>
      <w:r w:rsidR="00A316A4" w:rsidRPr="0069549E">
        <w:rPr>
          <w:sz w:val="22"/>
        </w:rPr>
        <w:t xml:space="preserve">dargestellt </w:t>
      </w:r>
      <w:r w:rsidR="009D56AA">
        <w:rPr>
          <w:sz w:val="22"/>
        </w:rPr>
        <w:t>gekennzeichnet.</w:t>
      </w:r>
    </w:p>
    <w:p w14:paraId="6B6C1A42" w14:textId="77777777" w:rsidR="00316944" w:rsidRPr="0069549E" w:rsidRDefault="00316944" w:rsidP="002E2F46">
      <w:pPr>
        <w:pStyle w:val="Textkrper"/>
        <w:numPr>
          <w:ilvl w:val="0"/>
          <w:numId w:val="7"/>
        </w:numPr>
        <w:ind w:left="709" w:hanging="426"/>
        <w:rPr>
          <w:sz w:val="22"/>
        </w:rPr>
      </w:pPr>
      <w:r w:rsidRPr="0069549E">
        <w:rPr>
          <w:sz w:val="22"/>
        </w:rPr>
        <w:t>Ein Punkt einer Aufz</w:t>
      </w:r>
      <w:r w:rsidR="009D56AA">
        <w:rPr>
          <w:sz w:val="22"/>
        </w:rPr>
        <w:t>ählung hat mehrere Unterpunkte.</w:t>
      </w:r>
    </w:p>
    <w:p w14:paraId="2D3851C2" w14:textId="77777777" w:rsidR="0069549E" w:rsidRPr="002328A3" w:rsidRDefault="00316944" w:rsidP="0069549E">
      <w:pPr>
        <w:pStyle w:val="Textkrper"/>
        <w:numPr>
          <w:ilvl w:val="0"/>
          <w:numId w:val="2"/>
        </w:numPr>
        <w:ind w:left="567" w:hanging="567"/>
        <w:rPr>
          <w:sz w:val="22"/>
        </w:rPr>
      </w:pPr>
      <w:r w:rsidRPr="0069549E">
        <w:rPr>
          <w:sz w:val="22"/>
        </w:rPr>
        <w:lastRenderedPageBreak/>
        <w:t>Aufzählungspunkt 2</w:t>
      </w:r>
    </w:p>
    <w:p w14:paraId="64A55C03" w14:textId="77777777" w:rsidR="00A64325" w:rsidRDefault="002A4427" w:rsidP="00A64325">
      <w:pPr>
        <w:pStyle w:val="berschrift1"/>
        <w:ind w:left="567" w:hanging="567"/>
      </w:pPr>
      <w:bookmarkStart w:id="36" w:name="_Toc489363989"/>
      <w:bookmarkStart w:id="37" w:name="_Toc489364080"/>
      <w:r>
        <w:br w:type="page"/>
      </w:r>
      <w:bookmarkStart w:id="38" w:name="_Toc69975045"/>
      <w:r w:rsidR="0069549E">
        <w:lastRenderedPageBreak/>
        <w:t>Zitieren</w:t>
      </w:r>
      <w:bookmarkEnd w:id="36"/>
      <w:bookmarkEnd w:id="37"/>
      <w:bookmarkEnd w:id="38"/>
    </w:p>
    <w:p w14:paraId="7CB8DB42" w14:textId="4CF51824" w:rsidR="004A5CEB" w:rsidRDefault="00A6677A" w:rsidP="00A6677A">
      <w:r>
        <w:t xml:space="preserve">Wörtlich oder sinngemäß übernommene Gedanken müssen im Text kenntlich gemacht werden. Dafür werden </w:t>
      </w:r>
      <w:r w:rsidR="002F646F">
        <w:t xml:space="preserve">entweder </w:t>
      </w:r>
      <w:r>
        <w:t>Fußnoten verwendet</w:t>
      </w:r>
      <w:r w:rsidR="002F646F">
        <w:t xml:space="preserve"> oder die Quelle </w:t>
      </w:r>
      <w:r w:rsidR="00E42CFE">
        <w:t xml:space="preserve">wird </w:t>
      </w:r>
      <w:r w:rsidR="002F646F">
        <w:t>in runden Klammern hinter den Text gesetzt</w:t>
      </w:r>
      <w:r>
        <w:t>.</w:t>
      </w:r>
      <w:r w:rsidR="002F646F">
        <w:t xml:space="preserve"> </w:t>
      </w:r>
      <w:r w:rsidR="00474F81">
        <w:t xml:space="preserve">Bei der Zitation in runden Klammern empfehlen wir einen Harvard-Stil wie </w:t>
      </w:r>
      <w:r w:rsidR="00474F81" w:rsidRPr="00474F81">
        <w:rPr>
          <w:i/>
          <w:iCs/>
        </w:rPr>
        <w:t>APA</w:t>
      </w:r>
      <w:r w:rsidR="00474F81">
        <w:t xml:space="preserve"> oder </w:t>
      </w:r>
      <w:r w:rsidR="00474F81" w:rsidRPr="00474F81">
        <w:rPr>
          <w:i/>
          <w:iCs/>
        </w:rPr>
        <w:t>Theisen</w:t>
      </w:r>
      <w:r w:rsidR="00474F81">
        <w:t xml:space="preserve">. Diese können auch mithilfe der Zitationssoftware </w:t>
      </w:r>
      <w:r w:rsidR="00474F81" w:rsidRPr="00474F81">
        <w:rPr>
          <w:i/>
          <w:iCs/>
        </w:rPr>
        <w:t>Citavi</w:t>
      </w:r>
      <w:r w:rsidR="00474F81">
        <w:t xml:space="preserve"> angewendet werden.</w:t>
      </w:r>
      <w:r w:rsidR="004A5CEB">
        <w:t xml:space="preserve"> Bei der Verwendung von Citavi empfiehlt es sich ein „Cloud-Projekt“ anzulegen und dieses mit der jeweiligen betreuenden Person zu teilen. </w:t>
      </w:r>
    </w:p>
    <w:p w14:paraId="1F3BF8E3" w14:textId="5CCB38C8" w:rsidR="00E94758" w:rsidRDefault="002F646F" w:rsidP="00A6677A">
      <w:r>
        <w:t xml:space="preserve">Bei der Wahl des Zitationsstils für Ihre Arbeit sind Sie frei, allerdings </w:t>
      </w:r>
      <w:r w:rsidR="00DB3C86">
        <w:t>ist zu beachten, dass im gesamten Dokument nur die eine gewählte Zitationsweise gebraucht werden darf</w:t>
      </w:r>
      <w:r w:rsidR="00060F44">
        <w:t>. Bei Tabellen und Abbildungen wird derselbe Zitationsstil verwendet wie im Text.</w:t>
      </w:r>
    </w:p>
    <w:p w14:paraId="36C7C571" w14:textId="58ADCCCA" w:rsidR="00A6677A" w:rsidRDefault="002F646F" w:rsidP="00A6677A">
      <w:r>
        <w:t xml:space="preserve">Bei der Verwendung von Fußnoten </w:t>
      </w:r>
      <w:r w:rsidR="00A6677A">
        <w:t>ist</w:t>
      </w:r>
      <w:r>
        <w:t xml:space="preserve"> wichtig</w:t>
      </w:r>
      <w:r w:rsidR="00A6677A">
        <w:t>, dass die Fußnote in der Fußzeile derselben Seite steht, auf der sie im Text markiert ist.</w:t>
      </w:r>
      <w:r w:rsidR="00A6677A">
        <w:rPr>
          <w:rStyle w:val="Funotenzeichen"/>
        </w:rPr>
        <w:footnoteReference w:id="3"/>
      </w:r>
      <w:r w:rsidR="00A6677A">
        <w:t xml:space="preserve"> Für die Fußnoten wird folgende Formatierung verwendet:</w:t>
      </w:r>
      <w:r w:rsidR="00A6677A">
        <w:rPr>
          <w:rStyle w:val="Funotenzeichen"/>
        </w:rPr>
        <w:footnoteReference w:id="4"/>
      </w:r>
    </w:p>
    <w:p w14:paraId="28EE5E89" w14:textId="77777777" w:rsidR="00A6677A" w:rsidRDefault="009D56AA" w:rsidP="002328A3">
      <w:pPr>
        <w:numPr>
          <w:ilvl w:val="0"/>
          <w:numId w:val="2"/>
        </w:numPr>
        <w:ind w:left="567" w:hanging="567"/>
      </w:pPr>
      <w:r>
        <w:t>Schriftart Arial</w:t>
      </w:r>
    </w:p>
    <w:p w14:paraId="5BAD897B" w14:textId="77777777" w:rsidR="00A6677A" w:rsidRDefault="00A6677A" w:rsidP="002328A3">
      <w:pPr>
        <w:numPr>
          <w:ilvl w:val="0"/>
          <w:numId w:val="2"/>
        </w:numPr>
        <w:ind w:left="567" w:hanging="567"/>
      </w:pPr>
      <w:r>
        <w:t>Schriftgröße 10 pt</w:t>
      </w:r>
    </w:p>
    <w:p w14:paraId="2B801A1D" w14:textId="77777777" w:rsidR="00A6677A" w:rsidRDefault="00A6677A" w:rsidP="002328A3">
      <w:pPr>
        <w:numPr>
          <w:ilvl w:val="0"/>
          <w:numId w:val="2"/>
        </w:numPr>
        <w:ind w:left="567" w:hanging="567"/>
      </w:pPr>
      <w:r>
        <w:t>Zeilenabstand 1,0</w:t>
      </w:r>
    </w:p>
    <w:p w14:paraId="0A55888F" w14:textId="2CD6B90C" w:rsidR="00DB3C86" w:rsidRDefault="00C12261" w:rsidP="00F94A62">
      <w:r>
        <w:t xml:space="preserve">Durch Fußnoten können außerdem Kommentare, Anmerkungen oder weiterführende Informationen eingefügt werden. </w:t>
      </w:r>
      <w:r w:rsidR="006C73B6">
        <w:t>Wichtig ist, dass am Ende jeder Fußnote ein Punkt steht.</w:t>
      </w:r>
    </w:p>
    <w:p w14:paraId="4485D55B" w14:textId="27F95F25" w:rsidR="00DB3C86" w:rsidRDefault="00DB3C86" w:rsidP="00F94A62">
      <w:r>
        <w:t xml:space="preserve">Bei der Angabe der Quelle in runden Klammern steht die Literatur direkt hinter der entnommenen Aussage im Text (vgl. </w:t>
      </w:r>
      <w:r w:rsidRPr="00DB3C86">
        <w:t>Autor(en), Erscheinungsjahr, Seit</w:t>
      </w:r>
      <w:r>
        <w:t xml:space="preserve">enangabe). Deshalb wird hier dieselbe Formatierung wie </w:t>
      </w:r>
      <w:r w:rsidR="00E94758">
        <w:t>im Fließt</w:t>
      </w:r>
      <w:r>
        <w:t>ext verwendet:</w:t>
      </w:r>
    </w:p>
    <w:p w14:paraId="4D322664" w14:textId="77777777" w:rsidR="00DB3C86" w:rsidRDefault="00DB3C86" w:rsidP="00DB3C86">
      <w:pPr>
        <w:numPr>
          <w:ilvl w:val="0"/>
          <w:numId w:val="2"/>
        </w:numPr>
        <w:ind w:left="567" w:hanging="567"/>
      </w:pPr>
      <w:r>
        <w:t>Schriftart Arial</w:t>
      </w:r>
    </w:p>
    <w:p w14:paraId="17F7B88D" w14:textId="53F410D0" w:rsidR="00DB3C86" w:rsidRDefault="00DB3C86" w:rsidP="00DB3C86">
      <w:pPr>
        <w:numPr>
          <w:ilvl w:val="0"/>
          <w:numId w:val="2"/>
        </w:numPr>
        <w:ind w:left="567" w:hanging="567"/>
      </w:pPr>
      <w:r>
        <w:t>Schriftgröße 11 pt</w:t>
      </w:r>
    </w:p>
    <w:p w14:paraId="4D06AD0E" w14:textId="3DECBF9E" w:rsidR="00DB3C86" w:rsidRDefault="00DB3C86" w:rsidP="007300BD">
      <w:pPr>
        <w:numPr>
          <w:ilvl w:val="0"/>
          <w:numId w:val="2"/>
        </w:numPr>
        <w:ind w:left="567" w:hanging="567"/>
      </w:pPr>
      <w:r>
        <w:t>Zeilenabstand 1,5</w:t>
      </w:r>
    </w:p>
    <w:p w14:paraId="4737863A" w14:textId="77777777" w:rsidR="0093461B" w:rsidRPr="0093461B" w:rsidRDefault="0093461B" w:rsidP="0093461B">
      <w:pPr>
        <w:rPr>
          <w:lang w:val="en-US"/>
        </w:rPr>
      </w:pPr>
      <w:r>
        <w:t xml:space="preserve">Es ist zwischen direkten und indirekten Zitaten zu unterscheiden. Die direkte Zitation über-nimmt fremde Ausführungen dritter Personen (Buchstaben und- zeichengetreu). Direkte Zita-te werden in Anführungszeichen gesetzt und die Quelle unmittelbar dahinter. </w:t>
      </w:r>
      <w:r w:rsidRPr="0093461B">
        <w:rPr>
          <w:lang w:val="en-US"/>
        </w:rPr>
        <w:t>Beispiel: "Stu-dents often had difficulty using APA style" (Jones, 1998, p. 199)</w:t>
      </w:r>
    </w:p>
    <w:p w14:paraId="382541E7" w14:textId="77777777" w:rsidR="0093461B" w:rsidRPr="0093461B" w:rsidRDefault="0093461B" w:rsidP="0093461B">
      <w:pPr>
        <w:rPr>
          <w:lang w:val="en-US"/>
        </w:rPr>
      </w:pPr>
      <w:r>
        <w:t xml:space="preserve">Indirekte Zitate übernehmen Gedanken, Ausführungen und Anlehnungen an andere Autoren als sinngemäßes (indirektes) Zitat. Die Quelle des indirekten Zitats wird stets mit dem Ver-merk „vgl.“ gekennzeichnet. </w:t>
      </w:r>
      <w:r w:rsidRPr="0093461B">
        <w:rPr>
          <w:lang w:val="en-US"/>
        </w:rPr>
        <w:t xml:space="preserve">Beispiel: APA style is a difficult citation format for first-time learners (vgl. Jones, 1998, p. 199). </w:t>
      </w:r>
    </w:p>
    <w:p w14:paraId="6F5A7D71" w14:textId="77777777" w:rsidR="0093461B" w:rsidRDefault="0093461B" w:rsidP="0093461B">
      <w:r>
        <w:lastRenderedPageBreak/>
        <w:t xml:space="preserve">Ein Sekundärzitat ist ein Zitat in einem Zitat und wird bspw. verwendet, wenn die Originallite-ratur nicht oder nur schwer zugänglich ist und nur von anderen Quellen zitiert wird. Diese werden wie folgt zitiert: (Autor(en) des Originalzitats, Jahreszahl, zitiert nach Autor(en) der Sekundärquelle, Jahreszahl, Seitenangabe). </w:t>
      </w:r>
    </w:p>
    <w:p w14:paraId="2B8CCD81" w14:textId="14222C30" w:rsidR="00862007" w:rsidRPr="00B43EDD" w:rsidRDefault="0093461B" w:rsidP="0093461B">
      <w:r>
        <w:t xml:space="preserve">Weitere, konkretere Informationen und </w:t>
      </w:r>
      <w:r w:rsidRPr="00C41D20">
        <w:t>Beispiel</w:t>
      </w:r>
      <w:r>
        <w:t>e</w:t>
      </w:r>
      <w:r w:rsidRPr="00C41D20">
        <w:t xml:space="preserve"> </w:t>
      </w:r>
      <w:r>
        <w:t>zu verschiedenen</w:t>
      </w:r>
      <w:r w:rsidRPr="00C41D20">
        <w:t xml:space="preserve"> Zitation</w:t>
      </w:r>
      <w:r>
        <w:t>en</w:t>
      </w:r>
      <w:r w:rsidRPr="00C41D20">
        <w:t xml:space="preserve"> im APA-Stil</w:t>
      </w:r>
      <w:r>
        <w:t xml:space="preserve"> finden Sie </w:t>
      </w:r>
      <w:hyperlink r:id="rId37" w:history="1">
        <w:r w:rsidRPr="004E3CD2">
          <w:rPr>
            <w:rStyle w:val="Hyperlink"/>
          </w:rPr>
          <w:t>hier</w:t>
        </w:r>
      </w:hyperlink>
      <w:r>
        <w:t>. Sie finden Beispiele für das schematische Vorgehen zur Zitation von verschiedenen Quellen am Ende dieses Dokuments.</w:t>
      </w:r>
      <w:r w:rsidR="00862007">
        <w:br w:type="page"/>
      </w:r>
    </w:p>
    <w:p w14:paraId="659B44E6" w14:textId="76A0CF8F" w:rsidR="00862007" w:rsidRDefault="00862007" w:rsidP="00862007">
      <w:pPr>
        <w:pStyle w:val="berschrift1"/>
      </w:pPr>
      <w:bookmarkStart w:id="40" w:name="_Toc69975046"/>
      <w:r>
        <w:lastRenderedPageBreak/>
        <w:t xml:space="preserve">Richtlinien zur Abgabe </w:t>
      </w:r>
      <w:r w:rsidR="00D76E98">
        <w:t>der wissenschaftlichen Arbeiten</w:t>
      </w:r>
      <w:bookmarkEnd w:id="40"/>
    </w:p>
    <w:p w14:paraId="487A2AFB" w14:textId="4A9034AA" w:rsidR="00862007" w:rsidRPr="00862007" w:rsidRDefault="00862007" w:rsidP="00862007">
      <w:r>
        <w:t xml:space="preserve">Bitte orientieren Sie sich bei den Richtlinien zur Abgabe der Bachelor- bzw. Masterarbeit an der jeweiligen Prüfungsordnung „Regelungen zu den Modulen Bachelor- und Masterarbeit“ und setzen Sie </w:t>
      </w:r>
      <w:r w:rsidR="00A44C4F">
        <w:t>Ihren Betreuer / Ihre Betreuerin</w:t>
      </w:r>
      <w:r>
        <w:t xml:space="preserve"> bei Abgabe der elektronischen Version bei der E-Mail an das Studiensekretariat auf CC (</w:t>
      </w:r>
      <w:r w:rsidRPr="00862007">
        <w:t>carbon copy</w:t>
      </w:r>
      <w:r>
        <w:t>).</w:t>
      </w:r>
    </w:p>
    <w:p w14:paraId="1A8A96B8" w14:textId="0BB5AFB2" w:rsidR="00F94A62" w:rsidRDefault="006C73B6" w:rsidP="00F94A62">
      <w:pPr>
        <w:sectPr w:rsidR="00F94A62" w:rsidSect="00F94A62">
          <w:headerReference w:type="default" r:id="rId38"/>
          <w:pgSz w:w="11906" w:h="16838" w:code="9"/>
          <w:pgMar w:top="1418" w:right="1134" w:bottom="1418" w:left="1701" w:header="510" w:footer="454" w:gutter="0"/>
          <w:pgNumType w:start="1"/>
          <w:cols w:space="708"/>
          <w:docGrid w:linePitch="360"/>
        </w:sectPr>
      </w:pPr>
      <w:r>
        <w:t xml:space="preserve"> </w:t>
      </w:r>
    </w:p>
    <w:p w14:paraId="51C4D15B" w14:textId="79E72B4B" w:rsidR="00316944" w:rsidRDefault="00FE1E6E" w:rsidP="00E849C4">
      <w:pPr>
        <w:pStyle w:val="berschrift1"/>
        <w:numPr>
          <w:ilvl w:val="0"/>
          <w:numId w:val="0"/>
        </w:numPr>
        <w:ind w:left="432" w:hanging="432"/>
      </w:pPr>
      <w:bookmarkStart w:id="41" w:name="_Toc489363990"/>
      <w:bookmarkStart w:id="42" w:name="_Toc489364081"/>
      <w:bookmarkStart w:id="43" w:name="_Toc69975047"/>
      <w:r w:rsidRPr="00CA2AB5">
        <w:lastRenderedPageBreak/>
        <w:t>Anlage</w:t>
      </w:r>
      <w:bookmarkEnd w:id="41"/>
      <w:bookmarkEnd w:id="42"/>
      <w:bookmarkEnd w:id="43"/>
    </w:p>
    <w:p w14:paraId="06A078F6" w14:textId="77777777" w:rsidR="00FE1E6E" w:rsidRDefault="00316944" w:rsidP="005F323D">
      <w:pPr>
        <w:pStyle w:val="berschrift4"/>
      </w:pPr>
      <w:bookmarkStart w:id="44" w:name="_Toc489363991"/>
      <w:bookmarkStart w:id="45" w:name="_Toc489364082"/>
      <w:bookmarkStart w:id="46" w:name="_Toc489369023"/>
      <w:r>
        <w:t xml:space="preserve">Anlage </w:t>
      </w:r>
      <w:r w:rsidR="00FE1E6E" w:rsidRPr="00CA2AB5">
        <w:t xml:space="preserve">1: </w:t>
      </w:r>
      <w:r w:rsidR="00E54EB0" w:rsidRPr="00CA2AB5">
        <w:t>Bezeichnung</w:t>
      </w:r>
      <w:bookmarkEnd w:id="44"/>
      <w:bookmarkEnd w:id="45"/>
      <w:bookmarkEnd w:id="46"/>
    </w:p>
    <w:p w14:paraId="554D343B" w14:textId="28C4879C" w:rsidR="006C73B6" w:rsidRPr="005F142D" w:rsidRDefault="006C73B6" w:rsidP="006C73B6">
      <w:r w:rsidRPr="005F142D">
        <w:t xml:space="preserve">Nachdem der </w:t>
      </w:r>
      <w:r w:rsidR="00E94758" w:rsidRPr="005F142D">
        <w:t xml:space="preserve">Kernteil der Arbeit </w:t>
      </w:r>
      <w:r w:rsidRPr="005F142D">
        <w:t>abgeschlossen wurde, wird wieder die</w:t>
      </w:r>
      <w:r w:rsidR="00F94A62" w:rsidRPr="005F142D">
        <w:t>selbe</w:t>
      </w:r>
      <w:r w:rsidRPr="005F142D">
        <w:t xml:space="preserve"> Formatierung </w:t>
      </w:r>
      <w:r w:rsidR="00F94A62" w:rsidRPr="005F142D">
        <w:t>wie vor</w:t>
      </w:r>
      <w:r w:rsidR="00E94758" w:rsidRPr="005F142D">
        <w:t xml:space="preserve"> diesem</w:t>
      </w:r>
      <w:r w:rsidR="00F94A62" w:rsidRPr="005F142D">
        <w:t xml:space="preserve"> verwendet:</w:t>
      </w:r>
    </w:p>
    <w:p w14:paraId="0DD9A47D" w14:textId="437506CF" w:rsidR="006C73B6" w:rsidRDefault="009D56AA" w:rsidP="00F83B37">
      <w:pPr>
        <w:numPr>
          <w:ilvl w:val="0"/>
          <w:numId w:val="8"/>
        </w:numPr>
        <w:ind w:left="567" w:hanging="567"/>
      </w:pPr>
      <w:r>
        <w:t>Schriftart Arial</w:t>
      </w:r>
    </w:p>
    <w:p w14:paraId="7187F5D8" w14:textId="442FAA61" w:rsidR="006C73B6" w:rsidRDefault="006C73B6" w:rsidP="00F83B37">
      <w:pPr>
        <w:numPr>
          <w:ilvl w:val="0"/>
          <w:numId w:val="8"/>
        </w:numPr>
        <w:ind w:left="567" w:hanging="567"/>
      </w:pPr>
      <w:r>
        <w:t>Text: Schriftgröße 11 pt</w:t>
      </w:r>
    </w:p>
    <w:p w14:paraId="07EF66A5" w14:textId="5E9AA5E1" w:rsidR="006C73B6" w:rsidRDefault="006C73B6" w:rsidP="00F83B37">
      <w:pPr>
        <w:numPr>
          <w:ilvl w:val="0"/>
          <w:numId w:val="8"/>
        </w:numPr>
        <w:ind w:left="567" w:hanging="567"/>
      </w:pPr>
      <w:r>
        <w:t>Überschrift: Schriftgröße 11 pt, evtl. fett</w:t>
      </w:r>
    </w:p>
    <w:p w14:paraId="06416F22" w14:textId="5AAA276E" w:rsidR="006C73B6" w:rsidRDefault="006C73B6" w:rsidP="00F83B37">
      <w:pPr>
        <w:numPr>
          <w:ilvl w:val="0"/>
          <w:numId w:val="8"/>
        </w:numPr>
        <w:ind w:left="567" w:hanging="567"/>
      </w:pPr>
      <w:r>
        <w:t>Zeilenabstand 1,5</w:t>
      </w:r>
    </w:p>
    <w:p w14:paraId="17511EC1" w14:textId="31C50658" w:rsidR="006C73B6" w:rsidRDefault="007F3BC7" w:rsidP="00F83B37">
      <w:pPr>
        <w:numPr>
          <w:ilvl w:val="0"/>
          <w:numId w:val="8"/>
        </w:numPr>
        <w:ind w:left="567" w:hanging="567"/>
      </w:pPr>
      <w:r>
        <w:t xml:space="preserve">Ausrichtung: </w:t>
      </w:r>
      <w:r w:rsidR="009D56AA">
        <w:t>Blocksatz</w:t>
      </w:r>
    </w:p>
    <w:p w14:paraId="1E159CD2" w14:textId="77777777" w:rsidR="006C73B6" w:rsidRDefault="006C73B6" w:rsidP="00F83B37">
      <w:pPr>
        <w:numPr>
          <w:ilvl w:val="0"/>
          <w:numId w:val="8"/>
        </w:numPr>
        <w:ind w:left="567" w:hanging="567"/>
      </w:pPr>
      <w:r>
        <w:t>Silbentrennung wird empfohlen</w:t>
      </w:r>
    </w:p>
    <w:p w14:paraId="3E2DDB70" w14:textId="77777777" w:rsidR="00F94A62" w:rsidRDefault="00F94A62" w:rsidP="00F83B37">
      <w:pPr>
        <w:numPr>
          <w:ilvl w:val="0"/>
          <w:numId w:val="8"/>
        </w:numPr>
        <w:ind w:left="567" w:hanging="567"/>
      </w:pPr>
      <w:r>
        <w:t>Seitenzahlen: römische Ziffern, anschließend an die des Vorspanns der Arbeit</w:t>
      </w:r>
    </w:p>
    <w:p w14:paraId="0048258B" w14:textId="169341FE" w:rsidR="006C73B6" w:rsidRDefault="00F94A62" w:rsidP="00F94A62">
      <w:r>
        <w:t>Im Anhang können ergänzende Tabellen, Gra</w:t>
      </w:r>
      <w:r w:rsidR="003B1D84">
        <w:t>f</w:t>
      </w:r>
      <w:r>
        <w:t>iken, Übersichten oder Interviews eingefügt werden. Auf weitere Erläuterungen wird an diese</w:t>
      </w:r>
      <w:r w:rsidR="00952416">
        <w:t>r Stelle allerdings verzichtet.</w:t>
      </w:r>
    </w:p>
    <w:p w14:paraId="6AD4EE68" w14:textId="77777777" w:rsidR="00947A89" w:rsidRPr="00947A89" w:rsidRDefault="00E54EB0" w:rsidP="00947A89">
      <w:pPr>
        <w:pStyle w:val="berschrift1"/>
        <w:numPr>
          <w:ilvl w:val="0"/>
          <w:numId w:val="0"/>
        </w:numPr>
      </w:pPr>
      <w:r w:rsidRPr="00CA2AB5">
        <w:br w:type="page"/>
      </w:r>
      <w:bookmarkStart w:id="47" w:name="_Toc489363992"/>
      <w:bookmarkStart w:id="48" w:name="_Toc489364083"/>
      <w:bookmarkStart w:id="49" w:name="_Toc69975048"/>
      <w:r w:rsidR="00A6677A" w:rsidRPr="00A516E7">
        <w:rPr>
          <w:rStyle w:val="berschrift1Zchn"/>
          <w:b/>
          <w:bCs/>
        </w:rPr>
        <w:lastRenderedPageBreak/>
        <w:t>Literatur</w:t>
      </w:r>
      <w:r w:rsidRPr="00A516E7">
        <w:rPr>
          <w:rStyle w:val="berschrift1Zchn"/>
          <w:b/>
          <w:bCs/>
        </w:rPr>
        <w:t>verzeichnis</w:t>
      </w:r>
      <w:bookmarkEnd w:id="47"/>
      <w:bookmarkEnd w:id="48"/>
      <w:bookmarkEnd w:id="49"/>
    </w:p>
    <w:tbl>
      <w:tblPr>
        <w:tblW w:w="0" w:type="auto"/>
        <w:tblInd w:w="108" w:type="dxa"/>
        <w:tblLook w:val="04A0" w:firstRow="1" w:lastRow="0" w:firstColumn="1" w:lastColumn="0" w:noHBand="0" w:noVBand="1"/>
      </w:tblPr>
      <w:tblGrid>
        <w:gridCol w:w="8963"/>
      </w:tblGrid>
      <w:tr w:rsidR="0074631A" w14:paraId="39D0ECDA" w14:textId="77777777" w:rsidTr="000A4FA8">
        <w:tc>
          <w:tcPr>
            <w:tcW w:w="8963" w:type="dxa"/>
            <w:shd w:val="clear" w:color="auto" w:fill="auto"/>
          </w:tcPr>
          <w:p w14:paraId="54DA9941" w14:textId="23387105" w:rsidR="0074631A" w:rsidRPr="00FD5783" w:rsidRDefault="00947A89" w:rsidP="00FD5783">
            <w:pPr>
              <w:pStyle w:val="Funotentext"/>
              <w:ind w:left="-108"/>
            </w:pPr>
            <w:r w:rsidRPr="00FD5783">
              <w:t>Fe</w:t>
            </w:r>
            <w:r w:rsidR="0074631A" w:rsidRPr="00FD5783">
              <w:t>rstl, O.</w:t>
            </w:r>
            <w:r w:rsidRPr="00FD5783">
              <w:t xml:space="preserve"> K., Sinz, E.</w:t>
            </w:r>
            <w:r w:rsidR="00277B88">
              <w:t xml:space="preserve"> (1991).</w:t>
            </w:r>
          </w:p>
          <w:p w14:paraId="61363AE9" w14:textId="786DAAAE" w:rsidR="00947A89" w:rsidRDefault="00BB1B88" w:rsidP="00FD5783">
            <w:pPr>
              <w:pStyle w:val="Funotentext"/>
              <w:ind w:left="-108"/>
              <w:rPr>
                <w:lang w:val="en-US"/>
              </w:rPr>
            </w:pPr>
            <w:r>
              <w:t>„</w:t>
            </w:r>
            <w:r w:rsidR="00947A89" w:rsidRPr="00FD5783">
              <w:t>Ein Vorgehensmodell zur Objektmodellierung betrieblicher Informationssysteme im Semantischen Objektmodell.</w:t>
            </w:r>
            <w:r>
              <w:t>“</w:t>
            </w:r>
            <w:r w:rsidR="00947A89" w:rsidRPr="00FD5783">
              <w:t xml:space="preserve"> </w:t>
            </w:r>
            <w:r w:rsidR="00704D04" w:rsidRPr="005F142D">
              <w:rPr>
                <w:i/>
              </w:rPr>
              <w:t>W</w:t>
            </w:r>
            <w:r w:rsidRPr="005F142D">
              <w:rPr>
                <w:i/>
              </w:rPr>
              <w:t>irtschaftsinformatik</w:t>
            </w:r>
            <w:r w:rsidR="00704D04">
              <w:rPr>
                <w:lang w:val="en-US"/>
              </w:rPr>
              <w:t xml:space="preserve"> </w:t>
            </w:r>
            <w:r w:rsidR="00947A89">
              <w:rPr>
                <w:lang w:val="en-US"/>
              </w:rPr>
              <w:t>33</w:t>
            </w:r>
            <w:r>
              <w:rPr>
                <w:lang w:val="en-US"/>
              </w:rPr>
              <w:t>(6)</w:t>
            </w:r>
            <w:r w:rsidR="00947A89">
              <w:rPr>
                <w:lang w:val="en-US"/>
              </w:rPr>
              <w:t>, 477-491.</w:t>
            </w:r>
          </w:p>
          <w:p w14:paraId="787EF6D9" w14:textId="77777777" w:rsidR="00947A89" w:rsidRPr="0074631A" w:rsidRDefault="00947A89" w:rsidP="0032023B">
            <w:pPr>
              <w:pStyle w:val="Funotentext"/>
              <w:rPr>
                <w:lang w:val="en-US"/>
              </w:rPr>
            </w:pPr>
          </w:p>
        </w:tc>
      </w:tr>
      <w:tr w:rsidR="0032023B" w14:paraId="7D2F8BB0" w14:textId="77777777" w:rsidTr="000A4FA8">
        <w:tc>
          <w:tcPr>
            <w:tcW w:w="8963" w:type="dxa"/>
            <w:shd w:val="clear" w:color="auto" w:fill="auto"/>
          </w:tcPr>
          <w:p w14:paraId="7139635B" w14:textId="0E63C948" w:rsidR="0032023B" w:rsidRPr="0032023B" w:rsidRDefault="0032023B" w:rsidP="00FD5783">
            <w:pPr>
              <w:pStyle w:val="Funotentext"/>
              <w:ind w:left="-108"/>
              <w:rPr>
                <w:lang w:val="en-US"/>
              </w:rPr>
            </w:pPr>
            <w:r w:rsidRPr="0032023B">
              <w:rPr>
                <w:lang w:val="en-US"/>
              </w:rPr>
              <w:t>Geron, T.</w:t>
            </w:r>
            <w:r w:rsidR="00277B88">
              <w:rPr>
                <w:lang w:val="en-US"/>
              </w:rPr>
              <w:t xml:space="preserve"> (2013).</w:t>
            </w:r>
          </w:p>
          <w:p w14:paraId="41A5911F" w14:textId="2239C634" w:rsidR="0032023B" w:rsidRDefault="0032023B" w:rsidP="00FD5783">
            <w:pPr>
              <w:pStyle w:val="Funotentext"/>
              <w:ind w:left="-108"/>
            </w:pPr>
            <w:r w:rsidRPr="00C737E2">
              <w:rPr>
                <w:i/>
                <w:lang w:val="en-US"/>
              </w:rPr>
              <w:t>Airbnb And The Unstoppable Rise Of The Share Economy.</w:t>
            </w:r>
            <w:r w:rsidRPr="0032023B">
              <w:rPr>
                <w:lang w:val="en-US"/>
              </w:rPr>
              <w:t xml:space="preserve"> </w:t>
            </w:r>
            <w:r w:rsidRPr="00F9422B">
              <w:t xml:space="preserve">URL: </w:t>
            </w:r>
            <w:hyperlink r:id="rId39" w:history="1">
              <w:r w:rsidRPr="0032023B">
                <w:rPr>
                  <w:rStyle w:val="Hyperlink"/>
                  <w:color w:val="auto"/>
                  <w:u w:val="none"/>
                </w:rPr>
                <w:t>http://www.forbes.com/sites/tomiogeron/2013/01/23/airbnb-and-the-unstoppable-rise-of-the-share-economy/</w:t>
              </w:r>
            </w:hyperlink>
            <w:r>
              <w:t xml:space="preserve"> </w:t>
            </w:r>
            <w:r w:rsidR="008E121D">
              <w:t>(</w:t>
            </w:r>
            <w:r>
              <w:t>zuletzt aufgerufen am 01.08.2017</w:t>
            </w:r>
            <w:r w:rsidR="008E121D">
              <w:t>)</w:t>
            </w:r>
            <w:r>
              <w:t>.</w:t>
            </w:r>
          </w:p>
          <w:p w14:paraId="07BD1DDE" w14:textId="77777777" w:rsidR="0032023B" w:rsidRDefault="0032023B" w:rsidP="0032023B"/>
        </w:tc>
      </w:tr>
      <w:tr w:rsidR="0032023B" w14:paraId="6C8929A3" w14:textId="77777777" w:rsidTr="000A4FA8">
        <w:tc>
          <w:tcPr>
            <w:tcW w:w="8963" w:type="dxa"/>
            <w:shd w:val="clear" w:color="auto" w:fill="auto"/>
          </w:tcPr>
          <w:p w14:paraId="661DE1A8" w14:textId="7CE1E0B0" w:rsidR="0032023B" w:rsidRPr="009A15F9" w:rsidRDefault="0032023B" w:rsidP="00FD5783">
            <w:pPr>
              <w:pStyle w:val="Funotentext"/>
              <w:ind w:left="-108"/>
            </w:pPr>
            <w:r>
              <w:t xml:space="preserve">Gerpott, T., </w:t>
            </w:r>
            <w:r w:rsidRPr="009A15F9">
              <w:t>Rams, W.</w:t>
            </w:r>
            <w:r w:rsidR="00060F44">
              <w:t xml:space="preserve"> </w:t>
            </w:r>
            <w:r w:rsidR="00277B88">
              <w:t>(2000).</w:t>
            </w:r>
          </w:p>
          <w:p w14:paraId="2366CDB0" w14:textId="3F7CA03E" w:rsidR="0032023B" w:rsidRPr="00253F36" w:rsidRDefault="00BB1B88" w:rsidP="00FD5783">
            <w:pPr>
              <w:pStyle w:val="Funotentext"/>
              <w:ind w:left="-108"/>
            </w:pPr>
            <w:r>
              <w:t>„</w:t>
            </w:r>
            <w:r w:rsidR="0032023B" w:rsidRPr="009A15F9">
              <w:t>Kundenbindung, -loyalität und -zufriedenheit im deutschen Mobilfunkmarkt.</w:t>
            </w:r>
            <w:r>
              <w:t>“</w:t>
            </w:r>
            <w:r w:rsidR="0032023B" w:rsidRPr="009A15F9">
              <w:t xml:space="preserve"> </w:t>
            </w:r>
            <w:r w:rsidR="0032023B" w:rsidRPr="00C737E2">
              <w:rPr>
                <w:i/>
              </w:rPr>
              <w:t>Die Betriebswirtschaft</w:t>
            </w:r>
            <w:r w:rsidR="0032023B" w:rsidRPr="00CA2AB5">
              <w:t xml:space="preserve"> 60</w:t>
            </w:r>
            <w:r>
              <w:t xml:space="preserve"> (6)</w:t>
            </w:r>
            <w:r w:rsidR="0032023B" w:rsidRPr="00253F36">
              <w:t>, 738-755.</w:t>
            </w:r>
          </w:p>
          <w:p w14:paraId="39EDA2BE" w14:textId="77777777" w:rsidR="0032023B" w:rsidRDefault="0032023B" w:rsidP="0032023B"/>
        </w:tc>
      </w:tr>
      <w:tr w:rsidR="0032023B" w14:paraId="0AA1DCD5" w14:textId="77777777" w:rsidTr="000A4FA8">
        <w:tc>
          <w:tcPr>
            <w:tcW w:w="8963" w:type="dxa"/>
            <w:shd w:val="clear" w:color="auto" w:fill="auto"/>
          </w:tcPr>
          <w:p w14:paraId="17B7262C" w14:textId="2B1C45B6" w:rsidR="0032023B" w:rsidRPr="009A15F9" w:rsidRDefault="0032023B" w:rsidP="00FD5783">
            <w:pPr>
              <w:pStyle w:val="Funotentext"/>
              <w:ind w:left="-108"/>
            </w:pPr>
            <w:r w:rsidRPr="009A15F9">
              <w:t>Gruber, W.</w:t>
            </w:r>
          </w:p>
          <w:p w14:paraId="68402B11" w14:textId="77777777" w:rsidR="0032023B" w:rsidRDefault="0032023B" w:rsidP="00FD5783">
            <w:pPr>
              <w:ind w:left="-108"/>
            </w:pPr>
            <w:r w:rsidRPr="009A15F9">
              <w:t>Firmenpräsentation</w:t>
            </w:r>
            <w:r w:rsidRPr="00CA2AB5">
              <w:t>, Jakob GmbH,</w:t>
            </w:r>
            <w:r>
              <w:t xml:space="preserve"> erhalten 28.04.2009.</w:t>
            </w:r>
          </w:p>
          <w:p w14:paraId="00C11727" w14:textId="77777777" w:rsidR="0032023B" w:rsidRDefault="0032023B" w:rsidP="0032023B"/>
        </w:tc>
      </w:tr>
      <w:tr w:rsidR="0074631A" w14:paraId="28D6B716" w14:textId="77777777" w:rsidTr="000A4FA8">
        <w:tc>
          <w:tcPr>
            <w:tcW w:w="8963" w:type="dxa"/>
            <w:shd w:val="clear" w:color="auto" w:fill="auto"/>
          </w:tcPr>
          <w:p w14:paraId="164D5141" w14:textId="3D159DDE" w:rsidR="0074631A" w:rsidRDefault="0074631A" w:rsidP="00FD5783">
            <w:pPr>
              <w:pStyle w:val="Funotentext"/>
              <w:ind w:left="-108"/>
            </w:pPr>
            <w:r>
              <w:t>Hansen, H. R., Mendling, J., Neumann, G.</w:t>
            </w:r>
            <w:r w:rsidR="00277B88">
              <w:t xml:space="preserve"> (2015).</w:t>
            </w:r>
          </w:p>
          <w:p w14:paraId="2F32D673" w14:textId="2268A950" w:rsidR="0074631A" w:rsidRDefault="0074631A" w:rsidP="00FD5783">
            <w:pPr>
              <w:pStyle w:val="Funotentext"/>
              <w:ind w:left="-108"/>
            </w:pPr>
            <w:r w:rsidRPr="00C737E2">
              <w:rPr>
                <w:i/>
              </w:rPr>
              <w:t>Wirtschaftsinformatik</w:t>
            </w:r>
            <w:r w:rsidR="002F646F">
              <w:rPr>
                <w:i/>
              </w:rPr>
              <w:t xml:space="preserve"> </w:t>
            </w:r>
            <w:r w:rsidR="002F646F">
              <w:t>–</w:t>
            </w:r>
            <w:r w:rsidR="002F646F">
              <w:rPr>
                <w:i/>
              </w:rPr>
              <w:t xml:space="preserve"> </w:t>
            </w:r>
            <w:r w:rsidRPr="00C737E2">
              <w:rPr>
                <w:i/>
              </w:rPr>
              <w:t xml:space="preserve"> Grundlagen</w:t>
            </w:r>
            <w:r w:rsidR="00ED19DC">
              <w:rPr>
                <w:i/>
              </w:rPr>
              <w:t xml:space="preserve"> </w:t>
            </w:r>
            <w:r w:rsidRPr="00C737E2">
              <w:rPr>
                <w:i/>
              </w:rPr>
              <w:t>und Anwendungen</w:t>
            </w:r>
            <w:r w:rsidR="00993A78">
              <w:t>.</w:t>
            </w:r>
            <w:r>
              <w:t xml:space="preserve"> 11. Aufl</w:t>
            </w:r>
            <w:r w:rsidR="00993A78">
              <w:t>age</w:t>
            </w:r>
            <w:r>
              <w:t xml:space="preserve">. </w:t>
            </w:r>
            <w:r w:rsidR="00993A78">
              <w:t xml:space="preserve">Berlin: </w:t>
            </w:r>
            <w:r>
              <w:t>de Gruyter.</w:t>
            </w:r>
          </w:p>
          <w:p w14:paraId="4C59B738" w14:textId="77777777" w:rsidR="0074631A" w:rsidRPr="0074631A" w:rsidRDefault="0074631A" w:rsidP="0032023B">
            <w:pPr>
              <w:pStyle w:val="Funotentext"/>
            </w:pPr>
          </w:p>
        </w:tc>
      </w:tr>
      <w:tr w:rsidR="0032023B" w14:paraId="3DE69823" w14:textId="77777777" w:rsidTr="000A4FA8">
        <w:tc>
          <w:tcPr>
            <w:tcW w:w="8963" w:type="dxa"/>
            <w:shd w:val="clear" w:color="auto" w:fill="auto"/>
          </w:tcPr>
          <w:p w14:paraId="728110D6" w14:textId="24341850" w:rsidR="0032023B" w:rsidRPr="009A15F9" w:rsidRDefault="0032023B" w:rsidP="00FD5783">
            <w:pPr>
              <w:pStyle w:val="Funotentext"/>
              <w:ind w:left="-108"/>
            </w:pPr>
            <w:r>
              <w:t>Gespräch mit Frau Isolde Maier</w:t>
            </w:r>
            <w:r w:rsidR="00060F44">
              <w:t>.</w:t>
            </w:r>
          </w:p>
          <w:p w14:paraId="5C6FCBD7" w14:textId="77777777" w:rsidR="0032023B" w:rsidRPr="00CA2AB5" w:rsidRDefault="0032023B" w:rsidP="00FD5783">
            <w:pPr>
              <w:pStyle w:val="Funotentext"/>
              <w:ind w:left="-108"/>
            </w:pPr>
            <w:r w:rsidRPr="009A15F9">
              <w:t>Leitung Vertrieb</w:t>
            </w:r>
            <w:r w:rsidRPr="00CA2AB5">
              <w:t xml:space="preserve"> bei der Jakob GmbH, am 28.04.2009.</w:t>
            </w:r>
          </w:p>
          <w:p w14:paraId="47EBD8BD" w14:textId="77777777" w:rsidR="0032023B" w:rsidRDefault="0032023B" w:rsidP="0032023B"/>
        </w:tc>
      </w:tr>
      <w:tr w:rsidR="00947A89" w:rsidRPr="00BB1B88" w14:paraId="31C71FF1" w14:textId="77777777" w:rsidTr="000A4FA8">
        <w:tc>
          <w:tcPr>
            <w:tcW w:w="8963" w:type="dxa"/>
            <w:shd w:val="clear" w:color="auto" w:fill="auto"/>
          </w:tcPr>
          <w:p w14:paraId="5F7BF56A" w14:textId="283D9699" w:rsidR="00947A89" w:rsidRPr="007300BD" w:rsidRDefault="00947A89" w:rsidP="00FD5783">
            <w:pPr>
              <w:pStyle w:val="Funotentext"/>
              <w:ind w:left="-108"/>
            </w:pPr>
            <w:r w:rsidRPr="007300BD">
              <w:t>Myaeng, S.-H., Jang, D.-H., Kim, M.-S., Zhoo, Z.-C.</w:t>
            </w:r>
            <w:r w:rsidR="00277B88" w:rsidRPr="007300BD">
              <w:t xml:space="preserve"> (1998).</w:t>
            </w:r>
          </w:p>
          <w:p w14:paraId="3182C0A5" w14:textId="1AAB9DA3" w:rsidR="00947A89" w:rsidRPr="00C737E2" w:rsidRDefault="00BB1B88" w:rsidP="00FD5783">
            <w:pPr>
              <w:pStyle w:val="Funotentext"/>
              <w:ind w:left="-108"/>
              <w:rPr>
                <w:lang w:val="en-US"/>
              </w:rPr>
            </w:pPr>
            <w:r>
              <w:rPr>
                <w:lang w:val="en-US"/>
              </w:rPr>
              <w:t>“</w:t>
            </w:r>
            <w:r w:rsidR="00947A89" w:rsidRPr="00FD5783">
              <w:rPr>
                <w:lang w:val="en-US"/>
              </w:rPr>
              <w:t>A flexible model for retrieval of SGML documents.</w:t>
            </w:r>
            <w:r>
              <w:rPr>
                <w:lang w:val="en-US"/>
              </w:rPr>
              <w:t>”</w:t>
            </w:r>
            <w:r w:rsidR="00947A89" w:rsidRPr="00FD5783">
              <w:rPr>
                <w:lang w:val="en-US"/>
              </w:rPr>
              <w:t xml:space="preserve"> In: </w:t>
            </w:r>
            <w:r w:rsidR="00947A89" w:rsidRPr="00C737E2">
              <w:rPr>
                <w:i/>
                <w:lang w:val="en-US"/>
              </w:rPr>
              <w:t>Proceedings of</w:t>
            </w:r>
            <w:r w:rsidR="00253F36" w:rsidRPr="00C737E2">
              <w:rPr>
                <w:i/>
                <w:lang w:val="en-US"/>
              </w:rPr>
              <w:t xml:space="preserve"> </w:t>
            </w:r>
            <w:r w:rsidR="00947A89" w:rsidRPr="00C737E2">
              <w:rPr>
                <w:i/>
                <w:lang w:val="en-US"/>
              </w:rPr>
              <w:t>the 21</w:t>
            </w:r>
            <w:r w:rsidR="00947A89" w:rsidRPr="00C737E2">
              <w:rPr>
                <w:i/>
                <w:vertAlign w:val="superscript"/>
                <w:lang w:val="en-US"/>
              </w:rPr>
              <w:t>st</w:t>
            </w:r>
            <w:r w:rsidR="00947A89" w:rsidRPr="00C737E2">
              <w:rPr>
                <w:i/>
                <w:lang w:val="en-US"/>
              </w:rPr>
              <w:t xml:space="preserve"> Annual International ACM SIGIR Conference on Research and Development in Information Retrieval</w:t>
            </w:r>
            <w:r w:rsidR="00947A89" w:rsidRPr="00FD5783">
              <w:rPr>
                <w:lang w:val="en-US"/>
              </w:rPr>
              <w:t xml:space="preserve">. </w:t>
            </w:r>
            <w:r w:rsidR="00947A89" w:rsidRPr="00C737E2">
              <w:rPr>
                <w:lang w:val="en-US"/>
              </w:rPr>
              <w:t>New-York, S. 138-145.</w:t>
            </w:r>
          </w:p>
          <w:p w14:paraId="00254B51" w14:textId="77777777" w:rsidR="00947A89" w:rsidRPr="00C737E2" w:rsidRDefault="00947A89" w:rsidP="0032023B">
            <w:pPr>
              <w:pStyle w:val="Funotentext"/>
              <w:rPr>
                <w:lang w:val="en-US"/>
              </w:rPr>
            </w:pPr>
          </w:p>
        </w:tc>
      </w:tr>
      <w:tr w:rsidR="0032023B" w14:paraId="630D47E3" w14:textId="77777777" w:rsidTr="000A4FA8">
        <w:trPr>
          <w:trHeight w:val="1402"/>
        </w:trPr>
        <w:tc>
          <w:tcPr>
            <w:tcW w:w="8963" w:type="dxa"/>
            <w:shd w:val="clear" w:color="auto" w:fill="auto"/>
          </w:tcPr>
          <w:p w14:paraId="7984C5FA" w14:textId="218A4BD1" w:rsidR="0032023B" w:rsidRPr="009A15F9" w:rsidRDefault="0032023B" w:rsidP="00FD5783">
            <w:pPr>
              <w:pStyle w:val="Funotentext"/>
              <w:ind w:left="-108"/>
            </w:pPr>
            <w:r w:rsidRPr="009A15F9">
              <w:t>Nieschlag, R.</w:t>
            </w:r>
            <w:r>
              <w:t xml:space="preserve">, </w:t>
            </w:r>
            <w:r w:rsidRPr="009A15F9">
              <w:t>Dichtl, E.</w:t>
            </w:r>
            <w:r>
              <w:t xml:space="preserve">, </w:t>
            </w:r>
            <w:r w:rsidRPr="009A15F9">
              <w:t>Hörschgen, H.</w:t>
            </w:r>
            <w:r w:rsidR="00277B88">
              <w:t xml:space="preserve"> </w:t>
            </w:r>
            <w:r w:rsidR="00060F44">
              <w:t>(</w:t>
            </w:r>
            <w:r w:rsidR="00277B88">
              <w:t>2002</w:t>
            </w:r>
            <w:r w:rsidR="00060F44">
              <w:t>)</w:t>
            </w:r>
            <w:r w:rsidR="00277B88">
              <w:t>.</w:t>
            </w:r>
          </w:p>
          <w:p w14:paraId="75AC0373" w14:textId="6ECB0EF2" w:rsidR="0032023B" w:rsidRDefault="0032023B" w:rsidP="00FD5783">
            <w:pPr>
              <w:ind w:left="-108"/>
            </w:pPr>
            <w:r w:rsidRPr="00C737E2">
              <w:rPr>
                <w:i/>
              </w:rPr>
              <w:t>Marketing</w:t>
            </w:r>
            <w:r w:rsidRPr="00CA2AB5">
              <w:t>. 19., überarb und erg. Aufl</w:t>
            </w:r>
            <w:r w:rsidR="00993A78">
              <w:t>age.</w:t>
            </w:r>
            <w:r w:rsidRPr="00CA2AB5">
              <w:t xml:space="preserve"> Berlin</w:t>
            </w:r>
            <w:r w:rsidR="00993A78">
              <w:t>: Duncker&amp;Humboldt</w:t>
            </w:r>
            <w:r w:rsidR="00947A89">
              <w:t>.</w:t>
            </w:r>
          </w:p>
        </w:tc>
      </w:tr>
    </w:tbl>
    <w:p w14:paraId="161248CF" w14:textId="77777777" w:rsidR="00B43EDD" w:rsidRDefault="00B43EDD" w:rsidP="00B43EDD">
      <w:bookmarkStart w:id="50" w:name="_Toc489428355"/>
      <w:bookmarkStart w:id="51" w:name="_Toc489363993"/>
      <w:bookmarkStart w:id="52" w:name="_Toc489364084"/>
      <w:bookmarkEnd w:id="50"/>
    </w:p>
    <w:p w14:paraId="06E8CFD6" w14:textId="77777777" w:rsidR="00B43EDD" w:rsidRDefault="00B43EDD">
      <w:pPr>
        <w:spacing w:line="240" w:lineRule="auto"/>
        <w:jc w:val="left"/>
      </w:pPr>
      <w:r>
        <w:br w:type="page"/>
      </w:r>
    </w:p>
    <w:p w14:paraId="74012D0A" w14:textId="567FFBB9" w:rsidR="00B43EDD" w:rsidRDefault="007300BD" w:rsidP="00B43EDD">
      <w:r>
        <w:rPr>
          <w:noProof/>
        </w:rPr>
        <w:lastRenderedPageBreak/>
        <mc:AlternateContent>
          <mc:Choice Requires="wps">
            <w:drawing>
              <wp:anchor distT="45720" distB="45720" distL="114300" distR="114300" simplePos="0" relativeHeight="251658752" behindDoc="0" locked="0" layoutInCell="1" allowOverlap="1" wp14:anchorId="11B06081" wp14:editId="7341EA20">
                <wp:simplePos x="0" y="0"/>
                <wp:positionH relativeFrom="margin">
                  <wp:posOffset>-22860</wp:posOffset>
                </wp:positionH>
                <wp:positionV relativeFrom="paragraph">
                  <wp:posOffset>0</wp:posOffset>
                </wp:positionV>
                <wp:extent cx="5760085" cy="7314565"/>
                <wp:effectExtent l="0" t="0" r="12065" b="19685"/>
                <wp:wrapSquare wrapText="bothSides"/>
                <wp:docPr id="1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7314565"/>
                        </a:xfrm>
                        <a:prstGeom prst="roundRect">
                          <a:avLst>
                            <a:gd name="adj" fmla="val 16667"/>
                          </a:avLst>
                        </a:prstGeom>
                        <a:solidFill>
                          <a:srgbClr val="FFFFFF"/>
                        </a:solidFill>
                        <a:ln w="19050">
                          <a:solidFill>
                            <a:srgbClr val="777777"/>
                          </a:solidFill>
                          <a:miter lim="800000"/>
                          <a:headEnd/>
                          <a:tailEnd/>
                        </a:ln>
                      </wps:spPr>
                      <wps:txbx>
                        <w:txbxContent>
                          <w:p w14:paraId="798B107D" w14:textId="2492A00B" w:rsidR="00DB3C86" w:rsidRDefault="00DB3C86" w:rsidP="00947A89">
                            <w:r>
                              <w:t>Hinweis:</w:t>
                            </w:r>
                          </w:p>
                          <w:p w14:paraId="67047D73" w14:textId="2536754E" w:rsidR="00DB3C86" w:rsidRDefault="00DB3C86" w:rsidP="00947A89">
                            <w:r>
                              <w:t>Schließlich wird hier die gesamte Literatur, die im Text schon als Fußnoten oder in Klammern kenntlich gemacht wurde, noch einmal detaillierter aufgeführt. Dabei werden die Quellen nicht nach ihrer Art unterschieden, sondern alphabetisch nach dem Nachnamen ihrer (Erst-)Autoren sortiert. Bei gleichen Nachnamen mehrerer Autoren ist der erste Buchstabe des Vornamens entscheidend. Bei mehreren Veröffentlichungen desselben Hauptautors wird stets die älteste zuerst genannt. Es empfiehlt sich außerdem immer, die Originalquelle anzugeben, auch wenn der übernommene Inhalt in einer Sekundärquelle recherchiert wurde. Vor allem jedoch wenn die Primärquelle nicht zugänglich ist, sollte die Sekundärquelle zusätzlich angegeben werden.</w:t>
                            </w:r>
                          </w:p>
                          <w:p w14:paraId="324D904D" w14:textId="77777777" w:rsidR="00DB3C86" w:rsidRDefault="00DB3C86" w:rsidP="00947A89">
                            <w:r>
                              <w:t>Im Folgenden wir das schematische Vorgehen zur Zitation von verschiedenen Quellen dargestellt:</w:t>
                            </w:r>
                          </w:p>
                          <w:p w14:paraId="64A5A68C" w14:textId="77777777" w:rsidR="00DB3C86" w:rsidRPr="00CA2AB5" w:rsidRDefault="00DB3C86" w:rsidP="00947A89"/>
                          <w:tbl>
                            <w:tblPr>
                              <w:tblW w:w="8050" w:type="dxa"/>
                              <w:tblCellMar>
                                <w:left w:w="70" w:type="dxa"/>
                                <w:right w:w="70" w:type="dxa"/>
                              </w:tblCellMar>
                              <w:tblLook w:val="0000" w:firstRow="0" w:lastRow="0" w:firstColumn="0" w:lastColumn="0" w:noHBand="0" w:noVBand="0"/>
                            </w:tblPr>
                            <w:tblGrid>
                              <w:gridCol w:w="8050"/>
                            </w:tblGrid>
                            <w:tr w:rsidR="00DB3C86" w:rsidRPr="00CA2AB5" w14:paraId="6E90CAC5" w14:textId="77777777" w:rsidTr="00947A89">
                              <w:tc>
                                <w:tcPr>
                                  <w:tcW w:w="8050" w:type="dxa"/>
                                  <w:vAlign w:val="bottom"/>
                                </w:tcPr>
                                <w:p w14:paraId="41F33B20" w14:textId="281298CB" w:rsidR="00DB3C86" w:rsidRDefault="00060F44" w:rsidP="00947A89">
                                  <w:pPr>
                                    <w:rPr>
                                      <w:b/>
                                    </w:rPr>
                                  </w:pPr>
                                  <w:r>
                                    <w:rPr>
                                      <w:b/>
                                    </w:rPr>
                                    <w:t>Bücher</w:t>
                                  </w:r>
                                </w:p>
                                <w:p w14:paraId="2B30148A" w14:textId="77777777" w:rsidR="00DB3C86" w:rsidRPr="00AC4A9D" w:rsidRDefault="00DB3C86" w:rsidP="00947A89">
                                  <w:pPr>
                                    <w:rPr>
                                      <w:b/>
                                    </w:rPr>
                                  </w:pPr>
                                </w:p>
                              </w:tc>
                            </w:tr>
                            <w:tr w:rsidR="00DB3C86" w:rsidRPr="00CA2AB5" w14:paraId="6BA6186D" w14:textId="77777777" w:rsidTr="00947A89">
                              <w:tc>
                                <w:tcPr>
                                  <w:tcW w:w="8050" w:type="dxa"/>
                                  <w:vAlign w:val="bottom"/>
                                </w:tcPr>
                                <w:p w14:paraId="337BEA47" w14:textId="6C7C7291" w:rsidR="00DB3C86" w:rsidRDefault="00DB3C86" w:rsidP="00947A89">
                                  <w:r>
                                    <w:t>Nachname, Vorname (abgekürzt) aller Autoren (durch Kommata getrennt) Erscheinungsjahr</w:t>
                                  </w:r>
                                  <w:r w:rsidR="00060F44">
                                    <w:t xml:space="preserve"> in runden Klammern</w:t>
                                  </w:r>
                                  <w:r>
                                    <w:t>.</w:t>
                                  </w:r>
                                </w:p>
                                <w:p w14:paraId="33D77BF6" w14:textId="3AC617CC" w:rsidR="00DB3C86" w:rsidRDefault="00DB3C86" w:rsidP="00947A89">
                                  <w:r w:rsidRPr="00C737E2">
                                    <w:rPr>
                                      <w:i/>
                                    </w:rPr>
                                    <w:t>Buchtitel – Untertitel</w:t>
                                  </w:r>
                                  <w:r w:rsidRPr="00CA2AB5">
                                    <w:t xml:space="preserve">. </w:t>
                                  </w:r>
                                  <w:r>
                                    <w:t>Auflage</w:t>
                                  </w:r>
                                  <w:r w:rsidR="00993A78">
                                    <w:t>.</w:t>
                                  </w:r>
                                  <w:r>
                                    <w:t xml:space="preserve"> </w:t>
                                  </w:r>
                                  <w:r w:rsidR="00993A78">
                                    <w:t xml:space="preserve">Erscheinungsort: </w:t>
                                  </w:r>
                                  <w:r>
                                    <w:t>Verlag</w:t>
                                  </w:r>
                                  <w:r w:rsidRPr="00CA2AB5">
                                    <w:t>.</w:t>
                                  </w:r>
                                </w:p>
                                <w:p w14:paraId="7CD2D9CE" w14:textId="3FC39E09" w:rsidR="00100A21" w:rsidRDefault="00100A21" w:rsidP="00987BE4">
                                  <w:pPr>
                                    <w:pStyle w:val="Funotentext"/>
                                  </w:pPr>
                                  <w:r>
                                    <w:t xml:space="preserve">Bsp.: Hansen, H. R., Mendling, J., Neumann, G. (2015), </w:t>
                                  </w:r>
                                  <w:r w:rsidRPr="009A15F9">
                                    <w:t>Nieschlag, R.</w:t>
                                  </w:r>
                                  <w:r>
                                    <w:t xml:space="preserve">, </w:t>
                                  </w:r>
                                  <w:r w:rsidRPr="009A15F9">
                                    <w:t>Dichtl, E.</w:t>
                                  </w:r>
                                  <w:r>
                                    <w:t xml:space="preserve">, </w:t>
                                  </w:r>
                                  <w:r w:rsidRPr="009A15F9">
                                    <w:t>Hörschgen, H.</w:t>
                                  </w:r>
                                  <w:r>
                                    <w:t xml:space="preserve"> (2002)</w:t>
                                  </w:r>
                                </w:p>
                                <w:p w14:paraId="6CBB61DC" w14:textId="77777777" w:rsidR="00DB3C86" w:rsidRPr="00CA2AB5" w:rsidRDefault="00DB3C86" w:rsidP="00947A89"/>
                              </w:tc>
                            </w:tr>
                            <w:tr w:rsidR="00DB3C86" w:rsidRPr="009A15F9" w14:paraId="24242770" w14:textId="77777777" w:rsidTr="00947A89">
                              <w:tc>
                                <w:tcPr>
                                  <w:tcW w:w="8050" w:type="dxa"/>
                                  <w:vAlign w:val="bottom"/>
                                </w:tcPr>
                                <w:p w14:paraId="5E03EFD4" w14:textId="77777777" w:rsidR="00DB3C86" w:rsidRDefault="00DB3C86" w:rsidP="00947A89">
                                  <w:pPr>
                                    <w:pStyle w:val="Funotentext"/>
                                    <w:rPr>
                                      <w:b/>
                                    </w:rPr>
                                  </w:pPr>
                                  <w:r w:rsidRPr="006C73B6">
                                    <w:rPr>
                                      <w:b/>
                                    </w:rPr>
                                    <w:t>Internet</w:t>
                                  </w:r>
                                  <w:r>
                                    <w:rPr>
                                      <w:b/>
                                    </w:rPr>
                                    <w:t>quellen</w:t>
                                  </w:r>
                                </w:p>
                                <w:p w14:paraId="581476F3" w14:textId="77777777" w:rsidR="00DB3C86" w:rsidRPr="006C73B6" w:rsidRDefault="00DB3C86" w:rsidP="00947A89">
                                  <w:pPr>
                                    <w:pStyle w:val="Funotentext"/>
                                    <w:rPr>
                                      <w:b/>
                                    </w:rPr>
                                  </w:pPr>
                                </w:p>
                              </w:tc>
                            </w:tr>
                            <w:tr w:rsidR="00DB3C86" w:rsidRPr="00CA2AB5" w14:paraId="3E9E3824" w14:textId="77777777" w:rsidTr="00947A89">
                              <w:tc>
                                <w:tcPr>
                                  <w:tcW w:w="8050" w:type="dxa"/>
                                  <w:vAlign w:val="bottom"/>
                                </w:tcPr>
                                <w:p w14:paraId="034CDAAB" w14:textId="45304967" w:rsidR="00DB3C86" w:rsidRDefault="00DB3C86" w:rsidP="00947A89">
                                  <w:r>
                                    <w:t>Nachname, Vorname (abgekürzt) Erscheinungsjahr</w:t>
                                  </w:r>
                                  <w:r w:rsidR="00060F44">
                                    <w:t xml:space="preserve"> in runden Klammern</w:t>
                                  </w:r>
                                  <w:r>
                                    <w:t>.</w:t>
                                  </w:r>
                                </w:p>
                                <w:p w14:paraId="366D9495" w14:textId="762BCEAD" w:rsidR="00DB3C86" w:rsidRDefault="00DB3C86" w:rsidP="00947A89">
                                  <w:r w:rsidRPr="00C737E2">
                                    <w:rPr>
                                      <w:i/>
                                    </w:rPr>
                                    <w:t>Titel des Artikels</w:t>
                                  </w:r>
                                  <w:r w:rsidR="00ED19DC">
                                    <w:t>.</w:t>
                                  </w:r>
                                  <w:r>
                                    <w:t xml:space="preserve"> URL</w:t>
                                  </w:r>
                                  <w:r w:rsidR="00ED19DC">
                                    <w:t>: URL</w:t>
                                  </w:r>
                                  <w:r>
                                    <w:t xml:space="preserve"> zuletzt aufgerufen am </w:t>
                                  </w:r>
                                  <w:r w:rsidRPr="00CA2AB5">
                                    <w:t>Datum</w:t>
                                  </w:r>
                                  <w:r w:rsidR="00ED19DC">
                                    <w:t xml:space="preserve"> in runden Klammern</w:t>
                                  </w:r>
                                  <w:r>
                                    <w:t>.</w:t>
                                  </w:r>
                                </w:p>
                                <w:p w14:paraId="12468419" w14:textId="61CE2F41" w:rsidR="004018D1" w:rsidRDefault="004018D1" w:rsidP="00987BE4">
                                  <w:pPr>
                                    <w:pStyle w:val="Funotentext"/>
                                  </w:pPr>
                                  <w:r>
                                    <w:t xml:space="preserve">Bsp.: </w:t>
                                  </w:r>
                                  <w:r w:rsidRPr="00052FB1">
                                    <w:t>Geron, T. (2013).</w:t>
                                  </w:r>
                                </w:p>
                                <w:p w14:paraId="24E9F665" w14:textId="77777777" w:rsidR="00DB3C86" w:rsidRPr="00CA2AB5" w:rsidRDefault="00DB3C86" w:rsidP="00947A89"/>
                              </w:tc>
                            </w:tr>
                          </w:tbl>
                          <w:p w14:paraId="56DC8070" w14:textId="73AB04B1" w:rsidR="00DB3C86" w:rsidRDefault="00DB3C86" w:rsidP="00947A8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1B06081" id="AutoShape 10" o:spid="_x0000_s1028" style="position:absolute;left:0;text-align:left;margin-left:-1.8pt;margin-top:0;width:453.55pt;height:575.9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" strokecolor="#777" strokeweight="1.5pt">
                <v:stroke joinstyle="miter"/>
                <v:textbox>
                  <w:txbxContent>
                    <w:p w14:paraId="798B107D" w14:textId="2492A00B" w:rsidR="00DB3C86" w:rsidRDefault="00DB3C86" w:rsidP="00947A89">
                      <w:r>
                        <w:t>Hinweis:</w:t>
                      </w:r>
                    </w:p>
                    <w:p w14:paraId="67047D73" w14:textId="2536754E" w:rsidR="00DB3C86" w:rsidRDefault="00DB3C86" w:rsidP="00947A89">
                      <w:r>
                        <w:t>Schließlich wird hier die gesamte Literatur, die im Text schon als Fußnoten oder in Klammern kenntlich gemacht wurde, noch einmal detaillierter aufgeführt. Dabei werden die Quellen nicht nach ihrer Art unterschieden, sondern alphabetisch nach dem Nachnamen ihrer (Erst-)Autoren sortiert. Bei gleichen Nachnamen mehrerer Autoren ist der erste Buchstabe des Vornamens entscheidend. Bei mehreren Veröffentlichungen desselben Hauptautors wird stets die älteste zuerst genannt. Es empfiehlt sich außerdem immer, die Originalquelle anzugeben, auch wenn der übernommene Inhalt in einer Sekundärquelle recherchiert wurde. Vor allem jedoch wenn die Primärquelle nicht zugänglich ist, sollte die Sekundärquelle zusätzlich angegeben werden.</w:t>
                      </w:r>
                    </w:p>
                    <w:p w14:paraId="324D904D" w14:textId="77777777" w:rsidR="00DB3C86" w:rsidRDefault="00DB3C86" w:rsidP="00947A89">
                      <w:r>
                        <w:t>Im Folgenden wir das schematische Vorgehen zur Zitation von verschiedenen Quellen dargestellt:</w:t>
                      </w:r>
                    </w:p>
                    <w:p w14:paraId="64A5A68C" w14:textId="77777777" w:rsidR="00DB3C86" w:rsidRPr="00CA2AB5" w:rsidRDefault="00DB3C86" w:rsidP="00947A89"/>
                    <w:tbl>
                      <w:tblPr>
                        <w:tblW w:w="8050" w:type="dxa"/>
                        <w:tblCellMar>
                          <w:left w:w="70" w:type="dxa"/>
                          <w:right w:w="70" w:type="dxa"/>
                        </w:tblCellMar>
                        <w:tblLook w:val="0000" w:firstRow="0" w:lastRow="0" w:firstColumn="0" w:lastColumn="0" w:noHBand="0" w:noVBand="0"/>
                      </w:tblPr>
                      <w:tblGrid>
                        <w:gridCol w:w="8050"/>
                      </w:tblGrid>
                      <w:tr w:rsidR="00DB3C86" w:rsidRPr="00CA2AB5" w14:paraId="6E90CAC5" w14:textId="77777777" w:rsidTr="00947A89">
                        <w:tc>
                          <w:tcPr>
                            <w:tcW w:w="8050" w:type="dxa"/>
                            <w:vAlign w:val="bottom"/>
                          </w:tcPr>
                          <w:p w14:paraId="41F33B20" w14:textId="281298CB" w:rsidR="00DB3C86" w:rsidRDefault="00060F44" w:rsidP="00947A89">
                            <w:pPr>
                              <w:rPr>
                                <w:b/>
                              </w:rPr>
                            </w:pPr>
                            <w:r>
                              <w:rPr>
                                <w:b/>
                              </w:rPr>
                              <w:t>Bücher</w:t>
                            </w:r>
                          </w:p>
                          <w:p w14:paraId="2B30148A" w14:textId="77777777" w:rsidR="00DB3C86" w:rsidRPr="00AC4A9D" w:rsidRDefault="00DB3C86" w:rsidP="00947A89">
                            <w:pPr>
                              <w:rPr>
                                <w:b/>
                              </w:rPr>
                            </w:pPr>
                          </w:p>
                        </w:tc>
                      </w:tr>
                      <w:tr w:rsidR="00DB3C86" w:rsidRPr="00CA2AB5" w14:paraId="6BA6186D" w14:textId="77777777" w:rsidTr="00947A89">
                        <w:tc>
                          <w:tcPr>
                            <w:tcW w:w="8050" w:type="dxa"/>
                            <w:vAlign w:val="bottom"/>
                          </w:tcPr>
                          <w:p w14:paraId="337BEA47" w14:textId="6C7C7291" w:rsidR="00DB3C86" w:rsidRDefault="00DB3C86" w:rsidP="00947A89">
                            <w:r>
                              <w:t>Nachname, Vorname (abgekürzt) aller Autoren (durch Kommata getrennt) Erscheinungsjahr</w:t>
                            </w:r>
                            <w:r w:rsidR="00060F44">
                              <w:t xml:space="preserve"> in runden Klammern</w:t>
                            </w:r>
                            <w:r>
                              <w:t>.</w:t>
                            </w:r>
                          </w:p>
                          <w:p w14:paraId="33D77BF6" w14:textId="3AC617CC" w:rsidR="00DB3C86" w:rsidRDefault="00DB3C86" w:rsidP="00947A89">
                            <w:r w:rsidRPr="00C737E2">
                              <w:rPr>
                                <w:i/>
                              </w:rPr>
                              <w:t>Buchtitel – Untertitel</w:t>
                            </w:r>
                            <w:r w:rsidRPr="00CA2AB5">
                              <w:t xml:space="preserve">. </w:t>
                            </w:r>
                            <w:r>
                              <w:t>Auflage</w:t>
                            </w:r>
                            <w:r w:rsidR="00993A78">
                              <w:t>.</w:t>
                            </w:r>
                            <w:r>
                              <w:t xml:space="preserve"> </w:t>
                            </w:r>
                            <w:r w:rsidR="00993A78">
                              <w:t xml:space="preserve">Erscheinungsort: </w:t>
                            </w:r>
                            <w:r>
                              <w:t>Verlag</w:t>
                            </w:r>
                            <w:r w:rsidRPr="00CA2AB5">
                              <w:t>.</w:t>
                            </w:r>
                          </w:p>
                          <w:p w14:paraId="7CD2D9CE" w14:textId="3FC39E09" w:rsidR="00100A21" w:rsidRDefault="00100A21" w:rsidP="00987BE4">
                            <w:pPr>
                              <w:pStyle w:val="Funotentext"/>
                            </w:pPr>
                            <w:r>
                              <w:t xml:space="preserve">Bsp.: Hansen, H. R., Mendling, J., Neumann, G. (2015), </w:t>
                            </w:r>
                            <w:r w:rsidRPr="009A15F9">
                              <w:t>Nieschlag, R.</w:t>
                            </w:r>
                            <w:r>
                              <w:t xml:space="preserve">, </w:t>
                            </w:r>
                            <w:r w:rsidRPr="009A15F9">
                              <w:t>Dichtl, E.</w:t>
                            </w:r>
                            <w:r>
                              <w:t xml:space="preserve">, </w:t>
                            </w:r>
                            <w:r w:rsidRPr="009A15F9">
                              <w:t>Hörschgen, H.</w:t>
                            </w:r>
                            <w:r>
                              <w:t xml:space="preserve"> (2002)</w:t>
                            </w:r>
                          </w:p>
                          <w:p w14:paraId="6CBB61DC" w14:textId="77777777" w:rsidR="00DB3C86" w:rsidRPr="00CA2AB5" w:rsidRDefault="00DB3C86" w:rsidP="00947A89"/>
                        </w:tc>
                      </w:tr>
                      <w:tr w:rsidR="00DB3C86" w:rsidRPr="009A15F9" w14:paraId="24242770" w14:textId="77777777" w:rsidTr="00947A89">
                        <w:tc>
                          <w:tcPr>
                            <w:tcW w:w="8050" w:type="dxa"/>
                            <w:vAlign w:val="bottom"/>
                          </w:tcPr>
                          <w:p w14:paraId="5E03EFD4" w14:textId="77777777" w:rsidR="00DB3C86" w:rsidRDefault="00DB3C86" w:rsidP="00947A89">
                            <w:pPr>
                              <w:pStyle w:val="Funotentext"/>
                              <w:rPr>
                                <w:b/>
                              </w:rPr>
                            </w:pPr>
                            <w:r w:rsidRPr="006C73B6">
                              <w:rPr>
                                <w:b/>
                              </w:rPr>
                              <w:t>Internet</w:t>
                            </w:r>
                            <w:r>
                              <w:rPr>
                                <w:b/>
                              </w:rPr>
                              <w:t>quellen</w:t>
                            </w:r>
                          </w:p>
                          <w:p w14:paraId="581476F3" w14:textId="77777777" w:rsidR="00DB3C86" w:rsidRPr="006C73B6" w:rsidRDefault="00DB3C86" w:rsidP="00947A89">
                            <w:pPr>
                              <w:pStyle w:val="Funotentext"/>
                              <w:rPr>
                                <w:b/>
                              </w:rPr>
                            </w:pPr>
                          </w:p>
                        </w:tc>
                      </w:tr>
                      <w:tr w:rsidR="00DB3C86" w:rsidRPr="00CA2AB5" w14:paraId="3E9E3824" w14:textId="77777777" w:rsidTr="00947A89">
                        <w:tc>
                          <w:tcPr>
                            <w:tcW w:w="8050" w:type="dxa"/>
                            <w:vAlign w:val="bottom"/>
                          </w:tcPr>
                          <w:p w14:paraId="034CDAAB" w14:textId="45304967" w:rsidR="00DB3C86" w:rsidRDefault="00DB3C86" w:rsidP="00947A89">
                            <w:r>
                              <w:t>Nachname, Vorname (abgekürzt) Erscheinungsjahr</w:t>
                            </w:r>
                            <w:r w:rsidR="00060F44">
                              <w:t xml:space="preserve"> in runden Klammern</w:t>
                            </w:r>
                            <w:r>
                              <w:t>.</w:t>
                            </w:r>
                          </w:p>
                          <w:p w14:paraId="366D9495" w14:textId="762BCEAD" w:rsidR="00DB3C86" w:rsidRDefault="00DB3C86" w:rsidP="00947A89">
                            <w:r w:rsidRPr="00C737E2">
                              <w:rPr>
                                <w:i/>
                              </w:rPr>
                              <w:t>Titel des Artikels</w:t>
                            </w:r>
                            <w:r w:rsidR="00ED19DC">
                              <w:t>.</w:t>
                            </w:r>
                            <w:r>
                              <w:t xml:space="preserve"> URL</w:t>
                            </w:r>
                            <w:r w:rsidR="00ED19DC">
                              <w:t>: URL</w:t>
                            </w:r>
                            <w:r>
                              <w:t xml:space="preserve"> zuletzt aufgerufen am </w:t>
                            </w:r>
                            <w:r w:rsidRPr="00CA2AB5">
                              <w:t>Datum</w:t>
                            </w:r>
                            <w:r w:rsidR="00ED19DC">
                              <w:t xml:space="preserve"> in runden Klammern</w:t>
                            </w:r>
                            <w:r>
                              <w:t>.</w:t>
                            </w:r>
                          </w:p>
                          <w:p w14:paraId="12468419" w14:textId="61CE2F41" w:rsidR="004018D1" w:rsidRDefault="004018D1" w:rsidP="00987BE4">
                            <w:pPr>
                              <w:pStyle w:val="Funotentext"/>
                            </w:pPr>
                            <w:r>
                              <w:t xml:space="preserve">Bsp.: </w:t>
                            </w:r>
                            <w:r w:rsidRPr="00052FB1">
                              <w:t>Geron, T. (2013).</w:t>
                            </w:r>
                          </w:p>
                          <w:p w14:paraId="24E9F665" w14:textId="77777777" w:rsidR="00DB3C86" w:rsidRPr="00CA2AB5" w:rsidRDefault="00DB3C86" w:rsidP="00947A89"/>
                        </w:tc>
                      </w:tr>
                    </w:tbl>
                    <w:p w14:paraId="56DC8070" w14:textId="73AB04B1" w:rsidR="00DB3C86" w:rsidRDefault="00DB3C86" w:rsidP="00947A89"/>
                  </w:txbxContent>
                </v:textbox>
                <w10:wrap type="square" anchorx="margin"/>
              </v:roundrect>
            </w:pict>
          </mc:Fallback>
        </mc:AlternateContent>
      </w:r>
    </w:p>
    <w:p w14:paraId="425D21BF" w14:textId="6968A7BD" w:rsidR="00B43EDD" w:rsidRDefault="00B43EDD" w:rsidP="00947A89"/>
    <w:p w14:paraId="02145959" w14:textId="54BEA2F7" w:rsidR="00B43EDD" w:rsidRDefault="00B43EDD" w:rsidP="00B43EDD">
      <w:pPr>
        <w:pStyle w:val="Kopfzeile"/>
        <w:tabs>
          <w:tab w:val="clear" w:pos="4536"/>
          <w:tab w:val="clear" w:pos="9072"/>
          <w:tab w:val="center" w:pos="3686"/>
          <w:tab w:val="right" w:pos="8080"/>
        </w:tabs>
      </w:pPr>
      <w:r>
        <w:rPr>
          <w:noProof/>
        </w:rPr>
        <w:lastRenderedPageBreak/>
        <mc:AlternateContent>
          <mc:Choice Requires="wps">
            <w:drawing>
              <wp:anchor distT="45720" distB="45720" distL="114300" distR="114300" simplePos="0" relativeHeight="251657728" behindDoc="0" locked="0" layoutInCell="1" allowOverlap="1" wp14:anchorId="3672FFA5" wp14:editId="38083F60">
                <wp:simplePos x="0" y="0"/>
                <wp:positionH relativeFrom="margin">
                  <wp:align>left</wp:align>
                </wp:positionH>
                <wp:positionV relativeFrom="paragraph">
                  <wp:posOffset>0</wp:posOffset>
                </wp:positionV>
                <wp:extent cx="5760085" cy="7084060"/>
                <wp:effectExtent l="0" t="0" r="12065" b="21590"/>
                <wp:wrapSquare wrapText="bothSides"/>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7084060"/>
                        </a:xfrm>
                        <a:prstGeom prst="roundRect">
                          <a:avLst>
                            <a:gd name="adj" fmla="val 16667"/>
                          </a:avLst>
                        </a:prstGeom>
                        <a:solidFill>
                          <a:srgbClr val="FFFFFF"/>
                        </a:solidFill>
                        <a:ln w="19050">
                          <a:solidFill>
                            <a:srgbClr val="777777"/>
                          </a:solidFill>
                          <a:miter lim="800000"/>
                          <a:headEnd/>
                          <a:tailEnd/>
                        </a:ln>
                      </wps:spPr>
                      <wps:txbx>
                        <w:txbxContent>
                          <w:tbl>
                            <w:tblPr>
                              <w:tblW w:w="8050" w:type="dxa"/>
                              <w:tblCellMar>
                                <w:left w:w="70" w:type="dxa"/>
                                <w:right w:w="70" w:type="dxa"/>
                              </w:tblCellMar>
                              <w:tblLook w:val="0000" w:firstRow="0" w:lastRow="0" w:firstColumn="0" w:lastColumn="0" w:noHBand="0" w:noVBand="0"/>
                            </w:tblPr>
                            <w:tblGrid>
                              <w:gridCol w:w="8050"/>
                            </w:tblGrid>
                            <w:tr w:rsidR="00DB3C86" w:rsidRPr="00CA2AB5" w14:paraId="6187AEDA" w14:textId="77777777" w:rsidTr="00947A89">
                              <w:tc>
                                <w:tcPr>
                                  <w:tcW w:w="8050" w:type="dxa"/>
                                  <w:vAlign w:val="bottom"/>
                                </w:tcPr>
                                <w:p w14:paraId="5A43732F" w14:textId="77777777" w:rsidR="00DB3C86" w:rsidRDefault="00DB3C86" w:rsidP="00AC4A9D">
                                  <w:pPr>
                                    <w:pStyle w:val="Funotentext"/>
                                    <w:rPr>
                                      <w:b/>
                                    </w:rPr>
                                  </w:pPr>
                                  <w:r w:rsidRPr="006C73B6">
                                    <w:rPr>
                                      <w:b/>
                                    </w:rPr>
                                    <w:t>Beiträge in Journals</w:t>
                                  </w:r>
                                </w:p>
                                <w:p w14:paraId="68A6C95C" w14:textId="77777777" w:rsidR="00DB3C86" w:rsidRPr="00AC4A9D" w:rsidRDefault="00DB3C86" w:rsidP="00AC4A9D">
                                  <w:pPr>
                                    <w:pStyle w:val="Funotentext"/>
                                    <w:rPr>
                                      <w:b/>
                                    </w:rPr>
                                  </w:pPr>
                                </w:p>
                              </w:tc>
                            </w:tr>
                            <w:tr w:rsidR="00DB3C86" w:rsidRPr="00CA2AB5" w14:paraId="0B34EECD" w14:textId="77777777" w:rsidTr="00947A89">
                              <w:tc>
                                <w:tcPr>
                                  <w:tcW w:w="8050" w:type="dxa"/>
                                  <w:vAlign w:val="bottom"/>
                                </w:tcPr>
                                <w:p w14:paraId="51C286DB" w14:textId="71EBE068" w:rsidR="00DB3C86" w:rsidRPr="009A15F9" w:rsidRDefault="00DB3C86" w:rsidP="00A516E7">
                                  <w:r w:rsidRPr="009A15F9">
                                    <w:t xml:space="preserve">Nachname, </w:t>
                                  </w:r>
                                  <w:r>
                                    <w:t xml:space="preserve">Vorname (abgekürzt) aller Autoren </w:t>
                                  </w:r>
                                  <w:r w:rsidR="00704D04">
                                    <w:t>(durch Kommata getrennt)</w:t>
                                  </w:r>
                                  <w:r w:rsidR="00FD5940">
                                    <w:t xml:space="preserve"> </w:t>
                                  </w:r>
                                  <w:r>
                                    <w:t>Erscheinungsjahr</w:t>
                                  </w:r>
                                  <w:r w:rsidR="00060F44">
                                    <w:t xml:space="preserve"> in runden Klammern</w:t>
                                  </w:r>
                                  <w:r>
                                    <w:t>.</w:t>
                                  </w:r>
                                </w:p>
                                <w:p w14:paraId="2EBC6EC1" w14:textId="26CCF45D" w:rsidR="00DB3C86" w:rsidRDefault="009E70DA" w:rsidP="00AC4A9D">
                                  <w:r>
                                    <w:t>„</w:t>
                                  </w:r>
                                  <w:r w:rsidR="00DB3C86" w:rsidRPr="009A15F9">
                                    <w:t>Beitragstitel</w:t>
                                  </w:r>
                                  <w:r>
                                    <w:t>.“</w:t>
                                  </w:r>
                                  <w:r w:rsidR="00DB3C86" w:rsidRPr="009A15F9">
                                    <w:t xml:space="preserve"> </w:t>
                                  </w:r>
                                  <w:r w:rsidR="00DB3C86" w:rsidRPr="00C737E2">
                                    <w:rPr>
                                      <w:i/>
                                    </w:rPr>
                                    <w:t>Name des Journals</w:t>
                                  </w:r>
                                  <w:r w:rsidR="00DB3C86" w:rsidRPr="00CA2AB5">
                                    <w:t xml:space="preserve"> </w:t>
                                  </w:r>
                                  <w:r>
                                    <w:t>Jahrgang (</w:t>
                                  </w:r>
                                  <w:r w:rsidR="00DB3C86" w:rsidRPr="00CA2AB5">
                                    <w:t>Heft</w:t>
                                  </w:r>
                                  <w:r>
                                    <w:t>-</w:t>
                                  </w:r>
                                  <w:r w:rsidR="00DB3C86" w:rsidRPr="00CA2AB5">
                                    <w:t>Nr.</w:t>
                                  </w:r>
                                  <w:r>
                                    <w:t>)</w:t>
                                  </w:r>
                                  <w:r w:rsidR="00DB3C86" w:rsidRPr="00CA2AB5">
                                    <w:t>, S</w:t>
                                  </w:r>
                                  <w:r w:rsidR="00DB3C86">
                                    <w:t>eitenangabe.</w:t>
                                  </w:r>
                                </w:p>
                                <w:p w14:paraId="7D0C6517" w14:textId="630056A2" w:rsidR="00100A21" w:rsidRDefault="00100A21" w:rsidP="00AC4A9D">
                                  <w:r>
                                    <w:t xml:space="preserve">Bsp.: </w:t>
                                  </w:r>
                                  <w:r w:rsidRPr="00FD5783">
                                    <w:t>Ferstl, O. K., Sinz, E.</w:t>
                                  </w:r>
                                  <w:r>
                                    <w:t xml:space="preserve"> (1991), Gerpott, T., </w:t>
                                  </w:r>
                                  <w:r w:rsidRPr="009A15F9">
                                    <w:t>Rams, W.</w:t>
                                  </w:r>
                                  <w:r>
                                    <w:t xml:space="preserve"> (2000)</w:t>
                                  </w:r>
                                </w:p>
                                <w:p w14:paraId="0DF1AADF" w14:textId="77777777" w:rsidR="00DB3C86" w:rsidRPr="00AC4A9D" w:rsidRDefault="00DB3C86" w:rsidP="00AC4A9D"/>
                              </w:tc>
                            </w:tr>
                            <w:tr w:rsidR="00DB3C86" w:rsidRPr="00CA2AB5" w14:paraId="368E1CC5" w14:textId="77777777" w:rsidTr="00947A89">
                              <w:tc>
                                <w:tcPr>
                                  <w:tcW w:w="8050" w:type="dxa"/>
                                  <w:vAlign w:val="bottom"/>
                                </w:tcPr>
                                <w:p w14:paraId="08B9F462" w14:textId="77777777" w:rsidR="00DB3C86" w:rsidRDefault="00DB3C86" w:rsidP="00A516E7">
                                  <w:pPr>
                                    <w:rPr>
                                      <w:b/>
                                    </w:rPr>
                                  </w:pPr>
                                  <w:r>
                                    <w:rPr>
                                      <w:b/>
                                    </w:rPr>
                                    <w:t>Konferenzbeiträge</w:t>
                                  </w:r>
                                </w:p>
                                <w:p w14:paraId="60E11922" w14:textId="77777777" w:rsidR="00DB3C86" w:rsidRPr="006C73B6" w:rsidRDefault="00DB3C86" w:rsidP="00A516E7">
                                  <w:pPr>
                                    <w:rPr>
                                      <w:b/>
                                    </w:rPr>
                                  </w:pPr>
                                </w:p>
                              </w:tc>
                            </w:tr>
                            <w:tr w:rsidR="00DB3C86" w:rsidRPr="00CA2AB5" w14:paraId="7379DE6C" w14:textId="77777777" w:rsidTr="00947A89">
                              <w:tc>
                                <w:tcPr>
                                  <w:tcW w:w="8050" w:type="dxa"/>
                                  <w:vAlign w:val="bottom"/>
                                </w:tcPr>
                                <w:p w14:paraId="686D7FDB" w14:textId="022EF722" w:rsidR="00DB3C86" w:rsidRPr="009A15F9" w:rsidRDefault="00DB3C86" w:rsidP="00AC4A9D">
                                  <w:r w:rsidRPr="009A15F9">
                                    <w:t xml:space="preserve">Nachname, </w:t>
                                  </w:r>
                                  <w:r>
                                    <w:t xml:space="preserve">Vorname (abgekürzt), aller Autoren </w:t>
                                  </w:r>
                                  <w:r w:rsidR="00704D04">
                                    <w:t>(durch Kommata getrennt)</w:t>
                                  </w:r>
                                  <w:r w:rsidR="00FD5940">
                                    <w:t xml:space="preserve"> </w:t>
                                  </w:r>
                                  <w:r>
                                    <w:t>Jahr</w:t>
                                  </w:r>
                                  <w:r w:rsidR="00060F44">
                                    <w:t xml:space="preserve"> in runden Klammern</w:t>
                                  </w:r>
                                  <w:r>
                                    <w:t>.</w:t>
                                  </w:r>
                                </w:p>
                                <w:p w14:paraId="4BCEE1F4" w14:textId="057E57F4" w:rsidR="00DB3C86" w:rsidRDefault="00BB1B88" w:rsidP="00A516E7">
                                  <w:r>
                                    <w:t>„</w:t>
                                  </w:r>
                                  <w:r w:rsidR="00DB3C86">
                                    <w:t>Titel</w:t>
                                  </w:r>
                                  <w:r>
                                    <w:t>.“</w:t>
                                  </w:r>
                                  <w:r w:rsidR="00DB3C86">
                                    <w:t xml:space="preserve"> In: </w:t>
                                  </w:r>
                                  <w:r w:rsidR="00DB3C86" w:rsidRPr="00C737E2">
                                    <w:rPr>
                                      <w:i/>
                                    </w:rPr>
                                    <w:t>Titel der Konferenz</w:t>
                                  </w:r>
                                  <w:r w:rsidR="00DB3C86">
                                    <w:t xml:space="preserve">. </w:t>
                                  </w:r>
                                  <w:r>
                                    <w:t xml:space="preserve">Hrsg.: Nachname, Vorname (abgekürzt) aller Herausgeber. </w:t>
                                  </w:r>
                                  <w:r w:rsidR="00DB3C86">
                                    <w:t>Ort der Veröffentlichung, Seitenangabe.</w:t>
                                  </w:r>
                                </w:p>
                                <w:p w14:paraId="3A512CB0" w14:textId="29E0D054" w:rsidR="00100A21" w:rsidRDefault="00100A21" w:rsidP="00987BE4">
                                  <w:pPr>
                                    <w:pStyle w:val="Funotentext"/>
                                  </w:pPr>
                                  <w:r>
                                    <w:t xml:space="preserve">Bsp.: </w:t>
                                  </w:r>
                                  <w:r w:rsidRPr="00CC7029">
                                    <w:t>Myaeng, S.-H., Jang, D.-H., Kim, M.-S., Zhoo, Z.-C. (1998)</w:t>
                                  </w:r>
                                </w:p>
                                <w:p w14:paraId="5ABF2EF9" w14:textId="77777777" w:rsidR="00DB3C86" w:rsidRPr="00AC4A9D" w:rsidRDefault="00DB3C86" w:rsidP="00A516E7"/>
                              </w:tc>
                            </w:tr>
                            <w:tr w:rsidR="00DB3C86" w:rsidRPr="00CA2AB5" w14:paraId="6AFD07E2" w14:textId="77777777" w:rsidTr="00947A89">
                              <w:tc>
                                <w:tcPr>
                                  <w:tcW w:w="8050" w:type="dxa"/>
                                  <w:vAlign w:val="bottom"/>
                                </w:tcPr>
                                <w:p w14:paraId="2556B884" w14:textId="77777777" w:rsidR="00DB3C86" w:rsidRDefault="00DB3C86" w:rsidP="00A516E7">
                                  <w:pPr>
                                    <w:pStyle w:val="Funotentext"/>
                                    <w:rPr>
                                      <w:b/>
                                    </w:rPr>
                                  </w:pPr>
                                  <w:r w:rsidRPr="006C73B6">
                                    <w:rPr>
                                      <w:b/>
                                    </w:rPr>
                                    <w:t>Gespräche</w:t>
                                  </w:r>
                                </w:p>
                                <w:p w14:paraId="0AF16D5C" w14:textId="77777777" w:rsidR="00DB3C86" w:rsidRPr="00AC4A9D" w:rsidRDefault="00DB3C86" w:rsidP="00A516E7">
                                  <w:pPr>
                                    <w:pStyle w:val="Funotentext"/>
                                    <w:rPr>
                                      <w:b/>
                                    </w:rPr>
                                  </w:pPr>
                                </w:p>
                              </w:tc>
                            </w:tr>
                            <w:tr w:rsidR="00DB3C86" w:rsidRPr="00CA2AB5" w14:paraId="2EB15360" w14:textId="77777777" w:rsidTr="00947A89">
                              <w:tc>
                                <w:tcPr>
                                  <w:tcW w:w="8050" w:type="dxa"/>
                                  <w:vAlign w:val="bottom"/>
                                </w:tcPr>
                                <w:p w14:paraId="76E032FA" w14:textId="5B00E3C3" w:rsidR="00DB3C86" w:rsidRPr="009A15F9" w:rsidRDefault="00DB3C86" w:rsidP="00A516E7">
                                  <w:pPr>
                                    <w:pStyle w:val="Funotentext"/>
                                  </w:pPr>
                                  <w:r w:rsidRPr="009A15F9">
                                    <w:t>Gespräch mit Vorname Nachname</w:t>
                                  </w:r>
                                  <w:r w:rsidR="00060F44">
                                    <w:t>.</w:t>
                                  </w:r>
                                </w:p>
                                <w:p w14:paraId="1210A30C" w14:textId="1F9BE497" w:rsidR="00DB3C86" w:rsidRDefault="00DB3C86" w:rsidP="00A516E7">
                                  <w:pPr>
                                    <w:pStyle w:val="Funotentext"/>
                                  </w:pPr>
                                  <w:r w:rsidRPr="009A15F9">
                                    <w:t>Funktion ggf. Unternehmen</w:t>
                                  </w:r>
                                  <w:r w:rsidRPr="00CA2AB5">
                                    <w:t>, am Datum.</w:t>
                                  </w:r>
                                </w:p>
                                <w:p w14:paraId="3A9D2C3A" w14:textId="40C84484" w:rsidR="00100A21" w:rsidRDefault="00100A21" w:rsidP="00A516E7">
                                  <w:pPr>
                                    <w:pStyle w:val="Funotentext"/>
                                  </w:pPr>
                                  <w:r>
                                    <w:t>Bsp.: Gespräch mit Frau Isolde Maier</w:t>
                                  </w:r>
                                </w:p>
                                <w:p w14:paraId="234BD183" w14:textId="77777777" w:rsidR="00DB3C86" w:rsidRPr="00CA2AB5" w:rsidRDefault="00DB3C86" w:rsidP="00A516E7">
                                  <w:pPr>
                                    <w:pStyle w:val="Funotentext"/>
                                  </w:pPr>
                                </w:p>
                              </w:tc>
                            </w:tr>
                            <w:tr w:rsidR="00DB3C86" w:rsidRPr="00CA2AB5" w14:paraId="75202CC5" w14:textId="77777777" w:rsidTr="00947A89">
                              <w:tc>
                                <w:tcPr>
                                  <w:tcW w:w="8050" w:type="dxa"/>
                                  <w:vAlign w:val="bottom"/>
                                </w:tcPr>
                                <w:p w14:paraId="63D859F9" w14:textId="77777777" w:rsidR="00DB3C86" w:rsidRDefault="00DB3C86" w:rsidP="00AC4A9D">
                                  <w:pPr>
                                    <w:pStyle w:val="Funotentext"/>
                                    <w:rPr>
                                      <w:b/>
                                    </w:rPr>
                                  </w:pPr>
                                  <w:r>
                                    <w:rPr>
                                      <w:b/>
                                    </w:rPr>
                                    <w:t>Nicht publizierte Beiträge</w:t>
                                  </w:r>
                                </w:p>
                                <w:p w14:paraId="7E0085F6" w14:textId="77777777" w:rsidR="00DB3C86" w:rsidRPr="00CA2AB5" w:rsidRDefault="00DB3C86" w:rsidP="00AC4A9D">
                                  <w:pPr>
                                    <w:pStyle w:val="Funotentext"/>
                                  </w:pPr>
                                </w:p>
                              </w:tc>
                            </w:tr>
                            <w:tr w:rsidR="00DB3C86" w:rsidRPr="00CA2AB5" w14:paraId="50187B00" w14:textId="77777777" w:rsidTr="00947A89">
                              <w:tc>
                                <w:tcPr>
                                  <w:tcW w:w="8050" w:type="dxa"/>
                                  <w:vAlign w:val="bottom"/>
                                </w:tcPr>
                                <w:p w14:paraId="50D1DA13" w14:textId="4C2E8B8D" w:rsidR="00DB3C86" w:rsidRPr="009A15F9" w:rsidRDefault="00DB3C86" w:rsidP="00A516E7">
                                  <w:r w:rsidRPr="009A15F9">
                                    <w:t xml:space="preserve">Nachname, </w:t>
                                  </w:r>
                                  <w:r>
                                    <w:t>Vorname (abgekürzt) aller Autoren</w:t>
                                  </w:r>
                                  <w:r w:rsidR="00704D04">
                                    <w:t xml:space="preserve"> (durch Kommata getrennt)</w:t>
                                  </w:r>
                                  <w:r w:rsidR="00060F44">
                                    <w:t>.</w:t>
                                  </w:r>
                                </w:p>
                                <w:p w14:paraId="069D649A" w14:textId="77777777" w:rsidR="00DB3C86" w:rsidRDefault="00DB3C86" w:rsidP="0074631A">
                                  <w:pPr>
                                    <w:pStyle w:val="Funotentext"/>
                                  </w:pPr>
                                  <w:r w:rsidRPr="009A15F9">
                                    <w:t>Art des Mediums</w:t>
                                  </w:r>
                                  <w:r w:rsidRPr="00CA2AB5">
                                    <w:t>, Titel, erhalten am Datum</w:t>
                                  </w:r>
                                  <w:r>
                                    <w:t>, Organisation, Ort.</w:t>
                                  </w:r>
                                </w:p>
                                <w:p w14:paraId="14A3C9DF" w14:textId="6DB663A5" w:rsidR="00100A21" w:rsidRDefault="00100A21" w:rsidP="0074631A">
                                  <w:pPr>
                                    <w:pStyle w:val="Funotentext"/>
                                  </w:pPr>
                                  <w:r>
                                    <w:t xml:space="preserve">Bsp.: </w:t>
                                  </w:r>
                                  <w:r w:rsidRPr="009A15F9">
                                    <w:t>Gruber, W.</w:t>
                                  </w:r>
                                </w:p>
                                <w:p w14:paraId="1DA7F96D" w14:textId="6E217574" w:rsidR="00100A21" w:rsidRPr="00CA2AB5" w:rsidRDefault="00100A21" w:rsidP="0074631A">
                                  <w:pPr>
                                    <w:pStyle w:val="Funotentext"/>
                                  </w:pPr>
                                </w:p>
                              </w:tc>
                            </w:tr>
                          </w:tbl>
                          <w:p w14:paraId="563395E0" w14:textId="77777777" w:rsidR="00DB3C86" w:rsidRDefault="00DB3C86" w:rsidP="006C18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672FFA5" id="AutoShape 8" o:spid="_x0000_s1029" style="position:absolute;left:0;text-align:left;margin-left:0;margin-top:0;width:453.55pt;height:557.8pt;z-index:251657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" strokecolor="#777" strokeweight="1.5pt">
                <v:stroke joinstyle="miter"/>
                <v:textbox>
                  <w:txbxContent>
                    <w:tbl>
                      <w:tblPr>
                        <w:tblW w:w="8050" w:type="dxa"/>
                        <w:tblCellMar>
                          <w:left w:w="70" w:type="dxa"/>
                          <w:right w:w="70" w:type="dxa"/>
                        </w:tblCellMar>
                        <w:tblLook w:val="0000" w:firstRow="0" w:lastRow="0" w:firstColumn="0" w:lastColumn="0" w:noHBand="0" w:noVBand="0"/>
                      </w:tblPr>
                      <w:tblGrid>
                        <w:gridCol w:w="8050"/>
                      </w:tblGrid>
                      <w:tr w:rsidR="00DB3C86" w:rsidRPr="00CA2AB5" w14:paraId="6187AEDA" w14:textId="77777777" w:rsidTr="00947A89">
                        <w:tc>
                          <w:tcPr>
                            <w:tcW w:w="8050" w:type="dxa"/>
                            <w:vAlign w:val="bottom"/>
                          </w:tcPr>
                          <w:p w14:paraId="5A43732F" w14:textId="77777777" w:rsidR="00DB3C86" w:rsidRDefault="00DB3C86" w:rsidP="00AC4A9D">
                            <w:pPr>
                              <w:pStyle w:val="Funotentext"/>
                              <w:rPr>
                                <w:b/>
                              </w:rPr>
                            </w:pPr>
                            <w:r w:rsidRPr="006C73B6">
                              <w:rPr>
                                <w:b/>
                              </w:rPr>
                              <w:t>Beiträge in Journals</w:t>
                            </w:r>
                          </w:p>
                          <w:p w14:paraId="68A6C95C" w14:textId="77777777" w:rsidR="00DB3C86" w:rsidRPr="00AC4A9D" w:rsidRDefault="00DB3C86" w:rsidP="00AC4A9D">
                            <w:pPr>
                              <w:pStyle w:val="Funotentext"/>
                              <w:rPr>
                                <w:b/>
                              </w:rPr>
                            </w:pPr>
                          </w:p>
                        </w:tc>
                      </w:tr>
                      <w:tr w:rsidR="00DB3C86" w:rsidRPr="00CA2AB5" w14:paraId="0B34EECD" w14:textId="77777777" w:rsidTr="00947A89">
                        <w:tc>
                          <w:tcPr>
                            <w:tcW w:w="8050" w:type="dxa"/>
                            <w:vAlign w:val="bottom"/>
                          </w:tcPr>
                          <w:p w14:paraId="51C286DB" w14:textId="71EBE068" w:rsidR="00DB3C86" w:rsidRPr="009A15F9" w:rsidRDefault="00DB3C86" w:rsidP="00A516E7">
                            <w:r w:rsidRPr="009A15F9">
                              <w:t xml:space="preserve">Nachname, </w:t>
                            </w:r>
                            <w:r>
                              <w:t xml:space="preserve">Vorname (abgekürzt) aller Autoren </w:t>
                            </w:r>
                            <w:r w:rsidR="00704D04">
                              <w:t>(durch Kommata getrennt)</w:t>
                            </w:r>
                            <w:r w:rsidR="00FD5940">
                              <w:t xml:space="preserve"> </w:t>
                            </w:r>
                            <w:r>
                              <w:t>Erscheinungsjahr</w:t>
                            </w:r>
                            <w:r w:rsidR="00060F44">
                              <w:t xml:space="preserve"> in runden Klammern</w:t>
                            </w:r>
                            <w:r>
                              <w:t>.</w:t>
                            </w:r>
                          </w:p>
                          <w:p w14:paraId="2EBC6EC1" w14:textId="26CCF45D" w:rsidR="00DB3C86" w:rsidRDefault="009E70DA" w:rsidP="00AC4A9D">
                            <w:r>
                              <w:t>„</w:t>
                            </w:r>
                            <w:r w:rsidR="00DB3C86" w:rsidRPr="009A15F9">
                              <w:t>Beitragstitel</w:t>
                            </w:r>
                            <w:r>
                              <w:t>.“</w:t>
                            </w:r>
                            <w:r w:rsidR="00DB3C86" w:rsidRPr="009A15F9">
                              <w:t xml:space="preserve"> </w:t>
                            </w:r>
                            <w:r w:rsidR="00DB3C86" w:rsidRPr="00C737E2">
                              <w:rPr>
                                <w:i/>
                              </w:rPr>
                              <w:t>Name des Journals</w:t>
                            </w:r>
                            <w:r w:rsidR="00DB3C86" w:rsidRPr="00CA2AB5">
                              <w:t xml:space="preserve"> </w:t>
                            </w:r>
                            <w:r>
                              <w:t>Jahrgang (</w:t>
                            </w:r>
                            <w:r w:rsidR="00DB3C86" w:rsidRPr="00CA2AB5">
                              <w:t>Heft</w:t>
                            </w:r>
                            <w:r>
                              <w:t>-</w:t>
                            </w:r>
                            <w:r w:rsidR="00DB3C86" w:rsidRPr="00CA2AB5">
                              <w:t>Nr.</w:t>
                            </w:r>
                            <w:r>
                              <w:t>)</w:t>
                            </w:r>
                            <w:r w:rsidR="00DB3C86" w:rsidRPr="00CA2AB5">
                              <w:t>, S</w:t>
                            </w:r>
                            <w:r w:rsidR="00DB3C86">
                              <w:t>eitenangabe.</w:t>
                            </w:r>
                          </w:p>
                          <w:p w14:paraId="7D0C6517" w14:textId="630056A2" w:rsidR="00100A21" w:rsidRDefault="00100A21" w:rsidP="00AC4A9D">
                            <w:r>
                              <w:t xml:space="preserve">Bsp.: </w:t>
                            </w:r>
                            <w:r w:rsidRPr="00FD5783">
                              <w:t>Ferstl, O. K., Sinz, E.</w:t>
                            </w:r>
                            <w:r>
                              <w:t xml:space="preserve"> (1991), Gerpott, T., </w:t>
                            </w:r>
                            <w:r w:rsidRPr="009A15F9">
                              <w:t>Rams, W.</w:t>
                            </w:r>
                            <w:r>
                              <w:t xml:space="preserve"> (2000)</w:t>
                            </w:r>
                          </w:p>
                          <w:p w14:paraId="0DF1AADF" w14:textId="77777777" w:rsidR="00DB3C86" w:rsidRPr="00AC4A9D" w:rsidRDefault="00DB3C86" w:rsidP="00AC4A9D"/>
                        </w:tc>
                      </w:tr>
                      <w:tr w:rsidR="00DB3C86" w:rsidRPr="00CA2AB5" w14:paraId="368E1CC5" w14:textId="77777777" w:rsidTr="00947A89">
                        <w:tc>
                          <w:tcPr>
                            <w:tcW w:w="8050" w:type="dxa"/>
                            <w:vAlign w:val="bottom"/>
                          </w:tcPr>
                          <w:p w14:paraId="08B9F462" w14:textId="77777777" w:rsidR="00DB3C86" w:rsidRDefault="00DB3C86" w:rsidP="00A516E7">
                            <w:pPr>
                              <w:rPr>
                                <w:b/>
                              </w:rPr>
                            </w:pPr>
                            <w:r>
                              <w:rPr>
                                <w:b/>
                              </w:rPr>
                              <w:t>Konferenzbeiträge</w:t>
                            </w:r>
                          </w:p>
                          <w:p w14:paraId="60E11922" w14:textId="77777777" w:rsidR="00DB3C86" w:rsidRPr="006C73B6" w:rsidRDefault="00DB3C86" w:rsidP="00A516E7">
                            <w:pPr>
                              <w:rPr>
                                <w:b/>
                              </w:rPr>
                            </w:pPr>
                          </w:p>
                        </w:tc>
                      </w:tr>
                      <w:tr w:rsidR="00DB3C86" w:rsidRPr="00CA2AB5" w14:paraId="7379DE6C" w14:textId="77777777" w:rsidTr="00947A89">
                        <w:tc>
                          <w:tcPr>
                            <w:tcW w:w="8050" w:type="dxa"/>
                            <w:vAlign w:val="bottom"/>
                          </w:tcPr>
                          <w:p w14:paraId="686D7FDB" w14:textId="022EF722" w:rsidR="00DB3C86" w:rsidRPr="009A15F9" w:rsidRDefault="00DB3C86" w:rsidP="00AC4A9D">
                            <w:r w:rsidRPr="009A15F9">
                              <w:t xml:space="preserve">Nachname, </w:t>
                            </w:r>
                            <w:r>
                              <w:t xml:space="preserve">Vorname (abgekürzt), aller Autoren </w:t>
                            </w:r>
                            <w:r w:rsidR="00704D04">
                              <w:t>(durch Kommata getrennt)</w:t>
                            </w:r>
                            <w:r w:rsidR="00FD5940">
                              <w:t xml:space="preserve"> </w:t>
                            </w:r>
                            <w:r>
                              <w:t>Jahr</w:t>
                            </w:r>
                            <w:r w:rsidR="00060F44">
                              <w:t xml:space="preserve"> in runden Klammern</w:t>
                            </w:r>
                            <w:r>
                              <w:t>.</w:t>
                            </w:r>
                          </w:p>
                          <w:p w14:paraId="4BCEE1F4" w14:textId="057E57F4" w:rsidR="00DB3C86" w:rsidRDefault="00BB1B88" w:rsidP="00A516E7">
                            <w:r>
                              <w:t>„</w:t>
                            </w:r>
                            <w:r w:rsidR="00DB3C86">
                              <w:t>Titel</w:t>
                            </w:r>
                            <w:r>
                              <w:t>.“</w:t>
                            </w:r>
                            <w:r w:rsidR="00DB3C86">
                              <w:t xml:space="preserve"> In: </w:t>
                            </w:r>
                            <w:r w:rsidR="00DB3C86" w:rsidRPr="00C737E2">
                              <w:rPr>
                                <w:i/>
                              </w:rPr>
                              <w:t>Titel der Konferenz</w:t>
                            </w:r>
                            <w:r w:rsidR="00DB3C86">
                              <w:t xml:space="preserve">. </w:t>
                            </w:r>
                            <w:r>
                              <w:t xml:space="preserve">Hrsg.: Nachname, Vorname (abgekürzt) aller Herausgeber. </w:t>
                            </w:r>
                            <w:r w:rsidR="00DB3C86">
                              <w:t>Ort der Veröffentlichung, Seitenangabe.</w:t>
                            </w:r>
                          </w:p>
                          <w:p w14:paraId="3A512CB0" w14:textId="29E0D054" w:rsidR="00100A21" w:rsidRDefault="00100A21" w:rsidP="00987BE4">
                            <w:pPr>
                              <w:pStyle w:val="Funotentext"/>
                            </w:pPr>
                            <w:r>
                              <w:t xml:space="preserve">Bsp.: </w:t>
                            </w:r>
                            <w:r w:rsidRPr="00CC7029">
                              <w:t>Myaeng, S.-H., Jang, D.-H., Kim, M.-S., Zhoo, Z.-C. (1998)</w:t>
                            </w:r>
                          </w:p>
                          <w:p w14:paraId="5ABF2EF9" w14:textId="77777777" w:rsidR="00DB3C86" w:rsidRPr="00AC4A9D" w:rsidRDefault="00DB3C86" w:rsidP="00A516E7"/>
                        </w:tc>
                      </w:tr>
                      <w:tr w:rsidR="00DB3C86" w:rsidRPr="00CA2AB5" w14:paraId="6AFD07E2" w14:textId="77777777" w:rsidTr="00947A89">
                        <w:tc>
                          <w:tcPr>
                            <w:tcW w:w="8050" w:type="dxa"/>
                            <w:vAlign w:val="bottom"/>
                          </w:tcPr>
                          <w:p w14:paraId="2556B884" w14:textId="77777777" w:rsidR="00DB3C86" w:rsidRDefault="00DB3C86" w:rsidP="00A516E7">
                            <w:pPr>
                              <w:pStyle w:val="Funotentext"/>
                              <w:rPr>
                                <w:b/>
                              </w:rPr>
                            </w:pPr>
                            <w:r w:rsidRPr="006C73B6">
                              <w:rPr>
                                <w:b/>
                              </w:rPr>
                              <w:t>Gespräche</w:t>
                            </w:r>
                          </w:p>
                          <w:p w14:paraId="0AF16D5C" w14:textId="77777777" w:rsidR="00DB3C86" w:rsidRPr="00AC4A9D" w:rsidRDefault="00DB3C86" w:rsidP="00A516E7">
                            <w:pPr>
                              <w:pStyle w:val="Funotentext"/>
                              <w:rPr>
                                <w:b/>
                              </w:rPr>
                            </w:pPr>
                          </w:p>
                        </w:tc>
                      </w:tr>
                      <w:tr w:rsidR="00DB3C86" w:rsidRPr="00CA2AB5" w14:paraId="2EB15360" w14:textId="77777777" w:rsidTr="00947A89">
                        <w:tc>
                          <w:tcPr>
                            <w:tcW w:w="8050" w:type="dxa"/>
                            <w:vAlign w:val="bottom"/>
                          </w:tcPr>
                          <w:p w14:paraId="76E032FA" w14:textId="5B00E3C3" w:rsidR="00DB3C86" w:rsidRPr="009A15F9" w:rsidRDefault="00DB3C86" w:rsidP="00A516E7">
                            <w:pPr>
                              <w:pStyle w:val="Funotentext"/>
                            </w:pPr>
                            <w:r w:rsidRPr="009A15F9">
                              <w:t>Gespräch mit Vorname Nachname</w:t>
                            </w:r>
                            <w:r w:rsidR="00060F44">
                              <w:t>.</w:t>
                            </w:r>
                          </w:p>
                          <w:p w14:paraId="1210A30C" w14:textId="1F9BE497" w:rsidR="00DB3C86" w:rsidRDefault="00DB3C86" w:rsidP="00A516E7">
                            <w:pPr>
                              <w:pStyle w:val="Funotentext"/>
                            </w:pPr>
                            <w:r w:rsidRPr="009A15F9">
                              <w:t>Funktion ggf. Unternehmen</w:t>
                            </w:r>
                            <w:r w:rsidRPr="00CA2AB5">
                              <w:t>, am Datum.</w:t>
                            </w:r>
                          </w:p>
                          <w:p w14:paraId="3A9D2C3A" w14:textId="40C84484" w:rsidR="00100A21" w:rsidRDefault="00100A21" w:rsidP="00A516E7">
                            <w:pPr>
                              <w:pStyle w:val="Funotentext"/>
                            </w:pPr>
                            <w:r>
                              <w:t>Bsp.: Gespräch mit Frau Isolde Maier</w:t>
                            </w:r>
                          </w:p>
                          <w:p w14:paraId="234BD183" w14:textId="77777777" w:rsidR="00DB3C86" w:rsidRPr="00CA2AB5" w:rsidRDefault="00DB3C86" w:rsidP="00A516E7">
                            <w:pPr>
                              <w:pStyle w:val="Funotentext"/>
                            </w:pPr>
                          </w:p>
                        </w:tc>
                      </w:tr>
                      <w:tr w:rsidR="00DB3C86" w:rsidRPr="00CA2AB5" w14:paraId="75202CC5" w14:textId="77777777" w:rsidTr="00947A89">
                        <w:tc>
                          <w:tcPr>
                            <w:tcW w:w="8050" w:type="dxa"/>
                            <w:vAlign w:val="bottom"/>
                          </w:tcPr>
                          <w:p w14:paraId="63D859F9" w14:textId="77777777" w:rsidR="00DB3C86" w:rsidRDefault="00DB3C86" w:rsidP="00AC4A9D">
                            <w:pPr>
                              <w:pStyle w:val="Funotentext"/>
                              <w:rPr>
                                <w:b/>
                              </w:rPr>
                            </w:pPr>
                            <w:r>
                              <w:rPr>
                                <w:b/>
                              </w:rPr>
                              <w:t>Nicht publizierte Beiträge</w:t>
                            </w:r>
                          </w:p>
                          <w:p w14:paraId="7E0085F6" w14:textId="77777777" w:rsidR="00DB3C86" w:rsidRPr="00CA2AB5" w:rsidRDefault="00DB3C86" w:rsidP="00AC4A9D">
                            <w:pPr>
                              <w:pStyle w:val="Funotentext"/>
                            </w:pPr>
                          </w:p>
                        </w:tc>
                      </w:tr>
                      <w:tr w:rsidR="00DB3C86" w:rsidRPr="00CA2AB5" w14:paraId="50187B00" w14:textId="77777777" w:rsidTr="00947A89">
                        <w:tc>
                          <w:tcPr>
                            <w:tcW w:w="8050" w:type="dxa"/>
                            <w:vAlign w:val="bottom"/>
                          </w:tcPr>
                          <w:p w14:paraId="50D1DA13" w14:textId="4C2E8B8D" w:rsidR="00DB3C86" w:rsidRPr="009A15F9" w:rsidRDefault="00DB3C86" w:rsidP="00A516E7">
                            <w:r w:rsidRPr="009A15F9">
                              <w:t xml:space="preserve">Nachname, </w:t>
                            </w:r>
                            <w:r>
                              <w:t>Vorname (abgekürzt) aller Autoren</w:t>
                            </w:r>
                            <w:r w:rsidR="00704D04">
                              <w:t xml:space="preserve"> (durch Kommata getrennt)</w:t>
                            </w:r>
                            <w:r w:rsidR="00060F44">
                              <w:t>.</w:t>
                            </w:r>
                          </w:p>
                          <w:p w14:paraId="069D649A" w14:textId="77777777" w:rsidR="00DB3C86" w:rsidRDefault="00DB3C86" w:rsidP="0074631A">
                            <w:pPr>
                              <w:pStyle w:val="Funotentext"/>
                            </w:pPr>
                            <w:r w:rsidRPr="009A15F9">
                              <w:t>Art des Mediums</w:t>
                            </w:r>
                            <w:r w:rsidRPr="00CA2AB5">
                              <w:t>, Titel, erhalten am Datum</w:t>
                            </w:r>
                            <w:r>
                              <w:t>, Organisation, Ort.</w:t>
                            </w:r>
                          </w:p>
                          <w:p w14:paraId="14A3C9DF" w14:textId="6DB663A5" w:rsidR="00100A21" w:rsidRDefault="00100A21" w:rsidP="0074631A">
                            <w:pPr>
                              <w:pStyle w:val="Funotentext"/>
                            </w:pPr>
                            <w:r>
                              <w:t xml:space="preserve">Bsp.: </w:t>
                            </w:r>
                            <w:r w:rsidRPr="009A15F9">
                              <w:t>Gruber, W.</w:t>
                            </w:r>
                          </w:p>
                          <w:p w14:paraId="1DA7F96D" w14:textId="6E217574" w:rsidR="00100A21" w:rsidRPr="00CA2AB5" w:rsidRDefault="00100A21" w:rsidP="0074631A">
                            <w:pPr>
                              <w:pStyle w:val="Funotentext"/>
                            </w:pPr>
                          </w:p>
                        </w:tc>
                      </w:tr>
                    </w:tbl>
                    <w:p w14:paraId="563395E0" w14:textId="77777777" w:rsidR="00DB3C86" w:rsidRDefault="00DB3C86" w:rsidP="006C188C"/>
                  </w:txbxContent>
                </v:textbox>
                <w10:wrap type="square" anchorx="margin"/>
              </v:roundrect>
            </w:pict>
          </mc:Fallback>
        </mc:AlternateContent>
      </w:r>
      <w:r>
        <w:br w:type="page"/>
      </w:r>
    </w:p>
    <w:sdt>
      <w:sdtPr>
        <w:rPr>
          <w:rFonts w:asciiTheme="minorHAnsi" w:eastAsiaTheme="minorEastAsia" w:cstheme="minorBidi"/>
          <w:color w:val="auto"/>
          <w:sz w:val="22"/>
          <w:szCs w:val="22"/>
        </w:rPr>
        <w:alias w:val=""/>
        <w:tag w:val="CitaviBibliography"/>
        <w:id w:val="-987936770"/>
      </w:sdtPr>
      <w:sdtContent>
        <w:sdt>
          <w:sdtPr>
            <w:rPr>
              <w:rFonts w:asciiTheme="minorHAnsi" w:eastAsiaTheme="minorEastAsia" w:cstheme="minorBidi"/>
              <w:color w:val="auto"/>
              <w:sz w:val="22"/>
              <w:szCs w:val="22"/>
            </w:rPr>
            <w:alias w:val=""/>
            <w:tag w:val="CitaviBibliography"/>
            <w:id w:val="-1053154460"/>
          </w:sdtPr>
          <w:sdtContent>
            <w:p w14:paraId="38664752" w14:textId="77777777" w:rsidR="00086811" w:rsidRDefault="00086811">
              <w:pPr>
                <w:pStyle w:val="CitaviBibliographyHeading"/>
              </w:pPr>
              <w:r>
                <w:fldChar w:fldCharType="begin"/>
              </w:r>
              <w:sdt>
                <w:sdtPr>
                  <w:alias w:val=""/>
                  <w:tag w:val="CitaviBibliographyHeading"/>
                  <w:id w:val="-147210904"/>
                  <w15:appearance w15:val="hidden"/>
                </w:sdtPr>
                <w:sdtContent>
                  <w:r>
                    <w:instrText>ADDIN CitaviBibliography</w:instrText>
                  </w:r>
                  <w:r>
                    <w:fldChar w:fldCharType="separate"/>
                  </w:r>
                  <w:r>
                    <w:t>Literaturverzeichnis</w:t>
                  </w:r>
                </w:sdtContent>
              </w:sdt>
            </w:p>
            <w:sdt>
              <w:sdtPr>
                <w:alias w:val=""/>
                <w:tag w:val="BibliographyEntry0"/>
                <w:id w:val="-1518385105"/>
                <w15:appearance w15:val="hidden"/>
              </w:sdtPr>
              <w:sdtContent>
                <w:p w14:paraId="46CAE962" w14:textId="77777777" w:rsidR="00086811" w:rsidRDefault="00086811">
                  <w:pPr>
                    <w:pStyle w:val="CitaviBibliographyEntry"/>
                  </w:pPr>
                  <w:r>
                    <w:t>Bruhn, Manfred (Hg.) (2005): Handbuch Kundenbindungsmanagement. Strategien und Instrumente für ein erfolgreiches CRM. 5., überarb. und erw. Aufl. Wiesbaden: Gabler.</w:t>
                  </w:r>
                </w:p>
              </w:sdtContent>
            </w:sdt>
            <w:sdt>
              <w:sdtPr>
                <w:alias w:val=""/>
                <w:tag w:val="BibliographyEntry1"/>
                <w:id w:val="-1827889507"/>
                <w15:appearance w15:val="hidden"/>
              </w:sdtPr>
              <w:sdtContent>
                <w:p w14:paraId="71683136" w14:textId="77777777" w:rsidR="00086811" w:rsidRDefault="00086811">
                  <w:pPr>
                    <w:pStyle w:val="CitaviBibliographyEntry"/>
                  </w:pPr>
                  <w:r>
                    <w:t>Freie und Hansestadt Hamburg (2021): Haushaltsplan 2021/2022. Einzelplan 3.3, Behörde für Kultur und Medien. Online verfügbar unter https://www.hamburg.de/fb/haushaltsplaene/14735932/doppelhaushalt-2021-2022/, zuletzt geprüft am 17.06.2023.</w:t>
                  </w:r>
                </w:p>
              </w:sdtContent>
            </w:sdt>
            <w:sdt>
              <w:sdtPr>
                <w:alias w:val=""/>
                <w:tag w:val="BibliographyEntry2"/>
                <w:id w:val="1484354764"/>
                <w15:appearance w15:val="hidden"/>
              </w:sdtPr>
              <w:sdtContent>
                <w:p w14:paraId="4534D1F0" w14:textId="77777777" w:rsidR="00086811" w:rsidRDefault="00086811">
                  <w:pPr>
                    <w:pStyle w:val="CitaviBibliographyEntry"/>
                  </w:pPr>
                  <w:r>
                    <w:t>Freie und Hansestadt Hamburg (2022): Haushaltsplan 2023/2024.</w:t>
                  </w:r>
                </w:p>
              </w:sdtContent>
            </w:sdt>
            <w:sdt>
              <w:sdtPr>
                <w:alias w:val=""/>
                <w:tag w:val="BibliographyEntry3"/>
                <w:id w:val="203985573"/>
                <w15:appearance w15:val="hidden"/>
              </w:sdtPr>
              <w:sdtContent>
                <w:p w14:paraId="1666BEA1" w14:textId="77777777" w:rsidR="00086811" w:rsidRDefault="00086811">
                  <w:pPr>
                    <w:pStyle w:val="CitaviBibliographyEntry"/>
                  </w:pPr>
                  <w:r>
                    <w:t>hamburg.de (2023): Thalia Theater Hamburg - Öffnungszeiten, Bilder, Informationen. Online verfügbar unter https://www.hamburg.de/sehenswuerdigkeiten/1093226/thalia-theater/, zuletzt aktualisiert am 17.06.2023, zuletzt geprüft am 17.06.2023.</w:t>
                  </w:r>
                </w:p>
              </w:sdtContent>
            </w:sdt>
            <w:sdt>
              <w:sdtPr>
                <w:alias w:val=""/>
                <w:tag w:val="BibliographyEntry4"/>
                <w:id w:val="830330183"/>
                <w15:appearance w15:val="hidden"/>
              </w:sdtPr>
              <w:sdtContent>
                <w:p w14:paraId="7EABE32D" w14:textId="77777777" w:rsidR="00086811" w:rsidRDefault="00086811">
                  <w:pPr>
                    <w:pStyle w:val="CitaviBibliographyEntry"/>
                  </w:pPr>
                  <w:r>
                    <w:t>Kornfeld, Michael (2023): E-Mail Blog: Die Öffnungs-Erkennung: Hintergrund &amp; Interpretation. Michael Kornfeld. Online verfügbar unter https://www.dialog-mail.com/email-blog/2021/20210509_newsletter-oeffnungs-erkennung.php, zuletzt aktualisiert am 20.06.2023, zuletzt geprüft am 20.06.2023.</w:t>
                  </w:r>
                </w:p>
              </w:sdtContent>
            </w:sdt>
            <w:sdt>
              <w:sdtPr>
                <w:alias w:val=""/>
                <w:tag w:val="BibliographyEntry5"/>
                <w:id w:val="1904412645"/>
                <w15:appearance w15:val="hidden"/>
              </w:sdtPr>
              <w:sdtContent>
                <w:p w14:paraId="23373A7F" w14:textId="77777777" w:rsidR="00086811" w:rsidRDefault="00086811">
                  <w:pPr>
                    <w:pStyle w:val="CitaviBibliographyEntry"/>
                  </w:pPr>
                  <w:r w:rsidRPr="00086811">
                    <w:rPr>
                      <w:lang w:val="en-GB"/>
                    </w:rPr>
                    <w:t xml:space="preserve">Rabiner, L.; Juang, B. (1986): An introduction to hidden Markov models. </w:t>
                  </w:r>
                  <w:r>
                    <w:t xml:space="preserve">In: </w:t>
                  </w:r>
                  <w:r>
                    <w:rPr>
                      <w:i/>
                    </w:rPr>
                    <w:t xml:space="preserve">IEEE ASSP Mag. </w:t>
                  </w:r>
                  <w:r>
                    <w:t>3 (1), S. 4–16. DOI: 10.1109/MASSP.1986.1165342.</w:t>
                  </w:r>
                </w:p>
              </w:sdtContent>
            </w:sdt>
            <w:sdt>
              <w:sdtPr>
                <w:alias w:val=""/>
                <w:tag w:val="BibliographyEntry6"/>
                <w:id w:val="484135814"/>
                <w15:appearance w15:val="hidden"/>
              </w:sdtPr>
              <w:sdtContent>
                <w:p w14:paraId="18CBEB70" w14:textId="77777777" w:rsidR="00086811" w:rsidRDefault="00086811">
                  <w:pPr>
                    <w:pStyle w:val="CitaviBibliographyEntry"/>
                  </w:pPr>
                  <w:r>
                    <w:t>Statista (2023): Markt für darstellende Künste: Anzahl der Unternehmen | Statista. Online verfügbar unter https://de.statista.com/statistik/daten/studie/165749/umfrage/anzahl-der-unternehmen-im-markt-fuer-darstellende-kuenste-seit-2003/, zuletzt aktualisiert am 18.06.2023, zuletzt geprüft am 18.06.2023.</w:t>
                  </w:r>
                </w:p>
              </w:sdtContent>
            </w:sdt>
            <w:sdt>
              <w:sdtPr>
                <w:alias w:val=""/>
                <w:tag w:val="BibliographyEntry7"/>
                <w:id w:val="-1935042502"/>
                <w15:appearance w15:val="hidden"/>
              </w:sdtPr>
              <w:sdtContent>
                <w:p w14:paraId="6213DE3C" w14:textId="77777777" w:rsidR="00086811" w:rsidRDefault="00086811">
                  <w:pPr>
                    <w:pStyle w:val="CitaviBibliographyEntry"/>
                  </w:pPr>
                  <w:r>
                    <w:t>Stewart, Brandon (2021): Wird Apples Mail Privacy Protection das E-Mail-Marketing für immer verändern? | Emarsys. Online verfügbar unter https://emarsys.com/de/learn/blog/wird-apples-mail-privacy-protection-das-e-mail-marketing-fur-immer-verandern/, zuletzt aktualisiert am 12.07.2021, zuletzt geprüft am 20.06.2023.</w:t>
                  </w:r>
                </w:p>
              </w:sdtContent>
            </w:sdt>
            <w:p w14:paraId="2F4186A1" w14:textId="77777777" w:rsidR="00086811" w:rsidRDefault="00086811">
              <w:pPr>
                <w:pStyle w:val="CitaviBibliographyEntry"/>
              </w:pPr>
              <w:r>
                <w:t xml:space="preserve">swissfuture (2014): Die Zukunft der Kulturszene. In: </w:t>
              </w:r>
              <w:r>
                <w:rPr>
                  <w:i/>
                </w:rPr>
                <w:t xml:space="preserve">Magazin für Zukunftsmonitoring </w:t>
              </w:r>
              <w:r>
                <w:t>41 (3). Online verfügbar unter https://kulturmanagement.philhist.unibas.ch/fileadmin/user_upload/kulturmanagement/Dokumente_-_Downloads/Swissfuture_3_14_Kultur.pdf.</w:t>
              </w:r>
              <w:r>
                <w:fldChar w:fldCharType="end"/>
              </w:r>
              <w:sdt>
                <w:sdtPr>
                  <w:alias w:val=""/>
                  <w:tag w:val="CitaviBibliographyEntries"/>
                  <w:id w:val="-1318414115"/>
                  <w15:appearance w15:val="hidden"/>
                </w:sdtPr>
                <w:sdtContent>
                  <w:sdt>
                    <w:sdtPr>
                      <w:alias w:val=""/>
                      <w:tag w:val="BibliographyEntry8"/>
                      <w:id w:val="1082568740"/>
                      <w15:appearance w15:val="hidden"/>
                    </w:sdtPr>
                    <w:sdtContent/>
                  </w:sdt>
                </w:sdtContent>
              </w:sdt>
            </w:p>
            <w:p w14:paraId="7C9638D2" w14:textId="7FD6985D" w:rsidR="00B43EDD" w:rsidRDefault="00000000" w:rsidP="00B43EDD">
              <w:pPr>
                <w:pStyle w:val="CitaviBibliographyEntry"/>
              </w:pPr>
            </w:p>
          </w:sdtContent>
        </w:sdt>
      </w:sdtContent>
    </w:sdt>
    <w:p w14:paraId="0120AB01" w14:textId="2544A019" w:rsidR="00947A89" w:rsidRPr="00947A89" w:rsidRDefault="00947A89" w:rsidP="00947A89"/>
    <w:p w14:paraId="5D4CFE62" w14:textId="77777777" w:rsidR="00CA2AB5" w:rsidRPr="00D733FD" w:rsidRDefault="00A516E7" w:rsidP="00A516E7">
      <w:pPr>
        <w:pStyle w:val="berschrift1"/>
        <w:numPr>
          <w:ilvl w:val="0"/>
          <w:numId w:val="0"/>
        </w:numPr>
      </w:pPr>
      <w:r>
        <w:br w:type="column"/>
      </w:r>
      <w:bookmarkStart w:id="53" w:name="_Toc69975049"/>
      <w:r w:rsidR="00CA2AB5" w:rsidRPr="00D733FD">
        <w:lastRenderedPageBreak/>
        <w:t>Ehrenwörtliche Erklärung</w:t>
      </w:r>
      <w:bookmarkEnd w:id="51"/>
      <w:bookmarkEnd w:id="52"/>
      <w:bookmarkEnd w:id="53"/>
    </w:p>
    <w:p w14:paraId="6DC7D835" w14:textId="77777777" w:rsidR="00A516E7" w:rsidRPr="00CA2AB5" w:rsidRDefault="00A516E7" w:rsidP="00316944">
      <w:pPr>
        <w:pStyle w:val="Kopfzeile"/>
      </w:pPr>
    </w:p>
    <w:p w14:paraId="26BE500F" w14:textId="77777777" w:rsidR="00CA2AB5" w:rsidRPr="00CA2AB5" w:rsidRDefault="004567AE" w:rsidP="00316944">
      <w:pPr>
        <w:pStyle w:val="Kopfzeile"/>
      </w:pPr>
      <w:r w:rsidRPr="004567AE">
        <w:t xml:space="preserve">Ich erkläre hiermit ehrenwörtlich, dass ich die vorliegende Arbeit </w:t>
      </w:r>
      <w:r>
        <w:t>mit dem Titel</w:t>
      </w:r>
    </w:p>
    <w:p w14:paraId="6E120B04" w14:textId="77777777" w:rsidR="00CA2AB5" w:rsidRPr="00CA2AB5" w:rsidRDefault="00CA2AB5" w:rsidP="00316944">
      <w:pPr>
        <w:pStyle w:val="Kopfzeile"/>
      </w:pPr>
    </w:p>
    <w:p w14:paraId="453D81CD" w14:textId="77777777" w:rsidR="00CA2AB5" w:rsidRPr="00CA2AB5" w:rsidRDefault="00CA2AB5" w:rsidP="00316944">
      <w:pPr>
        <w:pStyle w:val="Kopfzeile"/>
      </w:pPr>
    </w:p>
    <w:p w14:paraId="63A97E4C" w14:textId="77777777" w:rsidR="00CA2AB5" w:rsidRPr="00316944" w:rsidRDefault="00316944" w:rsidP="007D058D">
      <w:pPr>
        <w:pStyle w:val="Kopfzeile"/>
        <w:jc w:val="center"/>
      </w:pPr>
      <w:r w:rsidRPr="00316944">
        <w:t>Titel der Arbeit</w:t>
      </w:r>
    </w:p>
    <w:p w14:paraId="785F07DE" w14:textId="77777777" w:rsidR="00CA2AB5" w:rsidRPr="00CA2AB5" w:rsidRDefault="00CA2AB5" w:rsidP="00316944">
      <w:pPr>
        <w:pStyle w:val="Kopfzeile"/>
      </w:pPr>
    </w:p>
    <w:p w14:paraId="70BDBCD1" w14:textId="77777777" w:rsidR="00CA2AB5" w:rsidRPr="00CA2AB5" w:rsidRDefault="00CA2AB5" w:rsidP="00316944">
      <w:pPr>
        <w:pStyle w:val="Kopfzeile"/>
      </w:pPr>
    </w:p>
    <w:p w14:paraId="3A0190CB" w14:textId="77777777" w:rsidR="004567AE" w:rsidRPr="004567AE" w:rsidRDefault="004567AE" w:rsidP="00316944">
      <w:r w:rsidRPr="004567AE">
        <w:t xml:space="preserve">selbständig angefertigt habe; die aus fremden Quellen direkt oder indirekt übernommenen Gedanken sind als solche kenntlich gemacht. Die Arbeit wurde bisher keiner anderen Prüfungsbehörde vorgelegt und auch noch nicht veröffentlicht. </w:t>
      </w:r>
    </w:p>
    <w:p w14:paraId="691C80C1" w14:textId="77777777" w:rsidR="004567AE" w:rsidRPr="004567AE" w:rsidRDefault="004567AE" w:rsidP="00316944"/>
    <w:p w14:paraId="0584511F" w14:textId="77777777" w:rsidR="004567AE" w:rsidRPr="004567AE" w:rsidRDefault="004567AE" w:rsidP="00316944">
      <w:r w:rsidRPr="004567AE">
        <w:t xml:space="preserve">Ich bin mir bewusst, dass eine unwahre Erklärung rechtliche Folgen haben wird. </w:t>
      </w:r>
    </w:p>
    <w:p w14:paraId="4028C00B" w14:textId="77777777" w:rsidR="00CA2AB5" w:rsidRPr="00CA2AB5" w:rsidRDefault="00CA2AB5" w:rsidP="00316944">
      <w:pPr>
        <w:pStyle w:val="Kopfzeile"/>
      </w:pPr>
    </w:p>
    <w:p w14:paraId="765C3F28" w14:textId="77777777" w:rsidR="00CA2AB5" w:rsidRPr="00CA2AB5" w:rsidRDefault="00CA2AB5" w:rsidP="00316944">
      <w:pPr>
        <w:pStyle w:val="Kopfzeile"/>
      </w:pPr>
    </w:p>
    <w:p w14:paraId="4BEFE794" w14:textId="77777777" w:rsidR="00CA2AB5" w:rsidRPr="00CA2AB5" w:rsidRDefault="00CA2AB5" w:rsidP="00316944">
      <w:pPr>
        <w:pStyle w:val="Kopfzeile"/>
      </w:pPr>
    </w:p>
    <w:p w14:paraId="4D93F0F5" w14:textId="77777777" w:rsidR="00CA2AB5" w:rsidRPr="00CA2AB5" w:rsidRDefault="00CA2AB5" w:rsidP="00316944">
      <w:pPr>
        <w:pStyle w:val="Kopfzeile"/>
      </w:pPr>
    </w:p>
    <w:p w14:paraId="3F8FB8D3" w14:textId="77777777" w:rsidR="00CA2AB5" w:rsidRPr="00CA2AB5" w:rsidRDefault="00CA2AB5" w:rsidP="00316944">
      <w:pPr>
        <w:pStyle w:val="Kopfzeile"/>
      </w:pPr>
    </w:p>
    <w:p w14:paraId="07B25DFB" w14:textId="77777777" w:rsidR="00CA2AB5" w:rsidRPr="00CA2AB5" w:rsidRDefault="00CA2AB5" w:rsidP="00316944">
      <w:pPr>
        <w:pStyle w:val="Kopfzeile"/>
      </w:pPr>
    </w:p>
    <w:p w14:paraId="60CC2C2A" w14:textId="77777777" w:rsidR="00CA2AB5" w:rsidRPr="00CA2AB5" w:rsidRDefault="00CA2AB5" w:rsidP="009D56AA">
      <w:pPr>
        <w:pStyle w:val="Kopfzeile"/>
      </w:pPr>
      <w:r w:rsidRPr="00CA2AB5">
        <w:t>_________________________</w:t>
      </w:r>
      <w:r w:rsidRPr="00CA2AB5">
        <w:tab/>
      </w:r>
      <w:r w:rsidR="009D56AA">
        <w:tab/>
        <w:t>_________________________</w:t>
      </w:r>
    </w:p>
    <w:p w14:paraId="48CBD15D" w14:textId="77777777" w:rsidR="00B43EDD" w:rsidRDefault="00253F36" w:rsidP="009D56AA">
      <w:pPr>
        <w:pStyle w:val="Kopfzeile"/>
        <w:tabs>
          <w:tab w:val="clear" w:pos="4536"/>
          <w:tab w:val="clear" w:pos="9072"/>
          <w:tab w:val="center" w:pos="3686"/>
          <w:tab w:val="right" w:pos="8080"/>
        </w:tabs>
      </w:pPr>
      <w:r>
        <w:t>Ort</w:t>
      </w:r>
      <w:r w:rsidR="00506934">
        <w:t xml:space="preserve">, </w:t>
      </w:r>
      <w:r w:rsidR="00CA2AB5" w:rsidRPr="00CA2AB5">
        <w:t>Datum</w:t>
      </w:r>
      <w:r w:rsidR="009D56AA">
        <w:tab/>
      </w:r>
      <w:r w:rsidR="009D56AA">
        <w:tab/>
        <w:t>Vorname Nachname</w:t>
      </w:r>
    </w:p>
    <w:p w14:paraId="13C73A20" w14:textId="51834281" w:rsidR="00CA2AB5" w:rsidRPr="00B43EDD" w:rsidRDefault="00CA2AB5" w:rsidP="009D56AA">
      <w:pPr>
        <w:pStyle w:val="Kopfzeile"/>
        <w:tabs>
          <w:tab w:val="clear" w:pos="4536"/>
          <w:tab w:val="clear" w:pos="9072"/>
          <w:tab w:val="center" w:pos="3686"/>
          <w:tab w:val="right" w:pos="8080"/>
        </w:tabs>
      </w:pPr>
    </w:p>
    <w:sectPr w:rsidR="00CA2AB5" w:rsidRPr="00B43EDD" w:rsidSect="00163167">
      <w:headerReference w:type="default" r:id="rId40"/>
      <w:pgSz w:w="11906" w:h="16838" w:code="9"/>
      <w:pgMar w:top="1418" w:right="1134" w:bottom="1418" w:left="1701" w:header="510" w:footer="454" w:gutter="0"/>
      <w:pgNumType w:fmt="upp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33E1A" w14:textId="77777777" w:rsidR="00247256" w:rsidRDefault="00247256" w:rsidP="00316944">
      <w:r>
        <w:separator/>
      </w:r>
    </w:p>
  </w:endnote>
  <w:endnote w:type="continuationSeparator" w:id="0">
    <w:p w14:paraId="665DCBD6" w14:textId="77777777" w:rsidR="00247256" w:rsidRDefault="00247256" w:rsidP="0031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Futura Book">
    <w:altName w:val="Century Gothic"/>
    <w:charset w:val="00"/>
    <w:family w:val="swiss"/>
    <w:pitch w:val="variable"/>
    <w:sig w:usb0="00000003" w:usb1="00000000" w:usb2="00000000" w:usb3="00000000" w:csb0="00000001" w:csb1="00000000"/>
  </w:font>
  <w:font w:name="FuturaLight">
    <w:altName w:val="Arial Narro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40A98" w14:textId="77777777" w:rsidR="00CA0801" w:rsidRDefault="00CA080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C7ACE" w14:textId="77777777" w:rsidR="00CA0801" w:rsidRDefault="00CA080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687C7" w14:textId="16E1FB44" w:rsidR="00CA0801" w:rsidRDefault="00CA0801" w:rsidP="00767B57">
    <w:pPr>
      <w:pStyle w:val="Fuzeile"/>
      <w:tabs>
        <w:tab w:val="clear" w:pos="4536"/>
        <w:tab w:val="clear" w:pos="9072"/>
        <w:tab w:val="left" w:pos="5400"/>
      </w:tabs>
      <w:jc w:val="left"/>
    </w:pPr>
    <w:r>
      <w:rPr>
        <w:noProof/>
      </w:rPr>
      <w:drawing>
        <wp:inline distT="0" distB="0" distL="0" distR="0" wp14:anchorId="289BAE97" wp14:editId="77858CBA">
          <wp:extent cx="1959610" cy="588759"/>
          <wp:effectExtent l="0" t="0" r="2540" b="1905"/>
          <wp:docPr id="2008049558" name="Grafik 2008049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978369" cy="59439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04619" w14:textId="77777777" w:rsidR="00247256" w:rsidRDefault="00247256" w:rsidP="00316944">
      <w:r>
        <w:separator/>
      </w:r>
    </w:p>
  </w:footnote>
  <w:footnote w:type="continuationSeparator" w:id="0">
    <w:p w14:paraId="65B9DAB4" w14:textId="77777777" w:rsidR="00247256" w:rsidRDefault="00247256" w:rsidP="00316944">
      <w:r>
        <w:continuationSeparator/>
      </w:r>
    </w:p>
  </w:footnote>
  <w:footnote w:id="1">
    <w:p w14:paraId="49271187" w14:textId="77777777" w:rsidR="00DB3C86" w:rsidRDefault="00DB3C86" w:rsidP="008B2148">
      <w:pPr>
        <w:pStyle w:val="Funotentext"/>
        <w:spacing w:line="240" w:lineRule="auto"/>
      </w:pPr>
      <w:r>
        <w:rPr>
          <w:rStyle w:val="Funotenzeichen"/>
        </w:rPr>
        <w:footnoteRef/>
      </w:r>
      <w:r>
        <w:t xml:space="preserve"> </w:t>
      </w:r>
      <w:r w:rsidRPr="00F83B37">
        <w:rPr>
          <w:sz w:val="20"/>
        </w:rPr>
        <w:t>eigene Darstellung in Anlehnung an Quelle</w:t>
      </w:r>
      <w:r>
        <w:rPr>
          <w:sz w:val="20"/>
        </w:rPr>
        <w:t xml:space="preserve"> xyz.</w:t>
      </w:r>
    </w:p>
  </w:footnote>
  <w:footnote w:id="2">
    <w:p w14:paraId="4E7E8385" w14:textId="3DF9E66E" w:rsidR="00DB3C86" w:rsidRDefault="00DB3C86" w:rsidP="008B2148">
      <w:pPr>
        <w:pStyle w:val="Funotentext"/>
        <w:spacing w:line="240" w:lineRule="auto"/>
      </w:pPr>
      <w:r>
        <w:rPr>
          <w:rStyle w:val="Funotenzeichen"/>
        </w:rPr>
        <w:footnoteRef/>
      </w:r>
      <w:r>
        <w:t xml:space="preserve"> </w:t>
      </w:r>
      <w:r w:rsidRPr="007300BD">
        <w:rPr>
          <w:sz w:val="20"/>
        </w:rPr>
        <w:t>Wittmann, C., 2015</w:t>
      </w:r>
      <w:r w:rsidR="000A4FA8">
        <w:rPr>
          <w:sz w:val="20"/>
        </w:rPr>
        <w:t>.</w:t>
      </w:r>
    </w:p>
  </w:footnote>
  <w:footnote w:id="3">
    <w:p w14:paraId="7AD8343E" w14:textId="77777777" w:rsidR="00DB3C86" w:rsidRPr="00A6677A" w:rsidRDefault="00DB3C86" w:rsidP="00A6677A">
      <w:pPr>
        <w:pStyle w:val="Funotentext"/>
        <w:spacing w:line="240" w:lineRule="auto"/>
        <w:rPr>
          <w:sz w:val="20"/>
        </w:rPr>
      </w:pPr>
      <w:r>
        <w:rPr>
          <w:rStyle w:val="Funotenzeichen"/>
        </w:rPr>
        <w:footnoteRef/>
      </w:r>
      <w:r>
        <w:t xml:space="preserve"> </w:t>
      </w:r>
      <w:r>
        <w:rPr>
          <w:sz w:val="20"/>
        </w:rPr>
        <w:t xml:space="preserve">vgl. </w:t>
      </w:r>
      <w:bookmarkStart w:id="39" w:name="_Hlk492889424"/>
      <w:r>
        <w:rPr>
          <w:sz w:val="20"/>
        </w:rPr>
        <w:t>Autor(en), Erscheinungsjahr, Seitenangabe bei indirekter Zitation</w:t>
      </w:r>
      <w:bookmarkEnd w:id="39"/>
      <w:r>
        <w:rPr>
          <w:sz w:val="20"/>
        </w:rPr>
        <w:t>.</w:t>
      </w:r>
    </w:p>
  </w:footnote>
  <w:footnote w:id="4">
    <w:p w14:paraId="5359244F" w14:textId="77777777" w:rsidR="00DB3C86" w:rsidRPr="00F83B37" w:rsidRDefault="00DB3C86" w:rsidP="00A6677A">
      <w:pPr>
        <w:pStyle w:val="Funotentext"/>
        <w:spacing w:line="240" w:lineRule="auto"/>
        <w:rPr>
          <w:sz w:val="20"/>
        </w:rPr>
      </w:pPr>
      <w:r>
        <w:rPr>
          <w:rStyle w:val="Funotenzeichen"/>
        </w:rPr>
        <w:footnoteRef/>
      </w:r>
      <w:r>
        <w:t xml:space="preserve"> </w:t>
      </w:r>
      <w:r w:rsidRPr="00F83B37">
        <w:rPr>
          <w:sz w:val="20"/>
        </w:rPr>
        <w:t>Autor(en), Erscheinungsjahr, Seitenangabe bei direkter Zitation.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C9D20" w14:textId="77777777" w:rsidR="00CA0801" w:rsidRDefault="00CA080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EB5E" w14:textId="2126CE3E" w:rsidR="00B060E8" w:rsidRDefault="005853B9" w:rsidP="005853B9">
    <w:pPr>
      <w:pStyle w:val="Kopfzeile"/>
      <w:tabs>
        <w:tab w:val="clear" w:pos="9072"/>
        <w:tab w:val="right" w:pos="9071"/>
      </w:tabs>
      <w:jc w:val="right"/>
    </w:pPr>
    <w:r>
      <w:rPr>
        <w:noProof/>
      </w:rPr>
      <w:drawing>
        <wp:inline distT="0" distB="0" distL="0" distR="0" wp14:anchorId="68C2F497" wp14:editId="1A2E3D6B">
          <wp:extent cx="1360194" cy="386581"/>
          <wp:effectExtent l="0" t="0" r="0" b="0"/>
          <wp:docPr id="1777385583" name="Grafik 1777385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1275" cy="395414"/>
                  </a:xfrm>
                  <a:prstGeom prst="rect">
                    <a:avLst/>
                  </a:prstGeom>
                  <a:noFill/>
                  <a:ln>
                    <a:noFill/>
                  </a:ln>
                </pic:spPr>
              </pic:pic>
            </a:graphicData>
          </a:graphic>
        </wp:inline>
      </w:drawing>
    </w:r>
  </w:p>
  <w:p w14:paraId="475B6132" w14:textId="2C56A743" w:rsidR="00B060E8" w:rsidRPr="006E174F" w:rsidRDefault="007300BD" w:rsidP="007D058D">
    <w:pPr>
      <w:pStyle w:val="Kopfzeile"/>
      <w:tabs>
        <w:tab w:val="clear" w:pos="4536"/>
        <w:tab w:val="center" w:pos="8931"/>
      </w:tabs>
    </w:pPr>
    <w:r>
      <w:rPr>
        <w:noProof/>
      </w:rPr>
      <mc:AlternateContent>
        <mc:Choice Requires="wps">
          <w:drawing>
            <wp:anchor distT="0" distB="0" distL="114300" distR="114300" simplePos="0" relativeHeight="251658752" behindDoc="0" locked="0" layoutInCell="1" allowOverlap="1" wp14:anchorId="6BDBBF5F" wp14:editId="723080DD">
              <wp:simplePos x="0" y="0"/>
              <wp:positionH relativeFrom="column">
                <wp:posOffset>0</wp:posOffset>
              </wp:positionH>
              <wp:positionV relativeFrom="paragraph">
                <wp:posOffset>192405</wp:posOffset>
              </wp:positionV>
              <wp:extent cx="5741670" cy="0"/>
              <wp:effectExtent l="13335" t="13970" r="7620" b="5080"/>
              <wp:wrapNone/>
              <wp:docPr id="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B05FE58" id="Line 2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15pt" to="452.1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Dqc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"/>
          </w:pict>
        </mc:Fallback>
      </mc:AlternateContent>
    </w:r>
    <w:fldSimple w:instr=" STYLEREF &quot;Überschrift 1&quot; \* MERGEFORMAT ">
      <w:r w:rsidR="003B497C">
        <w:rPr>
          <w:noProof/>
        </w:rPr>
        <w:t>Abkürzungsverzeichnis</w:t>
      </w:r>
    </w:fldSimple>
    <w:r w:rsidR="00B060E8" w:rsidRPr="006E174F">
      <w:tab/>
    </w:r>
    <w:r w:rsidR="00B060E8">
      <w:fldChar w:fldCharType="begin"/>
    </w:r>
    <w:r w:rsidR="00B060E8">
      <w:instrText xml:space="preserve"> PAGE    \* MERGEFORMAT </w:instrText>
    </w:r>
    <w:r w:rsidR="00B060E8">
      <w:fldChar w:fldCharType="separate"/>
    </w:r>
    <w:r w:rsidR="002E2F46">
      <w:rPr>
        <w:noProof/>
      </w:rPr>
      <w:t>VI</w:t>
    </w:r>
    <w:r w:rsidR="00B060E8">
      <w:fldChar w:fldCharType="end"/>
    </w:r>
    <w:r w:rsidR="00B060E8" w:rsidRPr="006E17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FDDF3" w14:textId="089CA749" w:rsidR="00B060E8" w:rsidRDefault="005853B9" w:rsidP="007D058D">
    <w:pPr>
      <w:pStyle w:val="Kopfzeile"/>
      <w:tabs>
        <w:tab w:val="clear" w:pos="9072"/>
        <w:tab w:val="right" w:pos="9071"/>
      </w:tabs>
    </w:pPr>
    <w:r>
      <w:rPr>
        <w:noProof/>
      </w:rPr>
      <w:drawing>
        <wp:anchor distT="0" distB="0" distL="114300" distR="114300" simplePos="0" relativeHeight="251661824" behindDoc="1" locked="0" layoutInCell="1" allowOverlap="1" wp14:anchorId="7CCA41F4" wp14:editId="6F023AEF">
          <wp:simplePos x="0" y="0"/>
          <wp:positionH relativeFrom="leftMargin">
            <wp:posOffset>-5715</wp:posOffset>
          </wp:positionH>
          <wp:positionV relativeFrom="topMargin">
            <wp:posOffset>-48260</wp:posOffset>
          </wp:positionV>
          <wp:extent cx="7560000" cy="1256964"/>
          <wp:effectExtent l="0" t="0" r="0" b="635"/>
          <wp:wrapNone/>
          <wp:docPr id="1205716523" name="Grafik 1205716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1">
                    <a:extLst>
                      <a:ext uri="{28A0092B-C50C-407E-A947-70E740481C1C}">
                        <a14:useLocalDpi xmlns:a14="http://schemas.microsoft.com/office/drawing/2010/main" val="0"/>
                      </a:ext>
                    </a:extLst>
                  </a:blip>
                  <a:stretch>
                    <a:fillRect/>
                  </a:stretch>
                </pic:blipFill>
                <pic:spPr>
                  <a:xfrm>
                    <a:off x="0" y="0"/>
                    <a:ext cx="7560000" cy="1256964"/>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98EDB" w14:textId="6E9E8CFF" w:rsidR="00DB3C86" w:rsidRDefault="005853B9" w:rsidP="005853B9">
    <w:pPr>
      <w:pStyle w:val="Kopfzeile"/>
      <w:tabs>
        <w:tab w:val="clear" w:pos="9072"/>
        <w:tab w:val="right" w:pos="9071"/>
      </w:tabs>
      <w:jc w:val="right"/>
    </w:pPr>
    <w:r>
      <w:rPr>
        <w:noProof/>
      </w:rPr>
      <w:drawing>
        <wp:inline distT="0" distB="0" distL="0" distR="0" wp14:anchorId="539409EC" wp14:editId="714D832A">
          <wp:extent cx="1360194" cy="386581"/>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1275" cy="395414"/>
                  </a:xfrm>
                  <a:prstGeom prst="rect">
                    <a:avLst/>
                  </a:prstGeom>
                  <a:noFill/>
                  <a:ln>
                    <a:noFill/>
                  </a:ln>
                </pic:spPr>
              </pic:pic>
            </a:graphicData>
          </a:graphic>
        </wp:inline>
      </w:drawing>
    </w:r>
  </w:p>
  <w:p w14:paraId="5DCA3987" w14:textId="676841EC" w:rsidR="00DB3C86" w:rsidRPr="006E174F" w:rsidRDefault="007300BD" w:rsidP="007D058D">
    <w:pPr>
      <w:pStyle w:val="Kopfzeile"/>
      <w:tabs>
        <w:tab w:val="clear" w:pos="4536"/>
        <w:tab w:val="center" w:pos="8931"/>
      </w:tabs>
    </w:pPr>
    <w:r>
      <w:rPr>
        <w:noProof/>
      </w:rPr>
      <mc:AlternateContent>
        <mc:Choice Requires="wps">
          <w:drawing>
            <wp:anchor distT="0" distB="0" distL="114300" distR="114300" simplePos="0" relativeHeight="251654656" behindDoc="0" locked="0" layoutInCell="1" allowOverlap="1" wp14:anchorId="4A9B8817" wp14:editId="7156BE5E">
              <wp:simplePos x="0" y="0"/>
              <wp:positionH relativeFrom="column">
                <wp:posOffset>0</wp:posOffset>
              </wp:positionH>
              <wp:positionV relativeFrom="paragraph">
                <wp:posOffset>192405</wp:posOffset>
              </wp:positionV>
              <wp:extent cx="5741670" cy="0"/>
              <wp:effectExtent l="13335" t="13970" r="7620" b="508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EF6CD3F" id="Line 16"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15pt" to="452.1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F4x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"/>
          </w:pict>
        </mc:Fallback>
      </mc:AlternateContent>
    </w:r>
    <w:fldSimple w:instr=" STYLEREF  &quot;Überschrift 1&quot; \n  \* MERGEFORMAT ">
      <w:r w:rsidR="003B497C">
        <w:rPr>
          <w:noProof/>
        </w:rPr>
        <w:t>7</w:t>
      </w:r>
    </w:fldSimple>
    <w:r w:rsidR="00DB3C86">
      <w:t xml:space="preserve"> </w:t>
    </w:r>
    <w:fldSimple w:instr=" STYLEREF  &quot;Überschrift 1&quot;  \* MERGEFORMAT ">
      <w:r w:rsidR="003B497C">
        <w:rPr>
          <w:noProof/>
        </w:rPr>
        <w:t>Zitieren</w:t>
      </w:r>
    </w:fldSimple>
    <w:r w:rsidR="00DB3C86" w:rsidRPr="006E174F">
      <w:tab/>
    </w:r>
    <w:r w:rsidR="00DB3C86">
      <w:fldChar w:fldCharType="begin"/>
    </w:r>
    <w:r w:rsidR="00DB3C86">
      <w:instrText xml:space="preserve"> PAGE    \* MERGEFORMAT </w:instrText>
    </w:r>
    <w:r w:rsidR="00DB3C86">
      <w:fldChar w:fldCharType="separate"/>
    </w:r>
    <w:r w:rsidR="002E2F46">
      <w:rPr>
        <w:noProof/>
      </w:rPr>
      <w:t>4</w:t>
    </w:r>
    <w:r w:rsidR="00DB3C86">
      <w:fldChar w:fldCharType="end"/>
    </w:r>
    <w:r w:rsidR="00DB3C86" w:rsidRPr="006E174F">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C570" w14:textId="46A78C1E" w:rsidR="00DB3C86" w:rsidRDefault="005853B9" w:rsidP="005853B9">
    <w:pPr>
      <w:pStyle w:val="Kopfzeile"/>
      <w:tabs>
        <w:tab w:val="clear" w:pos="9072"/>
        <w:tab w:val="right" w:pos="9071"/>
      </w:tabs>
      <w:jc w:val="right"/>
    </w:pPr>
    <w:r>
      <w:rPr>
        <w:noProof/>
      </w:rPr>
      <w:drawing>
        <wp:inline distT="0" distB="0" distL="0" distR="0" wp14:anchorId="24B72EBF" wp14:editId="228912AE">
          <wp:extent cx="1360194" cy="386581"/>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1275" cy="395414"/>
                  </a:xfrm>
                  <a:prstGeom prst="rect">
                    <a:avLst/>
                  </a:prstGeom>
                  <a:noFill/>
                  <a:ln>
                    <a:noFill/>
                  </a:ln>
                </pic:spPr>
              </pic:pic>
            </a:graphicData>
          </a:graphic>
        </wp:inline>
      </w:drawing>
    </w:r>
  </w:p>
  <w:p w14:paraId="02FD4D4E" w14:textId="19BA028F" w:rsidR="00DB3C86" w:rsidRPr="006E174F" w:rsidRDefault="007300BD" w:rsidP="007D058D">
    <w:pPr>
      <w:pStyle w:val="Kopfzeile"/>
      <w:tabs>
        <w:tab w:val="clear" w:pos="4536"/>
        <w:tab w:val="center" w:pos="8931"/>
      </w:tabs>
    </w:pPr>
    <w:r>
      <w:rPr>
        <w:noProof/>
      </w:rPr>
      <mc:AlternateContent>
        <mc:Choice Requires="wps">
          <w:drawing>
            <wp:anchor distT="0" distB="0" distL="114300" distR="114300" simplePos="0" relativeHeight="251656704" behindDoc="0" locked="0" layoutInCell="1" allowOverlap="1" wp14:anchorId="3BE4874B" wp14:editId="4AD34A35">
              <wp:simplePos x="0" y="0"/>
              <wp:positionH relativeFrom="column">
                <wp:posOffset>0</wp:posOffset>
              </wp:positionH>
              <wp:positionV relativeFrom="paragraph">
                <wp:posOffset>192405</wp:posOffset>
              </wp:positionV>
              <wp:extent cx="5741670" cy="0"/>
              <wp:effectExtent l="13335" t="13970" r="7620" b="508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080ED5" id="Line 2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15pt" to="452.1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dd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"/>
          </w:pict>
        </mc:Fallback>
      </mc:AlternateContent>
    </w:r>
    <w:fldSimple w:instr=" STYLEREF  &quot;Überschrift 1&quot;  \* MERGEFORMAT ">
      <w:r w:rsidR="003B497C">
        <w:rPr>
          <w:noProof/>
        </w:rPr>
        <w:t>Literaturverzeichnis</w:t>
      </w:r>
    </w:fldSimple>
    <w:r w:rsidR="00DB3C86" w:rsidRPr="006E174F">
      <w:tab/>
    </w:r>
    <w:r w:rsidR="00CA0333">
      <w:fldChar w:fldCharType="begin"/>
    </w:r>
    <w:r w:rsidR="00CA0333">
      <w:instrText xml:space="preserve"> PAGE   \* MERGEFORMAT </w:instrText>
    </w:r>
    <w:r w:rsidR="00CA0333">
      <w:fldChar w:fldCharType="separate"/>
    </w:r>
    <w:r w:rsidR="002E2F46">
      <w:rPr>
        <w:noProof/>
      </w:rPr>
      <w:t>IX</w:t>
    </w:r>
    <w:r w:rsidR="00CA0333">
      <w:fldChar w:fldCharType="end"/>
    </w:r>
    <w:r w:rsidR="00DB3C86" w:rsidRPr="006E174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4F0A"/>
    <w:multiLevelType w:val="multilevel"/>
    <w:tmpl w:val="E3AE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D2036"/>
    <w:multiLevelType w:val="hybridMultilevel"/>
    <w:tmpl w:val="9A727778"/>
    <w:lvl w:ilvl="0" w:tplc="ECDA1860">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A41810"/>
    <w:multiLevelType w:val="hybridMultilevel"/>
    <w:tmpl w:val="94F852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C00807"/>
    <w:multiLevelType w:val="multilevel"/>
    <w:tmpl w:val="6B3A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B3181"/>
    <w:multiLevelType w:val="hybridMultilevel"/>
    <w:tmpl w:val="DD5A4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0D82CA1"/>
    <w:multiLevelType w:val="hybridMultilevel"/>
    <w:tmpl w:val="B34AA168"/>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22817744"/>
    <w:multiLevelType w:val="hybridMultilevel"/>
    <w:tmpl w:val="F006C0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9251D24"/>
    <w:multiLevelType w:val="hybridMultilevel"/>
    <w:tmpl w:val="B67E9E26"/>
    <w:lvl w:ilvl="0" w:tplc="8FECC7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18534E"/>
    <w:multiLevelType w:val="multilevel"/>
    <w:tmpl w:val="4BFA2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C16BCD"/>
    <w:multiLevelType w:val="multilevel"/>
    <w:tmpl w:val="6C94D456"/>
    <w:lvl w:ilvl="0">
      <w:start w:val="1"/>
      <w:numFmt w:val="decimal"/>
      <w:pStyle w:val="berschrift1"/>
      <w:lvlText w:val="%1"/>
      <w:lvlJc w:val="left"/>
      <w:pPr>
        <w:ind w:left="2701" w:hanging="432"/>
      </w:pPr>
      <w:rPr>
        <w:rFonts w:hint="default"/>
      </w:rPr>
    </w:lvl>
    <w:lvl w:ilvl="1">
      <w:start w:val="1"/>
      <w:numFmt w:val="decimal"/>
      <w:pStyle w:val="berschrift2"/>
      <w:lvlText w:val="%1.%2"/>
      <w:lvlJc w:val="left"/>
      <w:pPr>
        <w:ind w:left="2845" w:hanging="576"/>
      </w:pPr>
      <w:rPr>
        <w:rFonts w:hint="default"/>
      </w:rPr>
    </w:lvl>
    <w:lvl w:ilvl="2">
      <w:start w:val="1"/>
      <w:numFmt w:val="decimal"/>
      <w:pStyle w:val="berschrift3"/>
      <w:lvlText w:val="%1.%2.%3"/>
      <w:lvlJc w:val="left"/>
      <w:pPr>
        <w:ind w:left="2989" w:hanging="720"/>
      </w:pPr>
      <w:rPr>
        <w:rFonts w:hint="default"/>
      </w:rPr>
    </w:lvl>
    <w:lvl w:ilvl="3">
      <w:start w:val="1"/>
      <w:numFmt w:val="decimal"/>
      <w:lvlText w:val="%1.%2.%3.%4"/>
      <w:lvlJc w:val="left"/>
      <w:pPr>
        <w:ind w:left="3133" w:hanging="864"/>
      </w:pPr>
      <w:rPr>
        <w:rFonts w:hint="default"/>
      </w:rPr>
    </w:lvl>
    <w:lvl w:ilvl="4">
      <w:start w:val="1"/>
      <w:numFmt w:val="decimal"/>
      <w:pStyle w:val="berschrift5"/>
      <w:lvlText w:val="%1.%2.%3.%4.%5"/>
      <w:lvlJc w:val="left"/>
      <w:pPr>
        <w:ind w:left="3277" w:hanging="1008"/>
      </w:pPr>
      <w:rPr>
        <w:rFonts w:hint="default"/>
      </w:rPr>
    </w:lvl>
    <w:lvl w:ilvl="5">
      <w:start w:val="1"/>
      <w:numFmt w:val="decimal"/>
      <w:pStyle w:val="berschrift6"/>
      <w:lvlText w:val="%1.%2.%3.%4.%5.%6"/>
      <w:lvlJc w:val="left"/>
      <w:pPr>
        <w:ind w:left="3421" w:hanging="1152"/>
      </w:pPr>
      <w:rPr>
        <w:rFonts w:hint="default"/>
      </w:rPr>
    </w:lvl>
    <w:lvl w:ilvl="6">
      <w:start w:val="1"/>
      <w:numFmt w:val="decimal"/>
      <w:pStyle w:val="berschrift7"/>
      <w:lvlText w:val="%1.%2.%3.%4.%5.%6.%7"/>
      <w:lvlJc w:val="left"/>
      <w:pPr>
        <w:ind w:left="3565" w:hanging="1296"/>
      </w:pPr>
      <w:rPr>
        <w:rFonts w:hint="default"/>
      </w:rPr>
    </w:lvl>
    <w:lvl w:ilvl="7">
      <w:start w:val="1"/>
      <w:numFmt w:val="decimal"/>
      <w:pStyle w:val="berschrift8"/>
      <w:lvlText w:val="%1.%2.%3.%4.%5.%6.%7.%8"/>
      <w:lvlJc w:val="left"/>
      <w:pPr>
        <w:ind w:left="3709" w:hanging="1440"/>
      </w:pPr>
      <w:rPr>
        <w:rFonts w:hint="default"/>
      </w:rPr>
    </w:lvl>
    <w:lvl w:ilvl="8">
      <w:start w:val="1"/>
      <w:numFmt w:val="decimal"/>
      <w:pStyle w:val="berschrift9"/>
      <w:lvlText w:val="%1.%2.%3.%4.%5.%6.%7.%8.%9"/>
      <w:lvlJc w:val="left"/>
      <w:pPr>
        <w:ind w:left="3853" w:hanging="1584"/>
      </w:pPr>
      <w:rPr>
        <w:rFonts w:hint="default"/>
      </w:rPr>
    </w:lvl>
  </w:abstractNum>
  <w:abstractNum w:abstractNumId="10" w15:restartNumberingAfterBreak="0">
    <w:nsid w:val="6426545A"/>
    <w:multiLevelType w:val="multilevel"/>
    <w:tmpl w:val="81D8D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904168"/>
    <w:multiLevelType w:val="hybridMultilevel"/>
    <w:tmpl w:val="F704EE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715F27F7"/>
    <w:multiLevelType w:val="multilevel"/>
    <w:tmpl w:val="327E66F4"/>
    <w:lvl w:ilvl="0">
      <w:start w:val="1"/>
      <w:numFmt w:val="decimal"/>
      <w:lvlText w:val="%1."/>
      <w:lvlJc w:val="left"/>
      <w:pPr>
        <w:ind w:left="720" w:hanging="360"/>
      </w:pPr>
      <w:rPr>
        <w:rFonts w:hint="default"/>
        <w:b w:val="0"/>
        <w:sz w:val="22"/>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ABB22C1"/>
    <w:multiLevelType w:val="hybridMultilevel"/>
    <w:tmpl w:val="F6F0FAF6"/>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4" w15:restartNumberingAfterBreak="0">
    <w:nsid w:val="7E1E0B87"/>
    <w:multiLevelType w:val="multilevel"/>
    <w:tmpl w:val="BFA6F074"/>
    <w:lvl w:ilvl="0">
      <w:start w:val="1"/>
      <w:numFmt w:val="decimal"/>
      <w:lvlText w:val="%1."/>
      <w:lvlJc w:val="left"/>
      <w:pPr>
        <w:ind w:left="360" w:hanging="36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num w:numId="1" w16cid:durableId="13457572">
    <w:abstractNumId w:val="9"/>
  </w:num>
  <w:num w:numId="2" w16cid:durableId="287707657">
    <w:abstractNumId w:val="11"/>
  </w:num>
  <w:num w:numId="3" w16cid:durableId="1483354118">
    <w:abstractNumId w:val="11"/>
  </w:num>
  <w:num w:numId="4" w16cid:durableId="4250019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1652423">
    <w:abstractNumId w:val="9"/>
    <w:lvlOverride w:ilvl="0">
      <w:startOverride w:val="1"/>
    </w:lvlOverride>
  </w:num>
  <w:num w:numId="6" w16cid:durableId="1866285764">
    <w:abstractNumId w:val="14"/>
  </w:num>
  <w:num w:numId="7" w16cid:durableId="450907068">
    <w:abstractNumId w:val="5"/>
  </w:num>
  <w:num w:numId="8" w16cid:durableId="1723476326">
    <w:abstractNumId w:val="13"/>
  </w:num>
  <w:num w:numId="9" w16cid:durableId="1348479317">
    <w:abstractNumId w:val="7"/>
  </w:num>
  <w:num w:numId="10" w16cid:durableId="1433667630">
    <w:abstractNumId w:val="1"/>
  </w:num>
  <w:num w:numId="11" w16cid:durableId="1398821287">
    <w:abstractNumId w:val="12"/>
  </w:num>
  <w:num w:numId="12" w16cid:durableId="1931160313">
    <w:abstractNumId w:val="3"/>
  </w:num>
  <w:num w:numId="13" w16cid:durableId="1685204365">
    <w:abstractNumId w:val="0"/>
  </w:num>
  <w:num w:numId="14" w16cid:durableId="225534145">
    <w:abstractNumId w:val="4"/>
  </w:num>
  <w:num w:numId="15" w16cid:durableId="1005982420">
    <w:abstractNumId w:val="8"/>
  </w:num>
  <w:num w:numId="16" w16cid:durableId="215703350">
    <w:abstractNumId w:val="6"/>
  </w:num>
  <w:num w:numId="17" w16cid:durableId="30153620">
    <w:abstractNumId w:val="10"/>
  </w:num>
  <w:num w:numId="18" w16cid:durableId="548615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hyphenationZone w:val="425"/>
  <w:characterSpacingControl w:val="doNotCompress"/>
  <w:hdrShapeDefaults>
    <o:shapedefaults v:ext="edit" spidmax="2050">
      <o:colormru v:ext="edit" colors="#77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tbC0MDEyNTM0NTFU0lEKTi0uzszPAykwqQUA/I1TVSwAAAA="/>
  </w:docVars>
  <w:rsids>
    <w:rsidRoot w:val="006F5DF9"/>
    <w:rsid w:val="00016070"/>
    <w:rsid w:val="00026915"/>
    <w:rsid w:val="000279B3"/>
    <w:rsid w:val="000436C0"/>
    <w:rsid w:val="000473E5"/>
    <w:rsid w:val="00057AA3"/>
    <w:rsid w:val="00060F44"/>
    <w:rsid w:val="00065987"/>
    <w:rsid w:val="00071043"/>
    <w:rsid w:val="00086530"/>
    <w:rsid w:val="00086811"/>
    <w:rsid w:val="00091D27"/>
    <w:rsid w:val="000A1BDB"/>
    <w:rsid w:val="000A4FA8"/>
    <w:rsid w:val="000B094C"/>
    <w:rsid w:val="000B23B4"/>
    <w:rsid w:val="000B7073"/>
    <w:rsid w:val="000C541C"/>
    <w:rsid w:val="000D2DF7"/>
    <w:rsid w:val="000F0439"/>
    <w:rsid w:val="000F3A0B"/>
    <w:rsid w:val="00100A21"/>
    <w:rsid w:val="00112138"/>
    <w:rsid w:val="001176DA"/>
    <w:rsid w:val="0012157F"/>
    <w:rsid w:val="00126D8E"/>
    <w:rsid w:val="00131680"/>
    <w:rsid w:val="00143953"/>
    <w:rsid w:val="001576FD"/>
    <w:rsid w:val="00161EE4"/>
    <w:rsid w:val="00163167"/>
    <w:rsid w:val="001705B9"/>
    <w:rsid w:val="00196641"/>
    <w:rsid w:val="001A5820"/>
    <w:rsid w:val="001A6C77"/>
    <w:rsid w:val="001B0913"/>
    <w:rsid w:val="001B54FA"/>
    <w:rsid w:val="001C411E"/>
    <w:rsid w:val="001C466B"/>
    <w:rsid w:val="001C56BE"/>
    <w:rsid w:val="001D7831"/>
    <w:rsid w:val="001E463B"/>
    <w:rsid w:val="001E5C8C"/>
    <w:rsid w:val="00227A04"/>
    <w:rsid w:val="00231329"/>
    <w:rsid w:val="002328A3"/>
    <w:rsid w:val="002405BA"/>
    <w:rsid w:val="00247256"/>
    <w:rsid w:val="00253F36"/>
    <w:rsid w:val="00256145"/>
    <w:rsid w:val="00261D02"/>
    <w:rsid w:val="002625DE"/>
    <w:rsid w:val="0026644A"/>
    <w:rsid w:val="002714C0"/>
    <w:rsid w:val="00276AF0"/>
    <w:rsid w:val="00277B88"/>
    <w:rsid w:val="00284804"/>
    <w:rsid w:val="00287FF6"/>
    <w:rsid w:val="002A4427"/>
    <w:rsid w:val="002D3019"/>
    <w:rsid w:val="002D3E29"/>
    <w:rsid w:val="002D5EDE"/>
    <w:rsid w:val="002E2F46"/>
    <w:rsid w:val="002F03B3"/>
    <w:rsid w:val="002F646F"/>
    <w:rsid w:val="002F773E"/>
    <w:rsid w:val="002F7A68"/>
    <w:rsid w:val="00305F61"/>
    <w:rsid w:val="0031201E"/>
    <w:rsid w:val="00315563"/>
    <w:rsid w:val="00316944"/>
    <w:rsid w:val="0032023B"/>
    <w:rsid w:val="00320853"/>
    <w:rsid w:val="00327741"/>
    <w:rsid w:val="003304B2"/>
    <w:rsid w:val="00334CB5"/>
    <w:rsid w:val="00336237"/>
    <w:rsid w:val="003463AD"/>
    <w:rsid w:val="00352B13"/>
    <w:rsid w:val="003539E2"/>
    <w:rsid w:val="003576B1"/>
    <w:rsid w:val="00363F23"/>
    <w:rsid w:val="003669DB"/>
    <w:rsid w:val="00370BE2"/>
    <w:rsid w:val="0037461E"/>
    <w:rsid w:val="00375A3D"/>
    <w:rsid w:val="003B120E"/>
    <w:rsid w:val="003B1D84"/>
    <w:rsid w:val="003B2A4A"/>
    <w:rsid w:val="003B497C"/>
    <w:rsid w:val="003B7E79"/>
    <w:rsid w:val="003C7B89"/>
    <w:rsid w:val="003E1155"/>
    <w:rsid w:val="003E1FB9"/>
    <w:rsid w:val="003E4E17"/>
    <w:rsid w:val="003E56D1"/>
    <w:rsid w:val="003F10F2"/>
    <w:rsid w:val="003F47DF"/>
    <w:rsid w:val="004018D1"/>
    <w:rsid w:val="00425CB7"/>
    <w:rsid w:val="004334F6"/>
    <w:rsid w:val="00433812"/>
    <w:rsid w:val="004365C1"/>
    <w:rsid w:val="004368B2"/>
    <w:rsid w:val="0043773C"/>
    <w:rsid w:val="00444964"/>
    <w:rsid w:val="00450B94"/>
    <w:rsid w:val="00450F57"/>
    <w:rsid w:val="004567AE"/>
    <w:rsid w:val="0046075A"/>
    <w:rsid w:val="00465D48"/>
    <w:rsid w:val="0046659C"/>
    <w:rsid w:val="00474F81"/>
    <w:rsid w:val="00475F36"/>
    <w:rsid w:val="00482AC4"/>
    <w:rsid w:val="00483291"/>
    <w:rsid w:val="00484937"/>
    <w:rsid w:val="00485667"/>
    <w:rsid w:val="004A1D7F"/>
    <w:rsid w:val="004A5CEB"/>
    <w:rsid w:val="004C705A"/>
    <w:rsid w:val="004D29FE"/>
    <w:rsid w:val="004D5CE4"/>
    <w:rsid w:val="004E3CC5"/>
    <w:rsid w:val="004E57DB"/>
    <w:rsid w:val="004F4DBE"/>
    <w:rsid w:val="00506934"/>
    <w:rsid w:val="00521E9E"/>
    <w:rsid w:val="00534156"/>
    <w:rsid w:val="0053560C"/>
    <w:rsid w:val="00541992"/>
    <w:rsid w:val="00545497"/>
    <w:rsid w:val="005530F7"/>
    <w:rsid w:val="005613B2"/>
    <w:rsid w:val="00563066"/>
    <w:rsid w:val="00565148"/>
    <w:rsid w:val="00575FF8"/>
    <w:rsid w:val="00581E57"/>
    <w:rsid w:val="005853B9"/>
    <w:rsid w:val="00586905"/>
    <w:rsid w:val="005876EA"/>
    <w:rsid w:val="00594044"/>
    <w:rsid w:val="005A000B"/>
    <w:rsid w:val="005A155A"/>
    <w:rsid w:val="005A40D9"/>
    <w:rsid w:val="005C1649"/>
    <w:rsid w:val="005C4519"/>
    <w:rsid w:val="005C4F34"/>
    <w:rsid w:val="005C4F90"/>
    <w:rsid w:val="005E4F06"/>
    <w:rsid w:val="005F142D"/>
    <w:rsid w:val="005F323D"/>
    <w:rsid w:val="00635FBF"/>
    <w:rsid w:val="00637AE5"/>
    <w:rsid w:val="006411CB"/>
    <w:rsid w:val="00645D69"/>
    <w:rsid w:val="00645FB4"/>
    <w:rsid w:val="006500C6"/>
    <w:rsid w:val="00657CDE"/>
    <w:rsid w:val="0067569C"/>
    <w:rsid w:val="006836C8"/>
    <w:rsid w:val="006859DA"/>
    <w:rsid w:val="00694C04"/>
    <w:rsid w:val="0069549E"/>
    <w:rsid w:val="006B3EBE"/>
    <w:rsid w:val="006C188C"/>
    <w:rsid w:val="006C2A36"/>
    <w:rsid w:val="006C73B6"/>
    <w:rsid w:val="006D35B1"/>
    <w:rsid w:val="006E174F"/>
    <w:rsid w:val="006F2EE1"/>
    <w:rsid w:val="006F5B1B"/>
    <w:rsid w:val="006F5DF9"/>
    <w:rsid w:val="007010E5"/>
    <w:rsid w:val="00701563"/>
    <w:rsid w:val="00704D04"/>
    <w:rsid w:val="00704F50"/>
    <w:rsid w:val="007263C9"/>
    <w:rsid w:val="007300BD"/>
    <w:rsid w:val="00730F9E"/>
    <w:rsid w:val="00733FEA"/>
    <w:rsid w:val="0074389D"/>
    <w:rsid w:val="0074631A"/>
    <w:rsid w:val="007660DC"/>
    <w:rsid w:val="00767B57"/>
    <w:rsid w:val="00784409"/>
    <w:rsid w:val="00791B57"/>
    <w:rsid w:val="007B749D"/>
    <w:rsid w:val="007B7DC6"/>
    <w:rsid w:val="007D058D"/>
    <w:rsid w:val="007D7715"/>
    <w:rsid w:val="007E13D5"/>
    <w:rsid w:val="007F3BC7"/>
    <w:rsid w:val="007F5415"/>
    <w:rsid w:val="007F7321"/>
    <w:rsid w:val="008005B3"/>
    <w:rsid w:val="008011BD"/>
    <w:rsid w:val="00810456"/>
    <w:rsid w:val="0081058E"/>
    <w:rsid w:val="00813B58"/>
    <w:rsid w:val="00824E31"/>
    <w:rsid w:val="00825538"/>
    <w:rsid w:val="00825659"/>
    <w:rsid w:val="00830A08"/>
    <w:rsid w:val="00841261"/>
    <w:rsid w:val="008432E8"/>
    <w:rsid w:val="00862007"/>
    <w:rsid w:val="00875947"/>
    <w:rsid w:val="00894119"/>
    <w:rsid w:val="008B2148"/>
    <w:rsid w:val="008B4A7C"/>
    <w:rsid w:val="008B5806"/>
    <w:rsid w:val="008B5B22"/>
    <w:rsid w:val="008B747F"/>
    <w:rsid w:val="008D013D"/>
    <w:rsid w:val="008D7DDB"/>
    <w:rsid w:val="008E121D"/>
    <w:rsid w:val="009071DE"/>
    <w:rsid w:val="009166D4"/>
    <w:rsid w:val="00922AD2"/>
    <w:rsid w:val="0093461B"/>
    <w:rsid w:val="00946524"/>
    <w:rsid w:val="00947A89"/>
    <w:rsid w:val="00952416"/>
    <w:rsid w:val="00955C34"/>
    <w:rsid w:val="00971B8B"/>
    <w:rsid w:val="009738A2"/>
    <w:rsid w:val="00977EE9"/>
    <w:rsid w:val="009831E6"/>
    <w:rsid w:val="00985C50"/>
    <w:rsid w:val="00987BE4"/>
    <w:rsid w:val="00993A78"/>
    <w:rsid w:val="009A044D"/>
    <w:rsid w:val="009A15F9"/>
    <w:rsid w:val="009A3377"/>
    <w:rsid w:val="009A6E00"/>
    <w:rsid w:val="009A7C0C"/>
    <w:rsid w:val="009B2DDB"/>
    <w:rsid w:val="009B7025"/>
    <w:rsid w:val="009C6DBA"/>
    <w:rsid w:val="009D53B5"/>
    <w:rsid w:val="009D56AA"/>
    <w:rsid w:val="009D6EE5"/>
    <w:rsid w:val="009D7C31"/>
    <w:rsid w:val="009E4253"/>
    <w:rsid w:val="009E70DA"/>
    <w:rsid w:val="009F11BB"/>
    <w:rsid w:val="009F5913"/>
    <w:rsid w:val="009F7697"/>
    <w:rsid w:val="009F7D90"/>
    <w:rsid w:val="00A073FF"/>
    <w:rsid w:val="00A316A4"/>
    <w:rsid w:val="00A44C4F"/>
    <w:rsid w:val="00A50391"/>
    <w:rsid w:val="00A516E7"/>
    <w:rsid w:val="00A53231"/>
    <w:rsid w:val="00A54A66"/>
    <w:rsid w:val="00A564D4"/>
    <w:rsid w:val="00A6164B"/>
    <w:rsid w:val="00A63085"/>
    <w:rsid w:val="00A637EB"/>
    <w:rsid w:val="00A64325"/>
    <w:rsid w:val="00A6677A"/>
    <w:rsid w:val="00A854E3"/>
    <w:rsid w:val="00AA7B89"/>
    <w:rsid w:val="00AB137B"/>
    <w:rsid w:val="00AB780B"/>
    <w:rsid w:val="00AC10CD"/>
    <w:rsid w:val="00AC3E34"/>
    <w:rsid w:val="00AC4A9D"/>
    <w:rsid w:val="00AE195F"/>
    <w:rsid w:val="00AE3B8C"/>
    <w:rsid w:val="00AF4952"/>
    <w:rsid w:val="00B060E8"/>
    <w:rsid w:val="00B1048F"/>
    <w:rsid w:val="00B13C07"/>
    <w:rsid w:val="00B17045"/>
    <w:rsid w:val="00B211C1"/>
    <w:rsid w:val="00B22938"/>
    <w:rsid w:val="00B35606"/>
    <w:rsid w:val="00B367B9"/>
    <w:rsid w:val="00B43DA2"/>
    <w:rsid w:val="00B43EDD"/>
    <w:rsid w:val="00B46523"/>
    <w:rsid w:val="00B51985"/>
    <w:rsid w:val="00B83ECC"/>
    <w:rsid w:val="00B848B1"/>
    <w:rsid w:val="00B92DE0"/>
    <w:rsid w:val="00BA73BE"/>
    <w:rsid w:val="00BB1B88"/>
    <w:rsid w:val="00BC43F8"/>
    <w:rsid w:val="00BC56B1"/>
    <w:rsid w:val="00BC6F65"/>
    <w:rsid w:val="00BD6DF3"/>
    <w:rsid w:val="00BD7142"/>
    <w:rsid w:val="00BE4857"/>
    <w:rsid w:val="00BE5991"/>
    <w:rsid w:val="00BF3C0A"/>
    <w:rsid w:val="00C00B6F"/>
    <w:rsid w:val="00C111BB"/>
    <w:rsid w:val="00C12261"/>
    <w:rsid w:val="00C15A7C"/>
    <w:rsid w:val="00C16413"/>
    <w:rsid w:val="00C17A9F"/>
    <w:rsid w:val="00C232EE"/>
    <w:rsid w:val="00C34B86"/>
    <w:rsid w:val="00C36990"/>
    <w:rsid w:val="00C46043"/>
    <w:rsid w:val="00C66E39"/>
    <w:rsid w:val="00C737E2"/>
    <w:rsid w:val="00C83B88"/>
    <w:rsid w:val="00C8733B"/>
    <w:rsid w:val="00CA0333"/>
    <w:rsid w:val="00CA0801"/>
    <w:rsid w:val="00CA2AB5"/>
    <w:rsid w:val="00CA63E3"/>
    <w:rsid w:val="00CA7A7A"/>
    <w:rsid w:val="00CA7D9A"/>
    <w:rsid w:val="00CB2437"/>
    <w:rsid w:val="00CC20A8"/>
    <w:rsid w:val="00CD4105"/>
    <w:rsid w:val="00CE0A5E"/>
    <w:rsid w:val="00CE50CB"/>
    <w:rsid w:val="00CF50CA"/>
    <w:rsid w:val="00D174E5"/>
    <w:rsid w:val="00D460F8"/>
    <w:rsid w:val="00D733FD"/>
    <w:rsid w:val="00D744FF"/>
    <w:rsid w:val="00D76E98"/>
    <w:rsid w:val="00D85876"/>
    <w:rsid w:val="00D92C75"/>
    <w:rsid w:val="00DB374D"/>
    <w:rsid w:val="00DB3C86"/>
    <w:rsid w:val="00DC2C24"/>
    <w:rsid w:val="00DE0855"/>
    <w:rsid w:val="00DE112C"/>
    <w:rsid w:val="00DE1679"/>
    <w:rsid w:val="00DE49D2"/>
    <w:rsid w:val="00DE626A"/>
    <w:rsid w:val="00DF029B"/>
    <w:rsid w:val="00DF1265"/>
    <w:rsid w:val="00E00EE6"/>
    <w:rsid w:val="00E37581"/>
    <w:rsid w:val="00E42CFE"/>
    <w:rsid w:val="00E466E6"/>
    <w:rsid w:val="00E51B9E"/>
    <w:rsid w:val="00E5320D"/>
    <w:rsid w:val="00E54EB0"/>
    <w:rsid w:val="00E849C4"/>
    <w:rsid w:val="00E9284D"/>
    <w:rsid w:val="00E94758"/>
    <w:rsid w:val="00EA1FAE"/>
    <w:rsid w:val="00EA4E9F"/>
    <w:rsid w:val="00EB0B9F"/>
    <w:rsid w:val="00ED19DC"/>
    <w:rsid w:val="00ED4D58"/>
    <w:rsid w:val="00EE7204"/>
    <w:rsid w:val="00F0794A"/>
    <w:rsid w:val="00F22F50"/>
    <w:rsid w:val="00F35548"/>
    <w:rsid w:val="00F4394B"/>
    <w:rsid w:val="00F60961"/>
    <w:rsid w:val="00F60B72"/>
    <w:rsid w:val="00F73A03"/>
    <w:rsid w:val="00F83B37"/>
    <w:rsid w:val="00F930D4"/>
    <w:rsid w:val="00F94A62"/>
    <w:rsid w:val="00FA083D"/>
    <w:rsid w:val="00FA29B6"/>
    <w:rsid w:val="00FB5417"/>
    <w:rsid w:val="00FC2369"/>
    <w:rsid w:val="00FC2BD0"/>
    <w:rsid w:val="00FC636F"/>
    <w:rsid w:val="00FC79C7"/>
    <w:rsid w:val="00FD1E01"/>
    <w:rsid w:val="00FD5783"/>
    <w:rsid w:val="00FD5940"/>
    <w:rsid w:val="00FE1E6E"/>
    <w:rsid w:val="00FE676F"/>
    <w:rsid w:val="00FF56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777"/>
    </o:shapedefaults>
    <o:shapelayout v:ext="edit">
      <o:idmap v:ext="edit" data="2"/>
    </o:shapelayout>
  </w:shapeDefaults>
  <w:decimalSymbol w:val=","/>
  <w:listSeparator w:val=";"/>
  <w14:docId w14:val="09D7B01F"/>
  <w15:chartTrackingRefBased/>
  <w15:docId w15:val="{63F51381-77C4-4927-818B-07D4C409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6944"/>
    <w:pPr>
      <w:spacing w:line="360" w:lineRule="auto"/>
      <w:jc w:val="both"/>
    </w:pPr>
    <w:rPr>
      <w:rFonts w:ascii="Arial" w:eastAsia="Times New Roman" w:hAnsi="Arial" w:cs="Arial"/>
      <w:sz w:val="22"/>
      <w:szCs w:val="22"/>
    </w:rPr>
  </w:style>
  <w:style w:type="paragraph" w:styleId="berschrift1">
    <w:name w:val="heading 1"/>
    <w:basedOn w:val="Standard"/>
    <w:next w:val="Standard"/>
    <w:link w:val="berschrift1Zchn"/>
    <w:uiPriority w:val="9"/>
    <w:qFormat/>
    <w:rsid w:val="005853B9"/>
    <w:pPr>
      <w:keepNext/>
      <w:numPr>
        <w:numId w:val="1"/>
      </w:numPr>
      <w:spacing w:before="120" w:after="120"/>
      <w:ind w:left="0" w:firstLine="0"/>
      <w:outlineLvl w:val="0"/>
    </w:pPr>
    <w:rPr>
      <w:b/>
      <w:bCs/>
      <w:kern w:val="32"/>
      <w:sz w:val="28"/>
    </w:rPr>
  </w:style>
  <w:style w:type="paragraph" w:styleId="berschrift2">
    <w:name w:val="heading 2"/>
    <w:basedOn w:val="Standard"/>
    <w:next w:val="Standard"/>
    <w:link w:val="berschrift2Zchn"/>
    <w:uiPriority w:val="9"/>
    <w:unhideWhenUsed/>
    <w:qFormat/>
    <w:rsid w:val="002328A3"/>
    <w:pPr>
      <w:keepNext/>
      <w:numPr>
        <w:ilvl w:val="1"/>
        <w:numId w:val="1"/>
      </w:numPr>
      <w:tabs>
        <w:tab w:val="left" w:pos="284"/>
      </w:tabs>
      <w:spacing w:before="120" w:after="120"/>
      <w:ind w:left="578" w:hanging="578"/>
      <w:outlineLvl w:val="1"/>
    </w:pPr>
    <w:rPr>
      <w:b/>
      <w:bCs/>
      <w:iCs/>
      <w:lang w:val="fr-FR"/>
    </w:rPr>
  </w:style>
  <w:style w:type="paragraph" w:styleId="berschrift3">
    <w:name w:val="heading 3"/>
    <w:basedOn w:val="Standard"/>
    <w:next w:val="Standard"/>
    <w:link w:val="berschrift3Zchn"/>
    <w:uiPriority w:val="9"/>
    <w:unhideWhenUsed/>
    <w:qFormat/>
    <w:rsid w:val="002328A3"/>
    <w:pPr>
      <w:keepNext/>
      <w:numPr>
        <w:ilvl w:val="2"/>
        <w:numId w:val="1"/>
      </w:numPr>
      <w:spacing w:before="120" w:after="120"/>
      <w:ind w:left="720"/>
      <w:outlineLvl w:val="2"/>
    </w:pPr>
    <w:rPr>
      <w:b/>
      <w:bCs/>
    </w:rPr>
  </w:style>
  <w:style w:type="paragraph" w:styleId="berschrift4">
    <w:name w:val="heading 4"/>
    <w:basedOn w:val="Textkrper"/>
    <w:next w:val="Standard"/>
    <w:link w:val="berschrift4Zchn"/>
    <w:uiPriority w:val="9"/>
    <w:unhideWhenUsed/>
    <w:qFormat/>
    <w:rsid w:val="002328A3"/>
    <w:pPr>
      <w:spacing w:before="120" w:after="120"/>
      <w:outlineLvl w:val="3"/>
    </w:pPr>
    <w:rPr>
      <w:b/>
      <w:sz w:val="22"/>
    </w:rPr>
  </w:style>
  <w:style w:type="paragraph" w:styleId="berschrift5">
    <w:name w:val="heading 5"/>
    <w:basedOn w:val="Standard"/>
    <w:next w:val="Standard"/>
    <w:link w:val="berschrift5Zchn"/>
    <w:qFormat/>
    <w:rsid w:val="006F5DF9"/>
    <w:pPr>
      <w:keepNext/>
      <w:numPr>
        <w:ilvl w:val="4"/>
        <w:numId w:val="1"/>
      </w:numPr>
      <w:outlineLvl w:val="4"/>
    </w:pPr>
    <w:rPr>
      <w:rFonts w:ascii="Verdana" w:hAnsi="Verdana"/>
      <w:b/>
      <w:bCs/>
      <w:sz w:val="28"/>
    </w:rPr>
  </w:style>
  <w:style w:type="paragraph" w:styleId="berschrift6">
    <w:name w:val="heading 6"/>
    <w:basedOn w:val="Standard"/>
    <w:next w:val="Standard"/>
    <w:link w:val="berschrift6Zchn"/>
    <w:qFormat/>
    <w:rsid w:val="006F5DF9"/>
    <w:pPr>
      <w:keepNext/>
      <w:numPr>
        <w:ilvl w:val="5"/>
        <w:numId w:val="1"/>
      </w:numPr>
      <w:jc w:val="right"/>
      <w:outlineLvl w:val="5"/>
    </w:pPr>
    <w:rPr>
      <w:rFonts w:ascii="Verdana" w:hAnsi="Verdana"/>
      <w:sz w:val="28"/>
      <w:lang w:val="en-GB"/>
    </w:rPr>
  </w:style>
  <w:style w:type="paragraph" w:styleId="berschrift7">
    <w:name w:val="heading 7"/>
    <w:basedOn w:val="Standard"/>
    <w:next w:val="Standard"/>
    <w:link w:val="berschrift7Zchn"/>
    <w:qFormat/>
    <w:rsid w:val="006F5DF9"/>
    <w:pPr>
      <w:keepNext/>
      <w:numPr>
        <w:ilvl w:val="6"/>
        <w:numId w:val="1"/>
      </w:numPr>
      <w:outlineLvl w:val="6"/>
    </w:pPr>
    <w:rPr>
      <w:sz w:val="24"/>
    </w:rPr>
  </w:style>
  <w:style w:type="paragraph" w:styleId="berschrift8">
    <w:name w:val="heading 8"/>
    <w:basedOn w:val="Standard"/>
    <w:next w:val="Standard"/>
    <w:link w:val="berschrift8Zchn"/>
    <w:uiPriority w:val="9"/>
    <w:semiHidden/>
    <w:unhideWhenUsed/>
    <w:qFormat/>
    <w:rsid w:val="00FC79C7"/>
    <w:pPr>
      <w:numPr>
        <w:ilvl w:val="7"/>
        <w:numId w:val="1"/>
      </w:numPr>
      <w:spacing w:before="240" w:after="60"/>
      <w:outlineLvl w:val="7"/>
    </w:pPr>
    <w:rPr>
      <w:rFonts w:ascii="Calibri" w:hAnsi="Calibri" w:cs="Times New Roman"/>
      <w:i/>
      <w:iCs/>
      <w:sz w:val="24"/>
    </w:rPr>
  </w:style>
  <w:style w:type="paragraph" w:styleId="berschrift9">
    <w:name w:val="heading 9"/>
    <w:basedOn w:val="Standard"/>
    <w:next w:val="Standard"/>
    <w:link w:val="berschrift9Zchn"/>
    <w:uiPriority w:val="9"/>
    <w:semiHidden/>
    <w:unhideWhenUsed/>
    <w:qFormat/>
    <w:rsid w:val="00FC79C7"/>
    <w:pPr>
      <w:numPr>
        <w:ilvl w:val="8"/>
        <w:numId w:val="1"/>
      </w:numPr>
      <w:spacing w:before="240" w:after="60"/>
      <w:outlineLvl w:val="8"/>
    </w:pPr>
    <w:rPr>
      <w:rFonts w:ascii="Calibri Light" w:hAnsi="Calibri Light"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5Zchn">
    <w:name w:val="Überschrift 5 Zchn"/>
    <w:link w:val="berschrift5"/>
    <w:rsid w:val="006F5DF9"/>
    <w:rPr>
      <w:rFonts w:ascii="Verdana" w:eastAsia="Times New Roman" w:hAnsi="Verdana" w:cs="Times New Roman"/>
      <w:b/>
      <w:bCs/>
      <w:sz w:val="28"/>
      <w:szCs w:val="24"/>
      <w:lang w:eastAsia="de-DE"/>
    </w:rPr>
  </w:style>
  <w:style w:type="character" w:customStyle="1" w:styleId="berschrift6Zchn">
    <w:name w:val="Überschrift 6 Zchn"/>
    <w:link w:val="berschrift6"/>
    <w:rsid w:val="006F5DF9"/>
    <w:rPr>
      <w:rFonts w:ascii="Verdana" w:eastAsia="Times New Roman" w:hAnsi="Verdana" w:cs="Times New Roman"/>
      <w:sz w:val="28"/>
      <w:szCs w:val="24"/>
      <w:lang w:val="en-GB" w:eastAsia="de-DE"/>
    </w:rPr>
  </w:style>
  <w:style w:type="character" w:customStyle="1" w:styleId="berschrift7Zchn">
    <w:name w:val="Überschrift 7 Zchn"/>
    <w:link w:val="berschrift7"/>
    <w:rsid w:val="006F5DF9"/>
    <w:rPr>
      <w:rFonts w:ascii="Futura Book" w:eastAsia="Times New Roman" w:hAnsi="Futura Book" w:cs="Times New Roman"/>
      <w:sz w:val="24"/>
      <w:szCs w:val="24"/>
      <w:lang w:eastAsia="de-DE"/>
    </w:rPr>
  </w:style>
  <w:style w:type="paragraph" w:customStyle="1" w:styleId="Formatvorlage1">
    <w:name w:val="Formatvorlage1"/>
    <w:basedOn w:val="Standard"/>
    <w:autoRedefine/>
    <w:rsid w:val="006F5DF9"/>
    <w:rPr>
      <w:b/>
      <w:sz w:val="24"/>
    </w:rPr>
  </w:style>
  <w:style w:type="paragraph" w:customStyle="1" w:styleId="Firmaklein">
    <w:name w:val="Firma/klein"/>
    <w:basedOn w:val="Standard"/>
    <w:next w:val="Standard"/>
    <w:rsid w:val="006F5DF9"/>
    <w:rPr>
      <w:rFonts w:ascii="FuturaLight" w:hAnsi="FuturaLight"/>
      <w:noProof/>
      <w:color w:val="C0C0C0"/>
      <w:sz w:val="14"/>
      <w:szCs w:val="20"/>
    </w:rPr>
  </w:style>
  <w:style w:type="paragraph" w:styleId="Kopfzeile">
    <w:name w:val="header"/>
    <w:basedOn w:val="Standard"/>
    <w:link w:val="KopfzeileZchn"/>
    <w:uiPriority w:val="99"/>
    <w:rsid w:val="006F5DF9"/>
    <w:pPr>
      <w:tabs>
        <w:tab w:val="center" w:pos="4536"/>
        <w:tab w:val="right" w:pos="9072"/>
      </w:tabs>
    </w:pPr>
  </w:style>
  <w:style w:type="character" w:customStyle="1" w:styleId="KopfzeileZchn">
    <w:name w:val="Kopfzeile Zchn"/>
    <w:link w:val="Kopfzeile"/>
    <w:uiPriority w:val="99"/>
    <w:rsid w:val="006F5DF9"/>
    <w:rPr>
      <w:rFonts w:ascii="Futura Book" w:eastAsia="Times New Roman" w:hAnsi="Futura Book" w:cs="Times New Roman"/>
      <w:sz w:val="20"/>
      <w:szCs w:val="24"/>
      <w:lang w:eastAsia="de-DE"/>
    </w:rPr>
  </w:style>
  <w:style w:type="paragraph" w:styleId="Fuzeile">
    <w:name w:val="footer"/>
    <w:basedOn w:val="Standard"/>
    <w:link w:val="FuzeileZchn"/>
    <w:semiHidden/>
    <w:rsid w:val="006F5DF9"/>
    <w:pPr>
      <w:tabs>
        <w:tab w:val="center" w:pos="4536"/>
        <w:tab w:val="right" w:pos="9072"/>
      </w:tabs>
    </w:pPr>
  </w:style>
  <w:style w:type="character" w:customStyle="1" w:styleId="FuzeileZchn">
    <w:name w:val="Fußzeile Zchn"/>
    <w:link w:val="Fuzeile"/>
    <w:semiHidden/>
    <w:rsid w:val="006F5DF9"/>
    <w:rPr>
      <w:rFonts w:ascii="Futura Book" w:eastAsia="Times New Roman" w:hAnsi="Futura Book" w:cs="Times New Roman"/>
      <w:sz w:val="20"/>
      <w:szCs w:val="24"/>
      <w:lang w:eastAsia="de-DE"/>
    </w:rPr>
  </w:style>
  <w:style w:type="paragraph" w:styleId="Textkrper">
    <w:name w:val="Body Text"/>
    <w:basedOn w:val="Standard"/>
    <w:link w:val="TextkrperZchn"/>
    <w:semiHidden/>
    <w:rsid w:val="00DF1265"/>
    <w:pPr>
      <w:tabs>
        <w:tab w:val="left" w:pos="284"/>
      </w:tabs>
    </w:pPr>
    <w:rPr>
      <w:sz w:val="24"/>
    </w:rPr>
  </w:style>
  <w:style w:type="character" w:customStyle="1" w:styleId="TextkrperZchn">
    <w:name w:val="Textkörper Zchn"/>
    <w:link w:val="Textkrper"/>
    <w:semiHidden/>
    <w:rsid w:val="00DF1265"/>
    <w:rPr>
      <w:rFonts w:ascii="Arial" w:eastAsia="Times New Roman" w:hAnsi="Arial" w:cs="Arial"/>
      <w:sz w:val="24"/>
      <w:szCs w:val="24"/>
    </w:rPr>
  </w:style>
  <w:style w:type="paragraph" w:customStyle="1" w:styleId="StandardWeb1">
    <w:name w:val="Standard (Web)1"/>
    <w:basedOn w:val="Standard"/>
    <w:rsid w:val="00DF1265"/>
    <w:pPr>
      <w:overflowPunct w:val="0"/>
      <w:autoSpaceDE w:val="0"/>
      <w:autoSpaceDN w:val="0"/>
      <w:adjustRightInd w:val="0"/>
      <w:spacing w:before="100" w:after="100"/>
    </w:pPr>
    <w:rPr>
      <w:rFonts w:ascii="Times New Roman" w:hAnsi="Times New Roman"/>
      <w:sz w:val="24"/>
      <w:szCs w:val="20"/>
    </w:rPr>
  </w:style>
  <w:style w:type="paragraph" w:styleId="Verzeichnis1">
    <w:name w:val="toc 1"/>
    <w:basedOn w:val="Standard"/>
    <w:next w:val="Standard"/>
    <w:autoRedefine/>
    <w:uiPriority w:val="39"/>
    <w:rsid w:val="006859DA"/>
    <w:pPr>
      <w:tabs>
        <w:tab w:val="left" w:pos="440"/>
        <w:tab w:val="right" w:leader="dot" w:pos="9061"/>
      </w:tabs>
      <w:spacing w:before="120" w:after="120"/>
    </w:pPr>
    <w:rPr>
      <w:bCs/>
      <w:noProof/>
    </w:rPr>
  </w:style>
  <w:style w:type="paragraph" w:styleId="Verzeichnis2">
    <w:name w:val="toc 2"/>
    <w:basedOn w:val="berschrift2"/>
    <w:next w:val="Standard"/>
    <w:autoRedefine/>
    <w:uiPriority w:val="39"/>
    <w:rsid w:val="00450B94"/>
    <w:pPr>
      <w:keepNext w:val="0"/>
      <w:numPr>
        <w:ilvl w:val="0"/>
        <w:numId w:val="0"/>
      </w:numPr>
      <w:tabs>
        <w:tab w:val="clear" w:pos="284"/>
      </w:tabs>
      <w:ind w:left="221"/>
      <w:jc w:val="left"/>
      <w:outlineLvl w:val="9"/>
    </w:pPr>
    <w:rPr>
      <w:rFonts w:cs="Calibri"/>
      <w:b w:val="0"/>
      <w:bCs w:val="0"/>
      <w:szCs w:val="20"/>
      <w:lang w:val="de-DE"/>
    </w:rPr>
  </w:style>
  <w:style w:type="paragraph" w:styleId="Verzeichnis3">
    <w:name w:val="toc 3"/>
    <w:basedOn w:val="berschrift3"/>
    <w:next w:val="Standard"/>
    <w:autoRedefine/>
    <w:uiPriority w:val="39"/>
    <w:rsid w:val="00450B94"/>
    <w:pPr>
      <w:keepNext w:val="0"/>
      <w:numPr>
        <w:ilvl w:val="0"/>
        <w:numId w:val="0"/>
      </w:numPr>
      <w:ind w:left="442"/>
      <w:jc w:val="left"/>
      <w:outlineLvl w:val="9"/>
    </w:pPr>
    <w:rPr>
      <w:rFonts w:cs="Calibri"/>
      <w:b w:val="0"/>
      <w:bCs w:val="0"/>
      <w:szCs w:val="20"/>
    </w:rPr>
  </w:style>
  <w:style w:type="character" w:styleId="Hyperlink">
    <w:name w:val="Hyperlink"/>
    <w:uiPriority w:val="99"/>
    <w:rsid w:val="00FE1E6E"/>
    <w:rPr>
      <w:color w:val="0000FF"/>
      <w:u w:val="single"/>
    </w:rPr>
  </w:style>
  <w:style w:type="character" w:customStyle="1" w:styleId="berschrift1Zchn">
    <w:name w:val="Überschrift 1 Zchn"/>
    <w:link w:val="berschrift1"/>
    <w:uiPriority w:val="9"/>
    <w:rsid w:val="005853B9"/>
    <w:rPr>
      <w:rFonts w:ascii="Arial" w:eastAsia="Times New Roman" w:hAnsi="Arial" w:cs="Arial"/>
      <w:b/>
      <w:bCs/>
      <w:kern w:val="32"/>
      <w:sz w:val="28"/>
      <w:szCs w:val="22"/>
    </w:rPr>
  </w:style>
  <w:style w:type="character" w:customStyle="1" w:styleId="berschrift2Zchn">
    <w:name w:val="Überschrift 2 Zchn"/>
    <w:link w:val="berschrift2"/>
    <w:uiPriority w:val="9"/>
    <w:rsid w:val="002328A3"/>
    <w:rPr>
      <w:rFonts w:ascii="Arial" w:eastAsia="Times New Roman" w:hAnsi="Arial" w:cs="Arial"/>
      <w:b/>
      <w:bCs/>
      <w:iCs/>
      <w:sz w:val="22"/>
      <w:szCs w:val="22"/>
      <w:lang w:val="fr-FR"/>
    </w:rPr>
  </w:style>
  <w:style w:type="character" w:customStyle="1" w:styleId="berschrift3Zchn">
    <w:name w:val="Überschrift 3 Zchn"/>
    <w:link w:val="berschrift3"/>
    <w:uiPriority w:val="9"/>
    <w:rsid w:val="002328A3"/>
    <w:rPr>
      <w:rFonts w:ascii="Arial" w:eastAsia="Times New Roman" w:hAnsi="Arial" w:cs="Arial"/>
      <w:b/>
      <w:bCs/>
      <w:sz w:val="22"/>
      <w:szCs w:val="22"/>
    </w:rPr>
  </w:style>
  <w:style w:type="paragraph" w:styleId="Funotentext">
    <w:name w:val="footnote text"/>
    <w:basedOn w:val="Standard"/>
    <w:link w:val="FunotentextZchn"/>
    <w:semiHidden/>
    <w:rsid w:val="00E54EB0"/>
    <w:pPr>
      <w:tabs>
        <w:tab w:val="left" w:pos="284"/>
      </w:tabs>
    </w:pPr>
    <w:rPr>
      <w:szCs w:val="20"/>
    </w:rPr>
  </w:style>
  <w:style w:type="character" w:customStyle="1" w:styleId="FunotentextZchn">
    <w:name w:val="Fußnotentext Zchn"/>
    <w:link w:val="Funotentext"/>
    <w:semiHidden/>
    <w:rsid w:val="00E54EB0"/>
    <w:rPr>
      <w:rFonts w:ascii="Arial" w:eastAsia="Times New Roman" w:hAnsi="Arial"/>
    </w:rPr>
  </w:style>
  <w:style w:type="character" w:styleId="Funotenzeichen">
    <w:name w:val="footnote reference"/>
    <w:semiHidden/>
    <w:unhideWhenUsed/>
    <w:rsid w:val="00506934"/>
    <w:rPr>
      <w:vertAlign w:val="superscript"/>
    </w:rPr>
  </w:style>
  <w:style w:type="character" w:customStyle="1" w:styleId="berschrift4Zchn">
    <w:name w:val="Überschrift 4 Zchn"/>
    <w:link w:val="berschrift4"/>
    <w:uiPriority w:val="9"/>
    <w:rsid w:val="002328A3"/>
    <w:rPr>
      <w:rFonts w:ascii="Arial" w:eastAsia="Times New Roman" w:hAnsi="Arial" w:cs="Arial"/>
      <w:b/>
      <w:sz w:val="22"/>
      <w:szCs w:val="22"/>
    </w:rPr>
  </w:style>
  <w:style w:type="character" w:customStyle="1" w:styleId="berschrift8Zchn">
    <w:name w:val="Überschrift 8 Zchn"/>
    <w:link w:val="berschrift8"/>
    <w:uiPriority w:val="9"/>
    <w:semiHidden/>
    <w:rsid w:val="00FC79C7"/>
    <w:rPr>
      <w:rFonts w:ascii="Calibri" w:eastAsia="Times New Roman" w:hAnsi="Calibri" w:cs="Times New Roman"/>
      <w:i/>
      <w:iCs/>
      <w:sz w:val="24"/>
      <w:szCs w:val="24"/>
    </w:rPr>
  </w:style>
  <w:style w:type="character" w:customStyle="1" w:styleId="berschrift9Zchn">
    <w:name w:val="Überschrift 9 Zchn"/>
    <w:link w:val="berschrift9"/>
    <w:uiPriority w:val="9"/>
    <w:semiHidden/>
    <w:rsid w:val="00FC79C7"/>
    <w:rPr>
      <w:rFonts w:ascii="Calibri Light" w:eastAsia="Times New Roman" w:hAnsi="Calibri Light" w:cs="Times New Roman"/>
      <w:sz w:val="22"/>
      <w:szCs w:val="22"/>
    </w:rPr>
  </w:style>
  <w:style w:type="table" w:styleId="Tabellenraster">
    <w:name w:val="Table Grid"/>
    <w:basedOn w:val="NormaleTabelle"/>
    <w:uiPriority w:val="59"/>
    <w:rsid w:val="00C34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450B94"/>
    <w:pPr>
      <w:spacing w:before="120" w:after="120"/>
      <w:ind w:left="658"/>
      <w:jc w:val="left"/>
    </w:pPr>
    <w:rPr>
      <w:rFonts w:cs="Calibri"/>
      <w:szCs w:val="20"/>
    </w:rPr>
  </w:style>
  <w:style w:type="paragraph" w:styleId="Verzeichnis5">
    <w:name w:val="toc 5"/>
    <w:basedOn w:val="Standard"/>
    <w:next w:val="Standard"/>
    <w:autoRedefine/>
    <w:uiPriority w:val="39"/>
    <w:unhideWhenUsed/>
    <w:rsid w:val="0067569C"/>
    <w:pPr>
      <w:ind w:left="880"/>
      <w:jc w:val="left"/>
    </w:pPr>
    <w:rPr>
      <w:rFonts w:ascii="Calibri" w:hAnsi="Calibri" w:cs="Calibri"/>
      <w:sz w:val="20"/>
      <w:szCs w:val="20"/>
    </w:rPr>
  </w:style>
  <w:style w:type="paragraph" w:styleId="Verzeichnis6">
    <w:name w:val="toc 6"/>
    <w:basedOn w:val="Standard"/>
    <w:next w:val="Standard"/>
    <w:autoRedefine/>
    <w:uiPriority w:val="39"/>
    <w:unhideWhenUsed/>
    <w:rsid w:val="0067569C"/>
    <w:pPr>
      <w:ind w:left="1100"/>
      <w:jc w:val="left"/>
    </w:pPr>
    <w:rPr>
      <w:rFonts w:ascii="Calibri" w:hAnsi="Calibri" w:cs="Calibri"/>
      <w:sz w:val="20"/>
      <w:szCs w:val="20"/>
    </w:rPr>
  </w:style>
  <w:style w:type="paragraph" w:styleId="Verzeichnis7">
    <w:name w:val="toc 7"/>
    <w:basedOn w:val="Standard"/>
    <w:next w:val="Standard"/>
    <w:autoRedefine/>
    <w:uiPriority w:val="39"/>
    <w:unhideWhenUsed/>
    <w:rsid w:val="0067569C"/>
    <w:pPr>
      <w:ind w:left="1320"/>
      <w:jc w:val="left"/>
    </w:pPr>
    <w:rPr>
      <w:rFonts w:ascii="Calibri" w:hAnsi="Calibri" w:cs="Calibri"/>
      <w:sz w:val="20"/>
      <w:szCs w:val="20"/>
    </w:rPr>
  </w:style>
  <w:style w:type="paragraph" w:styleId="Verzeichnis8">
    <w:name w:val="toc 8"/>
    <w:basedOn w:val="Standard"/>
    <w:next w:val="Standard"/>
    <w:autoRedefine/>
    <w:uiPriority w:val="39"/>
    <w:unhideWhenUsed/>
    <w:rsid w:val="0067569C"/>
    <w:pPr>
      <w:ind w:left="1540"/>
      <w:jc w:val="left"/>
    </w:pPr>
    <w:rPr>
      <w:rFonts w:ascii="Calibri" w:hAnsi="Calibri" w:cs="Calibri"/>
      <w:sz w:val="20"/>
      <w:szCs w:val="20"/>
    </w:rPr>
  </w:style>
  <w:style w:type="paragraph" w:styleId="Verzeichnis9">
    <w:name w:val="toc 9"/>
    <w:basedOn w:val="Standard"/>
    <w:next w:val="Standard"/>
    <w:autoRedefine/>
    <w:uiPriority w:val="39"/>
    <w:unhideWhenUsed/>
    <w:rsid w:val="0067569C"/>
    <w:pPr>
      <w:ind w:left="1760"/>
      <w:jc w:val="left"/>
    </w:pPr>
    <w:rPr>
      <w:rFonts w:ascii="Calibri" w:hAnsi="Calibri" w:cs="Calibri"/>
      <w:sz w:val="20"/>
      <w:szCs w:val="20"/>
    </w:rPr>
  </w:style>
  <w:style w:type="paragraph" w:styleId="Beschriftung">
    <w:name w:val="caption"/>
    <w:basedOn w:val="Standard"/>
    <w:next w:val="Standard"/>
    <w:uiPriority w:val="35"/>
    <w:unhideWhenUsed/>
    <w:qFormat/>
    <w:rsid w:val="00657CDE"/>
    <w:rPr>
      <w:b/>
      <w:bCs/>
      <w:sz w:val="20"/>
      <w:szCs w:val="20"/>
    </w:rPr>
  </w:style>
  <w:style w:type="character" w:customStyle="1" w:styleId="Erwhnung1">
    <w:name w:val="Erwähnung1"/>
    <w:uiPriority w:val="99"/>
    <w:semiHidden/>
    <w:unhideWhenUsed/>
    <w:rsid w:val="00657CDE"/>
    <w:rPr>
      <w:color w:val="2B579A"/>
      <w:shd w:val="clear" w:color="auto" w:fill="E6E6E6"/>
    </w:rPr>
  </w:style>
  <w:style w:type="paragraph" w:styleId="Abbildungsverzeichnis">
    <w:name w:val="table of figures"/>
    <w:basedOn w:val="Standard"/>
    <w:next w:val="Standard"/>
    <w:uiPriority w:val="99"/>
    <w:unhideWhenUsed/>
    <w:rsid w:val="00657CDE"/>
  </w:style>
  <w:style w:type="character" w:styleId="Kommentarzeichen">
    <w:name w:val="annotation reference"/>
    <w:uiPriority w:val="99"/>
    <w:semiHidden/>
    <w:unhideWhenUsed/>
    <w:rsid w:val="00253F36"/>
    <w:rPr>
      <w:sz w:val="16"/>
      <w:szCs w:val="16"/>
    </w:rPr>
  </w:style>
  <w:style w:type="paragraph" w:styleId="Kommentartext">
    <w:name w:val="annotation text"/>
    <w:basedOn w:val="Standard"/>
    <w:link w:val="KommentartextZchn"/>
    <w:uiPriority w:val="99"/>
    <w:semiHidden/>
    <w:unhideWhenUsed/>
    <w:rsid w:val="00253F36"/>
    <w:rPr>
      <w:sz w:val="20"/>
      <w:szCs w:val="20"/>
    </w:rPr>
  </w:style>
  <w:style w:type="character" w:customStyle="1" w:styleId="KommentartextZchn">
    <w:name w:val="Kommentartext Zchn"/>
    <w:link w:val="Kommentartext"/>
    <w:uiPriority w:val="99"/>
    <w:semiHidden/>
    <w:rsid w:val="00253F36"/>
    <w:rPr>
      <w:rFonts w:ascii="Arial" w:eastAsia="Times New Roman" w:hAnsi="Arial" w:cs="Arial"/>
    </w:rPr>
  </w:style>
  <w:style w:type="paragraph" w:styleId="Kommentarthema">
    <w:name w:val="annotation subject"/>
    <w:basedOn w:val="Kommentartext"/>
    <w:next w:val="Kommentartext"/>
    <w:link w:val="KommentarthemaZchn"/>
    <w:uiPriority w:val="99"/>
    <w:semiHidden/>
    <w:unhideWhenUsed/>
    <w:rsid w:val="00253F36"/>
    <w:rPr>
      <w:b/>
      <w:bCs/>
    </w:rPr>
  </w:style>
  <w:style w:type="character" w:customStyle="1" w:styleId="KommentarthemaZchn">
    <w:name w:val="Kommentarthema Zchn"/>
    <w:link w:val="Kommentarthema"/>
    <w:uiPriority w:val="99"/>
    <w:semiHidden/>
    <w:rsid w:val="00253F36"/>
    <w:rPr>
      <w:rFonts w:ascii="Arial" w:eastAsia="Times New Roman" w:hAnsi="Arial" w:cs="Arial"/>
      <w:b/>
      <w:bCs/>
    </w:rPr>
  </w:style>
  <w:style w:type="paragraph" w:styleId="Sprechblasentext">
    <w:name w:val="Balloon Text"/>
    <w:basedOn w:val="Standard"/>
    <w:link w:val="SprechblasentextZchn"/>
    <w:uiPriority w:val="99"/>
    <w:semiHidden/>
    <w:unhideWhenUsed/>
    <w:rsid w:val="00253F36"/>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253F36"/>
    <w:rPr>
      <w:rFonts w:ascii="Segoe UI" w:eastAsia="Times New Roman" w:hAnsi="Segoe UI" w:cs="Segoe UI"/>
      <w:sz w:val="18"/>
      <w:szCs w:val="18"/>
    </w:rPr>
  </w:style>
  <w:style w:type="paragraph" w:styleId="berarbeitung">
    <w:name w:val="Revision"/>
    <w:hidden/>
    <w:uiPriority w:val="99"/>
    <w:semiHidden/>
    <w:rsid w:val="005A155A"/>
    <w:rPr>
      <w:rFonts w:ascii="Arial" w:eastAsia="Times New Roman" w:hAnsi="Arial" w:cs="Arial"/>
      <w:sz w:val="22"/>
      <w:szCs w:val="22"/>
    </w:rPr>
  </w:style>
  <w:style w:type="paragraph" w:styleId="Listenabsatz">
    <w:name w:val="List Paragraph"/>
    <w:basedOn w:val="Standard"/>
    <w:uiPriority w:val="34"/>
    <w:qFormat/>
    <w:rsid w:val="0093461B"/>
    <w:pPr>
      <w:ind w:left="720"/>
      <w:contextualSpacing/>
    </w:pPr>
  </w:style>
  <w:style w:type="character" w:styleId="BesuchterLink">
    <w:name w:val="FollowedHyperlink"/>
    <w:basedOn w:val="Absatz-Standardschriftart"/>
    <w:uiPriority w:val="99"/>
    <w:semiHidden/>
    <w:unhideWhenUsed/>
    <w:rsid w:val="0093461B"/>
    <w:rPr>
      <w:color w:val="954F72" w:themeColor="followedHyperlink"/>
      <w:u w:val="single"/>
    </w:rPr>
  </w:style>
  <w:style w:type="paragraph" w:styleId="KeinLeerraum">
    <w:name w:val="No Spacing"/>
    <w:uiPriority w:val="1"/>
    <w:qFormat/>
    <w:rsid w:val="00545497"/>
    <w:pPr>
      <w:jc w:val="both"/>
    </w:pPr>
    <w:rPr>
      <w:rFonts w:ascii="Arial" w:eastAsia="Times New Roman" w:hAnsi="Arial" w:cs="Arial"/>
      <w:sz w:val="22"/>
      <w:szCs w:val="22"/>
    </w:rPr>
  </w:style>
  <w:style w:type="character" w:styleId="NichtaufgelsteErwhnung">
    <w:name w:val="Unresolved Mention"/>
    <w:basedOn w:val="Absatz-Standardschriftart"/>
    <w:uiPriority w:val="99"/>
    <w:semiHidden/>
    <w:unhideWhenUsed/>
    <w:rsid w:val="001576FD"/>
    <w:rPr>
      <w:color w:val="605E5C"/>
      <w:shd w:val="clear" w:color="auto" w:fill="E1DFDD"/>
    </w:rPr>
  </w:style>
  <w:style w:type="paragraph" w:styleId="StandardWeb">
    <w:name w:val="Normal (Web)"/>
    <w:basedOn w:val="Standard"/>
    <w:uiPriority w:val="99"/>
    <w:semiHidden/>
    <w:unhideWhenUsed/>
    <w:rsid w:val="00485667"/>
    <w:pPr>
      <w:spacing w:before="100" w:beforeAutospacing="1" w:after="100" w:afterAutospacing="1" w:line="240" w:lineRule="auto"/>
      <w:jc w:val="left"/>
    </w:pPr>
    <w:rPr>
      <w:rFonts w:ascii="Times New Roman" w:hAnsi="Times New Roman" w:cs="Times New Roman"/>
      <w:sz w:val="24"/>
      <w:szCs w:val="24"/>
    </w:rPr>
  </w:style>
  <w:style w:type="character" w:styleId="Fett">
    <w:name w:val="Strong"/>
    <w:basedOn w:val="Absatz-Standardschriftart"/>
    <w:uiPriority w:val="22"/>
    <w:qFormat/>
    <w:rsid w:val="00485667"/>
    <w:rPr>
      <w:b/>
      <w:bCs/>
    </w:rPr>
  </w:style>
  <w:style w:type="character" w:styleId="Platzhaltertext">
    <w:name w:val="Placeholder Text"/>
    <w:basedOn w:val="Absatz-Standardschriftart"/>
    <w:uiPriority w:val="99"/>
    <w:semiHidden/>
    <w:rsid w:val="00FB5417"/>
    <w:rPr>
      <w:color w:val="808080"/>
    </w:rPr>
  </w:style>
  <w:style w:type="paragraph" w:customStyle="1" w:styleId="CitaviBibliographyEntry">
    <w:name w:val="Citavi Bibliography Entry"/>
    <w:basedOn w:val="Standard"/>
    <w:next w:val="Standard"/>
    <w:rsid w:val="00B43EDD"/>
    <w:pPr>
      <w:spacing w:after="120" w:line="259" w:lineRule="auto"/>
      <w:jc w:val="left"/>
    </w:pPr>
    <w:rPr>
      <w:rFonts w:asciiTheme="minorHAnsi" w:eastAsiaTheme="minorEastAsia" w:hAnsiTheme="minorHAnsi" w:cstheme="minorBidi"/>
      <w:kern w:val="2"/>
      <w14:ligatures w14:val="standardContextual"/>
    </w:rPr>
  </w:style>
  <w:style w:type="paragraph" w:customStyle="1" w:styleId="CitaviBibliographyHeading">
    <w:name w:val="Citavi Bibliography Heading"/>
    <w:basedOn w:val="berschrift1"/>
    <w:rsid w:val="00B43EDD"/>
    <w:pPr>
      <w:keepLines/>
      <w:numPr>
        <w:numId w:val="0"/>
      </w:numPr>
      <w:spacing w:before="240" w:after="0" w:line="259" w:lineRule="auto"/>
      <w:jc w:val="left"/>
    </w:pPr>
    <w:rPr>
      <w:rFonts w:asciiTheme="majorHAnsi" w:eastAsiaTheme="majorEastAsia" w:hAnsiTheme="minorHAnsi" w:cstheme="majorBidi"/>
      <w:b w:val="0"/>
      <w:bCs w:val="0"/>
      <w:color w:val="2F5496" w:themeColor="accent1" w:themeShade="BF"/>
      <w:kern w:val="2"/>
      <w:sz w:val="32"/>
      <w:szCs w:val="32"/>
      <w14:ligatures w14:val="standardContextual"/>
    </w:rPr>
  </w:style>
  <w:style w:type="character" w:customStyle="1" w:styleId="highlight">
    <w:name w:val="highlight"/>
    <w:basedOn w:val="Absatz-Standardschriftart"/>
    <w:rsid w:val="009F7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4004">
      <w:bodyDiv w:val="1"/>
      <w:marLeft w:val="0"/>
      <w:marRight w:val="0"/>
      <w:marTop w:val="0"/>
      <w:marBottom w:val="0"/>
      <w:divBdr>
        <w:top w:val="none" w:sz="0" w:space="0" w:color="auto"/>
        <w:left w:val="none" w:sz="0" w:space="0" w:color="auto"/>
        <w:bottom w:val="none" w:sz="0" w:space="0" w:color="auto"/>
        <w:right w:val="none" w:sz="0" w:space="0" w:color="auto"/>
      </w:divBdr>
    </w:div>
    <w:div w:id="104807454">
      <w:bodyDiv w:val="1"/>
      <w:marLeft w:val="0"/>
      <w:marRight w:val="0"/>
      <w:marTop w:val="0"/>
      <w:marBottom w:val="0"/>
      <w:divBdr>
        <w:top w:val="none" w:sz="0" w:space="0" w:color="auto"/>
        <w:left w:val="none" w:sz="0" w:space="0" w:color="auto"/>
        <w:bottom w:val="none" w:sz="0" w:space="0" w:color="auto"/>
        <w:right w:val="none" w:sz="0" w:space="0" w:color="auto"/>
      </w:divBdr>
      <w:divsChild>
        <w:div w:id="554704501">
          <w:marLeft w:val="0"/>
          <w:marRight w:val="0"/>
          <w:marTop w:val="0"/>
          <w:marBottom w:val="0"/>
          <w:divBdr>
            <w:top w:val="none" w:sz="0" w:space="0" w:color="auto"/>
            <w:left w:val="none" w:sz="0" w:space="0" w:color="auto"/>
            <w:bottom w:val="none" w:sz="0" w:space="0" w:color="auto"/>
            <w:right w:val="none" w:sz="0" w:space="0" w:color="auto"/>
          </w:divBdr>
          <w:divsChild>
            <w:div w:id="335495283">
              <w:marLeft w:val="0"/>
              <w:marRight w:val="0"/>
              <w:marTop w:val="0"/>
              <w:marBottom w:val="0"/>
              <w:divBdr>
                <w:top w:val="none" w:sz="0" w:space="0" w:color="auto"/>
                <w:left w:val="none" w:sz="0" w:space="0" w:color="auto"/>
                <w:bottom w:val="none" w:sz="0" w:space="0" w:color="auto"/>
                <w:right w:val="none" w:sz="0" w:space="0" w:color="auto"/>
              </w:divBdr>
              <w:divsChild>
                <w:div w:id="14529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8491">
      <w:bodyDiv w:val="1"/>
      <w:marLeft w:val="0"/>
      <w:marRight w:val="0"/>
      <w:marTop w:val="0"/>
      <w:marBottom w:val="0"/>
      <w:divBdr>
        <w:top w:val="none" w:sz="0" w:space="0" w:color="auto"/>
        <w:left w:val="none" w:sz="0" w:space="0" w:color="auto"/>
        <w:bottom w:val="none" w:sz="0" w:space="0" w:color="auto"/>
        <w:right w:val="none" w:sz="0" w:space="0" w:color="auto"/>
      </w:divBdr>
    </w:div>
    <w:div w:id="172427676">
      <w:bodyDiv w:val="1"/>
      <w:marLeft w:val="0"/>
      <w:marRight w:val="0"/>
      <w:marTop w:val="0"/>
      <w:marBottom w:val="0"/>
      <w:divBdr>
        <w:top w:val="none" w:sz="0" w:space="0" w:color="auto"/>
        <w:left w:val="none" w:sz="0" w:space="0" w:color="auto"/>
        <w:bottom w:val="none" w:sz="0" w:space="0" w:color="auto"/>
        <w:right w:val="none" w:sz="0" w:space="0" w:color="auto"/>
      </w:divBdr>
    </w:div>
    <w:div w:id="176232201">
      <w:bodyDiv w:val="1"/>
      <w:marLeft w:val="0"/>
      <w:marRight w:val="0"/>
      <w:marTop w:val="0"/>
      <w:marBottom w:val="0"/>
      <w:divBdr>
        <w:top w:val="none" w:sz="0" w:space="0" w:color="auto"/>
        <w:left w:val="none" w:sz="0" w:space="0" w:color="auto"/>
        <w:bottom w:val="none" w:sz="0" w:space="0" w:color="auto"/>
        <w:right w:val="none" w:sz="0" w:space="0" w:color="auto"/>
      </w:divBdr>
    </w:div>
    <w:div w:id="216668044">
      <w:bodyDiv w:val="1"/>
      <w:marLeft w:val="0"/>
      <w:marRight w:val="0"/>
      <w:marTop w:val="0"/>
      <w:marBottom w:val="0"/>
      <w:divBdr>
        <w:top w:val="none" w:sz="0" w:space="0" w:color="auto"/>
        <w:left w:val="none" w:sz="0" w:space="0" w:color="auto"/>
        <w:bottom w:val="none" w:sz="0" w:space="0" w:color="auto"/>
        <w:right w:val="none" w:sz="0" w:space="0" w:color="auto"/>
      </w:divBdr>
    </w:div>
    <w:div w:id="267928375">
      <w:bodyDiv w:val="1"/>
      <w:marLeft w:val="0"/>
      <w:marRight w:val="0"/>
      <w:marTop w:val="0"/>
      <w:marBottom w:val="0"/>
      <w:divBdr>
        <w:top w:val="none" w:sz="0" w:space="0" w:color="auto"/>
        <w:left w:val="none" w:sz="0" w:space="0" w:color="auto"/>
        <w:bottom w:val="none" w:sz="0" w:space="0" w:color="auto"/>
        <w:right w:val="none" w:sz="0" w:space="0" w:color="auto"/>
      </w:divBdr>
    </w:div>
    <w:div w:id="392704715">
      <w:bodyDiv w:val="1"/>
      <w:marLeft w:val="0"/>
      <w:marRight w:val="0"/>
      <w:marTop w:val="0"/>
      <w:marBottom w:val="0"/>
      <w:divBdr>
        <w:top w:val="none" w:sz="0" w:space="0" w:color="auto"/>
        <w:left w:val="none" w:sz="0" w:space="0" w:color="auto"/>
        <w:bottom w:val="none" w:sz="0" w:space="0" w:color="auto"/>
        <w:right w:val="none" w:sz="0" w:space="0" w:color="auto"/>
      </w:divBdr>
      <w:divsChild>
        <w:div w:id="1698577990">
          <w:marLeft w:val="0"/>
          <w:marRight w:val="0"/>
          <w:marTop w:val="0"/>
          <w:marBottom w:val="0"/>
          <w:divBdr>
            <w:top w:val="none" w:sz="0" w:space="0" w:color="auto"/>
            <w:left w:val="none" w:sz="0" w:space="0" w:color="auto"/>
            <w:bottom w:val="none" w:sz="0" w:space="0" w:color="auto"/>
            <w:right w:val="none" w:sz="0" w:space="0" w:color="auto"/>
          </w:divBdr>
          <w:divsChild>
            <w:div w:id="74981581">
              <w:marLeft w:val="0"/>
              <w:marRight w:val="0"/>
              <w:marTop w:val="0"/>
              <w:marBottom w:val="0"/>
              <w:divBdr>
                <w:top w:val="none" w:sz="0" w:space="0" w:color="auto"/>
                <w:left w:val="none" w:sz="0" w:space="0" w:color="auto"/>
                <w:bottom w:val="none" w:sz="0" w:space="0" w:color="auto"/>
                <w:right w:val="none" w:sz="0" w:space="0" w:color="auto"/>
              </w:divBdr>
              <w:divsChild>
                <w:div w:id="13891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6377">
      <w:bodyDiv w:val="1"/>
      <w:marLeft w:val="0"/>
      <w:marRight w:val="0"/>
      <w:marTop w:val="0"/>
      <w:marBottom w:val="0"/>
      <w:divBdr>
        <w:top w:val="none" w:sz="0" w:space="0" w:color="auto"/>
        <w:left w:val="none" w:sz="0" w:space="0" w:color="auto"/>
        <w:bottom w:val="none" w:sz="0" w:space="0" w:color="auto"/>
        <w:right w:val="none" w:sz="0" w:space="0" w:color="auto"/>
      </w:divBdr>
    </w:div>
    <w:div w:id="481897255">
      <w:bodyDiv w:val="1"/>
      <w:marLeft w:val="0"/>
      <w:marRight w:val="0"/>
      <w:marTop w:val="0"/>
      <w:marBottom w:val="0"/>
      <w:divBdr>
        <w:top w:val="none" w:sz="0" w:space="0" w:color="auto"/>
        <w:left w:val="none" w:sz="0" w:space="0" w:color="auto"/>
        <w:bottom w:val="none" w:sz="0" w:space="0" w:color="auto"/>
        <w:right w:val="none" w:sz="0" w:space="0" w:color="auto"/>
      </w:divBdr>
      <w:divsChild>
        <w:div w:id="157698027">
          <w:marLeft w:val="0"/>
          <w:marRight w:val="0"/>
          <w:marTop w:val="0"/>
          <w:marBottom w:val="0"/>
          <w:divBdr>
            <w:top w:val="none" w:sz="0" w:space="0" w:color="auto"/>
            <w:left w:val="none" w:sz="0" w:space="0" w:color="auto"/>
            <w:bottom w:val="none" w:sz="0" w:space="0" w:color="auto"/>
            <w:right w:val="none" w:sz="0" w:space="0" w:color="auto"/>
          </w:divBdr>
          <w:divsChild>
            <w:div w:id="203101606">
              <w:marLeft w:val="0"/>
              <w:marRight w:val="0"/>
              <w:marTop w:val="0"/>
              <w:marBottom w:val="0"/>
              <w:divBdr>
                <w:top w:val="none" w:sz="0" w:space="0" w:color="auto"/>
                <w:left w:val="none" w:sz="0" w:space="0" w:color="auto"/>
                <w:bottom w:val="none" w:sz="0" w:space="0" w:color="auto"/>
                <w:right w:val="none" w:sz="0" w:space="0" w:color="auto"/>
              </w:divBdr>
              <w:divsChild>
                <w:div w:id="9845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53698">
      <w:bodyDiv w:val="1"/>
      <w:marLeft w:val="0"/>
      <w:marRight w:val="0"/>
      <w:marTop w:val="0"/>
      <w:marBottom w:val="0"/>
      <w:divBdr>
        <w:top w:val="none" w:sz="0" w:space="0" w:color="auto"/>
        <w:left w:val="none" w:sz="0" w:space="0" w:color="auto"/>
        <w:bottom w:val="none" w:sz="0" w:space="0" w:color="auto"/>
        <w:right w:val="none" w:sz="0" w:space="0" w:color="auto"/>
      </w:divBdr>
      <w:divsChild>
        <w:div w:id="1883439889">
          <w:marLeft w:val="0"/>
          <w:marRight w:val="0"/>
          <w:marTop w:val="0"/>
          <w:marBottom w:val="0"/>
          <w:divBdr>
            <w:top w:val="none" w:sz="0" w:space="0" w:color="auto"/>
            <w:left w:val="none" w:sz="0" w:space="0" w:color="auto"/>
            <w:bottom w:val="none" w:sz="0" w:space="0" w:color="auto"/>
            <w:right w:val="none" w:sz="0" w:space="0" w:color="auto"/>
          </w:divBdr>
          <w:divsChild>
            <w:div w:id="468665251">
              <w:marLeft w:val="0"/>
              <w:marRight w:val="0"/>
              <w:marTop w:val="0"/>
              <w:marBottom w:val="0"/>
              <w:divBdr>
                <w:top w:val="none" w:sz="0" w:space="0" w:color="auto"/>
                <w:left w:val="none" w:sz="0" w:space="0" w:color="auto"/>
                <w:bottom w:val="none" w:sz="0" w:space="0" w:color="auto"/>
                <w:right w:val="none" w:sz="0" w:space="0" w:color="auto"/>
              </w:divBdr>
              <w:divsChild>
                <w:div w:id="11520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15855">
      <w:bodyDiv w:val="1"/>
      <w:marLeft w:val="0"/>
      <w:marRight w:val="0"/>
      <w:marTop w:val="0"/>
      <w:marBottom w:val="0"/>
      <w:divBdr>
        <w:top w:val="none" w:sz="0" w:space="0" w:color="auto"/>
        <w:left w:val="none" w:sz="0" w:space="0" w:color="auto"/>
        <w:bottom w:val="none" w:sz="0" w:space="0" w:color="auto"/>
        <w:right w:val="none" w:sz="0" w:space="0" w:color="auto"/>
      </w:divBdr>
    </w:div>
    <w:div w:id="741217983">
      <w:bodyDiv w:val="1"/>
      <w:marLeft w:val="0"/>
      <w:marRight w:val="0"/>
      <w:marTop w:val="0"/>
      <w:marBottom w:val="0"/>
      <w:divBdr>
        <w:top w:val="none" w:sz="0" w:space="0" w:color="auto"/>
        <w:left w:val="none" w:sz="0" w:space="0" w:color="auto"/>
        <w:bottom w:val="none" w:sz="0" w:space="0" w:color="auto"/>
        <w:right w:val="none" w:sz="0" w:space="0" w:color="auto"/>
      </w:divBdr>
      <w:divsChild>
        <w:div w:id="1558203328">
          <w:marLeft w:val="0"/>
          <w:marRight w:val="0"/>
          <w:marTop w:val="0"/>
          <w:marBottom w:val="0"/>
          <w:divBdr>
            <w:top w:val="none" w:sz="0" w:space="0" w:color="auto"/>
            <w:left w:val="none" w:sz="0" w:space="0" w:color="auto"/>
            <w:bottom w:val="none" w:sz="0" w:space="0" w:color="auto"/>
            <w:right w:val="none" w:sz="0" w:space="0" w:color="auto"/>
          </w:divBdr>
          <w:divsChild>
            <w:div w:id="1563904828">
              <w:marLeft w:val="0"/>
              <w:marRight w:val="0"/>
              <w:marTop w:val="0"/>
              <w:marBottom w:val="0"/>
              <w:divBdr>
                <w:top w:val="none" w:sz="0" w:space="0" w:color="auto"/>
                <w:left w:val="none" w:sz="0" w:space="0" w:color="auto"/>
                <w:bottom w:val="none" w:sz="0" w:space="0" w:color="auto"/>
                <w:right w:val="none" w:sz="0" w:space="0" w:color="auto"/>
              </w:divBdr>
              <w:divsChild>
                <w:div w:id="101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339167">
      <w:bodyDiv w:val="1"/>
      <w:marLeft w:val="0"/>
      <w:marRight w:val="0"/>
      <w:marTop w:val="0"/>
      <w:marBottom w:val="0"/>
      <w:divBdr>
        <w:top w:val="none" w:sz="0" w:space="0" w:color="auto"/>
        <w:left w:val="none" w:sz="0" w:space="0" w:color="auto"/>
        <w:bottom w:val="none" w:sz="0" w:space="0" w:color="auto"/>
        <w:right w:val="none" w:sz="0" w:space="0" w:color="auto"/>
      </w:divBdr>
    </w:div>
    <w:div w:id="811948458">
      <w:bodyDiv w:val="1"/>
      <w:marLeft w:val="0"/>
      <w:marRight w:val="0"/>
      <w:marTop w:val="0"/>
      <w:marBottom w:val="0"/>
      <w:divBdr>
        <w:top w:val="none" w:sz="0" w:space="0" w:color="auto"/>
        <w:left w:val="none" w:sz="0" w:space="0" w:color="auto"/>
        <w:bottom w:val="none" w:sz="0" w:space="0" w:color="auto"/>
        <w:right w:val="none" w:sz="0" w:space="0" w:color="auto"/>
      </w:divBdr>
      <w:divsChild>
        <w:div w:id="119034844">
          <w:marLeft w:val="0"/>
          <w:marRight w:val="0"/>
          <w:marTop w:val="0"/>
          <w:marBottom w:val="0"/>
          <w:divBdr>
            <w:top w:val="none" w:sz="0" w:space="0" w:color="auto"/>
            <w:left w:val="none" w:sz="0" w:space="0" w:color="auto"/>
            <w:bottom w:val="none" w:sz="0" w:space="0" w:color="auto"/>
            <w:right w:val="none" w:sz="0" w:space="0" w:color="auto"/>
          </w:divBdr>
          <w:divsChild>
            <w:div w:id="1689285687">
              <w:marLeft w:val="0"/>
              <w:marRight w:val="0"/>
              <w:marTop w:val="0"/>
              <w:marBottom w:val="0"/>
              <w:divBdr>
                <w:top w:val="none" w:sz="0" w:space="0" w:color="auto"/>
                <w:left w:val="none" w:sz="0" w:space="0" w:color="auto"/>
                <w:bottom w:val="none" w:sz="0" w:space="0" w:color="auto"/>
                <w:right w:val="none" w:sz="0" w:space="0" w:color="auto"/>
              </w:divBdr>
              <w:divsChild>
                <w:div w:id="19393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85874">
      <w:bodyDiv w:val="1"/>
      <w:marLeft w:val="0"/>
      <w:marRight w:val="0"/>
      <w:marTop w:val="0"/>
      <w:marBottom w:val="0"/>
      <w:divBdr>
        <w:top w:val="none" w:sz="0" w:space="0" w:color="auto"/>
        <w:left w:val="none" w:sz="0" w:space="0" w:color="auto"/>
        <w:bottom w:val="none" w:sz="0" w:space="0" w:color="auto"/>
        <w:right w:val="none" w:sz="0" w:space="0" w:color="auto"/>
      </w:divBdr>
      <w:divsChild>
        <w:div w:id="359628026">
          <w:marLeft w:val="0"/>
          <w:marRight w:val="0"/>
          <w:marTop w:val="0"/>
          <w:marBottom w:val="0"/>
          <w:divBdr>
            <w:top w:val="none" w:sz="0" w:space="0" w:color="auto"/>
            <w:left w:val="none" w:sz="0" w:space="0" w:color="auto"/>
            <w:bottom w:val="none" w:sz="0" w:space="0" w:color="auto"/>
            <w:right w:val="none" w:sz="0" w:space="0" w:color="auto"/>
          </w:divBdr>
          <w:divsChild>
            <w:div w:id="1412656189">
              <w:marLeft w:val="0"/>
              <w:marRight w:val="0"/>
              <w:marTop w:val="0"/>
              <w:marBottom w:val="0"/>
              <w:divBdr>
                <w:top w:val="none" w:sz="0" w:space="0" w:color="auto"/>
                <w:left w:val="none" w:sz="0" w:space="0" w:color="auto"/>
                <w:bottom w:val="none" w:sz="0" w:space="0" w:color="auto"/>
                <w:right w:val="none" w:sz="0" w:space="0" w:color="auto"/>
              </w:divBdr>
              <w:divsChild>
                <w:div w:id="17519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32195">
      <w:bodyDiv w:val="1"/>
      <w:marLeft w:val="0"/>
      <w:marRight w:val="0"/>
      <w:marTop w:val="0"/>
      <w:marBottom w:val="0"/>
      <w:divBdr>
        <w:top w:val="none" w:sz="0" w:space="0" w:color="auto"/>
        <w:left w:val="none" w:sz="0" w:space="0" w:color="auto"/>
        <w:bottom w:val="none" w:sz="0" w:space="0" w:color="auto"/>
        <w:right w:val="none" w:sz="0" w:space="0" w:color="auto"/>
      </w:divBdr>
      <w:divsChild>
        <w:div w:id="315842401">
          <w:marLeft w:val="0"/>
          <w:marRight w:val="0"/>
          <w:marTop w:val="0"/>
          <w:marBottom w:val="0"/>
          <w:divBdr>
            <w:top w:val="none" w:sz="0" w:space="0" w:color="auto"/>
            <w:left w:val="none" w:sz="0" w:space="0" w:color="auto"/>
            <w:bottom w:val="none" w:sz="0" w:space="0" w:color="auto"/>
            <w:right w:val="none" w:sz="0" w:space="0" w:color="auto"/>
          </w:divBdr>
          <w:divsChild>
            <w:div w:id="703675006">
              <w:marLeft w:val="0"/>
              <w:marRight w:val="0"/>
              <w:marTop w:val="0"/>
              <w:marBottom w:val="0"/>
              <w:divBdr>
                <w:top w:val="none" w:sz="0" w:space="0" w:color="auto"/>
                <w:left w:val="none" w:sz="0" w:space="0" w:color="auto"/>
                <w:bottom w:val="none" w:sz="0" w:space="0" w:color="auto"/>
                <w:right w:val="none" w:sz="0" w:space="0" w:color="auto"/>
              </w:divBdr>
              <w:divsChild>
                <w:div w:id="517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44506">
      <w:bodyDiv w:val="1"/>
      <w:marLeft w:val="0"/>
      <w:marRight w:val="0"/>
      <w:marTop w:val="0"/>
      <w:marBottom w:val="0"/>
      <w:divBdr>
        <w:top w:val="none" w:sz="0" w:space="0" w:color="auto"/>
        <w:left w:val="none" w:sz="0" w:space="0" w:color="auto"/>
        <w:bottom w:val="none" w:sz="0" w:space="0" w:color="auto"/>
        <w:right w:val="none" w:sz="0" w:space="0" w:color="auto"/>
      </w:divBdr>
      <w:divsChild>
        <w:div w:id="187377401">
          <w:marLeft w:val="0"/>
          <w:marRight w:val="0"/>
          <w:marTop w:val="0"/>
          <w:marBottom w:val="0"/>
          <w:divBdr>
            <w:top w:val="none" w:sz="0" w:space="0" w:color="auto"/>
            <w:left w:val="none" w:sz="0" w:space="0" w:color="auto"/>
            <w:bottom w:val="none" w:sz="0" w:space="0" w:color="auto"/>
            <w:right w:val="none" w:sz="0" w:space="0" w:color="auto"/>
          </w:divBdr>
          <w:divsChild>
            <w:div w:id="472991045">
              <w:marLeft w:val="0"/>
              <w:marRight w:val="0"/>
              <w:marTop w:val="0"/>
              <w:marBottom w:val="0"/>
              <w:divBdr>
                <w:top w:val="none" w:sz="0" w:space="0" w:color="auto"/>
                <w:left w:val="none" w:sz="0" w:space="0" w:color="auto"/>
                <w:bottom w:val="none" w:sz="0" w:space="0" w:color="auto"/>
                <w:right w:val="none" w:sz="0" w:space="0" w:color="auto"/>
              </w:divBdr>
              <w:divsChild>
                <w:div w:id="1972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01953">
      <w:bodyDiv w:val="1"/>
      <w:marLeft w:val="0"/>
      <w:marRight w:val="0"/>
      <w:marTop w:val="0"/>
      <w:marBottom w:val="0"/>
      <w:divBdr>
        <w:top w:val="none" w:sz="0" w:space="0" w:color="auto"/>
        <w:left w:val="none" w:sz="0" w:space="0" w:color="auto"/>
        <w:bottom w:val="none" w:sz="0" w:space="0" w:color="auto"/>
        <w:right w:val="none" w:sz="0" w:space="0" w:color="auto"/>
      </w:divBdr>
    </w:div>
    <w:div w:id="920602980">
      <w:bodyDiv w:val="1"/>
      <w:marLeft w:val="0"/>
      <w:marRight w:val="0"/>
      <w:marTop w:val="0"/>
      <w:marBottom w:val="0"/>
      <w:divBdr>
        <w:top w:val="none" w:sz="0" w:space="0" w:color="auto"/>
        <w:left w:val="none" w:sz="0" w:space="0" w:color="auto"/>
        <w:bottom w:val="none" w:sz="0" w:space="0" w:color="auto"/>
        <w:right w:val="none" w:sz="0" w:space="0" w:color="auto"/>
      </w:divBdr>
    </w:div>
    <w:div w:id="960452003">
      <w:bodyDiv w:val="1"/>
      <w:marLeft w:val="0"/>
      <w:marRight w:val="0"/>
      <w:marTop w:val="0"/>
      <w:marBottom w:val="0"/>
      <w:divBdr>
        <w:top w:val="none" w:sz="0" w:space="0" w:color="auto"/>
        <w:left w:val="none" w:sz="0" w:space="0" w:color="auto"/>
        <w:bottom w:val="none" w:sz="0" w:space="0" w:color="auto"/>
        <w:right w:val="none" w:sz="0" w:space="0" w:color="auto"/>
      </w:divBdr>
      <w:divsChild>
        <w:div w:id="766121703">
          <w:marLeft w:val="0"/>
          <w:marRight w:val="0"/>
          <w:marTop w:val="0"/>
          <w:marBottom w:val="0"/>
          <w:divBdr>
            <w:top w:val="none" w:sz="0" w:space="0" w:color="auto"/>
            <w:left w:val="none" w:sz="0" w:space="0" w:color="auto"/>
            <w:bottom w:val="none" w:sz="0" w:space="0" w:color="auto"/>
            <w:right w:val="none" w:sz="0" w:space="0" w:color="auto"/>
          </w:divBdr>
          <w:divsChild>
            <w:div w:id="1886942554">
              <w:marLeft w:val="0"/>
              <w:marRight w:val="0"/>
              <w:marTop w:val="0"/>
              <w:marBottom w:val="0"/>
              <w:divBdr>
                <w:top w:val="none" w:sz="0" w:space="0" w:color="auto"/>
                <w:left w:val="none" w:sz="0" w:space="0" w:color="auto"/>
                <w:bottom w:val="none" w:sz="0" w:space="0" w:color="auto"/>
                <w:right w:val="none" w:sz="0" w:space="0" w:color="auto"/>
              </w:divBdr>
              <w:divsChild>
                <w:div w:id="20508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87850">
      <w:bodyDiv w:val="1"/>
      <w:marLeft w:val="0"/>
      <w:marRight w:val="0"/>
      <w:marTop w:val="0"/>
      <w:marBottom w:val="0"/>
      <w:divBdr>
        <w:top w:val="none" w:sz="0" w:space="0" w:color="auto"/>
        <w:left w:val="none" w:sz="0" w:space="0" w:color="auto"/>
        <w:bottom w:val="none" w:sz="0" w:space="0" w:color="auto"/>
        <w:right w:val="none" w:sz="0" w:space="0" w:color="auto"/>
      </w:divBdr>
    </w:div>
    <w:div w:id="1087310577">
      <w:bodyDiv w:val="1"/>
      <w:marLeft w:val="0"/>
      <w:marRight w:val="0"/>
      <w:marTop w:val="0"/>
      <w:marBottom w:val="0"/>
      <w:divBdr>
        <w:top w:val="none" w:sz="0" w:space="0" w:color="auto"/>
        <w:left w:val="none" w:sz="0" w:space="0" w:color="auto"/>
        <w:bottom w:val="none" w:sz="0" w:space="0" w:color="auto"/>
        <w:right w:val="none" w:sz="0" w:space="0" w:color="auto"/>
      </w:divBdr>
      <w:divsChild>
        <w:div w:id="1007054517">
          <w:marLeft w:val="0"/>
          <w:marRight w:val="0"/>
          <w:marTop w:val="0"/>
          <w:marBottom w:val="0"/>
          <w:divBdr>
            <w:top w:val="none" w:sz="0" w:space="0" w:color="auto"/>
            <w:left w:val="none" w:sz="0" w:space="0" w:color="auto"/>
            <w:bottom w:val="none" w:sz="0" w:space="0" w:color="auto"/>
            <w:right w:val="none" w:sz="0" w:space="0" w:color="auto"/>
          </w:divBdr>
          <w:divsChild>
            <w:div w:id="662928728">
              <w:marLeft w:val="0"/>
              <w:marRight w:val="0"/>
              <w:marTop w:val="0"/>
              <w:marBottom w:val="0"/>
              <w:divBdr>
                <w:top w:val="none" w:sz="0" w:space="0" w:color="auto"/>
                <w:left w:val="none" w:sz="0" w:space="0" w:color="auto"/>
                <w:bottom w:val="none" w:sz="0" w:space="0" w:color="auto"/>
                <w:right w:val="none" w:sz="0" w:space="0" w:color="auto"/>
              </w:divBdr>
              <w:divsChild>
                <w:div w:id="1466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4269">
      <w:bodyDiv w:val="1"/>
      <w:marLeft w:val="0"/>
      <w:marRight w:val="0"/>
      <w:marTop w:val="0"/>
      <w:marBottom w:val="0"/>
      <w:divBdr>
        <w:top w:val="none" w:sz="0" w:space="0" w:color="auto"/>
        <w:left w:val="none" w:sz="0" w:space="0" w:color="auto"/>
        <w:bottom w:val="none" w:sz="0" w:space="0" w:color="auto"/>
        <w:right w:val="none" w:sz="0" w:space="0" w:color="auto"/>
      </w:divBdr>
    </w:div>
    <w:div w:id="1165323332">
      <w:bodyDiv w:val="1"/>
      <w:marLeft w:val="0"/>
      <w:marRight w:val="0"/>
      <w:marTop w:val="0"/>
      <w:marBottom w:val="0"/>
      <w:divBdr>
        <w:top w:val="none" w:sz="0" w:space="0" w:color="auto"/>
        <w:left w:val="none" w:sz="0" w:space="0" w:color="auto"/>
        <w:bottom w:val="none" w:sz="0" w:space="0" w:color="auto"/>
        <w:right w:val="none" w:sz="0" w:space="0" w:color="auto"/>
      </w:divBdr>
    </w:div>
    <w:div w:id="1397971224">
      <w:bodyDiv w:val="1"/>
      <w:marLeft w:val="0"/>
      <w:marRight w:val="0"/>
      <w:marTop w:val="0"/>
      <w:marBottom w:val="0"/>
      <w:divBdr>
        <w:top w:val="none" w:sz="0" w:space="0" w:color="auto"/>
        <w:left w:val="none" w:sz="0" w:space="0" w:color="auto"/>
        <w:bottom w:val="none" w:sz="0" w:space="0" w:color="auto"/>
        <w:right w:val="none" w:sz="0" w:space="0" w:color="auto"/>
      </w:divBdr>
    </w:div>
    <w:div w:id="1414469335">
      <w:bodyDiv w:val="1"/>
      <w:marLeft w:val="0"/>
      <w:marRight w:val="0"/>
      <w:marTop w:val="0"/>
      <w:marBottom w:val="0"/>
      <w:divBdr>
        <w:top w:val="none" w:sz="0" w:space="0" w:color="auto"/>
        <w:left w:val="none" w:sz="0" w:space="0" w:color="auto"/>
        <w:bottom w:val="none" w:sz="0" w:space="0" w:color="auto"/>
        <w:right w:val="none" w:sz="0" w:space="0" w:color="auto"/>
      </w:divBdr>
      <w:divsChild>
        <w:div w:id="510414202">
          <w:marLeft w:val="0"/>
          <w:marRight w:val="0"/>
          <w:marTop w:val="0"/>
          <w:marBottom w:val="0"/>
          <w:divBdr>
            <w:top w:val="none" w:sz="0" w:space="0" w:color="auto"/>
            <w:left w:val="none" w:sz="0" w:space="0" w:color="auto"/>
            <w:bottom w:val="none" w:sz="0" w:space="0" w:color="auto"/>
            <w:right w:val="none" w:sz="0" w:space="0" w:color="auto"/>
          </w:divBdr>
          <w:divsChild>
            <w:div w:id="335764344">
              <w:marLeft w:val="0"/>
              <w:marRight w:val="0"/>
              <w:marTop w:val="0"/>
              <w:marBottom w:val="0"/>
              <w:divBdr>
                <w:top w:val="none" w:sz="0" w:space="0" w:color="auto"/>
                <w:left w:val="none" w:sz="0" w:space="0" w:color="auto"/>
                <w:bottom w:val="none" w:sz="0" w:space="0" w:color="auto"/>
                <w:right w:val="none" w:sz="0" w:space="0" w:color="auto"/>
              </w:divBdr>
              <w:divsChild>
                <w:div w:id="9908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78460">
      <w:bodyDiv w:val="1"/>
      <w:marLeft w:val="0"/>
      <w:marRight w:val="0"/>
      <w:marTop w:val="0"/>
      <w:marBottom w:val="0"/>
      <w:divBdr>
        <w:top w:val="none" w:sz="0" w:space="0" w:color="auto"/>
        <w:left w:val="none" w:sz="0" w:space="0" w:color="auto"/>
        <w:bottom w:val="none" w:sz="0" w:space="0" w:color="auto"/>
        <w:right w:val="none" w:sz="0" w:space="0" w:color="auto"/>
      </w:divBdr>
      <w:divsChild>
        <w:div w:id="12196541">
          <w:marLeft w:val="0"/>
          <w:marRight w:val="0"/>
          <w:marTop w:val="0"/>
          <w:marBottom w:val="0"/>
          <w:divBdr>
            <w:top w:val="none" w:sz="0" w:space="0" w:color="auto"/>
            <w:left w:val="none" w:sz="0" w:space="0" w:color="auto"/>
            <w:bottom w:val="none" w:sz="0" w:space="0" w:color="auto"/>
            <w:right w:val="none" w:sz="0" w:space="0" w:color="auto"/>
          </w:divBdr>
          <w:divsChild>
            <w:div w:id="806623917">
              <w:marLeft w:val="0"/>
              <w:marRight w:val="0"/>
              <w:marTop w:val="0"/>
              <w:marBottom w:val="0"/>
              <w:divBdr>
                <w:top w:val="none" w:sz="0" w:space="0" w:color="auto"/>
                <w:left w:val="none" w:sz="0" w:space="0" w:color="auto"/>
                <w:bottom w:val="none" w:sz="0" w:space="0" w:color="auto"/>
                <w:right w:val="none" w:sz="0" w:space="0" w:color="auto"/>
              </w:divBdr>
              <w:divsChild>
                <w:div w:id="16004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81966">
      <w:bodyDiv w:val="1"/>
      <w:marLeft w:val="0"/>
      <w:marRight w:val="0"/>
      <w:marTop w:val="0"/>
      <w:marBottom w:val="0"/>
      <w:divBdr>
        <w:top w:val="none" w:sz="0" w:space="0" w:color="auto"/>
        <w:left w:val="none" w:sz="0" w:space="0" w:color="auto"/>
        <w:bottom w:val="none" w:sz="0" w:space="0" w:color="auto"/>
        <w:right w:val="none" w:sz="0" w:space="0" w:color="auto"/>
      </w:divBdr>
      <w:divsChild>
        <w:div w:id="1325426204">
          <w:marLeft w:val="0"/>
          <w:marRight w:val="0"/>
          <w:marTop w:val="0"/>
          <w:marBottom w:val="0"/>
          <w:divBdr>
            <w:top w:val="none" w:sz="0" w:space="0" w:color="auto"/>
            <w:left w:val="none" w:sz="0" w:space="0" w:color="auto"/>
            <w:bottom w:val="none" w:sz="0" w:space="0" w:color="auto"/>
            <w:right w:val="none" w:sz="0" w:space="0" w:color="auto"/>
          </w:divBdr>
          <w:divsChild>
            <w:div w:id="465859140">
              <w:marLeft w:val="0"/>
              <w:marRight w:val="0"/>
              <w:marTop w:val="0"/>
              <w:marBottom w:val="0"/>
              <w:divBdr>
                <w:top w:val="none" w:sz="0" w:space="0" w:color="auto"/>
                <w:left w:val="none" w:sz="0" w:space="0" w:color="auto"/>
                <w:bottom w:val="none" w:sz="0" w:space="0" w:color="auto"/>
                <w:right w:val="none" w:sz="0" w:space="0" w:color="auto"/>
              </w:divBdr>
              <w:divsChild>
                <w:div w:id="12006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34926">
      <w:bodyDiv w:val="1"/>
      <w:marLeft w:val="0"/>
      <w:marRight w:val="0"/>
      <w:marTop w:val="0"/>
      <w:marBottom w:val="0"/>
      <w:divBdr>
        <w:top w:val="none" w:sz="0" w:space="0" w:color="auto"/>
        <w:left w:val="none" w:sz="0" w:space="0" w:color="auto"/>
        <w:bottom w:val="none" w:sz="0" w:space="0" w:color="auto"/>
        <w:right w:val="none" w:sz="0" w:space="0" w:color="auto"/>
      </w:divBdr>
    </w:div>
    <w:div w:id="1674256175">
      <w:bodyDiv w:val="1"/>
      <w:marLeft w:val="0"/>
      <w:marRight w:val="0"/>
      <w:marTop w:val="0"/>
      <w:marBottom w:val="0"/>
      <w:divBdr>
        <w:top w:val="none" w:sz="0" w:space="0" w:color="auto"/>
        <w:left w:val="none" w:sz="0" w:space="0" w:color="auto"/>
        <w:bottom w:val="none" w:sz="0" w:space="0" w:color="auto"/>
        <w:right w:val="none" w:sz="0" w:space="0" w:color="auto"/>
      </w:divBdr>
      <w:divsChild>
        <w:div w:id="903100883">
          <w:marLeft w:val="0"/>
          <w:marRight w:val="0"/>
          <w:marTop w:val="0"/>
          <w:marBottom w:val="0"/>
          <w:divBdr>
            <w:top w:val="none" w:sz="0" w:space="0" w:color="auto"/>
            <w:left w:val="none" w:sz="0" w:space="0" w:color="auto"/>
            <w:bottom w:val="none" w:sz="0" w:space="0" w:color="auto"/>
            <w:right w:val="none" w:sz="0" w:space="0" w:color="auto"/>
          </w:divBdr>
          <w:divsChild>
            <w:div w:id="1911578265">
              <w:marLeft w:val="0"/>
              <w:marRight w:val="0"/>
              <w:marTop w:val="0"/>
              <w:marBottom w:val="0"/>
              <w:divBdr>
                <w:top w:val="none" w:sz="0" w:space="0" w:color="auto"/>
                <w:left w:val="none" w:sz="0" w:space="0" w:color="auto"/>
                <w:bottom w:val="none" w:sz="0" w:space="0" w:color="auto"/>
                <w:right w:val="none" w:sz="0" w:space="0" w:color="auto"/>
              </w:divBdr>
              <w:divsChild>
                <w:div w:id="4826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262196">
      <w:bodyDiv w:val="1"/>
      <w:marLeft w:val="0"/>
      <w:marRight w:val="0"/>
      <w:marTop w:val="0"/>
      <w:marBottom w:val="0"/>
      <w:divBdr>
        <w:top w:val="none" w:sz="0" w:space="0" w:color="auto"/>
        <w:left w:val="none" w:sz="0" w:space="0" w:color="auto"/>
        <w:bottom w:val="none" w:sz="0" w:space="0" w:color="auto"/>
        <w:right w:val="none" w:sz="0" w:space="0" w:color="auto"/>
      </w:divBdr>
      <w:divsChild>
        <w:div w:id="1796483661">
          <w:marLeft w:val="0"/>
          <w:marRight w:val="0"/>
          <w:marTop w:val="0"/>
          <w:marBottom w:val="0"/>
          <w:divBdr>
            <w:top w:val="none" w:sz="0" w:space="0" w:color="auto"/>
            <w:left w:val="none" w:sz="0" w:space="0" w:color="auto"/>
            <w:bottom w:val="none" w:sz="0" w:space="0" w:color="auto"/>
            <w:right w:val="none" w:sz="0" w:space="0" w:color="auto"/>
          </w:divBdr>
          <w:divsChild>
            <w:div w:id="1488398115">
              <w:marLeft w:val="0"/>
              <w:marRight w:val="0"/>
              <w:marTop w:val="0"/>
              <w:marBottom w:val="0"/>
              <w:divBdr>
                <w:top w:val="none" w:sz="0" w:space="0" w:color="auto"/>
                <w:left w:val="none" w:sz="0" w:space="0" w:color="auto"/>
                <w:bottom w:val="none" w:sz="0" w:space="0" w:color="auto"/>
                <w:right w:val="none" w:sz="0" w:space="0" w:color="auto"/>
              </w:divBdr>
              <w:divsChild>
                <w:div w:id="6282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68446">
      <w:bodyDiv w:val="1"/>
      <w:marLeft w:val="0"/>
      <w:marRight w:val="0"/>
      <w:marTop w:val="0"/>
      <w:marBottom w:val="0"/>
      <w:divBdr>
        <w:top w:val="none" w:sz="0" w:space="0" w:color="auto"/>
        <w:left w:val="none" w:sz="0" w:space="0" w:color="auto"/>
        <w:bottom w:val="none" w:sz="0" w:space="0" w:color="auto"/>
        <w:right w:val="none" w:sz="0" w:space="0" w:color="auto"/>
      </w:divBdr>
    </w:div>
    <w:div w:id="1947695287">
      <w:bodyDiv w:val="1"/>
      <w:marLeft w:val="0"/>
      <w:marRight w:val="0"/>
      <w:marTop w:val="0"/>
      <w:marBottom w:val="0"/>
      <w:divBdr>
        <w:top w:val="none" w:sz="0" w:space="0" w:color="auto"/>
        <w:left w:val="none" w:sz="0" w:space="0" w:color="auto"/>
        <w:bottom w:val="none" w:sz="0" w:space="0" w:color="auto"/>
        <w:right w:val="none" w:sz="0" w:space="0" w:color="auto"/>
      </w:divBdr>
      <w:divsChild>
        <w:div w:id="1933051686">
          <w:marLeft w:val="0"/>
          <w:marRight w:val="0"/>
          <w:marTop w:val="0"/>
          <w:marBottom w:val="0"/>
          <w:divBdr>
            <w:top w:val="none" w:sz="0" w:space="0" w:color="auto"/>
            <w:left w:val="none" w:sz="0" w:space="0" w:color="auto"/>
            <w:bottom w:val="none" w:sz="0" w:space="0" w:color="auto"/>
            <w:right w:val="none" w:sz="0" w:space="0" w:color="auto"/>
          </w:divBdr>
        </w:div>
        <w:div w:id="1070347874">
          <w:marLeft w:val="0"/>
          <w:marRight w:val="0"/>
          <w:marTop w:val="0"/>
          <w:marBottom w:val="0"/>
          <w:divBdr>
            <w:top w:val="none" w:sz="0" w:space="0" w:color="auto"/>
            <w:left w:val="none" w:sz="0" w:space="0" w:color="auto"/>
            <w:bottom w:val="none" w:sz="0" w:space="0" w:color="auto"/>
            <w:right w:val="none" w:sz="0" w:space="0" w:color="auto"/>
          </w:divBdr>
        </w:div>
      </w:divsChild>
    </w:div>
    <w:div w:id="1971396391">
      <w:bodyDiv w:val="1"/>
      <w:marLeft w:val="0"/>
      <w:marRight w:val="0"/>
      <w:marTop w:val="0"/>
      <w:marBottom w:val="0"/>
      <w:divBdr>
        <w:top w:val="none" w:sz="0" w:space="0" w:color="auto"/>
        <w:left w:val="none" w:sz="0" w:space="0" w:color="auto"/>
        <w:bottom w:val="none" w:sz="0" w:space="0" w:color="auto"/>
        <w:right w:val="none" w:sz="0" w:space="0" w:color="auto"/>
      </w:divBdr>
    </w:div>
    <w:div w:id="2032486513">
      <w:bodyDiv w:val="1"/>
      <w:marLeft w:val="0"/>
      <w:marRight w:val="0"/>
      <w:marTop w:val="0"/>
      <w:marBottom w:val="0"/>
      <w:divBdr>
        <w:top w:val="none" w:sz="0" w:space="0" w:color="auto"/>
        <w:left w:val="none" w:sz="0" w:space="0" w:color="auto"/>
        <w:bottom w:val="none" w:sz="0" w:space="0" w:color="auto"/>
        <w:right w:val="none" w:sz="0" w:space="0" w:color="auto"/>
      </w:divBdr>
    </w:div>
    <w:div w:id="2040857099">
      <w:bodyDiv w:val="1"/>
      <w:marLeft w:val="0"/>
      <w:marRight w:val="0"/>
      <w:marTop w:val="0"/>
      <w:marBottom w:val="0"/>
      <w:divBdr>
        <w:top w:val="none" w:sz="0" w:space="0" w:color="auto"/>
        <w:left w:val="none" w:sz="0" w:space="0" w:color="auto"/>
        <w:bottom w:val="none" w:sz="0" w:space="0" w:color="auto"/>
        <w:right w:val="none" w:sz="0" w:space="0" w:color="auto"/>
      </w:divBdr>
      <w:divsChild>
        <w:div w:id="1262301004">
          <w:marLeft w:val="0"/>
          <w:marRight w:val="0"/>
          <w:marTop w:val="0"/>
          <w:marBottom w:val="0"/>
          <w:divBdr>
            <w:top w:val="none" w:sz="0" w:space="0" w:color="auto"/>
            <w:left w:val="none" w:sz="0" w:space="0" w:color="auto"/>
            <w:bottom w:val="none" w:sz="0" w:space="0" w:color="auto"/>
            <w:right w:val="none" w:sz="0" w:space="0" w:color="auto"/>
          </w:divBdr>
          <w:divsChild>
            <w:div w:id="2112697396">
              <w:marLeft w:val="0"/>
              <w:marRight w:val="0"/>
              <w:marTop w:val="0"/>
              <w:marBottom w:val="0"/>
              <w:divBdr>
                <w:top w:val="none" w:sz="0" w:space="0" w:color="auto"/>
                <w:left w:val="none" w:sz="0" w:space="0" w:color="auto"/>
                <w:bottom w:val="none" w:sz="0" w:space="0" w:color="auto"/>
                <w:right w:val="none" w:sz="0" w:space="0" w:color="auto"/>
              </w:divBdr>
              <w:divsChild>
                <w:div w:id="12821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4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yperlink" Target="http://returnpath.com/wp-content/uploads/2015/06/RP-Frequency-Report-FINAL.pdf" TargetMode="External"/><Relationship Id="rId39" Type="http://schemas.openxmlformats.org/officeDocument/2006/relationships/hyperlink" Target="http://www.forbes.com/sites/tomiogeron/2013/01/23/airbnb-and-the-unstoppable-rise-of-the-share-economy/" TargetMode="External"/><Relationship Id="rId21" Type="http://schemas.openxmlformats.org/officeDocument/2006/relationships/image" Target="media/image9.png"/><Relationship Id="rId34" Type="http://schemas.openxmlformats.org/officeDocument/2006/relationships/hyperlink" Target="https://journals.sagepub.com/doi/epub/10.1177/1094996822109555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eblibrary.miu.edu.my/upload/ebook/management%20_and_business/2018_Book_CustomerRelationshipManagement.pdf" TargetMode="External"/><Relationship Id="rId20" Type="http://schemas.openxmlformats.org/officeDocument/2006/relationships/image" Target="media/image8.png"/><Relationship Id="rId29" Type="http://schemas.openxmlformats.org/officeDocument/2006/relationships/hyperlink" Target="file:///C:/Users/felix.oechslein/Downloads/palgrave.jt.5740035.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yperlink" Target="https://weblibrary.miu.edu.my/upload/ebook/management%20_and_business/2018_Book_CustomerRelationshipManagement.pdf" TargetMode="External"/><Relationship Id="rId37" Type="http://schemas.openxmlformats.org/officeDocument/2006/relationships/hyperlink" Target="https://owl.purdue.edu/owl/research_and_citation/apa_style/apa_formatting_and_style_guide/in_text_citations_the_basics.html" TargetMode="External"/><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weblibrary.miu.edu.my/upload/ebook/management%20_and_business/2018_Book_CustomerRelationshipManagement.pdf" TargetMode="External"/><Relationship Id="rId23" Type="http://schemas.openxmlformats.org/officeDocument/2006/relationships/image" Target="media/image11.png"/><Relationship Id="rId28" Type="http://schemas.openxmlformats.org/officeDocument/2006/relationships/hyperlink" Target="file:///C:/Users/felix.oechslein/Downloads/10-1108_JBIM-07-2021-0332-1.pdf" TargetMode="External"/><Relationship Id="rId36"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www.deloittedigital.at/kundenbindung-kundenloyalita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eblibrary.miu.edu.my/upload/ebook/management%20_and_business/2018_Book_CustomerRelationshipManagement.pdf" TargetMode="External"/><Relationship Id="rId22" Type="http://schemas.openxmlformats.org/officeDocument/2006/relationships/image" Target="media/image10.png"/><Relationship Id="rId27" Type="http://schemas.openxmlformats.org/officeDocument/2006/relationships/hyperlink" Target="https://journals.sagepub.com/doi/epub/10.1177/10949968221095552" TargetMode="External"/><Relationship Id="rId30" Type="http://schemas.openxmlformats.org/officeDocument/2006/relationships/hyperlink" Target="https://weblibrary.miu.edu.my/upload/ebook/management%20_and_business/2018_Book_CustomerRelationshipManagement.pdf" TargetMode="External"/><Relationship Id="rId35" Type="http://schemas.openxmlformats.org/officeDocument/2006/relationships/hyperlink" Target="https://journals.sagepub.com/doi/epub/10.1509/jmr.13.0169"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file:///C:/Users/felix.oechslein/Downloads/Masterarbeit%20Lars%20Moestue.pdf" TargetMode="External"/><Relationship Id="rId33" Type="http://schemas.openxmlformats.org/officeDocument/2006/relationships/image" Target="media/image13.png"/><Relationship Id="rId38" Type="http://schemas.openxmlformats.org/officeDocument/2006/relationships/header" Target="header4.xml"/></Relationships>
</file>

<file path=word/_rels/foot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9E1A8A-9FE6-4AE9-B168-69A84F927E29}">
  <we:reference id="wa200002891" version="2021.3.29.10" store="de-DE" storeType="OMEX"/>
  <we:alternateReferences>
    <we:reference id="wa200002891" version="2021.3.29.10" store="wa200002891" storeType="OMEX"/>
  </we:alternateReferences>
  <we:properties>
    <we:property name="CitaviDocumentProperty_1007" value="&quot;0aae0612-87f8-7e98-a6da-cb6c2ea343d6&quot;"/>
    <we:property name="CitaviDocumentProperty_1008" value="&quot;knowledgeitems&quot;"/>
    <we:property name="CitaviDocumentProperty_31" value="&quot;owurengoxvx6nbylkibe5hb83zcixn4rciyp936xcfc8j&quot;"/>
    <we:property name="CitaviDocumentProperty_33" value="&quot;{\&quot;CitationSystem\&quot;:1,\&quot;FileName\&quot;:\&quot;CitaviDefaultCitationStyle_de.ccs\&quot;,\&quot;Name\&quot;:\&quot;Citavi Basis-Stil\&quot;,\&quot;Id\&quot;:\&quot;f1ed8f7d-1c65-4f06-ad48-3e96e725bea1\&quot;,\&quot;Version\&quot;:21}&quot;"/>
    <we:property name="CitaviDocumentProperty_34" value="16"/>
    <we:property name="CitaviDocumentProperty_7" value="&quot;Masterarbeit&quot;"/>
    <we:property name="CitaviDocumentProperty_8" value="&quot;WestEurope&quot;"/>
    <we:property name="Office.AutoShowTaskpaneWithDocument"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7D768-8D97-4656-B78E-650C9E526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11972</Words>
  <Characters>75430</Characters>
  <Application>Microsoft Office Word</Application>
  <DocSecurity>0</DocSecurity>
  <Lines>628</Lines>
  <Paragraphs>174</Paragraphs>
  <ScaleCrop>false</ScaleCrop>
  <HeadingPairs>
    <vt:vector size="2" baseType="variant">
      <vt:variant>
        <vt:lpstr>Titel</vt:lpstr>
      </vt:variant>
      <vt:variant>
        <vt:i4>1</vt:i4>
      </vt:variant>
    </vt:vector>
  </HeadingPairs>
  <TitlesOfParts>
    <vt:vector size="1" baseType="lpstr">
      <vt:lpstr/>
    </vt:vector>
  </TitlesOfParts>
  <Company>Uni Ulm</Company>
  <LinksUpToDate>false</LinksUpToDate>
  <CharactersWithSpaces>87228</CharactersWithSpaces>
  <SharedDoc>false</SharedDoc>
  <HLinks>
    <vt:vector size="18" baseType="variant">
      <vt:variant>
        <vt:i4>3735656</vt:i4>
      </vt:variant>
      <vt:variant>
        <vt:i4>72</vt:i4>
      </vt:variant>
      <vt:variant>
        <vt:i4>0</vt:i4>
      </vt:variant>
      <vt:variant>
        <vt:i4>5</vt:i4>
      </vt:variant>
      <vt:variant>
        <vt:lpwstr>http://www.forbes.com/sites/tomiogeron/2013/01/23/airbnb-and-the-unstoppable-rise-of-the-share-economy/</vt:lpwstr>
      </vt:variant>
      <vt:variant>
        <vt:lpwstr/>
      </vt:variant>
      <vt:variant>
        <vt:i4>1245234</vt:i4>
      </vt:variant>
      <vt:variant>
        <vt:i4>59</vt:i4>
      </vt:variant>
      <vt:variant>
        <vt:i4>0</vt:i4>
      </vt:variant>
      <vt:variant>
        <vt:i4>5</vt:i4>
      </vt:variant>
      <vt:variant>
        <vt:lpwstr/>
      </vt:variant>
      <vt:variant>
        <vt:lpwstr>_Toc489367989</vt:lpwstr>
      </vt:variant>
      <vt:variant>
        <vt:i4>1638460</vt:i4>
      </vt:variant>
      <vt:variant>
        <vt:i4>50</vt:i4>
      </vt:variant>
      <vt:variant>
        <vt:i4>0</vt:i4>
      </vt:variant>
      <vt:variant>
        <vt:i4>5</vt:i4>
      </vt:variant>
      <vt:variant>
        <vt:lpwstr/>
      </vt:variant>
      <vt:variant>
        <vt:lpwstr>_Toc489367724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Schallmo</dc:creator>
  <cp:keywords/>
  <dc:description/>
  <cp:lastModifiedBy>Felix Oechslein</cp:lastModifiedBy>
  <cp:revision>29</cp:revision>
  <cp:lastPrinted>2020-11-23T13:30:00Z</cp:lastPrinted>
  <dcterms:created xsi:type="dcterms:W3CDTF">2023-04-02T18:14:00Z</dcterms:created>
  <dcterms:modified xsi:type="dcterms:W3CDTF">2023-06-28T10:18:00Z</dcterms:modified>
</cp:coreProperties>
</file>