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cs="華康細明體"/>
        </w:rPr>
      </w:pPr>
      <w:r>
        <w:rPr>
          <w:rFonts w:cs="華康細明體"/>
        </w:rPr>
      </w:r>
      <w:bookmarkStart w:id="0" w:name="_GoBack"/>
      <w:bookmarkStart w:id="1" w:name="_GoBack"/>
      <w:bookmarkEnd w:id="1"/>
    </w:p>
    <w:p>
      <w:pPr>
        <w:pStyle w:val="F21"/>
        <w:jc w:val="center"/>
        <w:rPr>
          <w:rFonts w:ascii="華康中黑體" w:hAnsi="華康中黑體" w:eastAsia="華康中黑體"/>
          <w:sz w:val="40"/>
          <w:szCs w:val="40"/>
        </w:rPr>
      </w:pPr>
      <w:r>
        <w:rPr>
          <w:rFonts w:ascii="華康中黑體" w:hAnsi="華康中黑體" w:eastAsia="華康中黑體"/>
          <w:sz w:val="40"/>
          <w:szCs w:val="40"/>
        </w:rPr>
        <w:t>會議過程正式紀錄</w:t>
      </w:r>
    </w:p>
    <w:p>
      <w:pPr>
        <w:pStyle w:val="Normal"/>
        <w:jc w:val="center"/>
        <w:rPr>
          <w:rFonts w:cs="華康細明體"/>
          <w:b/>
          <w:b/>
          <w:sz w:val="40"/>
          <w:szCs w:val="40"/>
        </w:rPr>
      </w:pPr>
      <w:r>
        <w:rPr>
          <w:rFonts w:cs="華康細明體"/>
          <w:b/>
          <w:sz w:val="40"/>
          <w:szCs w:val="40"/>
        </w:rPr>
        <w:t>OFFICIAL RECORD OF PROCEEDINGS</w:t>
      </w:r>
    </w:p>
    <w:p>
      <w:pPr>
        <w:pStyle w:val="Normal"/>
        <w:tabs>
          <w:tab w:val="left" w:pos="720" w:leader="none"/>
          <w:tab w:val="left" w:pos="2415" w:leader="none"/>
        </w:tabs>
        <w:jc w:val="center"/>
        <w:rPr>
          <w:rFonts w:cs="華康細明體"/>
          <w:sz w:val="27"/>
          <w:szCs w:val="27"/>
        </w:rPr>
      </w:pPr>
      <w:r>
        <w:rPr>
          <w:rFonts w:cs="華康細明體"/>
          <w:sz w:val="27"/>
          <w:szCs w:val="27"/>
        </w:rPr>
      </w:r>
    </w:p>
    <w:p>
      <w:pPr>
        <w:pStyle w:val="F21"/>
        <w:jc w:val="center"/>
        <w:rPr>
          <w:rFonts w:eastAsia="華康中黑體" w:cs="Times New Roman"/>
          <w:b/>
          <w:b/>
          <w:sz w:val="28"/>
          <w:szCs w:val="28"/>
        </w:rPr>
      </w:pPr>
      <w:r>
        <w:rPr>
          <w:rFonts w:eastAsia="華康中黑體" w:cs="Times New Roman"/>
          <w:b/>
          <w:sz w:val="28"/>
          <w:szCs w:val="28"/>
        </w:rPr>
        <w:t>2013</w:t>
      </w:r>
      <w:r>
        <w:rPr>
          <w:rFonts w:cs="Times New Roman" w:eastAsia="華康中黑體"/>
          <w:b/>
          <w:sz w:val="28"/>
          <w:szCs w:val="28"/>
        </w:rPr>
        <w:t>年</w:t>
      </w:r>
      <w:r>
        <w:rPr>
          <w:rFonts w:eastAsia="華康中黑體" w:cs="Times New Roman"/>
          <w:b/>
          <w:sz w:val="28"/>
          <w:szCs w:val="28"/>
        </w:rPr>
        <w:t>12</w:t>
      </w:r>
      <w:r>
        <w:rPr>
          <w:rFonts w:cs="Times New Roman" w:eastAsia="華康中黑體"/>
          <w:b/>
          <w:sz w:val="28"/>
          <w:szCs w:val="28"/>
        </w:rPr>
        <w:t>月</w:t>
      </w:r>
      <w:r>
        <w:rPr>
          <w:rFonts w:eastAsia="華康中黑體" w:cs="Times New Roman"/>
          <w:b/>
          <w:sz w:val="28"/>
          <w:szCs w:val="28"/>
        </w:rPr>
        <w:t>18</w:t>
      </w:r>
      <w:r>
        <w:rPr>
          <w:rFonts w:cs="Times New Roman" w:eastAsia="華康中黑體"/>
          <w:b/>
          <w:sz w:val="28"/>
          <w:szCs w:val="28"/>
        </w:rPr>
        <w:t>日星期三</w:t>
      </w:r>
    </w:p>
    <w:p>
      <w:pPr>
        <w:pStyle w:val="Normal"/>
        <w:jc w:val="center"/>
        <w:rPr>
          <w:rFonts w:cs="華康細明體"/>
          <w:b/>
          <w:b/>
          <w:sz w:val="40"/>
          <w:szCs w:val="40"/>
        </w:rPr>
      </w:pPr>
      <w:r>
        <w:rPr>
          <w:rFonts w:cs="華康細明體"/>
          <w:b/>
          <w:sz w:val="40"/>
          <w:szCs w:val="40"/>
        </w:rPr>
        <w:t>Wednesday, 18 December 2013</w:t>
      </w:r>
    </w:p>
    <w:p>
      <w:pPr>
        <w:pStyle w:val="Normal"/>
        <w:jc w:val="center"/>
        <w:rPr>
          <w:rFonts w:cs="華康細明體"/>
          <w:szCs w:val="28"/>
        </w:rPr>
      </w:pPr>
      <w:r>
        <w:rPr>
          <w:rFonts w:cs="華康細明體"/>
          <w:szCs w:val="28"/>
        </w:rPr>
      </w:r>
    </w:p>
    <w:p>
      <w:pPr>
        <w:pStyle w:val="F21"/>
        <w:jc w:val="center"/>
        <w:rPr>
          <w:rFonts w:eastAsia="華康中黑體" w:cs="Times New Roman"/>
          <w:b/>
          <w:b/>
          <w:sz w:val="28"/>
          <w:szCs w:val="28"/>
        </w:rPr>
      </w:pPr>
      <w:r>
        <w:rPr>
          <w:rFonts w:cs="Times New Roman" w:eastAsia="華康中黑體"/>
          <w:b/>
          <w:sz w:val="28"/>
          <w:szCs w:val="28"/>
        </w:rPr>
        <w:t>上午</w:t>
      </w:r>
      <w:r>
        <w:rPr>
          <w:rFonts w:eastAsia="華康中黑體" w:cs="Times New Roman"/>
          <w:b/>
          <w:sz w:val="28"/>
          <w:szCs w:val="28"/>
        </w:rPr>
        <w:t>11</w:t>
      </w:r>
      <w:r>
        <w:rPr>
          <w:rFonts w:cs="Times New Roman" w:eastAsia="華康中黑體"/>
          <w:b/>
          <w:sz w:val="28"/>
          <w:szCs w:val="28"/>
        </w:rPr>
        <w:t>時正會議開始</w:t>
      </w:r>
    </w:p>
    <w:p>
      <w:pPr>
        <w:pStyle w:val="Normal"/>
        <w:jc w:val="center"/>
        <w:rPr>
          <w:rFonts w:cs="華康細明體"/>
          <w:b/>
          <w:b/>
          <w:sz w:val="40"/>
          <w:szCs w:val="40"/>
        </w:rPr>
      </w:pPr>
      <w:r>
        <w:rPr>
          <w:rFonts w:cs="華康細明體"/>
          <w:b/>
          <w:sz w:val="40"/>
          <w:szCs w:val="40"/>
        </w:rPr>
        <w:t>The Council met at Eleven o'clock</w:t>
      </w:r>
    </w:p>
    <w:p>
      <w:pPr>
        <w:pStyle w:val="F21"/>
        <w:rPr/>
      </w:pPr>
      <w:r>
        <w:rPr/>
      </w:r>
    </w:p>
    <w:p>
      <w:pPr>
        <w:pStyle w:val="F21"/>
        <w:rPr/>
      </w:pPr>
      <w:r>
        <w:rPr/>
      </w:r>
    </w:p>
    <w:p>
      <w:pPr>
        <w:pStyle w:val="F21"/>
        <w:rPr>
          <w:rFonts w:ascii="華康中黑體" w:hAnsi="華康中黑體" w:eastAsia="華康中黑體"/>
          <w:sz w:val="36"/>
          <w:szCs w:val="36"/>
        </w:rPr>
      </w:pPr>
      <w:bookmarkStart w:id="2" w:name="mbp"/>
      <w:r>
        <w:rPr>
          <w:rFonts w:ascii="華康中黑體" w:hAnsi="華康中黑體" w:eastAsia="華康中黑體"/>
          <w:sz w:val="36"/>
          <w:szCs w:val="36"/>
        </w:rPr>
        <w:t>出席議員：</w:t>
      </w:r>
    </w:p>
    <w:p>
      <w:pPr>
        <w:pStyle w:val="Normal"/>
        <w:rPr>
          <w:b/>
          <w:b/>
          <w:sz w:val="36"/>
          <w:szCs w:val="36"/>
        </w:rPr>
      </w:pPr>
      <w:bookmarkStart w:id="3" w:name="mbp"/>
      <w:r>
        <w:rPr>
          <w:b/>
          <w:sz w:val="36"/>
          <w:szCs w:val="36"/>
        </w:rPr>
        <w:t>MEMBERS PRESENT:</w:t>
      </w:r>
      <w:bookmarkEnd w:id="3"/>
    </w:p>
    <w:p>
      <w:pPr>
        <w:pStyle w:val="Normal"/>
        <w:rPr>
          <w:sz w:val="27"/>
          <w:szCs w:val="27"/>
        </w:rPr>
      </w:pPr>
      <w:r>
        <w:rPr>
          <w:sz w:val="27"/>
          <w:szCs w:val="27"/>
        </w:rPr>
      </w:r>
    </w:p>
    <w:p>
      <w:pPr>
        <w:pStyle w:val="F21"/>
        <w:rPr>
          <w:spacing w:val="0"/>
          <w:sz w:val="28"/>
          <w:szCs w:val="28"/>
          <w:lang w:val="en-GB"/>
        </w:rPr>
      </w:pPr>
      <w:r>
        <w:rPr/>
        <w:t>主席曾鈺成議員</w:t>
      </w:r>
      <w:r>
        <w:rPr>
          <w:spacing w:val="0"/>
          <w:sz w:val="28"/>
          <w:szCs w:val="28"/>
          <w:lang w:val="en-GB"/>
        </w:rPr>
        <w:t>, G.B.S., J.P.</w:t>
      </w:r>
    </w:p>
    <w:p>
      <w:pPr>
        <w:pStyle w:val="Normal"/>
        <w:rPr>
          <w:rFonts w:cs="華康細明體"/>
          <w:szCs w:val="28"/>
        </w:rPr>
      </w:pPr>
      <w:r>
        <w:rPr>
          <w:rFonts w:cs="華康細明體"/>
          <w:szCs w:val="28"/>
        </w:rPr>
        <w:t>THE PRESIDENT</w:t>
      </w:r>
    </w:p>
    <w:p>
      <w:pPr>
        <w:pStyle w:val="Normal"/>
        <w:rPr>
          <w:rFonts w:cs="華康細明體"/>
          <w:szCs w:val="28"/>
        </w:rPr>
      </w:pPr>
      <w:r>
        <w:rPr>
          <w:rFonts w:cs="華康細明體"/>
          <w:szCs w:val="28"/>
        </w:rPr>
        <w:t>THE HONOURABLE JASPER TSANG YOK-SING, G.B.S., J.P.</w:t>
      </w:r>
    </w:p>
    <w:p>
      <w:pPr>
        <w:pStyle w:val="Normal"/>
        <w:rPr>
          <w:rFonts w:cs="華康細明體"/>
          <w:szCs w:val="28"/>
        </w:rPr>
      </w:pPr>
      <w:r>
        <w:rPr>
          <w:rFonts w:cs="華康細明體"/>
          <w:szCs w:val="28"/>
        </w:rPr>
      </w:r>
    </w:p>
    <w:p>
      <w:pPr>
        <w:pStyle w:val="F21"/>
        <w:rPr/>
      </w:pPr>
      <w:r>
        <w:rPr/>
        <w:t>何俊仁議員</w:t>
      </w:r>
    </w:p>
    <w:p>
      <w:pPr>
        <w:pStyle w:val="Normal"/>
        <w:rPr>
          <w:rFonts w:cs="華康細明體"/>
          <w:szCs w:val="28"/>
        </w:rPr>
      </w:pPr>
      <w:r>
        <w:rPr>
          <w:rFonts w:cs="華康細明體"/>
          <w:szCs w:val="28"/>
        </w:rPr>
        <w:t>THE HONOURABLE ALBERT HO CHUN-YAN</w:t>
      </w:r>
    </w:p>
    <w:p>
      <w:pPr>
        <w:pStyle w:val="Normal"/>
        <w:rPr>
          <w:rFonts w:cs="華康細明體"/>
          <w:szCs w:val="28"/>
        </w:rPr>
      </w:pPr>
      <w:r>
        <w:rPr>
          <w:rFonts w:cs="華康細明體"/>
          <w:szCs w:val="28"/>
        </w:rPr>
      </w:r>
    </w:p>
    <w:p>
      <w:pPr>
        <w:pStyle w:val="F21"/>
        <w:rPr/>
      </w:pPr>
      <w:r>
        <w:rPr/>
        <w:t>李卓人議員</w:t>
      </w:r>
    </w:p>
    <w:p>
      <w:pPr>
        <w:pStyle w:val="Normal"/>
        <w:rPr>
          <w:rFonts w:cs="華康細明體"/>
          <w:szCs w:val="28"/>
        </w:rPr>
      </w:pPr>
      <w:r>
        <w:rPr>
          <w:rFonts w:cs="華康細明體"/>
          <w:szCs w:val="28"/>
        </w:rPr>
        <w:t>THE HONOURABLE LEE CHEUK-YAN</w:t>
      </w:r>
    </w:p>
    <w:p>
      <w:pPr>
        <w:pStyle w:val="Normal"/>
        <w:rPr>
          <w:rFonts w:cs="華康細明體"/>
          <w:szCs w:val="28"/>
          <w:lang w:val="en-US"/>
        </w:rPr>
      </w:pPr>
      <w:r>
        <w:rPr>
          <w:rFonts w:cs="華康細明體"/>
          <w:szCs w:val="28"/>
          <w:lang w:val="en-US"/>
        </w:rPr>
      </w:r>
    </w:p>
    <w:p>
      <w:pPr>
        <w:pStyle w:val="F21"/>
        <w:rPr/>
      </w:pPr>
      <w:r>
        <w:rPr/>
        <w:t>涂謹申議員</w:t>
      </w:r>
    </w:p>
    <w:p>
      <w:pPr>
        <w:pStyle w:val="Normal"/>
        <w:rPr>
          <w:rFonts w:cs="華康細明體"/>
          <w:szCs w:val="28"/>
        </w:rPr>
      </w:pPr>
      <w:r>
        <w:rPr>
          <w:rFonts w:cs="華康細明體"/>
          <w:szCs w:val="28"/>
        </w:rPr>
        <w:t>THE HONOURABLE JAMES TO KUN-SUN</w:t>
      </w:r>
    </w:p>
    <w:p>
      <w:pPr>
        <w:pStyle w:val="Normal"/>
        <w:rPr>
          <w:rFonts w:cs="華康細明體"/>
          <w:szCs w:val="28"/>
          <w:lang w:val="en-US"/>
        </w:rPr>
      </w:pPr>
      <w:r>
        <w:rPr>
          <w:rFonts w:cs="華康細明體"/>
          <w:szCs w:val="28"/>
          <w:lang w:val="en-US"/>
        </w:rPr>
      </w:r>
    </w:p>
    <w:p>
      <w:pPr>
        <w:pStyle w:val="F21"/>
        <w:rPr>
          <w:spacing w:val="0"/>
          <w:sz w:val="28"/>
          <w:szCs w:val="28"/>
          <w:lang w:val="en-GB"/>
        </w:rPr>
      </w:pPr>
      <w:r>
        <w:rPr/>
        <w:t>陳鑑林議員</w:t>
      </w:r>
      <w:r>
        <w:rPr>
          <w:spacing w:val="0"/>
          <w:sz w:val="28"/>
          <w:szCs w:val="28"/>
          <w:lang w:val="en-GB"/>
        </w:rPr>
        <w:t>, S.B.S., J.P.</w:t>
      </w:r>
    </w:p>
    <w:p>
      <w:pPr>
        <w:pStyle w:val="Normal"/>
        <w:rPr>
          <w:rFonts w:cs="華康細明體"/>
          <w:szCs w:val="28"/>
        </w:rPr>
      </w:pPr>
      <w:r>
        <w:rPr>
          <w:rFonts w:cs="華康細明體"/>
          <w:szCs w:val="28"/>
        </w:rPr>
        <w:t>THE HONOURABLE CHAN KAM-LAM, S.B.S., J.P.</w:t>
      </w:r>
    </w:p>
    <w:p>
      <w:pPr>
        <w:pStyle w:val="Normal"/>
        <w:rPr>
          <w:rFonts w:cs="華康細明體"/>
          <w:szCs w:val="28"/>
        </w:rPr>
      </w:pPr>
      <w:r>
        <w:rPr>
          <w:rFonts w:cs="華康細明體"/>
          <w:szCs w:val="28"/>
        </w:rPr>
      </w:r>
    </w:p>
    <w:p>
      <w:pPr>
        <w:pStyle w:val="F21"/>
        <w:rPr>
          <w:szCs w:val="22"/>
        </w:rPr>
      </w:pPr>
      <w:r>
        <w:rPr/>
        <w:t>梁耀忠議員</w:t>
      </w:r>
    </w:p>
    <w:p>
      <w:pPr>
        <w:pStyle w:val="Normal"/>
        <w:rPr>
          <w:rFonts w:cs="華康細明體"/>
          <w:szCs w:val="28"/>
        </w:rPr>
      </w:pPr>
      <w:r>
        <w:rPr>
          <w:rFonts w:cs="華康細明體"/>
          <w:szCs w:val="28"/>
        </w:rPr>
        <w:t>THE HONOURABLE LEUNG YIU-CHUNG</w:t>
      </w:r>
    </w:p>
    <w:p>
      <w:pPr>
        <w:pStyle w:val="Normal"/>
        <w:rPr>
          <w:rFonts w:cs="華康細明體"/>
          <w:szCs w:val="28"/>
          <w:lang w:val="en-US"/>
        </w:rPr>
      </w:pPr>
      <w:r>
        <w:rPr>
          <w:rFonts w:cs="華康細明體"/>
          <w:szCs w:val="28"/>
          <w:lang w:val="en-US"/>
        </w:rPr>
      </w:r>
    </w:p>
    <w:p>
      <w:pPr>
        <w:pStyle w:val="F21"/>
        <w:rPr>
          <w:spacing w:val="0"/>
          <w:sz w:val="28"/>
          <w:szCs w:val="28"/>
          <w:lang w:val="en-GB"/>
        </w:rPr>
      </w:pPr>
      <w:r>
        <w:rPr/>
        <w:t>劉皇發議員</w:t>
      </w:r>
      <w:r>
        <w:rPr>
          <w:spacing w:val="0"/>
          <w:sz w:val="28"/>
          <w:szCs w:val="28"/>
          <w:lang w:val="en-GB"/>
        </w:rPr>
        <w:t>,</w:t>
      </w:r>
      <w:r>
        <w:rPr/>
        <w:t xml:space="preserve"> </w:t>
      </w:r>
      <w:r>
        <w:rPr/>
        <w:t>大紫荊勳賢</w:t>
      </w:r>
      <w:r>
        <w:rPr>
          <w:spacing w:val="0"/>
          <w:sz w:val="28"/>
          <w:szCs w:val="28"/>
          <w:lang w:val="en-GB"/>
        </w:rPr>
        <w:t>, G.B.S., J.P.</w:t>
      </w:r>
    </w:p>
    <w:p>
      <w:pPr>
        <w:pStyle w:val="Normal"/>
        <w:rPr>
          <w:rFonts w:cs="華康細明體"/>
          <w:szCs w:val="28"/>
        </w:rPr>
      </w:pPr>
      <w:r>
        <w:rPr>
          <w:rFonts w:cs="華康細明體"/>
          <w:szCs w:val="28"/>
        </w:rPr>
        <w:t>DR THE HONOURABLE LAU WONG-FAT, G.B.M., G.B.S., J.P.</w:t>
      </w:r>
    </w:p>
    <w:p>
      <w:pPr>
        <w:pStyle w:val="Normal"/>
        <w:rPr>
          <w:rFonts w:cs="華康細明體"/>
          <w:szCs w:val="28"/>
        </w:rPr>
      </w:pPr>
      <w:r>
        <w:rPr>
          <w:rFonts w:cs="華康細明體"/>
          <w:szCs w:val="28"/>
        </w:rPr>
      </w:r>
    </w:p>
    <w:p>
      <w:pPr>
        <w:pStyle w:val="F21"/>
        <w:spacing w:lineRule="atLeast" w:line="370"/>
        <w:rPr>
          <w:spacing w:val="0"/>
          <w:sz w:val="28"/>
          <w:szCs w:val="28"/>
          <w:lang w:val="en-GB"/>
        </w:rPr>
      </w:pPr>
      <w:r>
        <w:rPr/>
        <w:t>劉慧卿議員</w:t>
      </w:r>
      <w:r>
        <w:rPr>
          <w:spacing w:val="0"/>
          <w:sz w:val="28"/>
          <w:szCs w:val="28"/>
          <w:lang w:val="en-GB"/>
        </w:rPr>
        <w:t>, J.P.</w:t>
      </w:r>
    </w:p>
    <w:p>
      <w:pPr>
        <w:pStyle w:val="Normal"/>
        <w:spacing w:lineRule="atLeast" w:line="370"/>
        <w:rPr>
          <w:rFonts w:cs="華康細明體"/>
          <w:szCs w:val="28"/>
        </w:rPr>
      </w:pPr>
      <w:r>
        <w:rPr>
          <w:rFonts w:cs="華康細明體"/>
          <w:szCs w:val="28"/>
        </w:rPr>
        <w:t>THE HONOURABLE EMILY LAU WAI-HING,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譚耀宗議員</w:t>
      </w:r>
      <w:r>
        <w:rPr>
          <w:spacing w:val="0"/>
          <w:sz w:val="28"/>
          <w:szCs w:val="28"/>
          <w:lang w:val="en-GB"/>
        </w:rPr>
        <w:t>, G.B.S., J.P.</w:t>
      </w:r>
    </w:p>
    <w:p>
      <w:pPr>
        <w:pStyle w:val="Normal"/>
        <w:spacing w:lineRule="atLeast" w:line="370"/>
        <w:rPr>
          <w:rFonts w:cs="華康細明體"/>
          <w:szCs w:val="28"/>
        </w:rPr>
      </w:pPr>
      <w:r>
        <w:rPr>
          <w:rFonts w:cs="華康細明體"/>
          <w:szCs w:val="28"/>
        </w:rPr>
        <w:t>THE HONOURABLE TAM YIU-CHUNG, G.B.S.,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石禮謙議員</w:t>
      </w:r>
      <w:r>
        <w:rPr>
          <w:spacing w:val="0"/>
          <w:sz w:val="28"/>
          <w:szCs w:val="28"/>
          <w:lang w:val="en-GB"/>
        </w:rPr>
        <w:t>, G.B.S., J.P.</w:t>
      </w:r>
    </w:p>
    <w:p>
      <w:pPr>
        <w:pStyle w:val="Normal"/>
        <w:spacing w:lineRule="atLeast" w:line="370"/>
        <w:rPr>
          <w:rFonts w:cs="華康細明體"/>
          <w:szCs w:val="28"/>
        </w:rPr>
      </w:pPr>
      <w:r>
        <w:rPr>
          <w:rFonts w:cs="華康細明體"/>
          <w:szCs w:val="28"/>
        </w:rPr>
        <w:t>THE HONOURABLE ABRAHAM SHEK LAI-HIM, G.B.S., J.P.</w:t>
      </w:r>
    </w:p>
    <w:p>
      <w:pPr>
        <w:pStyle w:val="Normal"/>
        <w:spacing w:lineRule="atLeast" w:line="370"/>
        <w:rPr>
          <w:rFonts w:cs="華康細明體"/>
          <w:szCs w:val="28"/>
          <w:lang w:val="en-US"/>
        </w:rPr>
      </w:pPr>
      <w:r>
        <w:rPr>
          <w:rFonts w:cs="華康細明體"/>
          <w:szCs w:val="28"/>
          <w:lang w:val="en-US"/>
        </w:rPr>
      </w:r>
    </w:p>
    <w:p>
      <w:pPr>
        <w:pStyle w:val="F21"/>
        <w:spacing w:lineRule="atLeast" w:line="370"/>
        <w:rPr>
          <w:spacing w:val="0"/>
          <w:sz w:val="28"/>
          <w:szCs w:val="28"/>
          <w:lang w:val="en-GB"/>
        </w:rPr>
      </w:pPr>
      <w:r>
        <w:rPr/>
        <w:t>張宇人議員</w:t>
      </w:r>
      <w:r>
        <w:rPr>
          <w:spacing w:val="0"/>
          <w:sz w:val="28"/>
          <w:szCs w:val="28"/>
          <w:lang w:val="en-GB"/>
        </w:rPr>
        <w:t>, S.B.S., J.P.</w:t>
      </w:r>
    </w:p>
    <w:p>
      <w:pPr>
        <w:pStyle w:val="Normal"/>
        <w:spacing w:lineRule="atLeast" w:line="370"/>
        <w:rPr>
          <w:rFonts w:cs="華康細明體"/>
          <w:szCs w:val="28"/>
        </w:rPr>
      </w:pPr>
      <w:r>
        <w:rPr>
          <w:rFonts w:cs="華康細明體"/>
          <w:szCs w:val="28"/>
        </w:rPr>
        <w:t>THE HONOURABLE TOMMY CHEUNG YU-YAN, S.B.S.,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馮檢基議員</w:t>
      </w:r>
      <w:r>
        <w:rPr>
          <w:spacing w:val="0"/>
          <w:sz w:val="28"/>
          <w:szCs w:val="28"/>
          <w:lang w:val="en-GB"/>
        </w:rPr>
        <w:t>, S.B.S., J.P.</w:t>
      </w:r>
    </w:p>
    <w:p>
      <w:pPr>
        <w:pStyle w:val="Normal"/>
        <w:spacing w:lineRule="atLeast" w:line="370"/>
        <w:rPr>
          <w:rFonts w:cs="華康細明體"/>
          <w:szCs w:val="28"/>
        </w:rPr>
      </w:pPr>
      <w:r>
        <w:rPr>
          <w:rFonts w:cs="華康細明體"/>
          <w:szCs w:val="28"/>
        </w:rPr>
        <w:t>THE HONOURABLE FREDERICK FUNG KIN-KEE, S.B.S.,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方剛議員</w:t>
      </w:r>
      <w:r>
        <w:rPr>
          <w:spacing w:val="0"/>
          <w:sz w:val="28"/>
          <w:szCs w:val="28"/>
          <w:lang w:val="en-GB"/>
        </w:rPr>
        <w:t>, S.B.S., J.P.</w:t>
      </w:r>
    </w:p>
    <w:p>
      <w:pPr>
        <w:pStyle w:val="Normal"/>
        <w:spacing w:lineRule="atLeast" w:line="370"/>
        <w:rPr>
          <w:rFonts w:cs="華康細明體"/>
          <w:szCs w:val="28"/>
        </w:rPr>
      </w:pPr>
      <w:r>
        <w:rPr>
          <w:rFonts w:cs="華康細明體"/>
          <w:szCs w:val="28"/>
        </w:rPr>
        <w:t>THE HONOURABLE VINCENT FANG KANG, S.B.S.,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王國興議員</w:t>
      </w:r>
      <w:r>
        <w:rPr>
          <w:spacing w:val="0"/>
          <w:sz w:val="28"/>
          <w:szCs w:val="28"/>
          <w:lang w:val="en-GB"/>
        </w:rPr>
        <w:t>, B.B.S., M.H.</w:t>
      </w:r>
    </w:p>
    <w:p>
      <w:pPr>
        <w:pStyle w:val="Normal"/>
        <w:spacing w:lineRule="atLeast" w:line="370"/>
        <w:rPr>
          <w:rFonts w:cs="華康細明體"/>
          <w:szCs w:val="28"/>
        </w:rPr>
      </w:pPr>
      <w:r>
        <w:rPr>
          <w:rFonts w:cs="華康細明體"/>
          <w:szCs w:val="28"/>
        </w:rPr>
        <w:t>THE HONOURABLE WONG KWOK-HING, B.B.S., M.H.</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李國麟議員</w:t>
      </w:r>
      <w:r>
        <w:rPr>
          <w:spacing w:val="0"/>
          <w:sz w:val="28"/>
          <w:szCs w:val="28"/>
          <w:lang w:val="en-GB"/>
        </w:rPr>
        <w:t>, S.B.S, J.P., Ph.D., R.N.</w:t>
      </w:r>
    </w:p>
    <w:p>
      <w:pPr>
        <w:pStyle w:val="Normal"/>
        <w:spacing w:lineRule="atLeast" w:line="370"/>
        <w:rPr>
          <w:rFonts w:cs="華康細明體"/>
          <w:szCs w:val="28"/>
        </w:rPr>
      </w:pPr>
      <w:r>
        <w:rPr>
          <w:rFonts w:cs="華康細明體"/>
          <w:szCs w:val="28"/>
        </w:rPr>
        <w:t>PROF THE HONOURABLE JOSEPH LEE KOK-LONG, S.B.S., J.P., Ph.D., R.N.</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林健鋒議員</w:t>
      </w:r>
      <w:r>
        <w:rPr>
          <w:spacing w:val="0"/>
          <w:sz w:val="28"/>
          <w:szCs w:val="28"/>
          <w:lang w:val="en-GB"/>
        </w:rPr>
        <w:t>, G.B.S., J.P.</w:t>
      </w:r>
    </w:p>
    <w:p>
      <w:pPr>
        <w:pStyle w:val="Normal"/>
        <w:spacing w:lineRule="atLeast" w:line="370"/>
        <w:rPr>
          <w:rFonts w:cs="華康細明體"/>
          <w:szCs w:val="28"/>
        </w:rPr>
      </w:pPr>
      <w:r>
        <w:rPr>
          <w:rFonts w:cs="華康細明體"/>
          <w:szCs w:val="28"/>
        </w:rPr>
        <w:t>THE HONOURABLE JEFFREY LAM KIN-FUNG, G.B.S.,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梁君彥議員</w:t>
      </w:r>
      <w:r>
        <w:rPr>
          <w:spacing w:val="0"/>
          <w:sz w:val="28"/>
          <w:szCs w:val="28"/>
          <w:lang w:val="en-GB"/>
        </w:rPr>
        <w:t>, G.B.S., J.P.</w:t>
      </w:r>
    </w:p>
    <w:p>
      <w:pPr>
        <w:pStyle w:val="Normal"/>
        <w:spacing w:lineRule="atLeast" w:line="370"/>
        <w:rPr>
          <w:rFonts w:cs="華康細明體"/>
          <w:szCs w:val="28"/>
        </w:rPr>
      </w:pPr>
      <w:r>
        <w:rPr>
          <w:rFonts w:cs="華康細明體"/>
          <w:szCs w:val="28"/>
        </w:rPr>
        <w:t>THE HONOURABLE ANDREW LEUNG KWAN-YUEN, G.B.S.,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黃定光議員</w:t>
      </w:r>
      <w:r>
        <w:rPr>
          <w:spacing w:val="0"/>
          <w:sz w:val="28"/>
          <w:szCs w:val="28"/>
          <w:lang w:val="en-GB"/>
        </w:rPr>
        <w:t>, S.B.S., J.P.</w:t>
      </w:r>
    </w:p>
    <w:p>
      <w:pPr>
        <w:pStyle w:val="Normal"/>
        <w:spacing w:lineRule="atLeast" w:line="370"/>
        <w:rPr>
          <w:rFonts w:cs="華康細明體"/>
          <w:szCs w:val="28"/>
        </w:rPr>
      </w:pPr>
      <w:r>
        <w:rPr>
          <w:rFonts w:cs="華康細明體"/>
          <w:szCs w:val="28"/>
        </w:rPr>
        <w:t>THE HONOURABLE WONG TING-KWONG, S.B.S., J.P.</w:t>
      </w:r>
    </w:p>
    <w:p>
      <w:pPr>
        <w:pStyle w:val="Normal"/>
        <w:spacing w:lineRule="atLeast" w:line="370"/>
        <w:rPr>
          <w:rFonts w:cs="華康細明體"/>
          <w:szCs w:val="28"/>
        </w:rPr>
      </w:pPr>
      <w:r>
        <w:rPr>
          <w:rFonts w:cs="華康細明體"/>
          <w:szCs w:val="28"/>
        </w:rPr>
      </w:r>
    </w:p>
    <w:p>
      <w:pPr>
        <w:pStyle w:val="F21"/>
        <w:spacing w:lineRule="atLeast" w:line="370"/>
        <w:rPr>
          <w:spacing w:val="0"/>
          <w:sz w:val="28"/>
          <w:szCs w:val="28"/>
          <w:lang w:val="en-GB"/>
        </w:rPr>
      </w:pPr>
      <w:r>
        <w:rPr/>
        <w:t>湯家驊議員</w:t>
      </w:r>
      <w:r>
        <w:rPr>
          <w:spacing w:val="0"/>
          <w:sz w:val="28"/>
          <w:szCs w:val="28"/>
          <w:lang w:val="en-GB"/>
        </w:rPr>
        <w:t>, S.C.</w:t>
      </w:r>
    </w:p>
    <w:p>
      <w:pPr>
        <w:pStyle w:val="Normal"/>
        <w:spacing w:lineRule="atLeast" w:line="370"/>
        <w:rPr>
          <w:rFonts w:cs="華康細明體"/>
          <w:szCs w:val="28"/>
        </w:rPr>
      </w:pPr>
      <w:r>
        <w:rPr>
          <w:rFonts w:cs="華康細明體"/>
          <w:szCs w:val="28"/>
        </w:rPr>
        <w:t>THE HONOURABLE RONNY TONG KA-WAH, S.C.</w:t>
      </w:r>
    </w:p>
    <w:p>
      <w:pPr>
        <w:pStyle w:val="Normal"/>
        <w:rPr>
          <w:rFonts w:cs="華康細明體"/>
          <w:szCs w:val="28"/>
        </w:rPr>
      </w:pPr>
      <w:r>
        <w:rPr>
          <w:rFonts w:cs="華康細明體"/>
          <w:szCs w:val="28"/>
        </w:rPr>
      </w:r>
    </w:p>
    <w:p>
      <w:pPr>
        <w:pStyle w:val="F21"/>
        <w:spacing w:lineRule="atLeast" w:line="380"/>
        <w:rPr>
          <w:szCs w:val="22"/>
        </w:rPr>
      </w:pPr>
      <w:r>
        <w:rPr/>
        <w:t>何秀蘭議員</w:t>
      </w:r>
    </w:p>
    <w:p>
      <w:pPr>
        <w:pStyle w:val="Normal"/>
        <w:spacing w:lineRule="atLeast" w:line="380"/>
        <w:rPr>
          <w:rFonts w:cs="華康細明體"/>
          <w:szCs w:val="28"/>
        </w:rPr>
      </w:pPr>
      <w:r>
        <w:rPr>
          <w:rFonts w:cs="華康細明體"/>
          <w:szCs w:val="28"/>
        </w:rPr>
        <w:t>THE HONOURABLE CYD HO SAU-LAN</w:t>
      </w:r>
    </w:p>
    <w:p>
      <w:pPr>
        <w:pStyle w:val="F21"/>
        <w:spacing w:lineRule="atLeast" w:line="380"/>
        <w:rPr>
          <w:szCs w:val="28"/>
        </w:rPr>
      </w:pPr>
      <w:r>
        <w:rPr>
          <w:szCs w:val="28"/>
        </w:rPr>
      </w:r>
    </w:p>
    <w:p>
      <w:pPr>
        <w:pStyle w:val="F21"/>
        <w:spacing w:lineRule="atLeast" w:line="380"/>
        <w:rPr>
          <w:spacing w:val="0"/>
          <w:sz w:val="28"/>
          <w:szCs w:val="28"/>
          <w:lang w:val="en-GB"/>
        </w:rPr>
      </w:pPr>
      <w:r>
        <w:rPr/>
        <w:t>李慧琼議員</w:t>
      </w:r>
      <w:r>
        <w:rPr>
          <w:spacing w:val="0"/>
          <w:sz w:val="28"/>
          <w:szCs w:val="28"/>
          <w:lang w:val="en-GB"/>
        </w:rPr>
        <w:t>, J.P.</w:t>
      </w:r>
    </w:p>
    <w:p>
      <w:pPr>
        <w:pStyle w:val="Normal"/>
        <w:spacing w:lineRule="atLeast" w:line="380"/>
        <w:rPr>
          <w:rFonts w:cs="華康細明體"/>
          <w:szCs w:val="28"/>
        </w:rPr>
      </w:pPr>
      <w:r>
        <w:rPr>
          <w:rFonts w:cs="華康細明體"/>
          <w:szCs w:val="28"/>
        </w:rPr>
        <w:t>THE HONOURABLE STARRY LEE WAI-KING, J.P.</w:t>
      </w:r>
    </w:p>
    <w:p>
      <w:pPr>
        <w:pStyle w:val="Normal"/>
        <w:tabs>
          <w:tab w:val="left" w:pos="720" w:leader="none"/>
          <w:tab w:val="left" w:pos="2280"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林大輝議員</w:t>
      </w:r>
      <w:r>
        <w:rPr>
          <w:spacing w:val="0"/>
          <w:sz w:val="28"/>
          <w:szCs w:val="28"/>
          <w:lang w:val="en-GB"/>
        </w:rPr>
        <w:t>, S.B.S., J.P.</w:t>
      </w:r>
    </w:p>
    <w:p>
      <w:pPr>
        <w:pStyle w:val="Normal"/>
        <w:spacing w:lineRule="atLeast" w:line="380"/>
        <w:rPr>
          <w:rFonts w:cs="華康細明體"/>
          <w:szCs w:val="28"/>
        </w:rPr>
      </w:pPr>
      <w:r>
        <w:rPr>
          <w:rFonts w:cs="華康細明體"/>
          <w:szCs w:val="28"/>
        </w:rPr>
        <w:t>DR THE HONOURABLE LAM TAI-FAI, S.B.S., J.P.</w:t>
      </w:r>
    </w:p>
    <w:p>
      <w:pPr>
        <w:pStyle w:val="Normal"/>
        <w:tabs>
          <w:tab w:val="left" w:pos="720" w:leader="none"/>
          <w:tab w:val="left" w:pos="2127"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陳克勤議員</w:t>
      </w:r>
      <w:r>
        <w:rPr>
          <w:spacing w:val="0"/>
          <w:sz w:val="28"/>
          <w:szCs w:val="28"/>
          <w:lang w:val="en-GB"/>
        </w:rPr>
        <w:t>, J.P.</w:t>
      </w:r>
    </w:p>
    <w:p>
      <w:pPr>
        <w:pStyle w:val="Normal"/>
        <w:spacing w:lineRule="atLeast" w:line="380"/>
        <w:rPr>
          <w:rFonts w:cs="華康細明體"/>
          <w:szCs w:val="28"/>
        </w:rPr>
      </w:pPr>
      <w:r>
        <w:rPr>
          <w:rFonts w:cs="華康細明體"/>
          <w:szCs w:val="28"/>
        </w:rPr>
        <w:t>THE HONOURABLE CHAN HAK-KAN, J.P.</w:t>
      </w:r>
    </w:p>
    <w:p>
      <w:pPr>
        <w:pStyle w:val="Normal"/>
        <w:tabs>
          <w:tab w:val="left" w:pos="720" w:leader="none"/>
          <w:tab w:val="left" w:pos="2280"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陳健波議員</w:t>
      </w:r>
      <w:r>
        <w:rPr>
          <w:spacing w:val="0"/>
          <w:sz w:val="28"/>
          <w:szCs w:val="28"/>
          <w:lang w:val="en-GB"/>
        </w:rPr>
        <w:t>, B.B.S., J.P.</w:t>
      </w:r>
    </w:p>
    <w:p>
      <w:pPr>
        <w:pStyle w:val="Normal"/>
        <w:spacing w:lineRule="atLeast" w:line="380"/>
        <w:rPr>
          <w:rFonts w:cs="華康細明體"/>
          <w:szCs w:val="28"/>
        </w:rPr>
      </w:pPr>
      <w:r>
        <w:rPr>
          <w:rFonts w:cs="華康細明體"/>
          <w:szCs w:val="28"/>
        </w:rPr>
        <w:t>THE HONOURABLE CHAN KIN-POR, B.B.S., J.P.</w:t>
      </w:r>
    </w:p>
    <w:p>
      <w:pPr>
        <w:pStyle w:val="Normal"/>
        <w:tabs>
          <w:tab w:val="left" w:pos="720" w:leader="none"/>
          <w:tab w:val="left" w:pos="2127"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梁美芬議員</w:t>
      </w:r>
      <w:r>
        <w:rPr>
          <w:spacing w:val="0"/>
          <w:sz w:val="28"/>
          <w:szCs w:val="28"/>
          <w:lang w:val="en-GB"/>
        </w:rPr>
        <w:t>, S.B.S., J.P.</w:t>
      </w:r>
    </w:p>
    <w:p>
      <w:pPr>
        <w:pStyle w:val="Normal"/>
        <w:spacing w:lineRule="atLeast" w:line="380"/>
        <w:rPr>
          <w:rFonts w:cs="華康細明體"/>
          <w:szCs w:val="28"/>
        </w:rPr>
      </w:pPr>
      <w:r>
        <w:rPr>
          <w:rFonts w:cs="華康細明體"/>
          <w:szCs w:val="28"/>
        </w:rPr>
        <w:t>DR THE HONOURABLE PRISCILLA LEUNG MEI-FUN, S.B.S., J.P.</w:t>
      </w:r>
    </w:p>
    <w:p>
      <w:pPr>
        <w:pStyle w:val="Normal"/>
        <w:tabs>
          <w:tab w:val="left" w:pos="720" w:leader="none"/>
          <w:tab w:val="left" w:pos="2280" w:leader="none"/>
        </w:tabs>
        <w:spacing w:lineRule="atLeast" w:line="380"/>
        <w:rPr>
          <w:spacing w:val="10"/>
          <w:szCs w:val="28"/>
        </w:rPr>
      </w:pPr>
      <w:r>
        <w:rPr>
          <w:spacing w:val="10"/>
          <w:szCs w:val="28"/>
        </w:rPr>
      </w:r>
    </w:p>
    <w:p>
      <w:pPr>
        <w:pStyle w:val="F21"/>
        <w:spacing w:lineRule="atLeast" w:line="380"/>
        <w:rPr>
          <w:szCs w:val="22"/>
        </w:rPr>
      </w:pPr>
      <w:r>
        <w:rPr/>
        <w:t>梁家騮議員</w:t>
      </w:r>
    </w:p>
    <w:p>
      <w:pPr>
        <w:pStyle w:val="Normal"/>
        <w:spacing w:lineRule="atLeast" w:line="380"/>
        <w:rPr>
          <w:rFonts w:cs="華康細明體"/>
          <w:szCs w:val="28"/>
        </w:rPr>
      </w:pPr>
      <w:r>
        <w:rPr>
          <w:rFonts w:cs="華康細明體"/>
          <w:szCs w:val="28"/>
        </w:rPr>
        <w:t>DR THE HONOURABLE LEUNG KA-LAU</w:t>
      </w:r>
    </w:p>
    <w:p>
      <w:pPr>
        <w:pStyle w:val="Normal"/>
        <w:tabs>
          <w:tab w:val="left" w:pos="336" w:leader="none"/>
          <w:tab w:val="left" w:pos="720" w:leader="none"/>
          <w:tab w:val="left" w:pos="2126" w:leader="none"/>
        </w:tabs>
        <w:spacing w:lineRule="atLeast" w:line="380"/>
        <w:rPr>
          <w:spacing w:val="10"/>
          <w:sz w:val="27"/>
          <w:szCs w:val="27"/>
        </w:rPr>
      </w:pPr>
      <w:r>
        <w:rPr>
          <w:spacing w:val="10"/>
          <w:sz w:val="27"/>
          <w:szCs w:val="27"/>
        </w:rPr>
      </w:r>
    </w:p>
    <w:p>
      <w:pPr>
        <w:pStyle w:val="F21"/>
        <w:spacing w:lineRule="atLeast" w:line="380"/>
        <w:rPr>
          <w:szCs w:val="22"/>
        </w:rPr>
      </w:pPr>
      <w:r>
        <w:rPr/>
        <w:t>張國柱議員</w:t>
      </w:r>
    </w:p>
    <w:p>
      <w:pPr>
        <w:pStyle w:val="Normal"/>
        <w:spacing w:lineRule="atLeast" w:line="380"/>
        <w:rPr>
          <w:rFonts w:cs="華康細明體"/>
          <w:szCs w:val="28"/>
        </w:rPr>
      </w:pPr>
      <w:r>
        <w:rPr>
          <w:rFonts w:cs="華康細明體"/>
          <w:szCs w:val="28"/>
        </w:rPr>
        <w:t>THE HONOURABLE CHEUNG KWOK-CHE</w:t>
      </w:r>
    </w:p>
    <w:p>
      <w:pPr>
        <w:pStyle w:val="Normal"/>
        <w:tabs>
          <w:tab w:val="left" w:pos="336" w:leader="none"/>
          <w:tab w:val="left" w:pos="720" w:leader="none"/>
          <w:tab w:val="left" w:pos="2127" w:leader="none"/>
        </w:tabs>
        <w:spacing w:lineRule="atLeast" w:line="380"/>
        <w:rPr>
          <w:spacing w:val="10"/>
          <w:sz w:val="27"/>
          <w:szCs w:val="27"/>
          <w:lang w:val="en-US"/>
        </w:rPr>
      </w:pPr>
      <w:r>
        <w:rPr>
          <w:spacing w:val="10"/>
          <w:sz w:val="27"/>
          <w:szCs w:val="27"/>
          <w:lang w:val="en-US"/>
        </w:rPr>
      </w:r>
    </w:p>
    <w:p>
      <w:pPr>
        <w:pStyle w:val="F21"/>
        <w:spacing w:lineRule="atLeast" w:line="380"/>
        <w:rPr>
          <w:spacing w:val="0"/>
          <w:sz w:val="28"/>
          <w:szCs w:val="28"/>
          <w:lang w:val="en-GB"/>
        </w:rPr>
      </w:pPr>
      <w:r>
        <w:rPr/>
        <w:t>黃國健議員</w:t>
      </w:r>
      <w:r>
        <w:rPr>
          <w:spacing w:val="0"/>
          <w:sz w:val="28"/>
          <w:szCs w:val="28"/>
          <w:lang w:val="en-GB"/>
        </w:rPr>
        <w:t>, B.B.S.</w:t>
      </w:r>
    </w:p>
    <w:p>
      <w:pPr>
        <w:pStyle w:val="Normal"/>
        <w:spacing w:lineRule="atLeast" w:line="380"/>
        <w:rPr>
          <w:rFonts w:cs="華康細明體"/>
          <w:szCs w:val="28"/>
        </w:rPr>
      </w:pPr>
      <w:r>
        <w:rPr>
          <w:rFonts w:cs="華康細明體"/>
          <w:szCs w:val="28"/>
        </w:rPr>
        <w:t>THE HONOURABLE WONG KWOK-KIN, B.B.S.</w:t>
      </w:r>
    </w:p>
    <w:p>
      <w:pPr>
        <w:pStyle w:val="Normal"/>
        <w:tabs>
          <w:tab w:val="left" w:pos="720" w:leader="none"/>
          <w:tab w:val="left" w:pos="2280"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葉國謙議員</w:t>
      </w:r>
      <w:r>
        <w:rPr>
          <w:spacing w:val="0"/>
          <w:sz w:val="28"/>
          <w:szCs w:val="28"/>
          <w:lang w:val="en-GB"/>
        </w:rPr>
        <w:t>, G.B.S., J.P.</w:t>
      </w:r>
    </w:p>
    <w:p>
      <w:pPr>
        <w:pStyle w:val="Normal"/>
        <w:spacing w:lineRule="atLeast" w:line="380"/>
        <w:rPr>
          <w:rFonts w:cs="華康細明體"/>
          <w:szCs w:val="28"/>
        </w:rPr>
      </w:pPr>
      <w:r>
        <w:rPr>
          <w:rFonts w:cs="華康細明體"/>
          <w:szCs w:val="28"/>
        </w:rPr>
        <w:t>THE HONOURABLE IP KWOK-HIM, G.B.S., J.P.</w:t>
      </w:r>
    </w:p>
    <w:p>
      <w:pPr>
        <w:pStyle w:val="Normal"/>
        <w:tabs>
          <w:tab w:val="left" w:pos="336" w:leader="none"/>
          <w:tab w:val="left" w:pos="720" w:leader="none"/>
          <w:tab w:val="left" w:pos="2126"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葉劉淑儀議員</w:t>
      </w:r>
      <w:r>
        <w:rPr>
          <w:spacing w:val="0"/>
          <w:sz w:val="28"/>
          <w:szCs w:val="28"/>
          <w:lang w:val="en-GB"/>
        </w:rPr>
        <w:t>, G.B.S., J.P.</w:t>
      </w:r>
    </w:p>
    <w:p>
      <w:pPr>
        <w:pStyle w:val="Normal"/>
        <w:spacing w:lineRule="atLeast" w:line="380"/>
        <w:rPr>
          <w:rFonts w:cs="華康細明體"/>
          <w:szCs w:val="28"/>
        </w:rPr>
      </w:pPr>
      <w:r>
        <w:rPr>
          <w:rFonts w:cs="華康細明體"/>
          <w:szCs w:val="28"/>
        </w:rPr>
        <w:t>THE HONOURABLE MRS REGINA IP LAU SUK-YEE, G.B.S., J.P.</w:t>
      </w:r>
    </w:p>
    <w:p>
      <w:pPr>
        <w:pStyle w:val="Normal"/>
        <w:tabs>
          <w:tab w:val="left" w:pos="720" w:leader="none"/>
          <w:tab w:val="left" w:pos="2280"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謝偉俊議員</w:t>
      </w:r>
      <w:r>
        <w:rPr>
          <w:spacing w:val="0"/>
          <w:sz w:val="28"/>
          <w:szCs w:val="28"/>
          <w:lang w:val="en-GB"/>
        </w:rPr>
        <w:t>, J.P.</w:t>
      </w:r>
    </w:p>
    <w:p>
      <w:pPr>
        <w:pStyle w:val="Normal"/>
        <w:spacing w:lineRule="atLeast" w:line="380"/>
        <w:rPr>
          <w:rFonts w:cs="華康細明體"/>
          <w:szCs w:val="28"/>
        </w:rPr>
      </w:pPr>
      <w:r>
        <w:rPr>
          <w:rFonts w:cs="華康細明體"/>
          <w:szCs w:val="28"/>
        </w:rPr>
        <w:t>THE HONOURABLE PAUL TSE WAI-CHUN, J.P.</w:t>
      </w:r>
    </w:p>
    <w:p>
      <w:pPr>
        <w:pStyle w:val="Normal"/>
        <w:tabs>
          <w:tab w:val="left" w:pos="336" w:leader="none"/>
          <w:tab w:val="left" w:pos="720" w:leader="none"/>
          <w:tab w:val="left" w:pos="2126"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梁家傑議員</w:t>
      </w:r>
      <w:r>
        <w:rPr>
          <w:spacing w:val="0"/>
          <w:sz w:val="28"/>
          <w:szCs w:val="28"/>
          <w:lang w:val="en-GB"/>
        </w:rPr>
        <w:t>, S.C.</w:t>
      </w:r>
    </w:p>
    <w:p>
      <w:pPr>
        <w:pStyle w:val="Normal"/>
        <w:spacing w:lineRule="atLeast" w:line="380"/>
        <w:rPr>
          <w:rFonts w:cs="華康細明體"/>
          <w:szCs w:val="28"/>
        </w:rPr>
      </w:pPr>
      <w:r>
        <w:rPr>
          <w:rFonts w:cs="華康細明體"/>
          <w:szCs w:val="28"/>
        </w:rPr>
        <w:t>THE HONOURABLE ALAN LEONG KAH-KIT, S.C.</w:t>
      </w:r>
    </w:p>
    <w:p>
      <w:pPr>
        <w:pStyle w:val="Normal"/>
        <w:tabs>
          <w:tab w:val="left" w:pos="336" w:leader="none"/>
          <w:tab w:val="left" w:pos="720" w:leader="none"/>
          <w:tab w:val="left" w:pos="2126" w:leader="none"/>
        </w:tabs>
        <w:spacing w:lineRule="atLeast" w:line="380"/>
        <w:rPr>
          <w:spacing w:val="10"/>
          <w:szCs w:val="28"/>
        </w:rPr>
      </w:pPr>
      <w:r>
        <w:rPr>
          <w:spacing w:val="10"/>
          <w:szCs w:val="28"/>
        </w:rPr>
      </w:r>
    </w:p>
    <w:p>
      <w:pPr>
        <w:pStyle w:val="F21"/>
        <w:spacing w:lineRule="atLeast" w:line="380"/>
        <w:rPr>
          <w:szCs w:val="22"/>
        </w:rPr>
      </w:pPr>
      <w:r>
        <w:rPr/>
        <w:t>梁國雄議員</w:t>
      </w:r>
    </w:p>
    <w:p>
      <w:pPr>
        <w:pStyle w:val="Normal"/>
        <w:spacing w:lineRule="atLeast" w:line="380"/>
        <w:rPr>
          <w:rFonts w:cs="華康細明體"/>
          <w:szCs w:val="28"/>
        </w:rPr>
      </w:pPr>
      <w:r>
        <w:rPr>
          <w:rFonts w:cs="華康細明體"/>
          <w:szCs w:val="28"/>
        </w:rPr>
        <w:t>THE HONOURABLE LEUNG KWOK-HUNG</w:t>
      </w:r>
    </w:p>
    <w:p>
      <w:pPr>
        <w:pStyle w:val="F21"/>
        <w:spacing w:lineRule="atLeast" w:line="380"/>
        <w:rPr>
          <w:spacing w:val="10"/>
          <w:szCs w:val="27"/>
        </w:rPr>
      </w:pPr>
      <w:r>
        <w:rPr>
          <w:spacing w:val="10"/>
          <w:szCs w:val="27"/>
        </w:rPr>
      </w:r>
    </w:p>
    <w:p>
      <w:pPr>
        <w:pStyle w:val="Normal"/>
        <w:tabs>
          <w:tab w:val="left" w:pos="336" w:leader="none"/>
          <w:tab w:val="left" w:pos="720" w:leader="none"/>
          <w:tab w:val="left" w:pos="2126" w:leader="none"/>
        </w:tabs>
        <w:spacing w:lineRule="atLeast" w:line="380"/>
        <w:rPr>
          <w:rFonts w:cs="華康細明體"/>
          <w:spacing w:val="20"/>
          <w:sz w:val="27"/>
          <w:szCs w:val="22"/>
          <w:lang w:val="en-US"/>
        </w:rPr>
      </w:pPr>
      <w:r>
        <w:rPr>
          <w:rFonts w:cs="華康細明體"/>
          <w:spacing w:val="20"/>
          <w:sz w:val="27"/>
        </w:rPr>
        <w:t>陳偉業議員</w:t>
      </w:r>
    </w:p>
    <w:p>
      <w:pPr>
        <w:pStyle w:val="Normal"/>
        <w:spacing w:lineRule="atLeast" w:line="380"/>
        <w:rPr>
          <w:rFonts w:cs="華康細明體"/>
          <w:szCs w:val="28"/>
        </w:rPr>
      </w:pPr>
      <w:r>
        <w:rPr>
          <w:rFonts w:cs="華康細明體"/>
          <w:szCs w:val="28"/>
        </w:rPr>
        <w:t>THE HONOURABLE ALBERT CHAN WAI-YIP</w:t>
      </w:r>
    </w:p>
    <w:p>
      <w:pPr>
        <w:pStyle w:val="Normal"/>
        <w:tabs>
          <w:tab w:val="left" w:pos="336" w:leader="none"/>
          <w:tab w:val="left" w:pos="720" w:leader="none"/>
          <w:tab w:val="left" w:pos="2126" w:leader="none"/>
        </w:tabs>
        <w:spacing w:lineRule="atLeast" w:line="380"/>
        <w:rPr>
          <w:spacing w:val="10"/>
          <w:sz w:val="27"/>
          <w:szCs w:val="27"/>
        </w:rPr>
      </w:pPr>
      <w:r>
        <w:rPr>
          <w:spacing w:val="10"/>
          <w:sz w:val="27"/>
          <w:szCs w:val="27"/>
        </w:rPr>
      </w:r>
    </w:p>
    <w:p>
      <w:pPr>
        <w:pStyle w:val="F21"/>
        <w:spacing w:lineRule="atLeast" w:line="380"/>
        <w:rPr>
          <w:szCs w:val="22"/>
        </w:rPr>
      </w:pPr>
      <w:r>
        <w:rPr/>
        <w:t>毛孟靜議員</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CLAUDIA MO</w:t>
      </w:r>
    </w:p>
    <w:p>
      <w:pPr>
        <w:pStyle w:val="Normal"/>
        <w:tabs>
          <w:tab w:val="left" w:pos="336" w:leader="none"/>
          <w:tab w:val="left" w:pos="720" w:leader="none"/>
          <w:tab w:val="left" w:pos="2126" w:leader="none"/>
        </w:tabs>
        <w:spacing w:lineRule="atLeast" w:line="380"/>
        <w:rPr>
          <w:spacing w:val="10"/>
          <w:sz w:val="27"/>
          <w:szCs w:val="27"/>
          <w:lang w:val="en-US"/>
        </w:rPr>
      </w:pPr>
      <w:r>
        <w:rPr>
          <w:spacing w:val="10"/>
          <w:sz w:val="27"/>
          <w:szCs w:val="27"/>
          <w:lang w:val="en-US"/>
        </w:rPr>
      </w:r>
    </w:p>
    <w:p>
      <w:pPr>
        <w:pStyle w:val="F21"/>
        <w:spacing w:lineRule="atLeast" w:line="380"/>
        <w:rPr>
          <w:spacing w:val="0"/>
          <w:sz w:val="28"/>
          <w:szCs w:val="28"/>
          <w:lang w:val="en-GB"/>
        </w:rPr>
      </w:pPr>
      <w:r>
        <w:rPr/>
        <w:t>田北辰議員</w:t>
      </w:r>
      <w:r>
        <w:rPr>
          <w:spacing w:val="0"/>
          <w:sz w:val="28"/>
          <w:szCs w:val="28"/>
          <w:lang w:val="en-GB"/>
        </w:rPr>
        <w:t>, B.B.S., J.P.</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MICHAEL TIEN PUK-SUN, B.B.S., J.P.</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r>
    </w:p>
    <w:p>
      <w:pPr>
        <w:pStyle w:val="F21"/>
        <w:spacing w:lineRule="atLeast" w:line="380"/>
        <w:rPr>
          <w:spacing w:val="0"/>
          <w:sz w:val="28"/>
          <w:szCs w:val="28"/>
          <w:lang w:val="en-GB"/>
        </w:rPr>
      </w:pPr>
      <w:r>
        <w:rPr/>
        <w:t>田北俊議員</w:t>
      </w:r>
      <w:r>
        <w:rPr>
          <w:spacing w:val="0"/>
          <w:sz w:val="28"/>
          <w:szCs w:val="28"/>
          <w:lang w:val="en-GB"/>
        </w:rPr>
        <w:t>, G.B.S., J.P.</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JAMES TIEN PEI-CHUN, G.B.S., J.P.</w:t>
      </w:r>
    </w:p>
    <w:p>
      <w:pPr>
        <w:pStyle w:val="Normal"/>
        <w:tabs>
          <w:tab w:val="left" w:pos="336" w:leader="none"/>
          <w:tab w:val="left" w:pos="720" w:leader="none"/>
          <w:tab w:val="left" w:pos="2126" w:leader="none"/>
        </w:tabs>
        <w:spacing w:lineRule="atLeast" w:line="380"/>
        <w:rPr>
          <w:spacing w:val="10"/>
          <w:szCs w:val="28"/>
        </w:rPr>
      </w:pPr>
      <w:r>
        <w:rPr>
          <w:spacing w:val="10"/>
          <w:szCs w:val="28"/>
        </w:rPr>
      </w:r>
    </w:p>
    <w:p>
      <w:pPr>
        <w:pStyle w:val="F21"/>
        <w:spacing w:lineRule="atLeast" w:line="380"/>
        <w:rPr>
          <w:spacing w:val="0"/>
          <w:sz w:val="28"/>
          <w:szCs w:val="28"/>
          <w:lang w:val="en-GB"/>
        </w:rPr>
      </w:pPr>
      <w:r>
        <w:rPr/>
        <w:t>吳亮星議員</w:t>
      </w:r>
      <w:r>
        <w:rPr>
          <w:spacing w:val="0"/>
          <w:sz w:val="28"/>
          <w:szCs w:val="28"/>
          <w:lang w:val="en-GB"/>
        </w:rPr>
        <w:t>, S.B.S., J.P.</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NG LEUNG-SING, S.B.S., J.P.</w:t>
      </w:r>
    </w:p>
    <w:p>
      <w:pPr>
        <w:pStyle w:val="Normal"/>
        <w:tabs>
          <w:tab w:val="left" w:pos="336" w:leader="none"/>
          <w:tab w:val="left" w:pos="720" w:leader="none"/>
          <w:tab w:val="left" w:pos="2126" w:leader="none"/>
        </w:tabs>
        <w:spacing w:lineRule="atLeast" w:line="380"/>
        <w:rPr>
          <w:spacing w:val="10"/>
          <w:szCs w:val="28"/>
        </w:rPr>
      </w:pPr>
      <w:r>
        <w:rPr>
          <w:spacing w:val="10"/>
          <w:szCs w:val="28"/>
        </w:rPr>
      </w:r>
    </w:p>
    <w:p>
      <w:pPr>
        <w:pStyle w:val="F21"/>
        <w:spacing w:lineRule="atLeast" w:line="380"/>
        <w:rPr>
          <w:szCs w:val="22"/>
        </w:rPr>
      </w:pPr>
      <w:r>
        <w:rPr/>
        <w:t>何俊賢議員</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STEVEN HO CHUN-YIN</w:t>
      </w:r>
    </w:p>
    <w:p>
      <w:pPr>
        <w:pStyle w:val="Normal"/>
        <w:tabs>
          <w:tab w:val="left" w:pos="336" w:leader="none"/>
          <w:tab w:val="left" w:pos="720" w:leader="none"/>
          <w:tab w:val="left" w:pos="2126" w:leader="none"/>
        </w:tabs>
        <w:spacing w:lineRule="atLeast" w:line="380"/>
        <w:rPr>
          <w:spacing w:val="10"/>
          <w:sz w:val="27"/>
          <w:szCs w:val="27"/>
          <w:lang w:val="en-US"/>
        </w:rPr>
      </w:pPr>
      <w:r>
        <w:rPr>
          <w:spacing w:val="10"/>
          <w:sz w:val="27"/>
          <w:szCs w:val="27"/>
          <w:lang w:val="en-US"/>
        </w:rPr>
      </w:r>
    </w:p>
    <w:p>
      <w:pPr>
        <w:pStyle w:val="F21"/>
        <w:spacing w:lineRule="atLeast" w:line="380"/>
        <w:rPr>
          <w:szCs w:val="22"/>
        </w:rPr>
      </w:pPr>
      <w:r>
        <w:rPr/>
        <w:t>易志明議員</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FRANKIE YICK CHI-MING</w:t>
      </w:r>
    </w:p>
    <w:p>
      <w:pPr>
        <w:pStyle w:val="Normal"/>
        <w:tabs>
          <w:tab w:val="left" w:pos="336" w:leader="none"/>
          <w:tab w:val="left" w:pos="720" w:leader="none"/>
          <w:tab w:val="left" w:pos="2126" w:leader="none"/>
        </w:tabs>
        <w:spacing w:lineRule="atLeast" w:line="380"/>
        <w:rPr>
          <w:spacing w:val="10"/>
          <w:sz w:val="27"/>
          <w:szCs w:val="27"/>
          <w:lang w:val="en-US"/>
        </w:rPr>
      </w:pPr>
      <w:r>
        <w:rPr>
          <w:spacing w:val="10"/>
          <w:sz w:val="27"/>
          <w:szCs w:val="27"/>
          <w:lang w:val="en-US"/>
        </w:rPr>
      </w:r>
    </w:p>
    <w:p>
      <w:pPr>
        <w:pStyle w:val="F21"/>
        <w:spacing w:lineRule="atLeast" w:line="380"/>
        <w:rPr>
          <w:spacing w:val="0"/>
          <w:sz w:val="28"/>
          <w:szCs w:val="28"/>
          <w:lang w:val="en-GB"/>
        </w:rPr>
      </w:pPr>
      <w:r>
        <w:rPr/>
        <w:t>胡志偉議員</w:t>
      </w:r>
      <w:r>
        <w:rPr>
          <w:spacing w:val="0"/>
          <w:sz w:val="28"/>
          <w:szCs w:val="28"/>
          <w:lang w:val="en-GB"/>
        </w:rPr>
        <w:t>, M.H.</w:t>
      </w:r>
    </w:p>
    <w:p>
      <w:pPr>
        <w:pStyle w:val="Normal"/>
        <w:tabs>
          <w:tab w:val="left" w:pos="336" w:leader="none"/>
          <w:tab w:val="left" w:pos="720" w:leader="none"/>
          <w:tab w:val="left" w:pos="2126" w:leader="none"/>
        </w:tabs>
        <w:spacing w:lineRule="atLeast" w:line="380"/>
        <w:rPr>
          <w:rFonts w:cs="華康細明體"/>
          <w:spacing w:val="10"/>
          <w:szCs w:val="28"/>
        </w:rPr>
      </w:pPr>
      <w:r>
        <w:rPr>
          <w:rFonts w:cs="華康細明體"/>
          <w:szCs w:val="28"/>
        </w:rPr>
        <w:t>THE HONOURABLE</w:t>
      </w:r>
      <w:r>
        <w:rPr>
          <w:rFonts w:cs="華康細明體"/>
        </w:rPr>
        <w:t xml:space="preserve"> </w:t>
      </w:r>
      <w:r>
        <w:rPr>
          <w:rFonts w:cs="華康細明體"/>
          <w:szCs w:val="28"/>
        </w:rPr>
        <w:t>WU CHI-WAI, M.H.</w:t>
      </w:r>
    </w:p>
    <w:p>
      <w:pPr>
        <w:pStyle w:val="Normal"/>
        <w:tabs>
          <w:tab w:val="left" w:pos="336" w:leader="none"/>
          <w:tab w:val="left" w:pos="720" w:leader="none"/>
          <w:tab w:val="left" w:pos="2126" w:leader="none"/>
        </w:tabs>
        <w:spacing w:lineRule="atLeast" w:line="380"/>
        <w:rPr>
          <w:spacing w:val="10"/>
          <w:szCs w:val="28"/>
        </w:rPr>
      </w:pPr>
      <w:r>
        <w:rPr>
          <w:spacing w:val="10"/>
          <w:szCs w:val="28"/>
        </w:rPr>
      </w:r>
    </w:p>
    <w:p>
      <w:pPr>
        <w:pStyle w:val="F21"/>
        <w:spacing w:lineRule="atLeast" w:line="380"/>
        <w:rPr>
          <w:szCs w:val="22"/>
        </w:rPr>
      </w:pPr>
      <w:r>
        <w:rPr/>
        <w:t>姚思榮議員</w:t>
      </w:r>
    </w:p>
    <w:p>
      <w:pPr>
        <w:pStyle w:val="Normal"/>
        <w:tabs>
          <w:tab w:val="left" w:pos="336" w:leader="none"/>
          <w:tab w:val="left" w:pos="720" w:leader="none"/>
          <w:tab w:val="left" w:pos="2126" w:leader="none"/>
        </w:tabs>
        <w:spacing w:lineRule="atLeast" w:line="380"/>
        <w:rPr>
          <w:rFonts w:cs="華康細明體"/>
          <w:szCs w:val="28"/>
        </w:rPr>
      </w:pPr>
      <w:r>
        <w:rPr>
          <w:rFonts w:cs="華康細明體"/>
          <w:szCs w:val="28"/>
        </w:rPr>
        <w:t>THE HONOURABLE YIU SI-WING</w:t>
      </w:r>
    </w:p>
    <w:p>
      <w:pPr>
        <w:pStyle w:val="Normal"/>
        <w:tabs>
          <w:tab w:val="left" w:pos="336" w:leader="none"/>
          <w:tab w:val="left" w:pos="720" w:leader="none"/>
          <w:tab w:val="left" w:pos="2126" w:leader="none"/>
        </w:tabs>
        <w:spacing w:lineRule="atLeast" w:line="380"/>
        <w:rPr>
          <w:spacing w:val="10"/>
          <w:sz w:val="27"/>
          <w:szCs w:val="27"/>
          <w:lang w:val="en-US"/>
        </w:rPr>
      </w:pPr>
      <w:r>
        <w:rPr>
          <w:spacing w:val="10"/>
          <w:sz w:val="27"/>
          <w:szCs w:val="27"/>
          <w:lang w:val="en-US"/>
        </w:rPr>
      </w:r>
    </w:p>
    <w:p>
      <w:pPr>
        <w:pStyle w:val="F21"/>
        <w:spacing w:lineRule="atLeast" w:line="380"/>
        <w:rPr>
          <w:szCs w:val="22"/>
        </w:rPr>
      </w:pPr>
      <w:r>
        <w:rPr/>
        <w:t>范國威議員</w:t>
      </w:r>
    </w:p>
    <w:p>
      <w:pPr>
        <w:pStyle w:val="Normal"/>
        <w:tabs>
          <w:tab w:val="left" w:pos="336" w:leader="none"/>
          <w:tab w:val="left" w:pos="720" w:leader="none"/>
          <w:tab w:val="left" w:pos="2126" w:leader="none"/>
        </w:tabs>
        <w:spacing w:lineRule="atLeast" w:line="380"/>
        <w:rPr>
          <w:rFonts w:cs="華康細明體"/>
          <w:spacing w:val="10"/>
          <w:sz w:val="27"/>
          <w:szCs w:val="27"/>
          <w:lang w:val="en-US"/>
        </w:rPr>
      </w:pPr>
      <w:r>
        <w:rPr>
          <w:rFonts w:cs="華康細明體"/>
          <w:szCs w:val="28"/>
        </w:rPr>
        <w:t>THE HONOURABLE GARY FAN KWOK-WAI</w:t>
      </w:r>
    </w:p>
    <w:p>
      <w:pPr>
        <w:pStyle w:val="Normal"/>
        <w:tabs>
          <w:tab w:val="left" w:pos="336" w:leader="none"/>
          <w:tab w:val="left" w:pos="720" w:leader="none"/>
          <w:tab w:val="left" w:pos="2126" w:leader="none"/>
        </w:tabs>
        <w:spacing w:lineRule="atLeast" w:line="380"/>
        <w:rPr>
          <w:spacing w:val="10"/>
          <w:sz w:val="27"/>
          <w:szCs w:val="27"/>
          <w:lang w:val="en-US"/>
        </w:rPr>
      </w:pPr>
      <w:r>
        <w:rPr>
          <w:spacing w:val="10"/>
          <w:sz w:val="27"/>
          <w:szCs w:val="27"/>
          <w:lang w:val="en-US"/>
        </w:rPr>
      </w:r>
    </w:p>
    <w:p>
      <w:pPr>
        <w:pStyle w:val="F21"/>
        <w:spacing w:lineRule="atLeast" w:line="350"/>
        <w:rPr>
          <w:spacing w:val="0"/>
          <w:sz w:val="28"/>
          <w:szCs w:val="28"/>
          <w:lang w:val="en-GB"/>
        </w:rPr>
      </w:pPr>
      <w:r>
        <w:rPr/>
        <w:t>馬逢國議員</w:t>
      </w:r>
      <w:r>
        <w:rPr>
          <w:spacing w:val="0"/>
          <w:sz w:val="28"/>
          <w:szCs w:val="28"/>
          <w:lang w:val="en-GB"/>
        </w:rPr>
        <w:t>, S.B.S., J.P.</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THE HONOURABLE MA FUNG-KWOK, S.B.S.,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zCs w:val="22"/>
        </w:rPr>
      </w:pPr>
      <w:r>
        <w:rPr/>
        <w:t>莫乃光議員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THE HONOURABLE CHARLES PETER MOK</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zCs w:val="22"/>
        </w:rPr>
      </w:pPr>
      <w:r>
        <w:rPr/>
        <w:t>陳志全議員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THE HONOURABLE CHAN CHI-CHUEN</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zCs w:val="22"/>
        </w:rPr>
      </w:pPr>
      <w:r>
        <w:rPr/>
        <w:t>陳恒鑌議員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THE HONOURABLE CHAN HAN-PAN</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zCs w:val="22"/>
        </w:rPr>
      </w:pPr>
      <w:r>
        <w:rPr/>
        <w:t>陳家洛議員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DR THE HONOURABLE KENNETH CHAN KA-LOK</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pacing w:val="0"/>
          <w:sz w:val="28"/>
          <w:szCs w:val="28"/>
          <w:lang w:val="en-GB"/>
        </w:rPr>
      </w:pPr>
      <w:r>
        <w:rPr/>
        <w:t>陳婉嫻議員</w:t>
      </w:r>
      <w:r>
        <w:rPr>
          <w:spacing w:val="0"/>
          <w:sz w:val="28"/>
          <w:szCs w:val="28"/>
          <w:lang w:val="en-GB"/>
        </w:rPr>
        <w:t>, S.B.S.,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zCs w:val="28"/>
        </w:rPr>
        <w:t>THE HONOURABLE CHAN YUEN-HAN, S.B.S.,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pacing w:val="0"/>
          <w:sz w:val="28"/>
          <w:szCs w:val="28"/>
          <w:lang w:val="en-GB"/>
        </w:rPr>
      </w:pPr>
      <w:r>
        <w:rPr/>
        <w:t>梁志祥議員</w:t>
      </w:r>
      <w:r>
        <w:rPr>
          <w:spacing w:val="0"/>
          <w:sz w:val="28"/>
          <w:szCs w:val="28"/>
          <w:lang w:val="en-GB"/>
        </w:rPr>
        <w:t>, B.B.S., M.H., J.P.</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THE HONOURABLE LEUNG CHE-CHEUNG, B.B.S., M.H.,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zCs w:val="22"/>
        </w:rPr>
      </w:pPr>
      <w:r>
        <w:rPr/>
        <w:t>梁繼昌議員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THE HONOURABLE KENNETH LEUNG</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pacing w:val="0"/>
          <w:sz w:val="28"/>
          <w:szCs w:val="28"/>
          <w:lang w:val="en-GB"/>
        </w:rPr>
      </w:pPr>
      <w:r>
        <w:rPr/>
        <w:t>麥美娟議員</w:t>
      </w:r>
      <w:r>
        <w:rPr>
          <w:spacing w:val="0"/>
          <w:sz w:val="28"/>
          <w:szCs w:val="28"/>
          <w:lang w:val="en-GB"/>
        </w:rPr>
        <w:t>,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zCs w:val="28"/>
        </w:rPr>
        <w:t>THE HONOURABLE ALICE MAK MEI-KUEN,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zCs w:val="22"/>
        </w:rPr>
      </w:pPr>
      <w:r>
        <w:rPr/>
        <w:t>郭家麒議員</w:t>
      </w:r>
    </w:p>
    <w:p>
      <w:pPr>
        <w:pStyle w:val="Normal"/>
        <w:tabs>
          <w:tab w:val="left" w:pos="336" w:leader="none"/>
          <w:tab w:val="left" w:pos="720" w:leader="none"/>
          <w:tab w:val="left" w:pos="2126" w:leader="none"/>
        </w:tabs>
        <w:spacing w:lineRule="atLeast" w:line="350"/>
        <w:rPr>
          <w:rFonts w:cs="華康細明體"/>
          <w:szCs w:val="28"/>
          <w:lang w:val="en-US"/>
        </w:rPr>
      </w:pPr>
      <w:r>
        <w:rPr>
          <w:rFonts w:cs="華康細明體"/>
          <w:szCs w:val="28"/>
        </w:rPr>
        <w:t>DR THE HONOURABLE</w:t>
      </w:r>
      <w:r>
        <w:rPr>
          <w:rFonts w:cs="華康細明體"/>
          <w:szCs w:val="28"/>
          <w:lang w:val="en-US"/>
        </w:rPr>
        <w:t xml:space="preserve"> KWOK KA-KI</w:t>
      </w:r>
    </w:p>
    <w:p>
      <w:pPr>
        <w:pStyle w:val="Normal"/>
        <w:tabs>
          <w:tab w:val="left" w:pos="336" w:leader="none"/>
          <w:tab w:val="left" w:pos="720" w:leader="none"/>
          <w:tab w:val="left" w:pos="2126" w:leader="none"/>
        </w:tabs>
        <w:spacing w:lineRule="atLeast" w:line="350"/>
        <w:rPr>
          <w:rFonts w:cs="華康細明體"/>
          <w:spacing w:val="10"/>
          <w:szCs w:val="28"/>
          <w:lang w:val="en-US"/>
        </w:rPr>
      </w:pPr>
      <w:r>
        <w:rPr>
          <w:rFonts w:cs="華康細明體"/>
          <w:spacing w:val="10"/>
          <w:szCs w:val="28"/>
          <w:lang w:val="en-US"/>
        </w:rPr>
      </w:r>
    </w:p>
    <w:p>
      <w:pPr>
        <w:pStyle w:val="F21"/>
        <w:spacing w:lineRule="atLeast" w:line="350"/>
        <w:rPr>
          <w:szCs w:val="22"/>
        </w:rPr>
      </w:pPr>
      <w:r>
        <w:rPr/>
        <w:t>郭偉强議員</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THE HONOURABLE KWOK WAI-KEUNG</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zCs w:val="22"/>
        </w:rPr>
      </w:pPr>
      <w:r>
        <w:rPr/>
        <w:t>郭榮鏗議員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THE HONOURABLE DENNIS KWOK</w:t>
      </w:r>
    </w:p>
    <w:p>
      <w:pPr>
        <w:pStyle w:val="Normal"/>
        <w:tabs>
          <w:tab w:val="left" w:pos="336" w:leader="none"/>
          <w:tab w:val="left" w:pos="720" w:leader="none"/>
          <w:tab w:val="left" w:pos="2126" w:leader="none"/>
        </w:tabs>
        <w:spacing w:lineRule="atLeast" w:line="350"/>
        <w:rPr>
          <w:rFonts w:cs="華康細明體"/>
          <w:szCs w:val="28"/>
          <w:lang w:val="en-US"/>
        </w:rPr>
      </w:pPr>
      <w:r>
        <w:rPr>
          <w:rFonts w:cs="華康細明體"/>
          <w:szCs w:val="28"/>
          <w:lang w:val="en-US"/>
        </w:rPr>
      </w:r>
    </w:p>
    <w:p>
      <w:pPr>
        <w:pStyle w:val="F21"/>
        <w:spacing w:lineRule="atLeast" w:line="350"/>
        <w:rPr>
          <w:spacing w:val="0"/>
          <w:sz w:val="28"/>
          <w:szCs w:val="28"/>
          <w:lang w:val="en-GB"/>
        </w:rPr>
      </w:pPr>
      <w:r>
        <w:rPr/>
        <w:t>張華峰議員</w:t>
      </w:r>
      <w:r>
        <w:rPr>
          <w:spacing w:val="0"/>
          <w:sz w:val="28"/>
          <w:szCs w:val="28"/>
          <w:lang w:val="en-GB"/>
        </w:rPr>
        <w:t>,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zCs w:val="28"/>
        </w:rPr>
        <w:t>THE HONOURABLE CHRISTOPHER CHEUNG WAH-FUNG, J.P.</w:t>
      </w:r>
    </w:p>
    <w:p>
      <w:pPr>
        <w:pStyle w:val="Normal"/>
        <w:tabs>
          <w:tab w:val="left" w:pos="336" w:leader="none"/>
          <w:tab w:val="left" w:pos="720" w:leader="none"/>
          <w:tab w:val="left" w:pos="2126" w:leader="none"/>
        </w:tabs>
        <w:spacing w:lineRule="atLeast" w:line="380"/>
        <w:rPr>
          <w:rFonts w:cs="華康細明體"/>
          <w:spacing w:val="10"/>
          <w:szCs w:val="28"/>
        </w:rPr>
      </w:pPr>
      <w:r>
        <w:rPr>
          <w:rFonts w:cs="華康細明體"/>
          <w:spacing w:val="10"/>
          <w:szCs w:val="28"/>
        </w:rPr>
      </w:r>
    </w:p>
    <w:p>
      <w:pPr>
        <w:pStyle w:val="F21"/>
        <w:spacing w:lineRule="atLeast" w:line="350"/>
        <w:rPr>
          <w:szCs w:val="22"/>
        </w:rPr>
      </w:pPr>
      <w:r>
        <w:rPr/>
        <w:t>張超雄議員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DR THE HONOURABLE FERNANDO CHEUNG CHIU-HUNG</w:t>
      </w:r>
    </w:p>
    <w:p>
      <w:pPr>
        <w:pStyle w:val="Normal"/>
        <w:tabs>
          <w:tab w:val="left" w:pos="336" w:leader="none"/>
          <w:tab w:val="left" w:pos="720" w:leader="none"/>
          <w:tab w:val="left" w:pos="2126" w:leader="none"/>
        </w:tabs>
        <w:spacing w:lineRule="atLeast" w:line="350"/>
        <w:rPr>
          <w:rFonts w:cs="華康細明體"/>
          <w:szCs w:val="28"/>
          <w:lang w:val="en-US"/>
        </w:rPr>
      </w:pPr>
      <w:r>
        <w:rPr>
          <w:rFonts w:cs="華康細明體"/>
          <w:szCs w:val="28"/>
          <w:lang w:val="en-US"/>
        </w:rPr>
      </w:r>
    </w:p>
    <w:p>
      <w:pPr>
        <w:pStyle w:val="F21"/>
        <w:spacing w:lineRule="atLeast" w:line="350"/>
        <w:rPr>
          <w:spacing w:val="0"/>
          <w:sz w:val="28"/>
          <w:szCs w:val="28"/>
          <w:lang w:val="en-GB"/>
        </w:rPr>
      </w:pPr>
      <w:r>
        <w:rPr/>
        <w:t>單仲偕議員</w:t>
      </w:r>
      <w:r>
        <w:rPr>
          <w:spacing w:val="0"/>
          <w:sz w:val="28"/>
          <w:szCs w:val="28"/>
          <w:lang w:val="en-GB"/>
        </w:rPr>
        <w:t>, S.B.S.,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zCs w:val="28"/>
        </w:rPr>
        <w:t>THE HONOURABLE SIN CHUNG-KAI, S.B.S.,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zCs w:val="22"/>
        </w:rPr>
      </w:pPr>
      <w:r>
        <w:rPr/>
        <w:t>黃碧雲議員</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DR THE HONOURABLE HELENA WONG PIK-WAN</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zCs w:val="22"/>
        </w:rPr>
      </w:pPr>
      <w:r>
        <w:rPr/>
        <w:t>葉建源議員</w:t>
      </w:r>
    </w:p>
    <w:p>
      <w:pPr>
        <w:pStyle w:val="Normal"/>
        <w:tabs>
          <w:tab w:val="left" w:pos="336" w:leader="none"/>
          <w:tab w:val="left" w:pos="720" w:leader="none"/>
          <w:tab w:val="left" w:pos="2126" w:leader="none"/>
        </w:tabs>
        <w:spacing w:lineRule="atLeast" w:line="350"/>
        <w:rPr>
          <w:rFonts w:cs="華康細明體"/>
          <w:spacing w:val="10"/>
          <w:sz w:val="27"/>
          <w:szCs w:val="27"/>
        </w:rPr>
      </w:pPr>
      <w:r>
        <w:rPr>
          <w:rFonts w:cs="華康細明體"/>
          <w:szCs w:val="28"/>
        </w:rPr>
        <w:t>THE HONOURABLE IP KIN-YUEN</w:t>
      </w:r>
    </w:p>
    <w:p>
      <w:pPr>
        <w:pStyle w:val="Normal"/>
        <w:tabs>
          <w:tab w:val="left" w:pos="336" w:leader="none"/>
          <w:tab w:val="left" w:pos="720" w:leader="none"/>
          <w:tab w:val="left" w:pos="2126" w:leader="none"/>
        </w:tabs>
        <w:spacing w:lineRule="atLeast" w:line="350"/>
        <w:rPr>
          <w:rFonts w:cs="華康細明體"/>
          <w:spacing w:val="10"/>
          <w:sz w:val="27"/>
          <w:szCs w:val="27"/>
        </w:rPr>
      </w:pPr>
      <w:r>
        <w:rPr>
          <w:rFonts w:cs="華康細明體"/>
          <w:spacing w:val="10"/>
          <w:sz w:val="27"/>
          <w:szCs w:val="27"/>
        </w:rPr>
      </w:r>
    </w:p>
    <w:p>
      <w:pPr>
        <w:pStyle w:val="F21"/>
        <w:spacing w:lineRule="atLeast" w:line="350"/>
        <w:rPr>
          <w:spacing w:val="0"/>
          <w:sz w:val="28"/>
          <w:szCs w:val="28"/>
          <w:lang w:val="en-GB"/>
        </w:rPr>
      </w:pPr>
      <w:r>
        <w:rPr/>
        <w:t>葛珮帆議員</w:t>
      </w:r>
      <w:r>
        <w:rPr>
          <w:spacing w:val="0"/>
          <w:sz w:val="28"/>
          <w:szCs w:val="28"/>
          <w:lang w:val="en-GB"/>
        </w:rPr>
        <w:t>, J.P.</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DR THE HONOURABLE ELIZABETH QUAT,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pacing w:val="0"/>
          <w:sz w:val="28"/>
          <w:szCs w:val="28"/>
          <w:lang w:val="en-GB"/>
        </w:rPr>
      </w:pPr>
      <w:r>
        <w:rPr/>
        <w:t>廖長江議員</w:t>
      </w:r>
      <w:r>
        <w:rPr>
          <w:spacing w:val="0"/>
          <w:sz w:val="28"/>
          <w:szCs w:val="28"/>
          <w:lang w:val="en-GB"/>
        </w:rPr>
        <w:t>, J.P.</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THE HONOURABLE MARTIN LIAO CHEUNG-KONG,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pacing w:val="0"/>
          <w:sz w:val="28"/>
          <w:szCs w:val="28"/>
          <w:lang w:val="en-GB"/>
        </w:rPr>
      </w:pPr>
      <w:r>
        <w:rPr/>
        <w:t>潘兆平議員</w:t>
      </w:r>
      <w:r>
        <w:rPr>
          <w:spacing w:val="0"/>
          <w:sz w:val="28"/>
          <w:szCs w:val="28"/>
          <w:lang w:val="en-GB"/>
        </w:rPr>
        <w:t>, B.B.S., M.H.</w:t>
      </w:r>
    </w:p>
    <w:p>
      <w:pPr>
        <w:pStyle w:val="Normal"/>
        <w:tabs>
          <w:tab w:val="left" w:pos="336" w:leader="none"/>
          <w:tab w:val="left" w:pos="720" w:leader="none"/>
          <w:tab w:val="left" w:pos="2126" w:leader="none"/>
        </w:tabs>
        <w:spacing w:lineRule="atLeast" w:line="350"/>
        <w:rPr>
          <w:rFonts w:cs="華康細明體"/>
          <w:szCs w:val="28"/>
          <w:lang w:val="en-US"/>
        </w:rPr>
      </w:pPr>
      <w:r>
        <w:rPr>
          <w:rFonts w:cs="華康細明體"/>
          <w:szCs w:val="28"/>
        </w:rPr>
        <w:t xml:space="preserve">THE </w:t>
      </w:r>
      <w:r>
        <w:rPr>
          <w:rFonts w:cs="華康細明體"/>
        </w:rPr>
        <w:t>HONOURABLE</w:t>
      </w:r>
      <w:r>
        <w:rPr>
          <w:rFonts w:cs="華康細明體"/>
          <w:szCs w:val="28"/>
        </w:rPr>
        <w:t xml:space="preserve"> POON SIU-PING, B.B.S., M.H.</w:t>
      </w:r>
    </w:p>
    <w:p>
      <w:pPr>
        <w:pStyle w:val="Normal"/>
        <w:tabs>
          <w:tab w:val="left" w:pos="336" w:leader="none"/>
          <w:tab w:val="left" w:pos="720" w:leader="none"/>
          <w:tab w:val="left" w:pos="2126" w:leader="none"/>
        </w:tabs>
        <w:spacing w:lineRule="atLeast" w:line="350"/>
        <w:rPr>
          <w:rFonts w:cs="華康細明體"/>
          <w:spacing w:val="10"/>
          <w:sz w:val="27"/>
          <w:szCs w:val="28"/>
          <w:lang w:val="en-US"/>
        </w:rPr>
      </w:pPr>
      <w:r>
        <w:rPr>
          <w:rFonts w:cs="華康細明體"/>
          <w:spacing w:val="10"/>
          <w:sz w:val="27"/>
          <w:szCs w:val="28"/>
          <w:lang w:val="en-US"/>
        </w:rPr>
      </w:r>
    </w:p>
    <w:p>
      <w:pPr>
        <w:pStyle w:val="F21"/>
        <w:spacing w:lineRule="atLeast" w:line="350"/>
        <w:rPr>
          <w:szCs w:val="22"/>
        </w:rPr>
      </w:pPr>
      <w:r>
        <w:rPr/>
        <w:t>鄧家彪議員</w:t>
      </w:r>
    </w:p>
    <w:p>
      <w:pPr>
        <w:pStyle w:val="Normal"/>
        <w:tabs>
          <w:tab w:val="left" w:pos="336" w:leader="none"/>
          <w:tab w:val="left" w:pos="720" w:leader="none"/>
          <w:tab w:val="left" w:pos="2126" w:leader="none"/>
        </w:tabs>
        <w:spacing w:lineRule="atLeast" w:line="350"/>
        <w:rPr>
          <w:rFonts w:cs="華康細明體"/>
          <w:szCs w:val="28"/>
          <w:lang w:val="en-US"/>
        </w:rPr>
      </w:pPr>
      <w:r>
        <w:rPr>
          <w:rFonts w:cs="華康細明體"/>
          <w:szCs w:val="28"/>
        </w:rPr>
        <w:t xml:space="preserve">THE HONOURABLE </w:t>
      </w:r>
      <w:r>
        <w:rPr>
          <w:rFonts w:cs="華康細明體"/>
          <w:szCs w:val="28"/>
          <w:lang w:val="en-US"/>
        </w:rPr>
        <w:t>TANG KA-PIU</w:t>
      </w:r>
    </w:p>
    <w:p>
      <w:pPr>
        <w:pStyle w:val="Normal"/>
        <w:tabs>
          <w:tab w:val="left" w:pos="336" w:leader="none"/>
          <w:tab w:val="left" w:pos="720" w:leader="none"/>
          <w:tab w:val="left" w:pos="2126" w:leader="none"/>
        </w:tabs>
        <w:spacing w:lineRule="atLeast" w:line="350"/>
        <w:rPr>
          <w:rFonts w:cs="華康細明體"/>
          <w:spacing w:val="10"/>
          <w:szCs w:val="28"/>
          <w:lang w:val="en-US"/>
        </w:rPr>
      </w:pPr>
      <w:r>
        <w:rPr>
          <w:rFonts w:cs="華康細明體"/>
          <w:spacing w:val="10"/>
          <w:szCs w:val="28"/>
          <w:lang w:val="en-US"/>
        </w:rPr>
      </w:r>
    </w:p>
    <w:p>
      <w:pPr>
        <w:pStyle w:val="F21"/>
        <w:spacing w:lineRule="atLeast" w:line="350"/>
        <w:rPr>
          <w:spacing w:val="0"/>
          <w:sz w:val="28"/>
          <w:szCs w:val="28"/>
          <w:lang w:val="en-GB"/>
        </w:rPr>
      </w:pPr>
      <w:r>
        <w:rPr/>
        <w:t>蔣麗芸議員</w:t>
      </w:r>
      <w:r>
        <w:rPr>
          <w:spacing w:val="0"/>
          <w:sz w:val="28"/>
          <w:szCs w:val="28"/>
          <w:lang w:val="en-GB"/>
        </w:rPr>
        <w:t>, J.P.</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DR THE HONOURABLE CHIANG LAI-WAN,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zCs w:val="28"/>
        </w:rPr>
      </w:pPr>
      <w:r>
        <w:rPr/>
        <w:t>盧偉國議員</w:t>
      </w:r>
      <w:r>
        <w:rPr>
          <w:spacing w:val="0"/>
          <w:sz w:val="28"/>
          <w:szCs w:val="28"/>
          <w:lang w:val="en-GB"/>
        </w:rPr>
        <w:t>, B.B.S., M.H., J.P.</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IR DR THE HONOURABLE LO WAI-KWOK, B.B.S., M.H., J.P.</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pacing w:val="10"/>
          <w:szCs w:val="28"/>
        </w:rPr>
      </w:r>
    </w:p>
    <w:p>
      <w:pPr>
        <w:pStyle w:val="F21"/>
        <w:spacing w:lineRule="atLeast" w:line="350"/>
        <w:rPr>
          <w:szCs w:val="22"/>
        </w:rPr>
      </w:pPr>
      <w:r>
        <w:rPr/>
        <w:t>鍾國斌議員</w:t>
      </w:r>
    </w:p>
    <w:p>
      <w:pPr>
        <w:pStyle w:val="Normal"/>
        <w:tabs>
          <w:tab w:val="left" w:pos="336" w:leader="none"/>
          <w:tab w:val="left" w:pos="720" w:leader="none"/>
          <w:tab w:val="left" w:pos="2126" w:leader="none"/>
        </w:tabs>
        <w:spacing w:lineRule="atLeast" w:line="350"/>
        <w:rPr>
          <w:rFonts w:cs="華康細明體"/>
          <w:spacing w:val="10"/>
          <w:szCs w:val="28"/>
        </w:rPr>
      </w:pPr>
      <w:r>
        <w:rPr>
          <w:rFonts w:cs="華康細明體"/>
          <w:szCs w:val="28"/>
        </w:rPr>
        <w:t>THE HONOURABLE CHUNG KWOK-PAN</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pacing w:val="10"/>
          <w:sz w:val="27"/>
          <w:szCs w:val="27"/>
          <w:lang w:val="en-US"/>
        </w:rPr>
      </w:r>
    </w:p>
    <w:p>
      <w:pPr>
        <w:pStyle w:val="F21"/>
        <w:spacing w:lineRule="atLeast" w:line="350"/>
        <w:rPr>
          <w:spacing w:val="0"/>
          <w:sz w:val="28"/>
          <w:szCs w:val="28"/>
          <w:lang w:val="en-GB"/>
        </w:rPr>
      </w:pPr>
      <w:r>
        <w:rPr/>
        <w:t>鍾樹根議員</w:t>
      </w:r>
      <w:r>
        <w:rPr>
          <w:spacing w:val="0"/>
          <w:sz w:val="28"/>
          <w:szCs w:val="28"/>
          <w:lang w:val="en-GB"/>
        </w:rPr>
        <w:t>, B.B.S., M.H., J.P.</w:t>
      </w:r>
    </w:p>
    <w:p>
      <w:pPr>
        <w:pStyle w:val="Normal"/>
        <w:tabs>
          <w:tab w:val="left" w:pos="336" w:leader="none"/>
          <w:tab w:val="left" w:pos="720" w:leader="none"/>
          <w:tab w:val="left" w:pos="2126" w:leader="none"/>
        </w:tabs>
        <w:spacing w:lineRule="atLeast" w:line="350"/>
        <w:rPr>
          <w:rFonts w:cs="華康細明體"/>
          <w:spacing w:val="10"/>
          <w:sz w:val="27"/>
          <w:szCs w:val="27"/>
          <w:lang w:val="en-US"/>
        </w:rPr>
      </w:pPr>
      <w:r>
        <w:rPr>
          <w:rFonts w:cs="華康細明體"/>
          <w:szCs w:val="28"/>
        </w:rPr>
        <w:t>THE HONOURABLE CHRISTOPHER CHUNG SHU-KUN, B.B.S., M.H., J.P.</w:t>
      </w:r>
    </w:p>
    <w:p>
      <w:pPr>
        <w:pStyle w:val="Normal"/>
        <w:tabs>
          <w:tab w:val="left" w:pos="336" w:leader="none"/>
          <w:tab w:val="left" w:pos="720" w:leader="none"/>
          <w:tab w:val="left" w:pos="2126" w:leader="none"/>
        </w:tabs>
        <w:spacing w:lineRule="atLeast" w:line="350"/>
        <w:rPr>
          <w:rFonts w:cs="華康細明體"/>
          <w:spacing w:val="10"/>
          <w:szCs w:val="28"/>
          <w:lang w:val="en-US"/>
        </w:rPr>
      </w:pPr>
      <w:r>
        <w:rPr>
          <w:rFonts w:cs="華康細明體"/>
          <w:spacing w:val="10"/>
          <w:szCs w:val="28"/>
          <w:lang w:val="en-US"/>
        </w:rPr>
      </w:r>
    </w:p>
    <w:p>
      <w:pPr>
        <w:pStyle w:val="F21"/>
        <w:spacing w:lineRule="atLeast" w:line="350"/>
        <w:rPr>
          <w:szCs w:val="22"/>
        </w:rPr>
      </w:pPr>
      <w:r>
        <w:rPr/>
        <w:t>謝偉銓議員</w:t>
      </w:r>
    </w:p>
    <w:p>
      <w:pPr>
        <w:pStyle w:val="Normal"/>
        <w:tabs>
          <w:tab w:val="left" w:pos="336" w:leader="none"/>
          <w:tab w:val="left" w:pos="720" w:leader="none"/>
          <w:tab w:val="left" w:pos="2126" w:leader="none"/>
        </w:tabs>
        <w:spacing w:lineRule="atLeast" w:line="350"/>
        <w:rPr>
          <w:rFonts w:cs="華康細明體"/>
          <w:szCs w:val="28"/>
        </w:rPr>
      </w:pPr>
      <w:r>
        <w:rPr>
          <w:rFonts w:cs="華康細明體"/>
          <w:szCs w:val="28"/>
        </w:rPr>
        <w:t>THE HONOURABLE TONY TSE WAI-CHUEN</w:t>
      </w:r>
    </w:p>
    <w:p>
      <w:pPr>
        <w:pStyle w:val="F21"/>
        <w:spacing w:lineRule="atLeast" w:line="380"/>
        <w:rPr>
          <w:rFonts w:ascii="華康中黑體" w:hAnsi="華康中黑體" w:eastAsia="華康中黑體"/>
          <w:sz w:val="36"/>
          <w:szCs w:val="36"/>
        </w:rPr>
      </w:pPr>
      <w:bookmarkStart w:id="4" w:name="mba"/>
      <w:r>
        <w:rPr>
          <w:rFonts w:ascii="華康中黑體" w:hAnsi="華康中黑體" w:eastAsia="華康中黑體"/>
          <w:sz w:val="36"/>
          <w:szCs w:val="36"/>
        </w:rPr>
        <w:t>缺席議員：</w:t>
      </w:r>
    </w:p>
    <w:p>
      <w:pPr>
        <w:pStyle w:val="Normal"/>
        <w:spacing w:lineRule="atLeast" w:line="380"/>
        <w:rPr>
          <w:b/>
          <w:b/>
          <w:sz w:val="36"/>
          <w:szCs w:val="36"/>
        </w:rPr>
      </w:pPr>
      <w:bookmarkStart w:id="5" w:name="mba"/>
      <w:r>
        <w:rPr>
          <w:b/>
          <w:sz w:val="36"/>
          <w:szCs w:val="36"/>
        </w:rPr>
        <w:t>MEMBER ABSENT:</w:t>
      </w:r>
      <w:bookmarkEnd w:id="5"/>
    </w:p>
    <w:p>
      <w:pPr>
        <w:pStyle w:val="F21"/>
        <w:spacing w:lineRule="atLeast" w:line="380"/>
        <w:rPr/>
      </w:pPr>
      <w:r>
        <w:rPr/>
      </w:r>
    </w:p>
    <w:p>
      <w:pPr>
        <w:pStyle w:val="F21"/>
        <w:spacing w:lineRule="atLeast" w:line="380"/>
        <w:rPr>
          <w:szCs w:val="22"/>
        </w:rPr>
      </w:pPr>
      <w:r>
        <w:rPr/>
        <w:t>黃毓民議員</w:t>
      </w:r>
    </w:p>
    <w:p>
      <w:pPr>
        <w:pStyle w:val="Normal"/>
        <w:spacing w:lineRule="atLeast" w:line="380"/>
        <w:rPr>
          <w:rFonts w:cs="華康細明體"/>
          <w:szCs w:val="28"/>
        </w:rPr>
      </w:pPr>
      <w:r>
        <w:rPr>
          <w:rFonts w:cs="華康細明體"/>
          <w:szCs w:val="28"/>
        </w:rPr>
        <w:t>THE HONOURABLE WONG YUK-MAN</w:t>
      </w:r>
    </w:p>
    <w:p>
      <w:pPr>
        <w:pStyle w:val="F21"/>
        <w:spacing w:lineRule="atLeast" w:line="380"/>
        <w:rPr/>
      </w:pPr>
      <w:r>
        <w:rPr/>
      </w:r>
    </w:p>
    <w:p>
      <w:pPr>
        <w:pStyle w:val="F21"/>
        <w:spacing w:lineRule="atLeast" w:line="380"/>
        <w:rPr/>
      </w:pPr>
      <w:r>
        <w:rPr/>
      </w:r>
    </w:p>
    <w:p>
      <w:pPr>
        <w:pStyle w:val="F21"/>
        <w:spacing w:lineRule="atLeast" w:line="380"/>
        <w:rPr>
          <w:rFonts w:ascii="華康中黑體" w:hAnsi="華康中黑體" w:eastAsia="華康中黑體"/>
          <w:sz w:val="36"/>
          <w:szCs w:val="36"/>
        </w:rPr>
      </w:pPr>
      <w:bookmarkStart w:id="6" w:name="poa"/>
      <w:r>
        <w:rPr>
          <w:rFonts w:ascii="華康中黑體" w:hAnsi="華康中黑體" w:eastAsia="華康中黑體"/>
          <w:sz w:val="36"/>
          <w:szCs w:val="36"/>
        </w:rPr>
        <w:t>出席政府官員：</w:t>
      </w:r>
    </w:p>
    <w:p>
      <w:pPr>
        <w:pStyle w:val="F21"/>
        <w:spacing w:lineRule="atLeast" w:line="380"/>
        <w:rPr>
          <w:rFonts w:cs="Times New Roman"/>
          <w:b/>
          <w:b/>
          <w:spacing w:val="0"/>
          <w:sz w:val="36"/>
          <w:szCs w:val="36"/>
          <w:lang w:val="en-GB"/>
        </w:rPr>
      </w:pPr>
      <w:bookmarkStart w:id="7" w:name="poa"/>
      <w:r>
        <w:rPr>
          <w:rFonts w:cs="Times New Roman"/>
          <w:b/>
          <w:spacing w:val="0"/>
          <w:sz w:val="36"/>
          <w:szCs w:val="36"/>
          <w:lang w:val="en-GB"/>
        </w:rPr>
        <w:t>PUBLIC OFFICERS ATTENDING:</w:t>
      </w:r>
      <w:bookmarkEnd w:id="7"/>
    </w:p>
    <w:p>
      <w:pPr>
        <w:pStyle w:val="Normal"/>
        <w:spacing w:lineRule="atLeast" w:line="380"/>
        <w:rPr/>
      </w:pPr>
      <w:r>
        <w:rPr/>
      </w:r>
    </w:p>
    <w:p>
      <w:pPr>
        <w:pStyle w:val="F21"/>
        <w:spacing w:lineRule="atLeast" w:line="380"/>
        <w:rPr>
          <w:szCs w:val="28"/>
        </w:rPr>
      </w:pPr>
      <w:r>
        <w:rPr/>
        <w:t>財經事務及庫務局局長陳家強教授</w:t>
      </w:r>
      <w:r>
        <w:rPr>
          <w:sz w:val="28"/>
        </w:rPr>
        <w:t xml:space="preserve">, </w:t>
      </w:r>
      <w:r>
        <w:rPr>
          <w:spacing w:val="0"/>
          <w:sz w:val="28"/>
          <w:szCs w:val="28"/>
        </w:rPr>
        <w:t>G.B.S., J.P.</w:t>
      </w:r>
    </w:p>
    <w:p>
      <w:pPr>
        <w:pStyle w:val="Normal"/>
        <w:spacing w:lineRule="atLeast" w:line="380"/>
        <w:rPr>
          <w:szCs w:val="22"/>
        </w:rPr>
      </w:pPr>
      <w:r>
        <w:rPr/>
        <w:t>PROF THE HONOURABLE K C CHAN, G.B.S., J.P.</w:t>
      </w:r>
    </w:p>
    <w:p>
      <w:pPr>
        <w:pStyle w:val="Normal"/>
        <w:spacing w:lineRule="atLeast" w:line="380"/>
        <w:rPr/>
      </w:pPr>
      <w:r>
        <w:rPr/>
        <w:t>SECRETARY FOR FINANCIAL SERVICES AND THE TREASURY</w:t>
      </w:r>
    </w:p>
    <w:p>
      <w:pPr>
        <w:pStyle w:val="Normal"/>
        <w:spacing w:lineRule="atLeast" w:line="380"/>
        <w:rPr/>
      </w:pPr>
      <w:r>
        <w:rPr/>
      </w:r>
    </w:p>
    <w:p>
      <w:pPr>
        <w:pStyle w:val="F21"/>
        <w:spacing w:lineRule="atLeast" w:line="380"/>
        <w:rPr>
          <w:spacing w:val="0"/>
          <w:sz w:val="28"/>
          <w:szCs w:val="28"/>
        </w:rPr>
      </w:pPr>
      <w:r>
        <w:rPr/>
        <w:t>商務及經濟發展局局長梁敬國先生</w:t>
      </w:r>
    </w:p>
    <w:p>
      <w:pPr>
        <w:pStyle w:val="Normal"/>
        <w:spacing w:lineRule="atLeast" w:line="380"/>
        <w:rPr>
          <w:caps/>
        </w:rPr>
      </w:pPr>
      <w:r>
        <w:rPr>
          <w:caps/>
        </w:rPr>
        <w:t>Mr godfrey Leung King-kwok</w:t>
      </w:r>
    </w:p>
    <w:p>
      <w:pPr>
        <w:pStyle w:val="Normal"/>
        <w:spacing w:lineRule="atLeast" w:line="380"/>
        <w:rPr/>
      </w:pPr>
      <w:r>
        <w:rPr/>
        <w:t>SECRETARY FOR COMMERCE AND ECONOMIC DEVELOPMENT</w:t>
      </w:r>
    </w:p>
    <w:p>
      <w:pPr>
        <w:pStyle w:val="Normal"/>
        <w:spacing w:lineRule="atLeast" w:line="380"/>
        <w:rPr/>
      </w:pPr>
      <w:r>
        <w:rPr/>
      </w:r>
    </w:p>
    <w:p>
      <w:pPr>
        <w:pStyle w:val="F21"/>
        <w:spacing w:lineRule="atLeast" w:line="380"/>
        <w:rPr>
          <w:spacing w:val="0"/>
          <w:sz w:val="28"/>
          <w:szCs w:val="28"/>
        </w:rPr>
      </w:pPr>
      <w:r>
        <w:rPr/>
        <w:t>教育局局長吳克儉先生</w:t>
      </w:r>
      <w:r>
        <w:rPr>
          <w:sz w:val="28"/>
        </w:rPr>
        <w:t xml:space="preserve">, </w:t>
      </w:r>
      <w:r>
        <w:rPr>
          <w:caps/>
          <w:spacing w:val="0"/>
          <w:sz w:val="28"/>
          <w:szCs w:val="28"/>
        </w:rPr>
        <w:t>S.B.S., J.P.</w:t>
      </w:r>
    </w:p>
    <w:p>
      <w:pPr>
        <w:pStyle w:val="Normal"/>
        <w:spacing w:lineRule="atLeast" w:line="380"/>
        <w:rPr>
          <w:caps/>
          <w:szCs w:val="22"/>
        </w:rPr>
      </w:pPr>
      <w:r>
        <w:rPr>
          <w:caps/>
        </w:rPr>
        <w:t>The Honourable Eddie NG Hak-kim, S.B.S., J.P.</w:t>
      </w:r>
    </w:p>
    <w:p>
      <w:pPr>
        <w:pStyle w:val="Normal"/>
        <w:spacing w:lineRule="atLeast" w:line="380"/>
        <w:rPr/>
      </w:pPr>
      <w:r>
        <w:rPr/>
        <w:t>SECRETARY FOR EDUCATION</w:t>
      </w:r>
    </w:p>
    <w:p>
      <w:pPr>
        <w:pStyle w:val="Normal"/>
        <w:spacing w:lineRule="atLeast" w:line="380"/>
        <w:rPr/>
      </w:pPr>
      <w:r>
        <w:rPr/>
      </w:r>
    </w:p>
    <w:p>
      <w:pPr>
        <w:pStyle w:val="F21"/>
        <w:spacing w:lineRule="atLeast" w:line="380"/>
        <w:rPr>
          <w:szCs w:val="28"/>
        </w:rPr>
      </w:pPr>
      <w:r>
        <w:rPr/>
        <w:t>食物及衞生局局長高永文醫生</w:t>
      </w:r>
      <w:r>
        <w:rPr>
          <w:sz w:val="28"/>
        </w:rPr>
        <w:t xml:space="preserve">, </w:t>
      </w:r>
      <w:r>
        <w:rPr>
          <w:caps/>
          <w:spacing w:val="0"/>
          <w:sz w:val="28"/>
          <w:szCs w:val="28"/>
        </w:rPr>
        <w:t>B.B.S., J.P.</w:t>
      </w:r>
    </w:p>
    <w:p>
      <w:pPr>
        <w:pStyle w:val="Normal"/>
        <w:spacing w:lineRule="atLeast" w:line="380"/>
        <w:rPr>
          <w:caps/>
          <w:szCs w:val="22"/>
        </w:rPr>
      </w:pPr>
      <w:r>
        <w:rPr>
          <w:caps/>
        </w:rPr>
        <w:t>Dr the Honourable KO Wing-man, B.B.S., J.P.</w:t>
      </w:r>
    </w:p>
    <w:p>
      <w:pPr>
        <w:pStyle w:val="Normal"/>
        <w:spacing w:lineRule="atLeast" w:line="380"/>
        <w:rPr/>
      </w:pPr>
      <w:r>
        <w:rPr/>
        <w:t>SECRETARY FOR FOOD AND HEALTH</w:t>
      </w:r>
    </w:p>
    <w:p>
      <w:pPr>
        <w:pStyle w:val="Normal"/>
        <w:spacing w:lineRule="atLeast" w:line="380"/>
        <w:rPr>
          <w:lang w:val="en-US"/>
        </w:rPr>
      </w:pPr>
      <w:r>
        <w:rPr>
          <w:lang w:val="en-US"/>
        </w:rPr>
      </w:r>
    </w:p>
    <w:p>
      <w:pPr>
        <w:pStyle w:val="F21"/>
        <w:spacing w:lineRule="atLeast" w:line="380"/>
        <w:rPr/>
      </w:pPr>
      <w:r>
        <w:rPr/>
        <w:t>環境局局長黃錦星先生</w:t>
      </w:r>
      <w:r>
        <w:rPr>
          <w:sz w:val="28"/>
        </w:rPr>
        <w:t xml:space="preserve">, </w:t>
      </w:r>
      <w:r>
        <w:rPr>
          <w:spacing w:val="0"/>
          <w:sz w:val="28"/>
          <w:szCs w:val="28"/>
        </w:rPr>
        <w:t>J.P.</w:t>
      </w:r>
    </w:p>
    <w:p>
      <w:pPr>
        <w:pStyle w:val="Normal"/>
        <w:spacing w:lineRule="atLeast" w:line="380"/>
        <w:rPr>
          <w:caps/>
        </w:rPr>
      </w:pPr>
      <w:r>
        <w:rPr>
          <w:caps/>
        </w:rPr>
        <w:t>The Honourable WONG Kam-sing, J.P.</w:t>
      </w:r>
    </w:p>
    <w:p>
      <w:pPr>
        <w:pStyle w:val="Normal"/>
        <w:spacing w:lineRule="atLeast" w:line="380"/>
        <w:rPr/>
      </w:pPr>
      <w:r>
        <w:rPr/>
        <w:t>SECRETARY FOR THE ENVIRONMENT</w:t>
      </w:r>
    </w:p>
    <w:p>
      <w:pPr>
        <w:pStyle w:val="Normal"/>
        <w:spacing w:lineRule="atLeast" w:line="380"/>
        <w:rPr/>
      </w:pPr>
      <w:r>
        <w:rPr/>
      </w:r>
    </w:p>
    <w:p>
      <w:pPr>
        <w:pStyle w:val="F21"/>
        <w:spacing w:lineRule="atLeast" w:line="380"/>
        <w:rPr/>
      </w:pPr>
      <w:r>
        <w:rPr/>
        <w:t>發展局局長陳茂波先生</w:t>
      </w:r>
      <w:r>
        <w:rPr>
          <w:sz w:val="28"/>
        </w:rPr>
        <w:t xml:space="preserve">, </w:t>
      </w:r>
      <w:r>
        <w:rPr>
          <w:spacing w:val="0"/>
          <w:sz w:val="28"/>
          <w:szCs w:val="28"/>
        </w:rPr>
        <w:t>M.H., J.P.</w:t>
      </w:r>
    </w:p>
    <w:p>
      <w:pPr>
        <w:pStyle w:val="Normal"/>
        <w:spacing w:lineRule="atLeast" w:line="380"/>
        <w:rPr>
          <w:caps/>
        </w:rPr>
      </w:pPr>
      <w:r>
        <w:rPr>
          <w:caps/>
        </w:rPr>
        <w:t xml:space="preserve">The Honourable PAUL CHAN MO-PO, </w:t>
      </w:r>
      <w:r>
        <w:rPr>
          <w:szCs w:val="28"/>
        </w:rPr>
        <w:t>M.H., J.P.</w:t>
      </w:r>
    </w:p>
    <w:p>
      <w:pPr>
        <w:pStyle w:val="Normal"/>
        <w:spacing w:lineRule="atLeast" w:line="380"/>
        <w:rPr/>
      </w:pPr>
      <w:r>
        <w:rPr/>
        <w:t>SECRETARY FOR DEVELOPMENT</w:t>
      </w:r>
    </w:p>
    <w:p>
      <w:pPr>
        <w:pStyle w:val="Normal"/>
        <w:spacing w:lineRule="atLeast" w:line="380"/>
        <w:rPr>
          <w:lang w:val="en-US"/>
        </w:rPr>
      </w:pPr>
      <w:r>
        <w:rPr>
          <w:lang w:val="en-US"/>
        </w:rPr>
      </w:r>
    </w:p>
    <w:p>
      <w:pPr>
        <w:pStyle w:val="Normal"/>
        <w:rPr>
          <w:lang w:val="en-US"/>
        </w:rPr>
      </w:pPr>
      <w:r>
        <w:rPr>
          <w:lang w:val="en-US"/>
        </w:rPr>
      </w:r>
    </w:p>
    <w:p>
      <w:pPr>
        <w:pStyle w:val="F21"/>
        <w:rPr>
          <w:rFonts w:ascii="華康中黑體" w:hAnsi="華康中黑體" w:eastAsia="華康中黑體"/>
          <w:sz w:val="36"/>
          <w:szCs w:val="36"/>
        </w:rPr>
      </w:pPr>
      <w:bookmarkStart w:id="8" w:name="cia"/>
      <w:r>
        <w:rPr>
          <w:rFonts w:ascii="華康中黑體" w:hAnsi="華康中黑體" w:eastAsia="華康中黑體"/>
          <w:sz w:val="36"/>
          <w:szCs w:val="36"/>
        </w:rPr>
        <w:t>列席秘書：</w:t>
      </w:r>
    </w:p>
    <w:p>
      <w:pPr>
        <w:pStyle w:val="F21"/>
        <w:rPr>
          <w:rFonts w:cs="Times New Roman"/>
          <w:b/>
          <w:b/>
          <w:spacing w:val="0"/>
          <w:sz w:val="36"/>
          <w:szCs w:val="36"/>
          <w:lang w:val="en-GB"/>
        </w:rPr>
      </w:pPr>
      <w:bookmarkStart w:id="9" w:name="cia"/>
      <w:r>
        <w:rPr>
          <w:rFonts w:cs="Times New Roman"/>
          <w:b/>
          <w:spacing w:val="0"/>
          <w:sz w:val="36"/>
          <w:szCs w:val="36"/>
          <w:lang w:val="en-GB"/>
        </w:rPr>
        <w:t>CLERKS IN ATTENDANCE:</w:t>
      </w:r>
      <w:bookmarkEnd w:id="9"/>
    </w:p>
    <w:p>
      <w:pPr>
        <w:pStyle w:val="Normal"/>
        <w:rPr/>
      </w:pPr>
      <w:r>
        <w:rPr/>
      </w:r>
    </w:p>
    <w:p>
      <w:pPr>
        <w:pStyle w:val="F21"/>
        <w:rPr/>
      </w:pPr>
      <w:r>
        <w:rPr/>
        <w:t>秘書長陳維安先生</w:t>
      </w:r>
      <w:r>
        <w:rPr>
          <w:sz w:val="28"/>
        </w:rPr>
        <w:t xml:space="preserve">, </w:t>
      </w:r>
      <w:r>
        <w:rPr>
          <w:caps/>
          <w:spacing w:val="0"/>
          <w:sz w:val="28"/>
          <w:szCs w:val="28"/>
        </w:rPr>
        <w:t>S.B.S.</w:t>
      </w:r>
    </w:p>
    <w:p>
      <w:pPr>
        <w:pStyle w:val="Normal"/>
        <w:rPr/>
      </w:pPr>
      <w:r>
        <w:rPr/>
        <w:t>MR K</w:t>
      </w:r>
      <w:r>
        <w:rPr>
          <w:lang w:val="en-US"/>
        </w:rPr>
        <w:t>ENNETH</w:t>
      </w:r>
      <w:r>
        <w:rPr/>
        <w:t xml:space="preserve"> CHEN WEI-ON,</w:t>
      </w:r>
      <w:r>
        <w:rPr>
          <w:caps/>
        </w:rPr>
        <w:t xml:space="preserve"> S.B.S., </w:t>
      </w:r>
      <w:r>
        <w:rPr/>
        <w:t>SECRETARY GENERAL</w:t>
      </w:r>
    </w:p>
    <w:p>
      <w:pPr>
        <w:pStyle w:val="Normal"/>
        <w:rPr/>
      </w:pPr>
      <w:r>
        <w:rPr/>
      </w:r>
    </w:p>
    <w:p>
      <w:pPr>
        <w:pStyle w:val="F21"/>
        <w:rPr/>
      </w:pPr>
      <w:r>
        <w:rPr/>
        <w:t>副秘書長林鄭寶玲女士</w:t>
      </w:r>
    </w:p>
    <w:p>
      <w:pPr>
        <w:pStyle w:val="Normal"/>
        <w:rPr/>
      </w:pPr>
      <w:r>
        <w:rPr/>
        <w:t>MRS JUSTINA LAM CHENG BO-LING, DEPUTY SECRETARY GENERAL</w:t>
      </w:r>
    </w:p>
    <w:p>
      <w:pPr>
        <w:pStyle w:val="Normal"/>
        <w:rPr/>
      </w:pPr>
      <w:r>
        <w:rPr/>
      </w:r>
    </w:p>
    <w:p>
      <w:pPr>
        <w:pStyle w:val="F21"/>
        <w:rPr/>
      </w:pPr>
      <w:r>
        <w:rPr/>
        <w:t>助理秘書長劉國昌先生</w:t>
      </w:r>
    </w:p>
    <w:p>
      <w:pPr>
        <w:pStyle w:val="Normal"/>
        <w:rPr/>
      </w:pPr>
      <w:r>
        <w:rPr/>
        <w:t>MR ANDY LAU KWOK-CHEONG, ASSISTANT SECRETARY GENERAL</w:t>
      </w:r>
    </w:p>
    <w:p>
      <w:pPr>
        <w:pStyle w:val="Normal"/>
        <w:rPr/>
      </w:pPr>
      <w:r>
        <w:rPr/>
      </w:r>
    </w:p>
    <w:p>
      <w:pPr>
        <w:pStyle w:val="F21"/>
        <w:rPr/>
      </w:pPr>
      <w:r>
        <w:rPr/>
        <w:t>助理秘書長戴燕萍小姐</w:t>
      </w:r>
    </w:p>
    <w:p>
      <w:pPr>
        <w:pStyle w:val="Normal"/>
        <w:rPr/>
      </w:pPr>
      <w:r>
        <w:rPr/>
        <w:t xml:space="preserve">MISS </w:t>
      </w:r>
      <w:r>
        <w:rPr>
          <w:caps/>
        </w:rPr>
        <w:t>Flora TAI Yin-ping</w:t>
      </w:r>
      <w:r>
        <w:rPr/>
        <w:t>, ASSISTANT SECRETARY GENERAL</w:t>
      </w:r>
    </w:p>
    <w:p>
      <w:pPr>
        <w:pStyle w:val="Normal"/>
        <w:rPr>
          <w:lang w:val="en-US"/>
        </w:rPr>
      </w:pPr>
      <w:r>
        <w:rPr>
          <w:lang w:val="en-US"/>
        </w:rPr>
      </w:r>
    </w:p>
    <w:p>
      <w:pPr>
        <w:pStyle w:val="F21"/>
        <w:rPr/>
      </w:pPr>
      <w:r>
        <w:rPr/>
        <w:t>助理秘書長梁慶儀女士</w:t>
      </w:r>
    </w:p>
    <w:p>
      <w:pPr>
        <w:pStyle w:val="Normal"/>
        <w:rPr/>
      </w:pPr>
      <w:r>
        <w:rPr/>
        <w:t>MISS ODELIA LEUNG HING-YEE, ASSISTANT SECRETARY GENERAL</w:t>
      </w:r>
    </w:p>
    <w:p>
      <w:pPr>
        <w:pStyle w:val="F21"/>
        <w:rPr/>
      </w:pPr>
      <w:r>
        <w:rPr/>
      </w:r>
    </w:p>
    <w:p>
      <w:pPr>
        <w:pStyle w:val="F21"/>
        <w:rPr/>
      </w:pPr>
      <w:r>
        <w:rPr/>
      </w:r>
      <w:r>
        <w:br w:type="page"/>
      </w:r>
    </w:p>
    <w:p>
      <w:pPr>
        <w:pStyle w:val="F21"/>
        <w:tabs>
          <w:tab w:val="left" w:pos="567" w:leader="none"/>
          <w:tab w:val="left" w:pos="851" w:leader="none"/>
        </w:tabs>
        <w:overflowPunct w:val="true"/>
        <w:snapToGrid w:val="false"/>
        <w:spacing w:lineRule="atLeast" w:line="350"/>
        <w:rPr/>
      </w:pPr>
      <w:r>
        <w:rPr>
          <w:rFonts w:ascii="華康中黑體" w:hAnsi="華康中黑體" w:eastAsia="華康中黑體"/>
          <w:b/>
        </w:rPr>
        <w:t>主席</w:t>
      </w:r>
      <w:r>
        <w:rPr>
          <w:rFonts w:ascii="華康中黑體" w:hAnsi="華康中黑體"/>
        </w:rPr>
        <w:t>：</w:t>
      </w:r>
      <w:r>
        <w:rPr/>
        <w:t>沒有足夠法定人數。秘書，請響鐘傳召議員進入會議廳。</w:t>
      </w:r>
    </w:p>
    <w:p>
      <w:pPr>
        <w:pStyle w:val="F21"/>
        <w:overflowPunct w:val="true"/>
        <w:snapToGrid w:val="false"/>
        <w:spacing w:lineRule="atLeast" w:line="350"/>
        <w:rPr/>
      </w:pPr>
      <w:r>
        <w:rPr/>
      </w:r>
    </w:p>
    <w:p>
      <w:pPr>
        <w:pStyle w:val="F21"/>
        <w:overflowPunct w:val="true"/>
        <w:snapToGrid w:val="false"/>
        <w:spacing w:lineRule="atLeast" w:line="350"/>
        <w:rPr/>
      </w:pPr>
      <w:r>
        <w:rPr/>
        <w:t>(</w:t>
      </w:r>
      <w:r>
        <w:rPr/>
        <w:t>在傳召鐘響後，多位議員進入會議廳</w:t>
      </w:r>
      <w:r>
        <w:rPr/>
        <w:t>)</w:t>
      </w:r>
    </w:p>
    <w:p>
      <w:pPr>
        <w:pStyle w:val="F21"/>
        <w:overflowPunct w:val="true"/>
        <w:snapToGrid w:val="false"/>
        <w:spacing w:lineRule="atLeast" w:line="350"/>
        <w:rPr/>
      </w:pPr>
      <w:r>
        <w:rPr/>
      </w:r>
    </w:p>
    <w:p>
      <w:pPr>
        <w:pStyle w:val="F21"/>
        <w:overflowPunct w:val="true"/>
        <w:snapToGrid w:val="false"/>
        <w:spacing w:lineRule="atLeast" w:line="350"/>
        <w:rPr/>
      </w:pPr>
      <w:r>
        <w:rPr/>
      </w:r>
    </w:p>
    <w:p>
      <w:pPr>
        <w:pStyle w:val="F21"/>
        <w:spacing w:lineRule="atLeast" w:line="350"/>
        <w:rPr>
          <w:rFonts w:ascii="華康中黑體" w:hAnsi="華康中黑體" w:eastAsia="華康中黑體"/>
          <w:b/>
          <w:b/>
          <w:sz w:val="28"/>
          <w:szCs w:val="28"/>
        </w:rPr>
      </w:pPr>
      <w:bookmarkStart w:id="10" w:name="top"/>
      <w:r>
        <w:rPr>
          <w:rFonts w:ascii="華康中黑體" w:hAnsi="華康中黑體" w:eastAsia="華康中黑體"/>
          <w:b/>
          <w:sz w:val="28"/>
          <w:szCs w:val="28"/>
        </w:rPr>
        <w:t>提交文件</w:t>
      </w:r>
    </w:p>
    <w:p>
      <w:pPr>
        <w:pStyle w:val="Normal"/>
        <w:spacing w:lineRule="atLeast" w:line="350"/>
        <w:rPr>
          <w:b/>
          <w:b/>
          <w:szCs w:val="28"/>
        </w:rPr>
      </w:pPr>
      <w:bookmarkStart w:id="11" w:name="top"/>
      <w:r>
        <w:rPr>
          <w:b/>
          <w:szCs w:val="28"/>
        </w:rPr>
        <w:t>TABLING OF PAPERS</w:t>
      </w:r>
      <w:bookmarkEnd w:id="11"/>
    </w:p>
    <w:p>
      <w:pPr>
        <w:pStyle w:val="F21"/>
        <w:spacing w:lineRule="atLeast" w:line="350"/>
        <w:rPr/>
      </w:pPr>
      <w:r>
        <w:rPr/>
      </w:r>
    </w:p>
    <w:p>
      <w:pPr>
        <w:pStyle w:val="F21"/>
        <w:spacing w:lineRule="atLeast" w:line="350"/>
        <w:rPr/>
      </w:pPr>
      <w:r>
        <w:rPr/>
        <w:t>下列文件是根據《議事規則》第</w:t>
      </w:r>
      <w:r>
        <w:rPr/>
        <w:t>21(2)</w:t>
      </w:r>
      <w:r>
        <w:rPr/>
        <w:t>條的規定提交：</w:t>
      </w:r>
    </w:p>
    <w:p>
      <w:pPr>
        <w:pStyle w:val="Normal"/>
        <w:spacing w:lineRule="atLeast" w:line="350"/>
        <w:rPr/>
      </w:pPr>
      <w:r>
        <w:rPr/>
        <w:t>The following papers were laid on the table under Rule 21(2) of the Rules of Procedure:</w:t>
      </w:r>
    </w:p>
    <w:p>
      <w:pPr>
        <w:pStyle w:val="F21"/>
        <w:spacing w:lineRule="atLeast" w:line="350"/>
        <w:rPr/>
      </w:pPr>
      <w:r>
        <w:rPr/>
      </w:r>
    </w:p>
    <w:p>
      <w:pPr>
        <w:pStyle w:val="F21"/>
        <w:tabs>
          <w:tab w:val="clear" w:pos="567"/>
          <w:tab w:val="right" w:pos="9214" w:leader="none"/>
        </w:tabs>
        <w:spacing w:lineRule="atLeast" w:line="350"/>
        <w:rPr/>
      </w:pPr>
      <w:r>
        <w:rPr/>
        <w:t>附屬法例／文書</w:t>
      </w:r>
      <w:r>
        <w:rPr/>
        <w:tab/>
      </w:r>
      <w:r>
        <w:rPr>
          <w:i/>
        </w:rPr>
        <w:t>法律公告編號</w:t>
      </w:r>
    </w:p>
    <w:tbl>
      <w:tblPr>
        <w:tblW w:w="8902" w:type="dxa"/>
        <w:jc w:val="left"/>
        <w:tblInd w:w="0" w:type="dxa"/>
        <w:tblCellMar>
          <w:top w:w="0" w:type="dxa"/>
          <w:left w:w="0" w:type="dxa"/>
          <w:bottom w:w="0" w:type="dxa"/>
          <w:right w:w="0" w:type="dxa"/>
        </w:tblCellMar>
        <w:tblLook w:val="01e0" w:noHBand="0" w:noVBand="0" w:firstColumn="1" w:lastRow="1" w:lastColumn="1" w:firstRow="1"/>
      </w:tblPr>
      <w:tblGrid>
        <w:gridCol w:w="7200"/>
        <w:gridCol w:w="510"/>
        <w:gridCol w:w="1192"/>
      </w:tblGrid>
      <w:tr>
        <w:trPr/>
        <w:tc>
          <w:tcPr>
            <w:tcW w:w="7200" w:type="dxa"/>
            <w:tcBorders/>
          </w:tcPr>
          <w:p>
            <w:pPr>
              <w:pStyle w:val="F21"/>
              <w:tabs>
                <w:tab w:val="clear" w:pos="567"/>
                <w:tab w:val="right" w:pos="7139" w:leader="dot"/>
              </w:tabs>
              <w:spacing w:lineRule="atLeast" w:line="350"/>
              <w:ind w:left="1531" w:right="62" w:hanging="964"/>
              <w:jc w:val="left"/>
              <w:rPr/>
            </w:pPr>
            <w:r>
              <w:rPr/>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r>
          </w:p>
        </w:tc>
      </w:tr>
      <w:tr>
        <w:trPr/>
        <w:tc>
          <w:tcPr>
            <w:tcW w:w="7200" w:type="dxa"/>
            <w:tcBorders/>
          </w:tcPr>
          <w:p>
            <w:pPr>
              <w:pStyle w:val="F21"/>
              <w:tabs>
                <w:tab w:val="clear" w:pos="567"/>
                <w:tab w:val="right" w:pos="7139" w:leader="dot"/>
              </w:tabs>
              <w:spacing w:lineRule="atLeast" w:line="350"/>
              <w:ind w:left="1531" w:right="62" w:hanging="964"/>
              <w:jc w:val="left"/>
              <w:rPr/>
            </w:pPr>
            <w:r>
              <w:rPr/>
              <w:t>《植物</w:t>
            </w:r>
            <w:r>
              <w:rPr/>
              <w:t>(</w:t>
            </w:r>
            <w:r>
              <w:rPr/>
              <w:t>進口管制及病蟲害控制</w:t>
            </w:r>
            <w:r>
              <w:rPr/>
              <w:t>)(</w:t>
            </w:r>
            <w:r>
              <w:rPr/>
              <w:t>檢疫區</w:t>
            </w:r>
            <w:r>
              <w:rPr/>
              <w:t>)</w:t>
            </w:r>
            <w:r>
              <w:rPr/>
              <w:t>令》</w:t>
            </w:r>
            <w:r>
              <w:rPr/>
              <w:tab/>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t>199/2013</w:t>
            </w:r>
          </w:p>
        </w:tc>
      </w:tr>
      <w:tr>
        <w:trPr/>
        <w:tc>
          <w:tcPr>
            <w:tcW w:w="7200" w:type="dxa"/>
            <w:tcBorders/>
          </w:tcPr>
          <w:p>
            <w:pPr>
              <w:pStyle w:val="F21"/>
              <w:tabs>
                <w:tab w:val="clear" w:pos="567"/>
                <w:tab w:val="right" w:pos="7139" w:leader="dot"/>
              </w:tabs>
              <w:spacing w:lineRule="atLeast" w:line="350"/>
              <w:ind w:left="1531" w:right="62" w:hanging="964"/>
              <w:jc w:val="left"/>
              <w:rPr/>
            </w:pPr>
            <w:r>
              <w:rPr/>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r>
          </w:p>
        </w:tc>
      </w:tr>
      <w:tr>
        <w:trPr/>
        <w:tc>
          <w:tcPr>
            <w:tcW w:w="7200" w:type="dxa"/>
            <w:tcBorders/>
          </w:tcPr>
          <w:p>
            <w:pPr>
              <w:pStyle w:val="F21"/>
              <w:tabs>
                <w:tab w:val="clear" w:pos="567"/>
                <w:tab w:val="right" w:pos="7139" w:leader="dot"/>
              </w:tabs>
              <w:spacing w:lineRule="atLeast" w:line="350"/>
              <w:ind w:left="1531" w:right="62" w:hanging="964"/>
              <w:jc w:val="left"/>
              <w:rPr/>
            </w:pPr>
            <w:r>
              <w:rPr/>
              <w:t>《〈檢疫區的宣布〉</w:t>
            </w:r>
            <w:r>
              <w:rPr/>
              <w:t>(</w:t>
            </w:r>
            <w:r>
              <w:rPr/>
              <w:t>廢除</w:t>
            </w:r>
            <w:r>
              <w:rPr/>
              <w:t>)</w:t>
            </w:r>
            <w:r>
              <w:rPr/>
              <w:t>令》</w:t>
            </w:r>
            <w:r>
              <w:rPr/>
              <w:tab/>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t>200/2013</w:t>
            </w:r>
          </w:p>
        </w:tc>
      </w:tr>
      <w:tr>
        <w:trPr/>
        <w:tc>
          <w:tcPr>
            <w:tcW w:w="7200" w:type="dxa"/>
            <w:tcBorders/>
          </w:tcPr>
          <w:p>
            <w:pPr>
              <w:pStyle w:val="F21"/>
              <w:tabs>
                <w:tab w:val="clear" w:pos="567"/>
                <w:tab w:val="right" w:pos="7139" w:leader="dot"/>
              </w:tabs>
              <w:spacing w:lineRule="atLeast" w:line="350"/>
              <w:ind w:left="1531" w:right="62" w:hanging="964"/>
              <w:jc w:val="left"/>
              <w:rPr/>
            </w:pPr>
            <w:r>
              <w:rPr/>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r>
          </w:p>
        </w:tc>
      </w:tr>
      <w:tr>
        <w:trPr/>
        <w:tc>
          <w:tcPr>
            <w:tcW w:w="7200" w:type="dxa"/>
            <w:tcBorders/>
          </w:tcPr>
          <w:p>
            <w:pPr>
              <w:pStyle w:val="F21"/>
              <w:tabs>
                <w:tab w:val="clear" w:pos="567"/>
                <w:tab w:val="right" w:pos="7139" w:leader="dot"/>
              </w:tabs>
              <w:spacing w:lineRule="atLeast" w:line="350"/>
              <w:ind w:left="1531" w:right="62" w:hanging="964"/>
              <w:jc w:val="left"/>
              <w:rPr/>
            </w:pPr>
            <w:r>
              <w:rPr/>
              <w:t>《</w:t>
            </w:r>
            <w:r>
              <w:rPr/>
              <w:t>2013</w:t>
            </w:r>
            <w:r>
              <w:rPr/>
              <w:t>年教育條例</w:t>
            </w:r>
            <w:r>
              <w:rPr/>
              <w:t>(</w:t>
            </w:r>
            <w:r>
              <w:rPr/>
              <w:t>修訂附表</w:t>
            </w:r>
            <w:r>
              <w:rPr/>
              <w:t>3)</w:t>
            </w:r>
            <w:r>
              <w:rPr/>
              <w:t>公告》</w:t>
            </w:r>
            <w:r>
              <w:rPr/>
              <w:tab/>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t>201/2013</w:t>
            </w:r>
          </w:p>
        </w:tc>
      </w:tr>
      <w:tr>
        <w:trPr/>
        <w:tc>
          <w:tcPr>
            <w:tcW w:w="7200" w:type="dxa"/>
            <w:tcBorders/>
          </w:tcPr>
          <w:p>
            <w:pPr>
              <w:pStyle w:val="F21"/>
              <w:tabs>
                <w:tab w:val="clear" w:pos="567"/>
                <w:tab w:val="right" w:pos="7139" w:leader="dot"/>
              </w:tabs>
              <w:spacing w:lineRule="atLeast" w:line="350"/>
              <w:ind w:left="1531" w:right="62" w:hanging="964"/>
              <w:jc w:val="left"/>
              <w:rPr/>
            </w:pPr>
            <w:r>
              <w:rPr/>
            </w:r>
          </w:p>
        </w:tc>
        <w:tc>
          <w:tcPr>
            <w:tcW w:w="510" w:type="dxa"/>
            <w:tcBorders/>
          </w:tcPr>
          <w:p>
            <w:pPr>
              <w:pStyle w:val="F21"/>
              <w:tabs>
                <w:tab w:val="clear" w:pos="567"/>
              </w:tabs>
              <w:spacing w:lineRule="atLeast" w:line="350"/>
              <w:rPr/>
            </w:pPr>
            <w:r>
              <w:rPr/>
            </w:r>
          </w:p>
        </w:tc>
        <w:tc>
          <w:tcPr>
            <w:tcW w:w="1192" w:type="dxa"/>
            <w:tcBorders/>
          </w:tcPr>
          <w:p>
            <w:pPr>
              <w:pStyle w:val="F21"/>
              <w:tabs>
                <w:tab w:val="clear" w:pos="567"/>
              </w:tabs>
              <w:spacing w:lineRule="atLeast" w:line="350"/>
              <w:jc w:val="right"/>
              <w:rPr/>
            </w:pPr>
            <w:r>
              <w:rPr/>
            </w:r>
          </w:p>
        </w:tc>
      </w:tr>
    </w:tbl>
    <w:p>
      <w:pPr>
        <w:pStyle w:val="F21"/>
        <w:spacing w:lineRule="atLeast" w:line="350"/>
        <w:rPr/>
      </w:pPr>
      <w:r>
        <w:rPr/>
      </w:r>
    </w:p>
    <w:p>
      <w:pPr>
        <w:pStyle w:val="Normal"/>
        <w:tabs>
          <w:tab w:val="left" w:pos="720" w:leader="none"/>
          <w:tab w:val="left" w:pos="7842" w:leader="none"/>
        </w:tabs>
        <w:spacing w:lineRule="atLeast" w:line="350"/>
        <w:rPr/>
      </w:pPr>
      <w:r>
        <w:rPr/>
        <w:t>Subsidiary Legislation/Instruments</w:t>
        <w:tab/>
      </w:r>
      <w:r>
        <w:rPr>
          <w:i/>
        </w:rPr>
        <w:t>L.N. No.</w:t>
      </w:r>
    </w:p>
    <w:p>
      <w:pPr>
        <w:pStyle w:val="F21"/>
        <w:spacing w:lineRule="atLeast" w:line="350"/>
        <w:rPr/>
      </w:pPr>
      <w:r>
        <w:rPr/>
      </w:r>
    </w:p>
    <w:tbl>
      <w:tblPr>
        <w:tblW w:w="8868" w:type="dxa"/>
        <w:jc w:val="left"/>
        <w:tblInd w:w="0" w:type="dxa"/>
        <w:tblCellMar>
          <w:top w:w="0" w:type="dxa"/>
          <w:left w:w="0" w:type="dxa"/>
          <w:bottom w:w="0" w:type="dxa"/>
          <w:right w:w="0" w:type="dxa"/>
        </w:tblCellMar>
        <w:tblLook w:val="01e0" w:noHBand="0" w:noVBand="0" w:firstColumn="1" w:lastRow="1" w:lastColumn="1" w:firstRow="1"/>
      </w:tblPr>
      <w:tblGrid>
        <w:gridCol w:w="7677"/>
        <w:gridCol w:w="1190"/>
      </w:tblGrid>
      <w:tr>
        <w:trPr/>
        <w:tc>
          <w:tcPr>
            <w:tcW w:w="7677" w:type="dxa"/>
            <w:tcBorders/>
          </w:tcPr>
          <w:p>
            <w:pPr>
              <w:pStyle w:val="Normal"/>
              <w:tabs>
                <w:tab w:val="left" w:pos="720" w:leader="none"/>
                <w:tab w:val="right" w:pos="7201" w:leader="dot"/>
              </w:tabs>
              <w:spacing w:lineRule="atLeast" w:line="350"/>
              <w:ind w:left="1571" w:hanging="851"/>
              <w:jc w:val="left"/>
              <w:rPr/>
            </w:pPr>
            <w:r>
              <w:rPr/>
              <w:t>Plant (Importation and Pest Control) (Quarantine Area)</w:t>
              <w:br/>
              <w:t>Order</w:t>
              <w:tab/>
            </w:r>
          </w:p>
        </w:tc>
        <w:tc>
          <w:tcPr>
            <w:tcW w:w="1190" w:type="dxa"/>
            <w:tcBorders/>
          </w:tcPr>
          <w:p>
            <w:pPr>
              <w:pStyle w:val="Normal"/>
              <w:tabs>
                <w:tab w:val="left" w:pos="720" w:leader="none"/>
                <w:tab w:val="right" w:pos="7201" w:leader="dot"/>
              </w:tabs>
              <w:spacing w:lineRule="atLeast" w:line="350"/>
              <w:jc w:val="right"/>
              <w:rPr/>
            </w:pPr>
            <w:r>
              <w:rPr/>
            </w:r>
          </w:p>
          <w:p>
            <w:pPr>
              <w:pStyle w:val="Normal"/>
              <w:tabs>
                <w:tab w:val="left" w:pos="720" w:leader="none"/>
                <w:tab w:val="right" w:pos="7201" w:leader="dot"/>
              </w:tabs>
              <w:spacing w:lineRule="atLeast" w:line="350"/>
              <w:jc w:val="right"/>
              <w:rPr/>
            </w:pPr>
            <w:r>
              <w:rPr/>
              <w:t>199/2013</w:t>
            </w:r>
          </w:p>
        </w:tc>
      </w:tr>
      <w:tr>
        <w:trPr/>
        <w:tc>
          <w:tcPr>
            <w:tcW w:w="7677" w:type="dxa"/>
            <w:tcBorders/>
          </w:tcPr>
          <w:p>
            <w:pPr>
              <w:pStyle w:val="Normal"/>
              <w:tabs>
                <w:tab w:val="left" w:pos="720" w:leader="none"/>
                <w:tab w:val="right" w:pos="7201" w:leader="dot"/>
              </w:tabs>
              <w:spacing w:lineRule="atLeast" w:line="350"/>
              <w:ind w:left="1571" w:hanging="851"/>
              <w:jc w:val="left"/>
              <w:rPr/>
            </w:pPr>
            <w:r>
              <w:rPr/>
            </w:r>
          </w:p>
        </w:tc>
        <w:tc>
          <w:tcPr>
            <w:tcW w:w="1190" w:type="dxa"/>
            <w:tcBorders/>
          </w:tcPr>
          <w:p>
            <w:pPr>
              <w:pStyle w:val="Normal"/>
              <w:tabs>
                <w:tab w:val="left" w:pos="720" w:leader="none"/>
                <w:tab w:val="right" w:pos="7201" w:leader="dot"/>
              </w:tabs>
              <w:spacing w:lineRule="atLeast" w:line="350"/>
              <w:jc w:val="right"/>
              <w:rPr/>
            </w:pPr>
            <w:r>
              <w:rPr/>
            </w:r>
          </w:p>
        </w:tc>
      </w:tr>
      <w:tr>
        <w:trPr/>
        <w:tc>
          <w:tcPr>
            <w:tcW w:w="7677" w:type="dxa"/>
            <w:tcBorders/>
          </w:tcPr>
          <w:p>
            <w:pPr>
              <w:pStyle w:val="Normal"/>
              <w:tabs>
                <w:tab w:val="left" w:pos="720" w:leader="none"/>
                <w:tab w:val="right" w:pos="7201" w:leader="dot"/>
              </w:tabs>
              <w:spacing w:lineRule="atLeast" w:line="350"/>
              <w:ind w:left="1571" w:hanging="851"/>
              <w:jc w:val="left"/>
              <w:rPr>
                <w:spacing w:val="20"/>
                <w:sz w:val="24"/>
              </w:rPr>
            </w:pPr>
            <w:r>
              <w:rPr/>
              <w:t>Declaration of Quarantine Area (Repeal) Order</w:t>
            </w:r>
            <w:r>
              <w:rPr>
                <w:spacing w:val="20"/>
                <w:sz w:val="24"/>
              </w:rPr>
              <w:tab/>
            </w:r>
          </w:p>
        </w:tc>
        <w:tc>
          <w:tcPr>
            <w:tcW w:w="1190" w:type="dxa"/>
            <w:tcBorders/>
          </w:tcPr>
          <w:p>
            <w:pPr>
              <w:pStyle w:val="Normal"/>
              <w:tabs>
                <w:tab w:val="left" w:pos="720" w:leader="none"/>
                <w:tab w:val="right" w:pos="7201" w:leader="dot"/>
              </w:tabs>
              <w:spacing w:lineRule="atLeast" w:line="350"/>
              <w:jc w:val="right"/>
              <w:rPr/>
            </w:pPr>
            <w:r>
              <w:rPr/>
              <w:t>200/2013</w:t>
            </w:r>
          </w:p>
        </w:tc>
      </w:tr>
      <w:tr>
        <w:trPr/>
        <w:tc>
          <w:tcPr>
            <w:tcW w:w="7677" w:type="dxa"/>
            <w:tcBorders/>
          </w:tcPr>
          <w:p>
            <w:pPr>
              <w:pStyle w:val="Normal"/>
              <w:tabs>
                <w:tab w:val="left" w:pos="720" w:leader="none"/>
                <w:tab w:val="right" w:pos="7201" w:leader="dot"/>
              </w:tabs>
              <w:spacing w:lineRule="atLeast" w:line="350"/>
              <w:ind w:left="1571" w:hanging="851"/>
              <w:jc w:val="left"/>
              <w:rPr/>
            </w:pPr>
            <w:r>
              <w:rPr/>
            </w:r>
          </w:p>
        </w:tc>
        <w:tc>
          <w:tcPr>
            <w:tcW w:w="1190" w:type="dxa"/>
            <w:tcBorders/>
          </w:tcPr>
          <w:p>
            <w:pPr>
              <w:pStyle w:val="Normal"/>
              <w:tabs>
                <w:tab w:val="left" w:pos="720" w:leader="none"/>
                <w:tab w:val="right" w:pos="7201" w:leader="dot"/>
              </w:tabs>
              <w:spacing w:lineRule="atLeast" w:line="350"/>
              <w:jc w:val="right"/>
              <w:rPr/>
            </w:pPr>
            <w:r>
              <w:rPr/>
            </w:r>
          </w:p>
        </w:tc>
      </w:tr>
      <w:tr>
        <w:trPr/>
        <w:tc>
          <w:tcPr>
            <w:tcW w:w="7677" w:type="dxa"/>
            <w:tcBorders/>
          </w:tcPr>
          <w:p>
            <w:pPr>
              <w:pStyle w:val="Normal"/>
              <w:tabs>
                <w:tab w:val="left" w:pos="720" w:leader="none"/>
                <w:tab w:val="right" w:pos="7201" w:leader="dot"/>
              </w:tabs>
              <w:spacing w:lineRule="atLeast" w:line="350"/>
              <w:ind w:left="1571" w:hanging="851"/>
              <w:jc w:val="left"/>
              <w:rPr/>
            </w:pPr>
            <w:r>
              <w:rPr/>
              <w:t>Education Ordinance (Amendment of Schedule 3) Notice 2013</w:t>
              <w:tab/>
            </w:r>
          </w:p>
        </w:tc>
        <w:tc>
          <w:tcPr>
            <w:tcW w:w="1190" w:type="dxa"/>
            <w:tcBorders/>
          </w:tcPr>
          <w:p>
            <w:pPr>
              <w:pStyle w:val="Normal"/>
              <w:tabs>
                <w:tab w:val="left" w:pos="720" w:leader="none"/>
                <w:tab w:val="right" w:pos="7201" w:leader="dot"/>
              </w:tabs>
              <w:spacing w:lineRule="atLeast" w:line="350"/>
              <w:jc w:val="right"/>
              <w:rPr/>
            </w:pPr>
            <w:r>
              <w:rPr/>
            </w:r>
          </w:p>
          <w:p>
            <w:pPr>
              <w:pStyle w:val="Normal"/>
              <w:tabs>
                <w:tab w:val="left" w:pos="720" w:leader="none"/>
                <w:tab w:val="right" w:pos="7201" w:leader="dot"/>
              </w:tabs>
              <w:spacing w:lineRule="atLeast" w:line="350"/>
              <w:jc w:val="right"/>
              <w:rPr/>
            </w:pPr>
            <w:r>
              <w:rPr/>
              <w:t>201/2013</w:t>
            </w:r>
          </w:p>
        </w:tc>
      </w:tr>
      <w:tr>
        <w:trPr/>
        <w:tc>
          <w:tcPr>
            <w:tcW w:w="7677" w:type="dxa"/>
            <w:tcBorders/>
          </w:tcPr>
          <w:p>
            <w:pPr>
              <w:pStyle w:val="Normal"/>
              <w:tabs>
                <w:tab w:val="left" w:pos="720" w:leader="none"/>
                <w:tab w:val="right" w:pos="7201" w:leader="dot"/>
              </w:tabs>
              <w:spacing w:lineRule="atLeast" w:line="350"/>
              <w:ind w:left="1571" w:hanging="851"/>
              <w:jc w:val="left"/>
              <w:rPr/>
            </w:pPr>
            <w:r>
              <w:rPr/>
            </w:r>
          </w:p>
        </w:tc>
        <w:tc>
          <w:tcPr>
            <w:tcW w:w="1190" w:type="dxa"/>
            <w:tcBorders/>
          </w:tcPr>
          <w:p>
            <w:pPr>
              <w:pStyle w:val="Normal"/>
              <w:tabs>
                <w:tab w:val="left" w:pos="720" w:leader="none"/>
                <w:tab w:val="right" w:pos="7201" w:leader="dot"/>
              </w:tabs>
              <w:spacing w:lineRule="atLeast" w:line="350"/>
              <w:jc w:val="right"/>
              <w:rPr/>
            </w:pPr>
            <w:r>
              <w:rPr/>
            </w:r>
          </w:p>
        </w:tc>
      </w:tr>
    </w:tbl>
    <w:p>
      <w:pPr>
        <w:pStyle w:val="F21"/>
        <w:spacing w:lineRule="atLeast" w:line="350"/>
        <w:rPr/>
      </w:pPr>
      <w:r>
        <w:rPr/>
      </w:r>
    </w:p>
    <w:p>
      <w:pPr>
        <w:pStyle w:val="F21"/>
        <w:spacing w:lineRule="atLeast" w:line="350"/>
        <w:rPr/>
      </w:pPr>
      <w:r>
        <w:rPr/>
        <w:t>其他文件</w:t>
      </w:r>
    </w:p>
    <w:p>
      <w:pPr>
        <w:pStyle w:val="F21"/>
        <w:spacing w:lineRule="atLeast" w:line="350"/>
        <w:rPr/>
      </w:pPr>
      <w:r>
        <w:rPr/>
      </w:r>
    </w:p>
    <w:p>
      <w:pPr>
        <w:pStyle w:val="F21"/>
        <w:tabs>
          <w:tab w:val="left" w:pos="567" w:leader="none"/>
          <w:tab w:val="left" w:pos="1985" w:leader="none"/>
        </w:tabs>
        <w:spacing w:lineRule="atLeast" w:line="350"/>
        <w:ind w:left="2552" w:hanging="1985"/>
        <w:rPr/>
      </w:pPr>
      <w:r>
        <w:rPr/>
        <w:t>第</w:t>
      </w:r>
      <w:r>
        <w:rPr/>
        <w:t>50</w:t>
      </w:r>
      <w:r>
        <w:rPr/>
        <w:t>號</w:t>
      </w:r>
      <w:r>
        <w:rPr/>
        <w:tab/>
        <w:t>─</w:t>
        <w:tab/>
      </w:r>
      <w:r>
        <w:rPr/>
        <w:t>伊利沙伯女皇弱智人士基金</w:t>
      </w:r>
    </w:p>
    <w:p>
      <w:pPr>
        <w:pStyle w:val="F21"/>
        <w:tabs>
          <w:tab w:val="left" w:pos="567" w:leader="none"/>
          <w:tab w:val="left" w:pos="1985" w:leader="none"/>
        </w:tabs>
        <w:spacing w:lineRule="atLeast" w:line="350"/>
        <w:ind w:left="2552" w:hanging="1985"/>
        <w:rPr/>
      </w:pPr>
      <w:r>
        <w:rPr/>
        <w:tab/>
        <w:tab/>
      </w:r>
      <w:r>
        <w:rPr/>
        <w:t>二零一二至二零一三年度報告及帳目</w:t>
      </w:r>
    </w:p>
    <w:p>
      <w:pPr>
        <w:pStyle w:val="F21"/>
        <w:tabs>
          <w:tab w:val="left" w:pos="567" w:leader="none"/>
          <w:tab w:val="left" w:pos="1985" w:leader="none"/>
        </w:tabs>
        <w:spacing w:lineRule="atLeast" w:line="350"/>
        <w:ind w:left="2552" w:hanging="1985"/>
        <w:rPr/>
      </w:pPr>
      <w:r>
        <w:rPr/>
      </w:r>
    </w:p>
    <w:p>
      <w:pPr>
        <w:pStyle w:val="F21"/>
        <w:tabs>
          <w:tab w:val="left" w:pos="567" w:leader="none"/>
          <w:tab w:val="left" w:pos="1985" w:leader="none"/>
        </w:tabs>
        <w:spacing w:lineRule="atLeast" w:line="350"/>
        <w:ind w:left="2552" w:hanging="1985"/>
        <w:rPr/>
      </w:pPr>
      <w:r>
        <w:rPr/>
        <w:t>第</w:t>
      </w:r>
      <w:r>
        <w:rPr/>
        <w:t>51</w:t>
      </w:r>
      <w:r>
        <w:rPr/>
        <w:t>號</w:t>
      </w:r>
      <w:r>
        <w:rPr/>
        <w:tab/>
        <w:t>─</w:t>
        <w:tab/>
      </w:r>
      <w:r>
        <w:rPr/>
        <w:t>香港旅遊發展局</w:t>
      </w:r>
    </w:p>
    <w:p>
      <w:pPr>
        <w:pStyle w:val="F21"/>
        <w:tabs>
          <w:tab w:val="left" w:pos="567" w:leader="none"/>
          <w:tab w:val="left" w:pos="1985" w:leader="none"/>
        </w:tabs>
        <w:spacing w:lineRule="atLeast" w:line="350"/>
        <w:ind w:left="2552" w:hanging="1985"/>
        <w:rPr/>
      </w:pPr>
      <w:r>
        <w:rPr/>
        <w:tab/>
        <w:tab/>
        <w:t>2012/13</w:t>
      </w:r>
      <w:r>
        <w:rPr/>
        <w:t>年報</w:t>
      </w:r>
      <w:r>
        <w:br w:type="page"/>
      </w:r>
    </w:p>
    <w:p>
      <w:pPr>
        <w:pStyle w:val="F21"/>
        <w:tabs>
          <w:tab w:val="left" w:pos="567" w:leader="none"/>
          <w:tab w:val="left" w:pos="1985" w:leader="none"/>
        </w:tabs>
        <w:ind w:left="2552" w:hanging="1985"/>
        <w:rPr/>
      </w:pPr>
      <w:r>
        <w:rPr/>
        <w:t>第</w:t>
      </w:r>
      <w:r>
        <w:rPr/>
        <w:t>52</w:t>
      </w:r>
      <w:r>
        <w:rPr/>
        <w:t>號</w:t>
      </w:r>
      <w:r>
        <w:rPr/>
        <w:tab/>
        <w:t>─</w:t>
        <w:tab/>
      </w:r>
      <w:r>
        <w:rPr/>
        <w:t>香港學術及職業資歷評審局</w:t>
      </w:r>
    </w:p>
    <w:p>
      <w:pPr>
        <w:pStyle w:val="F21"/>
        <w:tabs>
          <w:tab w:val="left" w:pos="567" w:leader="none"/>
          <w:tab w:val="left" w:pos="1985" w:leader="none"/>
        </w:tabs>
        <w:ind w:left="2552" w:hanging="1985"/>
        <w:rPr/>
      </w:pPr>
      <w:r>
        <w:rPr/>
        <w:tab/>
        <w:tab/>
        <w:t>2012/13</w:t>
      </w:r>
      <w:r>
        <w:rPr/>
        <w:t>年報</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53</w:t>
      </w:r>
      <w:r>
        <w:rPr/>
        <w:t>號</w:t>
      </w:r>
      <w:r>
        <w:rPr/>
        <w:tab/>
        <w:t>─</w:t>
        <w:tab/>
      </w:r>
      <w:r>
        <w:rPr/>
        <w:t>獎券基金</w:t>
      </w:r>
    </w:p>
    <w:p>
      <w:pPr>
        <w:pStyle w:val="F21"/>
        <w:tabs>
          <w:tab w:val="left" w:pos="567" w:leader="none"/>
          <w:tab w:val="left" w:pos="1985" w:leader="none"/>
        </w:tabs>
        <w:ind w:left="2552" w:hanging="1985"/>
        <w:rPr/>
      </w:pPr>
      <w:r>
        <w:rPr/>
        <w:tab/>
        <w:tab/>
      </w:r>
      <w:r>
        <w:rPr/>
        <w:t>二零一二至一三年度帳目</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54</w:t>
      </w:r>
      <w:r>
        <w:rPr/>
        <w:t>號</w:t>
      </w:r>
      <w:r>
        <w:rPr/>
        <w:tab/>
        <w:t>─</w:t>
        <w:tab/>
      </w:r>
      <w:r>
        <w:rPr/>
        <w:t>通訊事務管理局</w:t>
      </w:r>
    </w:p>
    <w:p>
      <w:pPr>
        <w:pStyle w:val="F21"/>
        <w:tabs>
          <w:tab w:val="left" w:pos="567" w:leader="none"/>
          <w:tab w:val="left" w:pos="1985" w:leader="none"/>
        </w:tabs>
        <w:ind w:left="2552" w:hanging="1985"/>
        <w:rPr/>
      </w:pPr>
      <w:r>
        <w:rPr/>
        <w:tab/>
        <w:tab/>
        <w:t>2012/13</w:t>
      </w:r>
      <w:r>
        <w:rPr/>
        <w:t>年報</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55</w:t>
      </w:r>
      <w:r>
        <w:rPr/>
        <w:t>號</w:t>
      </w:r>
      <w:r>
        <w:rPr/>
        <w:tab/>
        <w:t>─</w:t>
        <w:tab/>
      </w:r>
      <w:r>
        <w:rPr/>
        <w:t>緊急救援基金</w:t>
      </w:r>
    </w:p>
    <w:p>
      <w:pPr>
        <w:pStyle w:val="F21"/>
        <w:tabs>
          <w:tab w:val="left" w:pos="567" w:leader="none"/>
          <w:tab w:val="left" w:pos="1985" w:leader="none"/>
        </w:tabs>
        <w:ind w:left="2552" w:hanging="1985"/>
        <w:rPr/>
      </w:pPr>
      <w:r>
        <w:rPr/>
        <w:tab/>
        <w:tab/>
      </w:r>
      <w:r>
        <w:rPr/>
        <w:t>基金受託人年報</w:t>
      </w:r>
    </w:p>
    <w:p>
      <w:pPr>
        <w:pStyle w:val="F21"/>
        <w:tabs>
          <w:tab w:val="left" w:pos="567" w:leader="none"/>
          <w:tab w:val="left" w:pos="1985" w:leader="none"/>
        </w:tabs>
        <w:ind w:left="2552" w:hanging="1985"/>
        <w:rPr/>
      </w:pPr>
      <w:r>
        <w:rPr/>
        <w:tab/>
        <w:tab/>
        <w:t>(</w:t>
      </w:r>
      <w:r>
        <w:rPr/>
        <w:t>截至二零一三年三月三十一日止</w:t>
      </w:r>
      <w:r>
        <w:rPr/>
        <w:t>)</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56</w:t>
      </w:r>
      <w:r>
        <w:rPr/>
        <w:t>號</w:t>
      </w:r>
      <w:r>
        <w:rPr/>
        <w:tab/>
        <w:t>─</w:t>
        <w:tab/>
      </w:r>
      <w:r>
        <w:rPr/>
        <w:t>社會工作訓練基金</w:t>
      </w:r>
    </w:p>
    <w:p>
      <w:pPr>
        <w:pStyle w:val="F21"/>
        <w:tabs>
          <w:tab w:val="left" w:pos="567" w:leader="none"/>
          <w:tab w:val="left" w:pos="1985" w:leader="none"/>
        </w:tabs>
        <w:ind w:left="2552" w:hanging="1985"/>
        <w:rPr/>
      </w:pPr>
      <w:r>
        <w:rPr/>
        <w:tab/>
        <w:tab/>
      </w:r>
      <w:r>
        <w:rPr/>
        <w:t>基金受託人第五十二年度報告由二零一二年</w:t>
      </w:r>
    </w:p>
    <w:p>
      <w:pPr>
        <w:pStyle w:val="F21"/>
        <w:tabs>
          <w:tab w:val="left" w:pos="567" w:leader="none"/>
          <w:tab w:val="left" w:pos="1985" w:leader="none"/>
        </w:tabs>
        <w:ind w:left="2552" w:hanging="1985"/>
        <w:rPr/>
      </w:pPr>
      <w:r>
        <w:rPr/>
        <w:tab/>
        <w:tab/>
      </w:r>
      <w:r>
        <w:rPr/>
        <w:t>四月一日至二零一三年三月三十一日</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57</w:t>
      </w:r>
      <w:r>
        <w:rPr/>
        <w:t>號</w:t>
      </w:r>
      <w:r>
        <w:rPr/>
        <w:tab/>
        <w:t>─</w:t>
        <w:tab/>
      </w:r>
      <w:r>
        <w:rPr/>
        <w:t>警察福利基金</w:t>
      </w:r>
    </w:p>
    <w:p>
      <w:pPr>
        <w:pStyle w:val="F21"/>
        <w:tabs>
          <w:tab w:val="left" w:pos="567" w:leader="none"/>
          <w:tab w:val="left" w:pos="1985" w:leader="none"/>
        </w:tabs>
        <w:ind w:left="2552" w:hanging="1985"/>
        <w:rPr/>
      </w:pPr>
      <w:r>
        <w:rPr/>
        <w:tab/>
        <w:tab/>
        <w:t>2012</w:t>
      </w:r>
      <w:r>
        <w:rPr/>
        <w:t>至</w:t>
      </w:r>
      <w:r>
        <w:rPr/>
        <w:t>2013</w:t>
      </w:r>
      <w:r>
        <w:rPr/>
        <w:t>年度年報</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58</w:t>
      </w:r>
      <w:r>
        <w:rPr/>
        <w:t>號</w:t>
      </w:r>
      <w:r>
        <w:rPr/>
        <w:tab/>
        <w:t>─</w:t>
        <w:tab/>
      </w:r>
      <w:r>
        <w:rPr>
          <w:spacing w:val="16"/>
        </w:rPr>
        <w:t>警察子女教育信託基金及警察教育及福利信託基金</w:t>
      </w:r>
      <w:r>
        <w:rPr/>
        <w:t>二零一二／二零一三年度報告</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59</w:t>
      </w:r>
      <w:r>
        <w:rPr/>
        <w:t>號</w:t>
      </w:r>
      <w:r>
        <w:rPr/>
        <w:tab/>
        <w:t>─</w:t>
        <w:tab/>
      </w:r>
      <w:r>
        <w:rPr/>
        <w:t>香港海洋公園</w:t>
      </w:r>
    </w:p>
    <w:p>
      <w:pPr>
        <w:pStyle w:val="F21"/>
        <w:tabs>
          <w:tab w:val="left" w:pos="567" w:leader="none"/>
          <w:tab w:val="left" w:pos="1985" w:leader="none"/>
        </w:tabs>
        <w:ind w:left="2552" w:hanging="1985"/>
        <w:rPr/>
      </w:pPr>
      <w:r>
        <w:rPr/>
        <w:tab/>
        <w:tab/>
        <w:t>2012-2013</w:t>
      </w:r>
      <w:r>
        <w:rPr/>
        <w:t>業績報告</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60</w:t>
      </w:r>
      <w:r>
        <w:rPr/>
        <w:t>號</w:t>
      </w:r>
      <w:r>
        <w:rPr/>
        <w:tab/>
        <w:t>─</w:t>
        <w:tab/>
      </w:r>
      <w:r>
        <w:rPr/>
        <w:t>香港個人資料私隱專員公署</w:t>
      </w:r>
    </w:p>
    <w:p>
      <w:pPr>
        <w:pStyle w:val="F21"/>
        <w:tabs>
          <w:tab w:val="left" w:pos="567" w:leader="none"/>
          <w:tab w:val="left" w:pos="1985" w:leader="none"/>
        </w:tabs>
        <w:ind w:left="2552" w:hanging="1985"/>
        <w:rPr/>
      </w:pPr>
      <w:r>
        <w:rPr/>
        <w:tab/>
        <w:tab/>
        <w:t>2012-13</w:t>
      </w:r>
      <w:r>
        <w:rPr/>
        <w:t>年報</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61</w:t>
      </w:r>
      <w:r>
        <w:rPr/>
        <w:t>號</w:t>
      </w:r>
      <w:r>
        <w:rPr/>
        <w:tab/>
        <w:t>─</w:t>
        <w:tab/>
      </w:r>
      <w:r>
        <w:rPr/>
        <w:t>葛量洪獎學基金</w:t>
      </w:r>
    </w:p>
    <w:p>
      <w:pPr>
        <w:pStyle w:val="F21"/>
        <w:tabs>
          <w:tab w:val="left" w:pos="567" w:leader="none"/>
          <w:tab w:val="left" w:pos="1985" w:leader="none"/>
        </w:tabs>
        <w:ind w:left="2552" w:hanging="1985"/>
        <w:rPr>
          <w:spacing w:val="26"/>
        </w:rPr>
      </w:pPr>
      <w:r>
        <w:rPr/>
        <w:tab/>
        <w:tab/>
      </w:r>
      <w:r>
        <w:rPr>
          <w:spacing w:val="26"/>
        </w:rPr>
        <w:t>截至二零一三年八月三十一日年度內的葛量洪獎學基金委員會基金管理報告</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62</w:t>
      </w:r>
      <w:r>
        <w:rPr/>
        <w:t>號</w:t>
      </w:r>
      <w:r>
        <w:rPr/>
        <w:tab/>
        <w:t>─</w:t>
        <w:tab/>
      </w:r>
      <w:r>
        <w:rPr/>
        <w:t>蒲魯賢慈善信託基金</w:t>
      </w:r>
    </w:p>
    <w:p>
      <w:pPr>
        <w:pStyle w:val="F21"/>
        <w:tabs>
          <w:tab w:val="left" w:pos="567" w:leader="none"/>
          <w:tab w:val="left" w:pos="1985" w:leader="none"/>
        </w:tabs>
        <w:ind w:left="2552" w:hanging="1985"/>
        <w:rPr/>
      </w:pPr>
      <w:r>
        <w:rPr/>
        <w:tab/>
        <w:tab/>
      </w:r>
      <w:r>
        <w:rPr/>
        <w:t>截至二零一三年六月三十日年度內的蒲魯賢慈善信託基金委員會基金管理報告</w:t>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r>
    </w:p>
    <w:p>
      <w:pPr>
        <w:pStyle w:val="F21"/>
        <w:tabs>
          <w:tab w:val="left" w:pos="567" w:leader="none"/>
          <w:tab w:val="left" w:pos="1985" w:leader="none"/>
        </w:tabs>
        <w:ind w:left="2552" w:hanging="1985"/>
        <w:rPr/>
      </w:pPr>
      <w:r>
        <w:rPr/>
        <w:t>第</w:t>
      </w:r>
      <w:r>
        <w:rPr/>
        <w:t>63</w:t>
      </w:r>
      <w:r>
        <w:rPr/>
        <w:t>號</w:t>
      </w:r>
      <w:r>
        <w:rPr/>
        <w:tab/>
        <w:t>─</w:t>
        <w:tab/>
      </w:r>
      <w:r>
        <w:rPr/>
        <w:t>麥理浩爵士信託基金</w:t>
      </w:r>
    </w:p>
    <w:p>
      <w:pPr>
        <w:pStyle w:val="F21"/>
        <w:tabs>
          <w:tab w:val="left" w:pos="567" w:leader="none"/>
          <w:tab w:val="left" w:pos="1985" w:leader="none"/>
        </w:tabs>
        <w:ind w:left="2552" w:hanging="1985"/>
        <w:rPr/>
      </w:pPr>
      <w:r>
        <w:rPr/>
        <w:tab/>
        <w:tab/>
      </w:r>
      <w:r>
        <w:rPr/>
        <w:t>二零一二年四月一日至二零一三年三月三十一日的受託人報告書</w:t>
      </w:r>
    </w:p>
    <w:p>
      <w:pPr>
        <w:pStyle w:val="F21"/>
        <w:tabs>
          <w:tab w:val="left" w:pos="567" w:leader="none"/>
          <w:tab w:val="left" w:pos="1985" w:leader="none"/>
        </w:tabs>
        <w:ind w:left="2552" w:hanging="1985"/>
        <w:rPr/>
      </w:pPr>
      <w:r>
        <w:rPr/>
      </w:r>
    </w:p>
    <w:p>
      <w:pPr>
        <w:pStyle w:val="F21"/>
        <w:tabs>
          <w:tab w:val="left" w:pos="567" w:leader="none"/>
          <w:tab w:val="left" w:pos="1985" w:leader="none"/>
        </w:tabs>
        <w:spacing w:lineRule="atLeast" w:line="370"/>
        <w:ind w:left="2552" w:hanging="1985"/>
        <w:rPr/>
      </w:pPr>
      <w:r>
        <w:rPr/>
        <w:t>第</w:t>
      </w:r>
      <w:r>
        <w:rPr/>
        <w:t>64</w:t>
      </w:r>
      <w:r>
        <w:rPr/>
        <w:t>號</w:t>
      </w:r>
      <w:r>
        <w:rPr/>
        <w:tab/>
        <w:t>─</w:t>
        <w:tab/>
      </w:r>
      <w:r>
        <w:rPr/>
        <w:t>華人廟宇基金</w:t>
      </w:r>
    </w:p>
    <w:p>
      <w:pPr>
        <w:pStyle w:val="F21"/>
        <w:tabs>
          <w:tab w:val="left" w:pos="567" w:leader="none"/>
          <w:tab w:val="left" w:pos="1985" w:leader="none"/>
        </w:tabs>
        <w:spacing w:lineRule="atLeast" w:line="370"/>
        <w:ind w:left="2552" w:hanging="1985"/>
        <w:rPr/>
      </w:pPr>
      <w:r>
        <w:rPr/>
        <w:tab/>
        <w:tab/>
      </w:r>
      <w:r>
        <w:rPr/>
        <w:t>截至二零一三年三月三十一日年度內的華人廟宇委員會基金管理報告</w:t>
      </w:r>
    </w:p>
    <w:p>
      <w:pPr>
        <w:pStyle w:val="F21"/>
        <w:tabs>
          <w:tab w:val="left" w:pos="567" w:leader="none"/>
          <w:tab w:val="left" w:pos="1985" w:leader="none"/>
        </w:tabs>
        <w:spacing w:lineRule="atLeast" w:line="370"/>
        <w:ind w:left="2552" w:hanging="1985"/>
        <w:rPr/>
      </w:pPr>
      <w:r>
        <w:rPr/>
      </w:r>
    </w:p>
    <w:p>
      <w:pPr>
        <w:pStyle w:val="F21"/>
        <w:tabs>
          <w:tab w:val="left" w:pos="567" w:leader="none"/>
          <w:tab w:val="left" w:pos="1985" w:leader="none"/>
        </w:tabs>
        <w:spacing w:lineRule="atLeast" w:line="370"/>
        <w:ind w:left="2552" w:hanging="1985"/>
        <w:rPr/>
      </w:pPr>
      <w:r>
        <w:rPr/>
        <w:t>第</w:t>
      </w:r>
      <w:r>
        <w:rPr/>
        <w:t>65</w:t>
      </w:r>
      <w:r>
        <w:rPr/>
        <w:t>號</w:t>
      </w:r>
      <w:r>
        <w:rPr/>
        <w:tab/>
        <w:t>─</w:t>
        <w:tab/>
      </w:r>
      <w:r>
        <w:rPr/>
        <w:t>華人慈善基金</w:t>
      </w:r>
    </w:p>
    <w:p>
      <w:pPr>
        <w:pStyle w:val="F21"/>
        <w:tabs>
          <w:tab w:val="left" w:pos="567" w:leader="none"/>
          <w:tab w:val="left" w:pos="1985" w:leader="none"/>
        </w:tabs>
        <w:spacing w:lineRule="atLeast" w:line="370"/>
        <w:ind w:left="2552" w:hanging="1985"/>
        <w:rPr/>
      </w:pPr>
      <w:r>
        <w:rPr/>
        <w:tab/>
        <w:tab/>
      </w:r>
      <w:r>
        <w:rPr/>
        <w:t>截至二零一三年三月三十一日年度內的華人廟宇委員會基金管理報告</w:t>
      </w:r>
    </w:p>
    <w:p>
      <w:pPr>
        <w:pStyle w:val="F21"/>
        <w:tabs>
          <w:tab w:val="left" w:pos="567" w:leader="none"/>
          <w:tab w:val="left" w:pos="1985" w:leader="none"/>
        </w:tabs>
        <w:spacing w:lineRule="atLeast" w:line="370"/>
        <w:ind w:left="2552" w:hanging="1985"/>
        <w:rPr/>
      </w:pPr>
      <w:r>
        <w:rPr/>
      </w:r>
    </w:p>
    <w:p>
      <w:pPr>
        <w:pStyle w:val="F21"/>
        <w:tabs>
          <w:tab w:val="left" w:pos="567" w:leader="none"/>
          <w:tab w:val="left" w:pos="1985" w:leader="none"/>
        </w:tabs>
        <w:spacing w:lineRule="atLeast" w:line="370"/>
        <w:ind w:left="2552" w:hanging="1985"/>
        <w:rPr/>
      </w:pPr>
      <w:r>
        <w:rPr/>
        <w:t>內務委員會有關研究附屬法例及其他文書的第</w:t>
      </w:r>
      <w:r>
        <w:rPr/>
        <w:t>7/13-14</w:t>
      </w:r>
      <w:r>
        <w:rPr/>
        <w:t>號報告</w:t>
      </w:r>
    </w:p>
    <w:p>
      <w:pPr>
        <w:pStyle w:val="F21"/>
        <w:tabs>
          <w:tab w:val="left" w:pos="567" w:leader="none"/>
          <w:tab w:val="left" w:pos="1985" w:leader="none"/>
        </w:tabs>
        <w:spacing w:lineRule="atLeast" w:line="370"/>
        <w:ind w:left="2552" w:hanging="1985"/>
        <w:rPr/>
      </w:pPr>
      <w:r>
        <w:rPr/>
      </w:r>
    </w:p>
    <w:p>
      <w:pPr>
        <w:pStyle w:val="F21"/>
        <w:tabs>
          <w:tab w:val="left" w:pos="567" w:leader="none"/>
          <w:tab w:val="left" w:pos="1985" w:leader="none"/>
        </w:tabs>
        <w:spacing w:lineRule="atLeast" w:line="370"/>
        <w:ind w:left="2552" w:hanging="1985"/>
        <w:rPr/>
      </w:pPr>
      <w:r>
        <w:rPr/>
        <w:t>《</w:t>
      </w:r>
      <w:r>
        <w:rPr/>
        <w:t>2013</w:t>
      </w:r>
      <w:r>
        <w:rPr/>
        <w:t>年玩具及兒童產品安全</w:t>
      </w:r>
      <w:r>
        <w:rPr/>
        <w:t>(</w:t>
      </w:r>
      <w:r>
        <w:rPr/>
        <w:t>修訂</w:t>
      </w:r>
      <w:r>
        <w:rPr/>
        <w:t>)</w:t>
      </w:r>
      <w:r>
        <w:rPr/>
        <w:t>條例草案》委員會報告</w:t>
      </w:r>
    </w:p>
    <w:p>
      <w:pPr>
        <w:pStyle w:val="F21"/>
        <w:tabs>
          <w:tab w:val="left" w:pos="567" w:leader="none"/>
          <w:tab w:val="left" w:pos="1985" w:leader="none"/>
        </w:tabs>
        <w:spacing w:lineRule="atLeast" w:line="370"/>
        <w:ind w:left="2552" w:hanging="1985"/>
        <w:rPr/>
      </w:pPr>
      <w:r>
        <w:rPr/>
      </w:r>
    </w:p>
    <w:p>
      <w:pPr>
        <w:pStyle w:val="F21"/>
        <w:tabs>
          <w:tab w:val="left" w:pos="567" w:leader="none"/>
          <w:tab w:val="left" w:pos="1985" w:leader="none"/>
        </w:tabs>
        <w:spacing w:lineRule="atLeast" w:line="370"/>
        <w:ind w:left="2552" w:hanging="1985"/>
        <w:rPr/>
      </w:pPr>
      <w:r>
        <w:rPr/>
        <w:t>《</w:t>
      </w:r>
      <w:r>
        <w:rPr/>
        <w:t>2013</w:t>
      </w:r>
      <w:r>
        <w:rPr/>
        <w:t>年廢物處置</w:t>
      </w:r>
      <w:r>
        <w:rPr/>
        <w:t>(</w:t>
      </w:r>
      <w:r>
        <w:rPr/>
        <w:t>修訂</w:t>
      </w:r>
      <w:r>
        <w:rPr/>
        <w:t>)</w:t>
      </w:r>
      <w:r>
        <w:rPr/>
        <w:t>條例草案》委員會報告</w:t>
      </w:r>
    </w:p>
    <w:p>
      <w:pPr>
        <w:pStyle w:val="F21"/>
        <w:tabs>
          <w:tab w:val="left" w:pos="567" w:leader="none"/>
          <w:tab w:val="left" w:pos="1985" w:leader="none"/>
        </w:tabs>
        <w:spacing w:lineRule="atLeast" w:line="370"/>
        <w:ind w:left="2552" w:hanging="1985"/>
        <w:rPr/>
      </w:pPr>
      <w:r>
        <w:rPr/>
      </w:r>
    </w:p>
    <w:p>
      <w:pPr>
        <w:pStyle w:val="F21"/>
        <w:tabs>
          <w:tab w:val="left" w:pos="567" w:leader="none"/>
          <w:tab w:val="left" w:pos="1985" w:leader="none"/>
        </w:tabs>
        <w:spacing w:lineRule="atLeast" w:line="370"/>
        <w:ind w:left="2552" w:hanging="1985"/>
        <w:rPr/>
      </w:pPr>
      <w:r>
        <w:rPr/>
      </w:r>
    </w:p>
    <w:p>
      <w:pPr>
        <w:pStyle w:val="Normal"/>
        <w:spacing w:lineRule="atLeast" w:line="370"/>
        <w:rPr/>
      </w:pPr>
      <w:r>
        <w:rPr/>
        <w:t>Other Papers</w:t>
      </w:r>
    </w:p>
    <w:p>
      <w:pPr>
        <w:pStyle w:val="F21"/>
        <w:spacing w:lineRule="atLeast" w:line="370"/>
        <w:rPr/>
      </w:pPr>
      <w:r>
        <w:rPr/>
      </w:r>
    </w:p>
    <w:tbl>
      <w:tblPr>
        <w:tblW w:w="8442" w:type="dxa"/>
        <w:jc w:val="left"/>
        <w:tblInd w:w="697" w:type="dxa"/>
        <w:tblCellMar>
          <w:top w:w="0" w:type="dxa"/>
          <w:left w:w="0" w:type="dxa"/>
          <w:bottom w:w="0" w:type="dxa"/>
          <w:right w:w="0" w:type="dxa"/>
        </w:tblCellMar>
        <w:tblLook w:val="01e0" w:noHBand="0" w:noVBand="0" w:firstColumn="1" w:lastRow="1" w:lastColumn="1" w:firstRow="1"/>
      </w:tblPr>
      <w:tblGrid>
        <w:gridCol w:w="1133"/>
        <w:gridCol w:w="562"/>
        <w:gridCol w:w="6747"/>
      </w:tblGrid>
      <w:tr>
        <w:trPr/>
        <w:tc>
          <w:tcPr>
            <w:tcW w:w="1133" w:type="dxa"/>
            <w:tcBorders/>
          </w:tcPr>
          <w:p>
            <w:pPr>
              <w:pStyle w:val="Normal"/>
              <w:spacing w:lineRule="atLeast" w:line="370"/>
              <w:rPr/>
            </w:pPr>
            <w:r>
              <w:rPr/>
              <w:t>No. 50</w:t>
            </w:r>
          </w:p>
        </w:tc>
        <w:tc>
          <w:tcPr>
            <w:tcW w:w="562" w:type="dxa"/>
            <w:tcBorders/>
          </w:tcPr>
          <w:p>
            <w:pPr>
              <w:pStyle w:val="Normal"/>
              <w:spacing w:lineRule="atLeast" w:line="370"/>
              <w:rPr/>
            </w:pPr>
            <w:r>
              <w:rPr/>
              <w:t>─</w:t>
            </w:r>
          </w:p>
        </w:tc>
        <w:tc>
          <w:tcPr>
            <w:tcW w:w="6747" w:type="dxa"/>
            <w:tcBorders/>
            <w:tcMar>
              <w:right w:w="57" w:type="dxa"/>
            </w:tcMar>
          </w:tcPr>
          <w:p>
            <w:pPr>
              <w:pStyle w:val="Normal"/>
              <w:spacing w:lineRule="atLeast" w:line="370"/>
              <w:rPr/>
            </w:pPr>
            <w:r>
              <w:rPr/>
              <w:t>Queen Elizabeth Foundation for the Mentally Handicapped Report and Accounts 2012-2013</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Mar>
              <w:right w:w="57" w:type="dxa"/>
            </w:tcMar>
          </w:tcPr>
          <w:p>
            <w:pPr>
              <w:pStyle w:val="Normal"/>
              <w:spacing w:lineRule="atLeast" w:line="370"/>
              <w:rPr/>
            </w:pPr>
            <w:r>
              <w:rPr/>
            </w:r>
          </w:p>
        </w:tc>
      </w:tr>
      <w:tr>
        <w:trPr/>
        <w:tc>
          <w:tcPr>
            <w:tcW w:w="1133" w:type="dxa"/>
            <w:tcBorders/>
          </w:tcPr>
          <w:p>
            <w:pPr>
              <w:pStyle w:val="Normal"/>
              <w:spacing w:lineRule="atLeast" w:line="370"/>
              <w:rPr/>
            </w:pPr>
            <w:r>
              <w:rPr/>
              <w:t>No. 51</w:t>
            </w:r>
          </w:p>
        </w:tc>
        <w:tc>
          <w:tcPr>
            <w:tcW w:w="562" w:type="dxa"/>
            <w:tcBorders/>
          </w:tcPr>
          <w:p>
            <w:pPr>
              <w:pStyle w:val="Normal"/>
              <w:spacing w:lineRule="atLeast" w:line="370"/>
              <w:rPr/>
            </w:pPr>
            <w:r>
              <w:rPr/>
              <w:t>─</w:t>
            </w:r>
          </w:p>
        </w:tc>
        <w:tc>
          <w:tcPr>
            <w:tcW w:w="6747" w:type="dxa"/>
            <w:tcBorders/>
            <w:tcMar>
              <w:right w:w="57" w:type="dxa"/>
            </w:tcMar>
          </w:tcPr>
          <w:p>
            <w:pPr>
              <w:pStyle w:val="Normal"/>
              <w:spacing w:lineRule="atLeast" w:line="370"/>
              <w:rPr/>
            </w:pPr>
            <w:r>
              <w:rPr/>
              <w:t>Hong Kong Tourism Board</w:t>
            </w:r>
          </w:p>
          <w:p>
            <w:pPr>
              <w:pStyle w:val="Normal"/>
              <w:spacing w:lineRule="atLeast" w:line="370"/>
              <w:rPr/>
            </w:pPr>
            <w:r>
              <w:rPr/>
              <w:t xml:space="preserve">Annual Report 2012/13 </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Mar>
              <w:right w:w="57" w:type="dxa"/>
            </w:tcMar>
          </w:tcPr>
          <w:p>
            <w:pPr>
              <w:pStyle w:val="Normal"/>
              <w:spacing w:lineRule="atLeast" w:line="370"/>
              <w:rPr/>
            </w:pPr>
            <w:r>
              <w:rPr/>
            </w:r>
          </w:p>
        </w:tc>
      </w:tr>
      <w:tr>
        <w:trPr/>
        <w:tc>
          <w:tcPr>
            <w:tcW w:w="1133" w:type="dxa"/>
            <w:tcBorders/>
          </w:tcPr>
          <w:p>
            <w:pPr>
              <w:pStyle w:val="Normal"/>
              <w:spacing w:lineRule="atLeast" w:line="370"/>
              <w:rPr/>
            </w:pPr>
            <w:r>
              <w:rPr/>
              <w:t>No. 52</w:t>
            </w:r>
          </w:p>
        </w:tc>
        <w:tc>
          <w:tcPr>
            <w:tcW w:w="562" w:type="dxa"/>
            <w:tcBorders/>
          </w:tcPr>
          <w:p>
            <w:pPr>
              <w:pStyle w:val="Normal"/>
              <w:spacing w:lineRule="atLeast" w:line="370"/>
              <w:rPr/>
            </w:pPr>
            <w:r>
              <w:rPr/>
              <w:t>─</w:t>
            </w:r>
          </w:p>
        </w:tc>
        <w:tc>
          <w:tcPr>
            <w:tcW w:w="6747" w:type="dxa"/>
            <w:tcBorders/>
            <w:tcMar>
              <w:right w:w="57" w:type="dxa"/>
            </w:tcMar>
          </w:tcPr>
          <w:p>
            <w:pPr>
              <w:pStyle w:val="Normal"/>
              <w:spacing w:lineRule="atLeast" w:line="370"/>
              <w:rPr/>
            </w:pPr>
            <w:r>
              <w:rPr/>
              <w:t>Hong Kong Council for Accreditation of Academic and Vocational Qualifications</w:t>
            </w:r>
          </w:p>
          <w:p>
            <w:pPr>
              <w:pStyle w:val="Normal"/>
              <w:spacing w:lineRule="atLeast" w:line="370"/>
              <w:rPr/>
            </w:pPr>
            <w:r>
              <w:rPr/>
              <w:t>Annual Report 2012/13</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Mar>
              <w:right w:w="57" w:type="dxa"/>
            </w:tcMar>
          </w:tcPr>
          <w:p>
            <w:pPr>
              <w:pStyle w:val="Normal"/>
              <w:spacing w:lineRule="atLeast" w:line="370"/>
              <w:rPr/>
            </w:pPr>
            <w:r>
              <w:rPr/>
            </w:r>
          </w:p>
        </w:tc>
      </w:tr>
      <w:tr>
        <w:trPr/>
        <w:tc>
          <w:tcPr>
            <w:tcW w:w="1133" w:type="dxa"/>
            <w:tcBorders/>
          </w:tcPr>
          <w:p>
            <w:pPr>
              <w:pStyle w:val="Normal"/>
              <w:spacing w:lineRule="atLeast" w:line="370"/>
              <w:rPr/>
            </w:pPr>
            <w:r>
              <w:rPr/>
              <w:t>No. 53</w:t>
            </w:r>
          </w:p>
        </w:tc>
        <w:tc>
          <w:tcPr>
            <w:tcW w:w="562" w:type="dxa"/>
            <w:tcBorders/>
          </w:tcPr>
          <w:p>
            <w:pPr>
              <w:pStyle w:val="Normal"/>
              <w:spacing w:lineRule="atLeast" w:line="370"/>
              <w:rPr/>
            </w:pPr>
            <w:r>
              <w:rPr/>
              <w:t>─</w:t>
            </w:r>
          </w:p>
        </w:tc>
        <w:tc>
          <w:tcPr>
            <w:tcW w:w="6747" w:type="dxa"/>
            <w:tcBorders/>
            <w:tcMar>
              <w:right w:w="57" w:type="dxa"/>
            </w:tcMar>
          </w:tcPr>
          <w:p>
            <w:pPr>
              <w:pStyle w:val="Normal"/>
              <w:spacing w:lineRule="atLeast" w:line="370"/>
              <w:rPr/>
            </w:pPr>
            <w:r>
              <w:rPr/>
              <w:t>Lotteries Fund</w:t>
            </w:r>
          </w:p>
          <w:p>
            <w:pPr>
              <w:pStyle w:val="Normal"/>
              <w:spacing w:lineRule="atLeast" w:line="370"/>
              <w:rPr/>
            </w:pPr>
            <w:r>
              <w:rPr/>
              <w:t>The Accounts of the Fund 2012-13</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Mar>
              <w:right w:w="57" w:type="dxa"/>
            </w:tcMar>
          </w:tcPr>
          <w:p>
            <w:pPr>
              <w:pStyle w:val="Normal"/>
              <w:spacing w:lineRule="atLeast" w:line="370"/>
              <w:rPr/>
            </w:pPr>
            <w:r>
              <w:rPr/>
            </w:r>
          </w:p>
        </w:tc>
      </w:tr>
      <w:tr>
        <w:trPr/>
        <w:tc>
          <w:tcPr>
            <w:tcW w:w="1133" w:type="dxa"/>
            <w:tcBorders/>
          </w:tcPr>
          <w:p>
            <w:pPr>
              <w:pStyle w:val="Normal"/>
              <w:spacing w:lineRule="atLeast" w:line="370"/>
              <w:rPr/>
            </w:pPr>
            <w:r>
              <w:rPr/>
              <w:t>No. 54</w:t>
            </w:r>
          </w:p>
        </w:tc>
        <w:tc>
          <w:tcPr>
            <w:tcW w:w="562" w:type="dxa"/>
            <w:tcBorders/>
          </w:tcPr>
          <w:p>
            <w:pPr>
              <w:pStyle w:val="Normal"/>
              <w:spacing w:lineRule="atLeast" w:line="370"/>
              <w:rPr/>
            </w:pPr>
            <w:r>
              <w:rPr/>
              <w:t>─</w:t>
            </w:r>
          </w:p>
        </w:tc>
        <w:tc>
          <w:tcPr>
            <w:tcW w:w="6747" w:type="dxa"/>
            <w:tcBorders/>
            <w:tcMar>
              <w:right w:w="57" w:type="dxa"/>
            </w:tcMar>
          </w:tcPr>
          <w:p>
            <w:pPr>
              <w:pStyle w:val="Normal"/>
              <w:spacing w:lineRule="atLeast" w:line="370"/>
              <w:rPr/>
            </w:pPr>
            <w:r>
              <w:rPr/>
              <w:t>Communications Authority</w:t>
            </w:r>
          </w:p>
          <w:p>
            <w:pPr>
              <w:pStyle w:val="Normal"/>
              <w:spacing w:lineRule="atLeast" w:line="370"/>
              <w:rPr/>
            </w:pPr>
            <w:r>
              <w:rPr/>
              <w:t>Annual Report 2012/13</w:t>
            </w:r>
          </w:p>
        </w:tc>
      </w:tr>
      <w:tr>
        <w:trPr/>
        <w:tc>
          <w:tcPr>
            <w:tcW w:w="1133" w:type="dxa"/>
            <w:tcBorders/>
          </w:tcPr>
          <w:p>
            <w:pPr>
              <w:pStyle w:val="Normal"/>
              <w:spacing w:lineRule="atLeast" w:line="370"/>
              <w:rPr/>
            </w:pPr>
            <w:r>
              <w:rPr/>
            </w:r>
          </w:p>
        </w:tc>
        <w:tc>
          <w:tcPr>
            <w:tcW w:w="562" w:type="dxa"/>
            <w:tcBorders/>
          </w:tcPr>
          <w:p>
            <w:pPr>
              <w:pStyle w:val="Normal"/>
              <w:spacing w:lineRule="atLeast" w:line="370"/>
              <w:rPr/>
            </w:pPr>
            <w:r>
              <w:rPr/>
            </w:r>
          </w:p>
        </w:tc>
        <w:tc>
          <w:tcPr>
            <w:tcW w:w="6747" w:type="dxa"/>
            <w:tcBorders/>
            <w:tcMar>
              <w:right w:w="57" w:type="dxa"/>
            </w:tcMar>
          </w:tcPr>
          <w:p>
            <w:pPr>
              <w:pStyle w:val="Normal"/>
              <w:spacing w:lineRule="atLeast" w:line="370"/>
              <w:rPr/>
            </w:pPr>
            <w:r>
              <w:rPr/>
            </w:r>
          </w:p>
        </w:tc>
      </w:tr>
      <w:tr>
        <w:trPr/>
        <w:tc>
          <w:tcPr>
            <w:tcW w:w="1133" w:type="dxa"/>
            <w:tcBorders/>
          </w:tcPr>
          <w:p>
            <w:pPr>
              <w:pStyle w:val="Normal"/>
              <w:spacing w:lineRule="atLeast" w:line="400"/>
              <w:rPr/>
            </w:pPr>
            <w:r>
              <w:rPr/>
              <w:t>No. 55</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Emergency Relief Fund</w:t>
            </w:r>
          </w:p>
          <w:p>
            <w:pPr>
              <w:pStyle w:val="Normal"/>
              <w:spacing w:lineRule="atLeast" w:line="400"/>
              <w:rPr/>
            </w:pPr>
            <w:r>
              <w:rPr/>
              <w:t>Annual Report by the Trustee for the year ending 31 March 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lang w:val="en-US"/>
              </w:rPr>
            </w:pPr>
            <w:r>
              <w:rPr>
                <w:lang w:val="en-US"/>
              </w:rPr>
            </w:r>
          </w:p>
        </w:tc>
      </w:tr>
      <w:tr>
        <w:trPr/>
        <w:tc>
          <w:tcPr>
            <w:tcW w:w="1133" w:type="dxa"/>
            <w:tcBorders/>
          </w:tcPr>
          <w:p>
            <w:pPr>
              <w:pStyle w:val="Normal"/>
              <w:spacing w:lineRule="atLeast" w:line="400"/>
              <w:rPr/>
            </w:pPr>
            <w:r>
              <w:rPr/>
              <w:t>No. 56</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Social Work Training Fund</w:t>
            </w:r>
          </w:p>
          <w:p>
            <w:pPr>
              <w:pStyle w:val="Normal"/>
              <w:spacing w:lineRule="atLeast" w:line="400"/>
              <w:rPr/>
            </w:pPr>
            <w:r>
              <w:rPr>
                <w:spacing w:val="-6"/>
              </w:rPr>
              <w:t>Fifty-second Annual Report by the Trustee for the year ending</w:t>
            </w:r>
            <w:r>
              <w:rPr/>
              <w:t xml:space="preserve"> on 31 March 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57</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Police Welfare Fund</w:t>
            </w:r>
          </w:p>
          <w:p>
            <w:pPr>
              <w:pStyle w:val="Normal"/>
              <w:spacing w:lineRule="atLeast" w:line="400"/>
              <w:rPr/>
            </w:pPr>
            <w:r>
              <w:rPr/>
              <w:t>Annual Report 2012/2013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58</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The Police Children's Education Trust and the Police Education and Welfare Trust</w:t>
            </w:r>
          </w:p>
          <w:p>
            <w:pPr>
              <w:pStyle w:val="Normal"/>
              <w:spacing w:lineRule="atLeast" w:line="400"/>
              <w:rPr/>
            </w:pPr>
            <w:r>
              <w:rPr/>
              <w:t>Annual Report 2012/2013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59</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Ocean Park Hong Kong</w:t>
            </w:r>
          </w:p>
          <w:p>
            <w:pPr>
              <w:pStyle w:val="Normal"/>
              <w:spacing w:lineRule="atLeast" w:line="400"/>
              <w:rPr/>
            </w:pPr>
            <w:r>
              <w:rPr/>
              <w:t>Annual Report 2012-2013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60</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Office of the Privacy Commissioner for Personal Data,   Hong Kong</w:t>
            </w:r>
          </w:p>
          <w:p>
            <w:pPr>
              <w:pStyle w:val="Normal"/>
              <w:spacing w:lineRule="atLeast" w:line="400"/>
              <w:rPr/>
            </w:pPr>
            <w:r>
              <w:rPr/>
              <w:t>Annual Report 2012-13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61</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Grantham Scholarships Fund</w:t>
            </w:r>
          </w:p>
          <w:p>
            <w:pPr>
              <w:pStyle w:val="Normal"/>
              <w:spacing w:lineRule="atLeast" w:line="400"/>
              <w:rPr/>
            </w:pPr>
            <w:r>
              <w:rPr>
                <w:spacing w:val="-4"/>
              </w:rPr>
              <w:t>Report of the Grantham Scholarships Fund Committee on the</w:t>
            </w:r>
            <w:r>
              <w:rPr/>
              <w:t xml:space="preserve"> </w:t>
            </w:r>
            <w:r>
              <w:rPr>
                <w:spacing w:val="-6"/>
              </w:rPr>
              <w:t>Administration of the Fund for the year ended 31 August 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62</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Brewin Trust Fund</w:t>
            </w:r>
          </w:p>
          <w:p>
            <w:pPr>
              <w:pStyle w:val="Normal"/>
              <w:spacing w:lineRule="atLeast" w:line="400"/>
              <w:rPr/>
            </w:pPr>
            <w:r>
              <w:rPr/>
              <w:t>Report of the Brewin Trust Fund Committee on the Administration of the Fund for the year ended 30 June 2013</w:t>
            </w:r>
          </w:p>
        </w:tc>
      </w:tr>
      <w:tr>
        <w:trPr/>
        <w:tc>
          <w:tcPr>
            <w:tcW w:w="1133" w:type="dxa"/>
            <w:tcBorders/>
          </w:tcPr>
          <w:p>
            <w:pPr>
              <w:pStyle w:val="Normal"/>
              <w:spacing w:lineRule="atLeast" w:line="400"/>
              <w:rPr/>
            </w:pPr>
            <w:r>
              <w:rPr/>
            </w:r>
          </w:p>
        </w:tc>
        <w:tc>
          <w:tcPr>
            <w:tcW w:w="562" w:type="dxa"/>
            <w:tcBorders/>
          </w:tcPr>
          <w:p>
            <w:pPr>
              <w:pStyle w:val="Normal"/>
              <w:spacing w:lineRule="atLeast" w:line="400"/>
              <w:rPr/>
            </w:pPr>
            <w:r>
              <w:rPr/>
            </w:r>
          </w:p>
        </w:tc>
        <w:tc>
          <w:tcPr>
            <w:tcW w:w="6747" w:type="dxa"/>
            <w:tcBorders/>
            <w:tcMar>
              <w:right w:w="57" w:type="dxa"/>
            </w:tcMar>
          </w:tcPr>
          <w:p>
            <w:pPr>
              <w:pStyle w:val="Normal"/>
              <w:spacing w:lineRule="atLeast" w:line="400"/>
              <w:rPr/>
            </w:pPr>
            <w:r>
              <w:rPr/>
            </w:r>
          </w:p>
        </w:tc>
      </w:tr>
      <w:tr>
        <w:trPr/>
        <w:tc>
          <w:tcPr>
            <w:tcW w:w="1133" w:type="dxa"/>
            <w:tcBorders/>
          </w:tcPr>
          <w:p>
            <w:pPr>
              <w:pStyle w:val="Normal"/>
              <w:spacing w:lineRule="atLeast" w:line="400"/>
              <w:rPr/>
            </w:pPr>
            <w:r>
              <w:rPr/>
              <w:t>No. 63</w:t>
            </w:r>
          </w:p>
        </w:tc>
        <w:tc>
          <w:tcPr>
            <w:tcW w:w="562" w:type="dxa"/>
            <w:tcBorders/>
          </w:tcPr>
          <w:p>
            <w:pPr>
              <w:pStyle w:val="Normal"/>
              <w:spacing w:lineRule="atLeast" w:line="400"/>
              <w:rPr/>
            </w:pPr>
            <w:r>
              <w:rPr/>
              <w:t>─</w:t>
            </w:r>
          </w:p>
        </w:tc>
        <w:tc>
          <w:tcPr>
            <w:tcW w:w="6747" w:type="dxa"/>
            <w:tcBorders/>
            <w:tcMar>
              <w:right w:w="57" w:type="dxa"/>
            </w:tcMar>
          </w:tcPr>
          <w:p>
            <w:pPr>
              <w:pStyle w:val="Normal"/>
              <w:spacing w:lineRule="atLeast" w:line="400"/>
              <w:rPr/>
            </w:pPr>
            <w:r>
              <w:rPr/>
              <w:t>The Sir Murray MacLehose Trust Fund</w:t>
            </w:r>
          </w:p>
          <w:p>
            <w:pPr>
              <w:pStyle w:val="Normal"/>
              <w:spacing w:lineRule="atLeast" w:line="400"/>
              <w:rPr>
                <w:spacing w:val="-4"/>
              </w:rPr>
            </w:pPr>
            <w:r>
              <w:rPr>
                <w:spacing w:val="-4"/>
              </w:rPr>
              <w:t>Trustee's Report for the period of 1 April 2012 to 31 March 2013</w:t>
            </w:r>
          </w:p>
        </w:tc>
      </w:tr>
      <w:tr>
        <w:trPr/>
        <w:tc>
          <w:tcPr>
            <w:tcW w:w="1133" w:type="dxa"/>
            <w:tcBorders/>
          </w:tcPr>
          <w:p>
            <w:pPr>
              <w:pStyle w:val="Normal"/>
              <w:spacing w:lineRule="atLeast" w:line="380"/>
              <w:rPr/>
            </w:pPr>
            <w:r>
              <w:rPr/>
              <w:t>No. 64</w:t>
            </w:r>
          </w:p>
        </w:tc>
        <w:tc>
          <w:tcPr>
            <w:tcW w:w="562" w:type="dxa"/>
            <w:tcBorders/>
          </w:tcPr>
          <w:p>
            <w:pPr>
              <w:pStyle w:val="Normal"/>
              <w:spacing w:lineRule="atLeast" w:line="380"/>
              <w:rPr/>
            </w:pPr>
            <w:r>
              <w:rPr/>
              <w:t>─</w:t>
            </w:r>
          </w:p>
        </w:tc>
        <w:tc>
          <w:tcPr>
            <w:tcW w:w="6747" w:type="dxa"/>
            <w:tcBorders/>
            <w:tcMar>
              <w:right w:w="57" w:type="dxa"/>
            </w:tcMar>
          </w:tcPr>
          <w:p>
            <w:pPr>
              <w:pStyle w:val="Normal"/>
              <w:spacing w:lineRule="atLeast" w:line="380"/>
              <w:rPr/>
            </w:pPr>
            <w:r>
              <w:rPr/>
              <w:t>Chinese Temples Fund</w:t>
            </w:r>
          </w:p>
          <w:p>
            <w:pPr>
              <w:pStyle w:val="Normal"/>
              <w:spacing w:lineRule="atLeast" w:line="380"/>
              <w:rPr/>
            </w:pPr>
            <w:r>
              <w:rPr/>
              <w:t xml:space="preserve">Report of the Chinese Temples Committee on the </w:t>
            </w:r>
            <w:r>
              <w:rPr>
                <w:spacing w:val="-6"/>
              </w:rPr>
              <w:t>Administration of the Fund for the year ended 31 March 2013</w:t>
            </w:r>
          </w:p>
        </w:tc>
      </w:tr>
      <w:tr>
        <w:trPr/>
        <w:tc>
          <w:tcPr>
            <w:tcW w:w="1133" w:type="dxa"/>
            <w:tcBorders/>
          </w:tcPr>
          <w:p>
            <w:pPr>
              <w:pStyle w:val="Normal"/>
              <w:spacing w:lineRule="atLeast" w:line="380"/>
              <w:rPr/>
            </w:pPr>
            <w:r>
              <w:rPr/>
            </w:r>
          </w:p>
        </w:tc>
        <w:tc>
          <w:tcPr>
            <w:tcW w:w="562" w:type="dxa"/>
            <w:tcBorders/>
          </w:tcPr>
          <w:p>
            <w:pPr>
              <w:pStyle w:val="Normal"/>
              <w:spacing w:lineRule="atLeast" w:line="380"/>
              <w:rPr/>
            </w:pPr>
            <w:r>
              <w:rPr/>
            </w:r>
          </w:p>
        </w:tc>
        <w:tc>
          <w:tcPr>
            <w:tcW w:w="6747" w:type="dxa"/>
            <w:tcBorders/>
            <w:tcMar>
              <w:right w:w="57" w:type="dxa"/>
            </w:tcMar>
          </w:tcPr>
          <w:p>
            <w:pPr>
              <w:pStyle w:val="Normal"/>
              <w:spacing w:lineRule="atLeast" w:line="380"/>
              <w:rPr/>
            </w:pPr>
            <w:r>
              <w:rPr/>
            </w:r>
          </w:p>
        </w:tc>
      </w:tr>
      <w:tr>
        <w:trPr/>
        <w:tc>
          <w:tcPr>
            <w:tcW w:w="1133" w:type="dxa"/>
            <w:tcBorders/>
          </w:tcPr>
          <w:p>
            <w:pPr>
              <w:pStyle w:val="Normal"/>
              <w:spacing w:lineRule="atLeast" w:line="380"/>
              <w:rPr/>
            </w:pPr>
            <w:r>
              <w:rPr/>
              <w:t>No. 65</w:t>
            </w:r>
          </w:p>
        </w:tc>
        <w:tc>
          <w:tcPr>
            <w:tcW w:w="562" w:type="dxa"/>
            <w:tcBorders/>
          </w:tcPr>
          <w:p>
            <w:pPr>
              <w:pStyle w:val="Normal"/>
              <w:spacing w:lineRule="atLeast" w:line="380"/>
              <w:rPr/>
            </w:pPr>
            <w:r>
              <w:rPr/>
              <w:t>─</w:t>
            </w:r>
          </w:p>
        </w:tc>
        <w:tc>
          <w:tcPr>
            <w:tcW w:w="6747" w:type="dxa"/>
            <w:tcBorders/>
            <w:tcMar>
              <w:right w:w="57" w:type="dxa"/>
            </w:tcMar>
          </w:tcPr>
          <w:p>
            <w:pPr>
              <w:pStyle w:val="Normal"/>
              <w:spacing w:lineRule="atLeast" w:line="380"/>
              <w:rPr/>
            </w:pPr>
            <w:r>
              <w:rPr/>
              <w:t>General Chinese Charities Fund</w:t>
            </w:r>
          </w:p>
          <w:p>
            <w:pPr>
              <w:pStyle w:val="Normal"/>
              <w:spacing w:lineRule="atLeast" w:line="380"/>
              <w:rPr/>
            </w:pPr>
            <w:r>
              <w:rPr/>
              <w:t>Report of the Chinese Temples Committee on the Administration of the Fund for the year ended 31 March 2013</w:t>
            </w:r>
          </w:p>
        </w:tc>
      </w:tr>
      <w:tr>
        <w:trPr/>
        <w:tc>
          <w:tcPr>
            <w:tcW w:w="1133" w:type="dxa"/>
            <w:tcBorders/>
          </w:tcPr>
          <w:p>
            <w:pPr>
              <w:pStyle w:val="Normal"/>
              <w:spacing w:lineRule="atLeast" w:line="380"/>
              <w:rPr/>
            </w:pPr>
            <w:r>
              <w:rPr/>
            </w:r>
          </w:p>
        </w:tc>
        <w:tc>
          <w:tcPr>
            <w:tcW w:w="562" w:type="dxa"/>
            <w:tcBorders/>
          </w:tcPr>
          <w:p>
            <w:pPr>
              <w:pStyle w:val="Normal"/>
              <w:spacing w:lineRule="atLeast" w:line="380"/>
              <w:rPr/>
            </w:pPr>
            <w:r>
              <w:rPr/>
            </w:r>
          </w:p>
        </w:tc>
        <w:tc>
          <w:tcPr>
            <w:tcW w:w="6747" w:type="dxa"/>
            <w:tcBorders/>
            <w:tcMar>
              <w:right w:w="57" w:type="dxa"/>
            </w:tcMar>
          </w:tcPr>
          <w:p>
            <w:pPr>
              <w:pStyle w:val="Normal"/>
              <w:spacing w:lineRule="atLeast" w:line="380"/>
              <w:rPr/>
            </w:pPr>
            <w:r>
              <w:rPr/>
            </w:r>
          </w:p>
        </w:tc>
      </w:tr>
      <w:tr>
        <w:trPr/>
        <w:tc>
          <w:tcPr>
            <w:tcW w:w="8442" w:type="dxa"/>
            <w:gridSpan w:val="3"/>
            <w:tcBorders/>
            <w:tcMar>
              <w:right w:w="57" w:type="dxa"/>
            </w:tcMar>
          </w:tcPr>
          <w:p>
            <w:pPr>
              <w:pStyle w:val="Normal"/>
              <w:spacing w:lineRule="atLeast" w:line="380"/>
              <w:rPr/>
            </w:pPr>
            <w:r>
              <w:rPr/>
              <w:t>Report No. 7/13-14 of the House Committee on Consideration of Subsidiary Legislation and Other Instruments</w:t>
            </w:r>
          </w:p>
        </w:tc>
      </w:tr>
      <w:tr>
        <w:trPr/>
        <w:tc>
          <w:tcPr>
            <w:tcW w:w="1133" w:type="dxa"/>
            <w:tcBorders/>
            <w:tcMar>
              <w:right w:w="57" w:type="dxa"/>
            </w:tcMar>
          </w:tcPr>
          <w:p>
            <w:pPr>
              <w:pStyle w:val="Normal"/>
              <w:spacing w:lineRule="atLeast" w:line="380"/>
              <w:rPr/>
            </w:pPr>
            <w:r>
              <w:rPr/>
            </w:r>
          </w:p>
        </w:tc>
        <w:tc>
          <w:tcPr>
            <w:tcW w:w="562" w:type="dxa"/>
            <w:tcBorders/>
            <w:tcMar>
              <w:right w:w="57" w:type="dxa"/>
            </w:tcMar>
          </w:tcPr>
          <w:p>
            <w:pPr>
              <w:pStyle w:val="Normal"/>
              <w:spacing w:lineRule="atLeast" w:line="380"/>
              <w:rPr/>
            </w:pPr>
            <w:r>
              <w:rPr/>
            </w:r>
          </w:p>
        </w:tc>
        <w:tc>
          <w:tcPr>
            <w:tcW w:w="6747" w:type="dxa"/>
            <w:tcBorders/>
            <w:tcMar>
              <w:right w:w="57" w:type="dxa"/>
            </w:tcMar>
          </w:tcPr>
          <w:p>
            <w:pPr>
              <w:pStyle w:val="Normal"/>
              <w:spacing w:lineRule="atLeast" w:line="380"/>
              <w:rPr/>
            </w:pPr>
            <w:r>
              <w:rPr/>
            </w:r>
          </w:p>
        </w:tc>
      </w:tr>
      <w:tr>
        <w:trPr/>
        <w:tc>
          <w:tcPr>
            <w:tcW w:w="8442" w:type="dxa"/>
            <w:gridSpan w:val="3"/>
            <w:tcBorders/>
            <w:tcMar>
              <w:right w:w="57" w:type="dxa"/>
            </w:tcMar>
          </w:tcPr>
          <w:p>
            <w:pPr>
              <w:pStyle w:val="Normal"/>
              <w:spacing w:lineRule="atLeast" w:line="380"/>
              <w:rPr/>
            </w:pPr>
            <w:r>
              <w:rPr/>
              <w:t>Report of the Bills Committee on Toys and Children's Products Safety (Amendment) Bill 2013</w:t>
            </w:r>
          </w:p>
        </w:tc>
      </w:tr>
      <w:tr>
        <w:trPr/>
        <w:tc>
          <w:tcPr>
            <w:tcW w:w="1133" w:type="dxa"/>
            <w:tcBorders/>
            <w:tcMar>
              <w:right w:w="57" w:type="dxa"/>
            </w:tcMar>
          </w:tcPr>
          <w:p>
            <w:pPr>
              <w:pStyle w:val="Normal"/>
              <w:spacing w:lineRule="atLeast" w:line="380"/>
              <w:rPr/>
            </w:pPr>
            <w:r>
              <w:rPr/>
            </w:r>
          </w:p>
        </w:tc>
        <w:tc>
          <w:tcPr>
            <w:tcW w:w="562" w:type="dxa"/>
            <w:tcBorders/>
            <w:tcMar>
              <w:right w:w="57" w:type="dxa"/>
            </w:tcMar>
          </w:tcPr>
          <w:p>
            <w:pPr>
              <w:pStyle w:val="Normal"/>
              <w:spacing w:lineRule="atLeast" w:line="380"/>
              <w:rPr/>
            </w:pPr>
            <w:r>
              <w:rPr/>
            </w:r>
          </w:p>
        </w:tc>
        <w:tc>
          <w:tcPr>
            <w:tcW w:w="6747" w:type="dxa"/>
            <w:tcBorders/>
            <w:tcMar>
              <w:right w:w="57" w:type="dxa"/>
            </w:tcMar>
          </w:tcPr>
          <w:p>
            <w:pPr>
              <w:pStyle w:val="Normal"/>
              <w:spacing w:lineRule="atLeast" w:line="380"/>
              <w:rPr/>
            </w:pPr>
            <w:r>
              <w:rPr/>
            </w:r>
          </w:p>
        </w:tc>
      </w:tr>
      <w:tr>
        <w:trPr/>
        <w:tc>
          <w:tcPr>
            <w:tcW w:w="8442" w:type="dxa"/>
            <w:gridSpan w:val="3"/>
            <w:tcBorders/>
            <w:tcMar>
              <w:right w:w="57" w:type="dxa"/>
            </w:tcMar>
          </w:tcPr>
          <w:p>
            <w:pPr>
              <w:pStyle w:val="Normal"/>
              <w:spacing w:lineRule="atLeast" w:line="380"/>
              <w:rPr/>
            </w:pPr>
            <w:r>
              <w:rPr/>
              <w:t>Report of the Bills Committee on Waste Disposal (Amendment) Bill 2013</w:t>
            </w:r>
          </w:p>
        </w:tc>
      </w:tr>
    </w:tbl>
    <w:p>
      <w:pPr>
        <w:pStyle w:val="F21"/>
        <w:rPr/>
      </w:pPr>
      <w:r>
        <w:rPr/>
      </w:r>
    </w:p>
    <w:p>
      <w:pPr>
        <w:pStyle w:val="F21"/>
        <w:rPr/>
      </w:pPr>
      <w:r>
        <w:rPr/>
      </w:r>
    </w:p>
    <w:p>
      <w:pPr>
        <w:pStyle w:val="F21"/>
        <w:rPr>
          <w:rFonts w:ascii="華康中黑體" w:hAnsi="華康中黑體" w:eastAsia="華康中黑體"/>
          <w:b/>
          <w:b/>
          <w:sz w:val="28"/>
          <w:szCs w:val="28"/>
        </w:rPr>
      </w:pPr>
      <w:bookmarkStart w:id="12" w:name="orq"/>
      <w:r>
        <w:rPr>
          <w:rFonts w:ascii="華康中黑體" w:hAnsi="華康中黑體" w:eastAsia="華康中黑體"/>
          <w:b/>
          <w:sz w:val="28"/>
          <w:szCs w:val="28"/>
        </w:rPr>
        <w:t>議員質詢的口頭答覆</w:t>
      </w:r>
    </w:p>
    <w:p>
      <w:pPr>
        <w:pStyle w:val="Normal"/>
        <w:rPr>
          <w:b/>
          <w:b/>
        </w:rPr>
      </w:pPr>
      <w:bookmarkStart w:id="13" w:name="orq"/>
      <w:r>
        <w:rPr>
          <w:b/>
        </w:rPr>
        <w:t>ORAL ANSWERS TO QUESTIONS</w:t>
      </w:r>
      <w:bookmarkEnd w:id="13"/>
    </w:p>
    <w:p>
      <w:pPr>
        <w:pStyle w:val="F21"/>
        <w:rPr/>
      </w:pPr>
      <w:r>
        <w:rPr/>
      </w:r>
    </w:p>
    <w:p>
      <w:pPr>
        <w:pStyle w:val="F21"/>
        <w:rPr/>
      </w:pPr>
      <w:r>
        <w:rPr>
          <w:rFonts w:cs="Times New Roman" w:eastAsia="華康中黑體"/>
          <w:b/>
        </w:rPr>
        <w:t>主席</w:t>
      </w:r>
      <w:r>
        <w:rPr>
          <w:rFonts w:cs="Times New Roman"/>
        </w:rPr>
        <w:t>：質詢。</w:t>
      </w:r>
      <w:r>
        <w:rPr/>
        <w:t>第一項質詢。</w:t>
      </w:r>
    </w:p>
    <w:p>
      <w:pPr>
        <w:pStyle w:val="F21"/>
        <w:rPr/>
      </w:pPr>
      <w:r>
        <w:rPr/>
      </w:r>
    </w:p>
    <w:p>
      <w:pPr>
        <w:pStyle w:val="F21"/>
        <w:rPr/>
      </w:pPr>
      <w:r>
        <w:rPr/>
      </w:r>
    </w:p>
    <w:p>
      <w:pPr>
        <w:pStyle w:val="F21"/>
        <w:rPr>
          <w:rFonts w:eastAsia="華康中黑體" w:cs="Times New Roman"/>
          <w:b/>
          <w:b/>
        </w:rPr>
      </w:pPr>
      <w:bookmarkStart w:id="14" w:name="orq01"/>
      <w:r>
        <w:rPr>
          <w:rFonts w:cs="Times New Roman" w:eastAsia="華康中黑體"/>
          <w:b/>
        </w:rPr>
        <w:t>大廈滲水投訴的處理</w:t>
      </w:r>
    </w:p>
    <w:p>
      <w:pPr>
        <w:pStyle w:val="Normal"/>
        <w:rPr>
          <w:b/>
          <w:b/>
        </w:rPr>
      </w:pPr>
      <w:bookmarkStart w:id="15" w:name="orq01"/>
      <w:r>
        <w:rPr>
          <w:b/>
        </w:rPr>
        <w:t>Handling of Complaints About Water Seepage in Buildings</w:t>
      </w:r>
      <w:bookmarkEnd w:id="15"/>
    </w:p>
    <w:p>
      <w:pPr>
        <w:pStyle w:val="F21"/>
        <w:rPr/>
      </w:pPr>
      <w:r>
        <w:rPr/>
      </w:r>
    </w:p>
    <w:p>
      <w:pPr>
        <w:pStyle w:val="F21"/>
        <w:rPr>
          <w:rFonts w:eastAsia="華康中黑體"/>
          <w:b/>
          <w:b/>
          <w:i/>
          <w:i/>
          <w:szCs w:val="27"/>
        </w:rPr>
      </w:pPr>
      <w:r>
        <w:rPr>
          <w:rFonts w:eastAsia="華康中黑體"/>
          <w:b/>
          <w:szCs w:val="27"/>
        </w:rPr>
        <w:t>1.</w:t>
        <w:tab/>
      </w:r>
      <w:r>
        <w:rPr>
          <w:rFonts w:eastAsia="華康中黑體"/>
          <w:b/>
          <w:szCs w:val="27"/>
        </w:rPr>
        <w:t>盧偉國議員</w:t>
      </w:r>
      <w:r>
        <w:rPr>
          <w:szCs w:val="27"/>
        </w:rPr>
        <w:t>：</w:t>
      </w:r>
      <w:r>
        <w:rPr>
          <w:i/>
          <w:szCs w:val="27"/>
        </w:rPr>
        <w:t>主席，目前，由屋宇署和食物環境衞生署成立的聯合辦事處</w:t>
      </w:r>
      <w:r>
        <w:rPr>
          <w:i/>
          <w:szCs w:val="27"/>
        </w:rPr>
        <w:t>(“</w:t>
      </w:r>
      <w:r>
        <w:rPr>
          <w:i/>
          <w:szCs w:val="27"/>
        </w:rPr>
        <w:t>聯合辦”</w:t>
      </w:r>
      <w:r>
        <w:rPr>
          <w:i/>
          <w:szCs w:val="27"/>
        </w:rPr>
        <w:t>)</w:t>
      </w:r>
      <w:r>
        <w:rPr>
          <w:i/>
          <w:szCs w:val="27"/>
        </w:rPr>
        <w:t>負責處理大廈樓層間滲水的個案，統籌有關投訴的調查和執法工作。就此，政府可否告知本會：</w:t>
      </w:r>
    </w:p>
    <w:p>
      <w:pPr>
        <w:pStyle w:val="F21"/>
        <w:rPr>
          <w:i/>
          <w:i/>
          <w:szCs w:val="27"/>
        </w:rPr>
      </w:pPr>
      <w:r>
        <w:rPr>
          <w:i/>
          <w:szCs w:val="27"/>
        </w:rPr>
      </w:r>
    </w:p>
    <w:p>
      <w:pPr>
        <w:pStyle w:val="F21"/>
        <w:ind w:left="1417" w:hanging="850"/>
        <w:rPr>
          <w:i/>
          <w:i/>
          <w:szCs w:val="27"/>
        </w:rPr>
      </w:pPr>
      <w:r>
        <w:rPr>
          <w:i/>
          <w:szCs w:val="27"/>
        </w:rPr>
        <w:t>(</w:t>
      </w:r>
      <w:r>
        <w:rPr>
          <w:i/>
          <w:szCs w:val="27"/>
        </w:rPr>
        <w:t>一</w:t>
      </w:r>
      <w:r>
        <w:rPr>
          <w:i/>
          <w:szCs w:val="27"/>
        </w:rPr>
        <w:t>)</w:t>
        <w:tab/>
      </w:r>
      <w:r>
        <w:rPr>
          <w:i/>
          <w:szCs w:val="27"/>
        </w:rPr>
        <w:t>本年至今，聯合辦接獲多少宗有關滲水的投訴，與過去</w:t>
      </w:r>
      <w:r>
        <w:rPr>
          <w:i/>
          <w:szCs w:val="27"/>
        </w:rPr>
        <w:t>3</w:t>
      </w:r>
      <w:r>
        <w:rPr>
          <w:i/>
          <w:szCs w:val="27"/>
        </w:rPr>
        <w:t>年的數字比較如何；過去</w:t>
      </w:r>
      <w:r>
        <w:rPr>
          <w:i/>
          <w:szCs w:val="27"/>
        </w:rPr>
        <w:t>3</w:t>
      </w:r>
      <w:r>
        <w:rPr>
          <w:i/>
          <w:szCs w:val="27"/>
        </w:rPr>
        <w:t>年，聯合辦每年完成處理和已確證滲水源頭的個案數目分別有多少，以及每年分別就多少宗個案向法院申請進入處所的手令和發出“妨擾事故通知”；</w:t>
      </w:r>
    </w:p>
    <w:p>
      <w:pPr>
        <w:pStyle w:val="F21"/>
        <w:ind w:left="1417" w:hanging="850"/>
        <w:rPr>
          <w:i/>
          <w:i/>
          <w:szCs w:val="27"/>
        </w:rPr>
      </w:pPr>
      <w:r>
        <w:rPr>
          <w:i/>
          <w:szCs w:val="27"/>
        </w:rPr>
      </w:r>
    </w:p>
    <w:p>
      <w:pPr>
        <w:pStyle w:val="F21"/>
        <w:ind w:left="1417" w:hanging="850"/>
        <w:rPr>
          <w:i/>
          <w:i/>
          <w:szCs w:val="27"/>
        </w:rPr>
      </w:pPr>
      <w:r>
        <w:rPr>
          <w:i/>
          <w:szCs w:val="27"/>
        </w:rPr>
        <w:t>(</w:t>
      </w:r>
      <w:r>
        <w:rPr>
          <w:i/>
          <w:szCs w:val="27"/>
        </w:rPr>
        <w:t>二</w:t>
      </w:r>
      <w:r>
        <w:rPr>
          <w:i/>
          <w:szCs w:val="27"/>
        </w:rPr>
        <w:t>)</w:t>
        <w:tab/>
      </w:r>
      <w:r>
        <w:rPr>
          <w:i/>
          <w:szCs w:val="27"/>
        </w:rPr>
        <w:t>鑒於處理滲水投訴需動用公共資源，當局有沒有具體的措施，防止投訴機制遭濫用並杜絕虛報；若有，詳情為何；若沒有，原因為何；及</w:t>
      </w:r>
    </w:p>
    <w:p>
      <w:pPr>
        <w:pStyle w:val="F21"/>
        <w:ind w:left="1417" w:hanging="850"/>
        <w:rPr>
          <w:i/>
          <w:i/>
          <w:szCs w:val="27"/>
        </w:rPr>
      </w:pPr>
      <w:r>
        <w:rPr>
          <w:i/>
          <w:szCs w:val="27"/>
        </w:rPr>
      </w:r>
    </w:p>
    <w:p>
      <w:pPr>
        <w:pStyle w:val="F21"/>
        <w:ind w:left="1417" w:hanging="850"/>
        <w:rPr>
          <w:szCs w:val="27"/>
        </w:rPr>
      </w:pPr>
      <w:r>
        <w:rPr>
          <w:i/>
          <w:szCs w:val="27"/>
        </w:rPr>
        <w:t>(</w:t>
      </w:r>
      <w:r>
        <w:rPr>
          <w:i/>
          <w:szCs w:val="27"/>
        </w:rPr>
        <w:t>三</w:t>
      </w:r>
      <w:r>
        <w:rPr>
          <w:i/>
          <w:szCs w:val="27"/>
        </w:rPr>
        <w:t>)</w:t>
        <w:tab/>
      </w:r>
      <w:r>
        <w:rPr>
          <w:i/>
          <w:szCs w:val="27"/>
        </w:rPr>
        <w:t>鑒於有專業人士向本人指出，聯合辦現時採用的色水測試在某些情況下會得出錯誤的滲水源頭結論，而聯合辦正就加強調查滲水源頭的方法進行研究，最近亦委聘顧問公司嘗試應用其他探測儀器，該等工作的初步結果為何，以及有沒有就引入其他測試方法或探測儀器以調查滲水源頭制訂時間表；若沒有時間表，原因為何？</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發展局局長</w:t>
      </w:r>
      <w:r>
        <w:rPr>
          <w:szCs w:val="27"/>
        </w:rPr>
        <w:t>：主席，各位議員，早晨。主席，管理和維修保養樓宇，包括解決樓層間滲水的問題，是樓宇業主應有的責任。故此，私人物業內部如果出現滲水情況，業主應首先自行檢驗滲水原因，並視乎情況和需要與有關的住戶及其他業主協調，進行維修工程。</w:t>
      </w:r>
    </w:p>
    <w:p>
      <w:pPr>
        <w:pStyle w:val="F21"/>
        <w:rPr>
          <w:szCs w:val="27"/>
        </w:rPr>
      </w:pPr>
      <w:r>
        <w:rPr>
          <w:szCs w:val="27"/>
        </w:rPr>
      </w:r>
    </w:p>
    <w:p>
      <w:pPr>
        <w:pStyle w:val="F21"/>
        <w:rPr>
          <w:szCs w:val="27"/>
        </w:rPr>
      </w:pPr>
      <w:r>
        <w:rPr>
          <w:szCs w:val="27"/>
        </w:rPr>
        <w:tab/>
      </w:r>
      <w:r>
        <w:rPr>
          <w:szCs w:val="27"/>
        </w:rPr>
        <w:t>但當有關滲水情況構成衞生妨擾、樓宇結構安全風險或浪費供水，政府便會分別根據《公眾衞生及市政條例》</w:t>
      </w:r>
      <w:r>
        <w:rPr>
          <w:szCs w:val="27"/>
        </w:rPr>
        <w:t>(</w:t>
      </w:r>
      <w:r>
        <w:rPr>
          <w:szCs w:val="27"/>
        </w:rPr>
        <w:t>第</w:t>
      </w:r>
      <w:r>
        <w:rPr>
          <w:szCs w:val="27"/>
        </w:rPr>
        <w:t>132</w:t>
      </w:r>
      <w:r>
        <w:rPr>
          <w:szCs w:val="27"/>
        </w:rPr>
        <w:t>章</w:t>
      </w:r>
      <w:r>
        <w:rPr>
          <w:szCs w:val="27"/>
        </w:rPr>
        <w:t>)</w:t>
      </w:r>
      <w:r>
        <w:rPr>
          <w:szCs w:val="27"/>
        </w:rPr>
        <w:t>、《建築物條例》</w:t>
      </w:r>
      <w:r>
        <w:rPr>
          <w:szCs w:val="27"/>
        </w:rPr>
        <w:t>(</w:t>
      </w:r>
      <w:r>
        <w:rPr>
          <w:szCs w:val="27"/>
        </w:rPr>
        <w:t>第</w:t>
      </w:r>
      <w:r>
        <w:rPr>
          <w:szCs w:val="27"/>
        </w:rPr>
        <w:t>123</w:t>
      </w:r>
      <w:r>
        <w:rPr>
          <w:szCs w:val="27"/>
        </w:rPr>
        <w:t>章</w:t>
      </w:r>
      <w:r>
        <w:rPr>
          <w:szCs w:val="27"/>
        </w:rPr>
        <w:t>)</w:t>
      </w:r>
      <w:r>
        <w:rPr>
          <w:szCs w:val="27"/>
        </w:rPr>
        <w:t>或《水務設施條例》</w:t>
      </w:r>
      <w:r>
        <w:rPr>
          <w:szCs w:val="27"/>
        </w:rPr>
        <w:t>(</w:t>
      </w:r>
      <w:r>
        <w:rPr>
          <w:szCs w:val="27"/>
        </w:rPr>
        <w:t>第</w:t>
      </w:r>
      <w:r>
        <w:rPr>
          <w:szCs w:val="27"/>
        </w:rPr>
        <w:t>102</w:t>
      </w:r>
      <w:r>
        <w:rPr>
          <w:szCs w:val="27"/>
        </w:rPr>
        <w:t>章</w:t>
      </w:r>
      <w:r>
        <w:rPr>
          <w:szCs w:val="27"/>
        </w:rPr>
        <w:t>)</w:t>
      </w:r>
      <w:r>
        <w:rPr>
          <w:szCs w:val="27"/>
        </w:rPr>
        <w:t>所賦予的權力，介入處理個案。現時由屋宇署及食物環境衞生署人員組成的聯合辦，以“一站式”的運作模式，統一處理滲水舉報。如果確認滲水構成衞生妨擾，聯合辦會根據《公眾衞生及市政條例》的相關條文，向有關人士發出“妨擾事故通知”，要求當事人減除滲水妨擾。如有需要，亦會轉介個案予屋宇署或水務署，採取適當的跟進行動，包括危險建築物由屋宇署根據《建築物條例》的規定處理，浪費供水則由水務署根據《水務設施條例》的有關條文規定敦促涉事用戶進行修理。</w:t>
      </w:r>
    </w:p>
    <w:p>
      <w:pPr>
        <w:pStyle w:val="F21"/>
        <w:rPr>
          <w:szCs w:val="27"/>
        </w:rPr>
      </w:pPr>
      <w:r>
        <w:rPr>
          <w:szCs w:val="27"/>
        </w:rPr>
      </w:r>
    </w:p>
    <w:p>
      <w:pPr>
        <w:pStyle w:val="F21"/>
        <w:rPr>
          <w:szCs w:val="27"/>
        </w:rPr>
      </w:pPr>
      <w:r>
        <w:rPr>
          <w:szCs w:val="27"/>
        </w:rPr>
        <w:tab/>
      </w:r>
      <w:r>
        <w:rPr>
          <w:szCs w:val="27"/>
        </w:rPr>
        <w:t>就質詢的</w:t>
      </w:r>
      <w:r>
        <w:rPr>
          <w:szCs w:val="27"/>
        </w:rPr>
        <w:t>3</w:t>
      </w:r>
      <w:r>
        <w:rPr>
          <w:szCs w:val="27"/>
        </w:rPr>
        <w:t>個部分，我的答覆如下：</w:t>
      </w:r>
    </w:p>
    <w:p>
      <w:pPr>
        <w:pStyle w:val="F21"/>
        <w:rPr>
          <w:szCs w:val="27"/>
        </w:rPr>
      </w:pPr>
      <w:r>
        <w:rPr>
          <w:szCs w:val="27"/>
        </w:rPr>
      </w:r>
    </w:p>
    <w:p>
      <w:pPr>
        <w:pStyle w:val="Style14"/>
        <w:rPr>
          <w:i w:val="false"/>
          <w:i w:val="false"/>
        </w:rPr>
      </w:pPr>
      <w:r>
        <w:rPr>
          <w:i w:val="false"/>
        </w:rPr>
        <w:t>(</w:t>
      </w:r>
      <w:r>
        <w:rPr>
          <w:i w:val="false"/>
        </w:rPr>
        <w:t>一</w:t>
      </w:r>
      <w:r>
        <w:rPr>
          <w:i w:val="false"/>
        </w:rPr>
        <w:t>)</w:t>
        <w:tab/>
      </w:r>
      <w:r>
        <w:rPr>
          <w:i w:val="false"/>
        </w:rPr>
        <w:t>由</w:t>
      </w:r>
      <w:r>
        <w:rPr>
          <w:i w:val="false"/>
        </w:rPr>
        <w:t>2013</w:t>
      </w:r>
      <w:r>
        <w:rPr>
          <w:i w:val="false"/>
        </w:rPr>
        <w:t>年</w:t>
      </w:r>
      <w:r>
        <w:rPr>
          <w:i w:val="false"/>
        </w:rPr>
        <w:t>1</w:t>
      </w:r>
      <w:r>
        <w:rPr>
          <w:i w:val="false"/>
        </w:rPr>
        <w:t>月</w:t>
      </w:r>
      <w:r>
        <w:rPr>
          <w:i w:val="false"/>
        </w:rPr>
        <w:t>1</w:t>
      </w:r>
      <w:r>
        <w:rPr>
          <w:i w:val="false"/>
        </w:rPr>
        <w:t>日至</w:t>
      </w:r>
      <w:r>
        <w:rPr>
          <w:i w:val="false"/>
        </w:rPr>
        <w:t>9</w:t>
      </w:r>
      <w:r>
        <w:rPr>
          <w:i w:val="false"/>
        </w:rPr>
        <w:t>月</w:t>
      </w:r>
      <w:r>
        <w:rPr>
          <w:i w:val="false"/>
        </w:rPr>
        <w:t>30</w:t>
      </w:r>
      <w:r>
        <w:rPr>
          <w:i w:val="false"/>
        </w:rPr>
        <w:t>日，聯合辦共接獲</w:t>
      </w:r>
      <w:r>
        <w:rPr>
          <w:i w:val="false"/>
        </w:rPr>
        <w:t>22 802</w:t>
      </w:r>
      <w:r>
        <w:rPr>
          <w:i w:val="false"/>
        </w:rPr>
        <w:t>宗滲水舉報。至於在</w:t>
      </w:r>
      <w:r>
        <w:rPr>
          <w:i w:val="false"/>
        </w:rPr>
        <w:t>2010</w:t>
      </w:r>
      <w:r>
        <w:rPr>
          <w:i w:val="false"/>
        </w:rPr>
        <w:t>年、</w:t>
      </w:r>
      <w:r>
        <w:rPr>
          <w:i w:val="false"/>
        </w:rPr>
        <w:t>2011</w:t>
      </w:r>
      <w:r>
        <w:rPr>
          <w:i w:val="false"/>
        </w:rPr>
        <w:t>年及</w:t>
      </w:r>
      <w:r>
        <w:rPr>
          <w:i w:val="false"/>
        </w:rPr>
        <w:t>2012</w:t>
      </w:r>
      <w:r>
        <w:rPr>
          <w:i w:val="false"/>
        </w:rPr>
        <w:t>年的過去</w:t>
      </w:r>
      <w:r>
        <w:rPr>
          <w:i w:val="false"/>
        </w:rPr>
        <w:t>3</w:t>
      </w:r>
      <w:r>
        <w:rPr>
          <w:i w:val="false"/>
        </w:rPr>
        <w:t>年，聯合辦接獲的滲水舉報分別為</w:t>
      </w:r>
      <w:r>
        <w:rPr>
          <w:i w:val="false"/>
        </w:rPr>
        <w:t>25 717</w:t>
      </w:r>
      <w:r>
        <w:rPr>
          <w:i w:val="false"/>
        </w:rPr>
        <w:t>宗、</w:t>
      </w:r>
      <w:r>
        <w:rPr>
          <w:i w:val="false"/>
        </w:rPr>
        <w:t>23 660</w:t>
      </w:r>
      <w:r>
        <w:rPr>
          <w:i w:val="false"/>
        </w:rPr>
        <w:t>宗和</w:t>
      </w:r>
      <w:r>
        <w:rPr>
          <w:i w:val="false"/>
        </w:rPr>
        <w:t>27 353</w:t>
      </w:r>
      <w:r>
        <w:rPr>
          <w:i w:val="false"/>
        </w:rPr>
        <w:t>宗。質詢要求提供的過去</w:t>
      </w:r>
      <w:r>
        <w:rPr>
          <w:i w:val="false"/>
        </w:rPr>
        <w:t>3</w:t>
      </w:r>
      <w:r>
        <w:rPr>
          <w:i w:val="false"/>
        </w:rPr>
        <w:t>年的分項統計數字，列載於附件。</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當接獲有關樓宇滲水的舉報後，聯合辦人員會先作查證，剔除因為不涉及衞生妨擾而不屬於聯合辦法定權限可跟進的個案，以及缺乏理據，或滲水情況已終止或舉報人中途撤銷舉報等個案。對這些被甄別為不需予以跟進的個案，聯合辦不會展開進一步調查。這類被剔除的個案大約佔每年所接獲的滲水舉報數目的</w:t>
      </w:r>
      <w:r>
        <w:rPr>
          <w:i w:val="false"/>
        </w:rPr>
        <w:t>50%</w:t>
      </w:r>
      <w:r>
        <w:rPr>
          <w:i w:val="false"/>
        </w:rPr>
        <w:t>，我們認為現行的措施已能有效防止虛報或濫用投訴機制。</w:t>
      </w:r>
    </w:p>
    <w:p>
      <w:pPr>
        <w:pStyle w:val="Style14"/>
        <w:spacing w:lineRule="atLeast" w:line="350"/>
        <w:rPr>
          <w:i w:val="false"/>
          <w:i w:val="false"/>
        </w:rPr>
      </w:pPr>
      <w:r>
        <w:rPr>
          <w:i w:val="false"/>
        </w:rPr>
      </w:r>
    </w:p>
    <w:p>
      <w:pPr>
        <w:pStyle w:val="Style14"/>
        <w:spacing w:lineRule="atLeast" w:line="350"/>
        <w:rPr>
          <w:i w:val="false"/>
          <w:i w:val="false"/>
        </w:rPr>
      </w:pPr>
      <w:r>
        <w:rPr>
          <w:i w:val="false"/>
        </w:rPr>
        <w:tab/>
      </w:r>
      <w:r>
        <w:rPr>
          <w:i w:val="false"/>
        </w:rPr>
        <w:t>正如我剛才指出，業主有責任處理樓宇管理和保養方面的事宜，包括視乎情況與其他相關住戶和業主協調解決物業出現滲水的情況，政府只有在可根據相關法例行使法定權力的情況下，才可介入滲水的個案。自聯合辦成立以來，向聯合辦提出滲水舉報的數目不斷增加。聯合辦每年接獲的舉報數目在</w:t>
      </w:r>
      <w:r>
        <w:rPr>
          <w:i w:val="false"/>
        </w:rPr>
        <w:t>6</w:t>
      </w:r>
      <w:r>
        <w:rPr>
          <w:i w:val="false"/>
        </w:rPr>
        <w:t>年間增加了</w:t>
      </w:r>
      <w:r>
        <w:rPr>
          <w:i w:val="false"/>
        </w:rPr>
        <w:t>57%</w:t>
      </w:r>
      <w:r>
        <w:rPr>
          <w:i w:val="false"/>
        </w:rPr>
        <w:t>，由</w:t>
      </w:r>
      <w:r>
        <w:rPr>
          <w:i w:val="false"/>
        </w:rPr>
        <w:t>2007</w:t>
      </w:r>
      <w:r>
        <w:rPr>
          <w:i w:val="false"/>
        </w:rPr>
        <w:t>年</w:t>
      </w:r>
      <w:r>
        <w:rPr>
          <w:i w:val="false"/>
        </w:rPr>
        <w:t>(</w:t>
      </w:r>
      <w:r>
        <w:rPr>
          <w:i w:val="false"/>
        </w:rPr>
        <w:t>即聯合辦成立後的首個完整年度</w:t>
      </w:r>
      <w:r>
        <w:rPr>
          <w:i w:val="false"/>
        </w:rPr>
        <w:t>)</w:t>
      </w:r>
      <w:r>
        <w:rPr>
          <w:i w:val="false"/>
        </w:rPr>
        <w:t>的</w:t>
      </w:r>
      <w:r>
        <w:rPr>
          <w:i w:val="false"/>
        </w:rPr>
        <w:t>17 405</w:t>
      </w:r>
      <w:r>
        <w:rPr>
          <w:i w:val="false"/>
        </w:rPr>
        <w:t>宗，增加至</w:t>
      </w:r>
      <w:r>
        <w:rPr>
          <w:i w:val="false"/>
        </w:rPr>
        <w:t>2012</w:t>
      </w:r>
      <w:r>
        <w:rPr>
          <w:i w:val="false"/>
        </w:rPr>
        <w:t>年的</w:t>
      </w:r>
      <w:r>
        <w:rPr>
          <w:i w:val="false"/>
        </w:rPr>
        <w:t>27 353</w:t>
      </w:r>
      <w:r>
        <w:rPr>
          <w:i w:val="false"/>
        </w:rPr>
        <w:t>宗。有關現象除顯示有更多市民向聯合辦提出滲水舉報外，也反映滲水問題正在隨着現存樓宇日漸老化而日趨普遍。有鑒於此，聯合辦一方面會致力提升處理滲水個案的成效，另一方面亦會透過宣傳和公眾教育，加強業主對樓宇保養、維修和管理的意識，希望能夠循不同方向更有效地處理樓宇滲水的問題。</w:t>
      </w:r>
    </w:p>
    <w:p>
      <w:pPr>
        <w:pStyle w:val="Style14"/>
        <w:spacing w:lineRule="atLeast" w:line="350"/>
        <w:rPr>
          <w:i w:val="false"/>
          <w:i w:val="false"/>
        </w:rPr>
      </w:pPr>
      <w:r>
        <w:rPr>
          <w:i w:val="false"/>
        </w:rPr>
      </w:r>
    </w:p>
    <w:p>
      <w:pPr>
        <w:pStyle w:val="Style14"/>
        <w:spacing w:lineRule="atLeast" w:line="350"/>
        <w:rPr>
          <w:i w:val="false"/>
          <w:i w:val="false"/>
        </w:rPr>
      </w:pPr>
      <w:r>
        <w:rPr>
          <w:i w:val="false"/>
        </w:rPr>
        <w:t>(</w:t>
      </w:r>
      <w:r>
        <w:rPr>
          <w:i w:val="false"/>
        </w:rPr>
        <w:t>三</w:t>
      </w:r>
      <w:r>
        <w:rPr>
          <w:i w:val="false"/>
        </w:rPr>
        <w:t>)</w:t>
        <w:tab/>
      </w:r>
      <w:r>
        <w:rPr>
          <w:i w:val="false"/>
        </w:rPr>
        <w:t>導致樓宇滲水的原因十分多，聯合辦會因應個別個案的情況，採取合適而又不會對建築物造成破損的檢測以查找滲水源頭，包括濕度監察、色水測試、地台蓄水測試、牆壁灑水測試及供水喉管反向壓力測試等，這些皆是被業界廣泛使用的有效測試方法。除了目視檢測外，聯合辦人員亦會按情況使用不同的儀器如電子濕度儀、紫外光電筒和濾光眼鏡等協助進行各種調查和測試。如有需要，聯合辦人員會收集滲水位置的批盪或滲水樣本，送交政府化驗所化驗。</w:t>
      </w:r>
    </w:p>
    <w:p>
      <w:pPr>
        <w:pStyle w:val="Style14"/>
        <w:spacing w:lineRule="atLeast" w:line="350"/>
        <w:rPr>
          <w:i w:val="false"/>
          <w:i w:val="false"/>
        </w:rPr>
      </w:pPr>
      <w:r>
        <w:rPr>
          <w:i w:val="false"/>
        </w:rPr>
      </w:r>
    </w:p>
    <w:p>
      <w:pPr>
        <w:pStyle w:val="Style14"/>
        <w:spacing w:lineRule="atLeast" w:line="350"/>
        <w:rPr>
          <w:i w:val="false"/>
          <w:i w:val="false"/>
        </w:rPr>
      </w:pPr>
      <w:r>
        <w:rPr>
          <w:i w:val="false"/>
        </w:rPr>
        <w:tab/>
      </w:r>
      <w:r>
        <w:rPr>
          <w:i w:val="false"/>
        </w:rPr>
        <w:t>為進一步提升聯合辦調查工作的成效，聯合辦的恆常措施之一，是物色其他能協助查找出滲水源頭的方法和儀器。聯合辦現正在香港應用科技研究院的協助下，研究是否可透過實時監察懷疑滲水單位的用水情況和滲水位置的濕度變化，協助尋找滲水的源頭。聯合辦留意到現時市面上有一些探測儀器，例如紅外線探測儀和微波探測儀等，可以探測滲水位置的濕度變化。聯合辦最近亦嘗試應用有關儀器以拍攝紅外線造影及進行微波濕度立體造型，以協助在一些較複雜的滲水個案，追查滲水源頭。</w:t>
      </w:r>
    </w:p>
    <w:p>
      <w:pPr>
        <w:pStyle w:val="Style14"/>
        <w:spacing w:lineRule="atLeast" w:line="350"/>
        <w:rPr>
          <w:i w:val="false"/>
          <w:i w:val="false"/>
        </w:rPr>
      </w:pPr>
      <w:r>
        <w:rPr>
          <w:i w:val="false"/>
        </w:rPr>
      </w:r>
    </w:p>
    <w:p>
      <w:pPr>
        <w:pStyle w:val="F21"/>
        <w:jc w:val="right"/>
        <w:rPr>
          <w:szCs w:val="27"/>
        </w:rPr>
      </w:pPr>
      <w:r>
        <w:rPr>
          <w:szCs w:val="27"/>
        </w:rPr>
        <w:t>附件</w:t>
      </w:r>
    </w:p>
    <w:p>
      <w:pPr>
        <w:pStyle w:val="F21"/>
        <w:jc w:val="center"/>
        <w:rPr>
          <w:szCs w:val="27"/>
        </w:rPr>
      </w:pPr>
      <w:r>
        <w:rPr>
          <w:szCs w:val="27"/>
        </w:rPr>
      </w:r>
    </w:p>
    <w:p>
      <w:pPr>
        <w:pStyle w:val="F21"/>
        <w:jc w:val="center"/>
        <w:rPr>
          <w:szCs w:val="27"/>
        </w:rPr>
      </w:pPr>
      <w:r>
        <w:rPr>
          <w:szCs w:val="27"/>
        </w:rPr>
        <w:t>聯合辦事處處理滲水個案的分項統計數字</w:t>
      </w:r>
    </w:p>
    <w:p>
      <w:pPr>
        <w:pStyle w:val="F21"/>
        <w:rPr>
          <w:szCs w:val="27"/>
        </w:rPr>
      </w:pPr>
      <w:r>
        <w:rPr>
          <w:szCs w:val="27"/>
        </w:rPr>
      </w:r>
    </w:p>
    <w:tbl>
      <w:tblPr>
        <w:tblW w:w="9223" w:type="dxa"/>
        <w:jc w:val="left"/>
        <w:tblInd w:w="0" w:type="dxa"/>
        <w:tblCellMar>
          <w:top w:w="0" w:type="dxa"/>
          <w:left w:w="5" w:type="dxa"/>
          <w:bottom w:w="0" w:type="dxa"/>
          <w:right w:w="5" w:type="dxa"/>
        </w:tblCellMar>
        <w:tblLook w:val="01e0" w:noHBand="0" w:noVBand="0" w:firstColumn="1" w:lastRow="1" w:lastColumn="1" w:firstRow="1"/>
      </w:tblPr>
      <w:tblGrid>
        <w:gridCol w:w="2884"/>
        <w:gridCol w:w="1584"/>
        <w:gridCol w:w="1585"/>
        <w:gridCol w:w="1584"/>
        <w:gridCol w:w="1586"/>
      </w:tblGrid>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right"/>
              <w:rPr>
                <w:i/>
                <w:i/>
                <w:szCs w:val="27"/>
              </w:rPr>
            </w:pPr>
            <w:r>
              <w:rPr>
                <w:i/>
                <w:szCs w:val="27"/>
              </w:rPr>
              <w:t>年份</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szCs w:val="27"/>
              </w:rPr>
            </w:pPr>
            <w:r>
              <w:rPr>
                <w:i/>
                <w:szCs w:val="27"/>
              </w:rPr>
              <w:t>2010</w:t>
            </w:r>
            <w:r>
              <w:rPr>
                <w:i/>
                <w:szCs w:val="27"/>
              </w:rPr>
              <w:t>年</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szCs w:val="27"/>
              </w:rPr>
            </w:pPr>
            <w:r>
              <w:rPr>
                <w:i/>
                <w:szCs w:val="27"/>
              </w:rPr>
              <w:t>2011</w:t>
            </w:r>
            <w:r>
              <w:rPr>
                <w:i/>
                <w:szCs w:val="27"/>
              </w:rPr>
              <w:t>年</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szCs w:val="27"/>
              </w:rPr>
            </w:pPr>
            <w:r>
              <w:rPr>
                <w:i/>
                <w:szCs w:val="27"/>
              </w:rPr>
              <w:t>2012</w:t>
            </w:r>
            <w:r>
              <w:rPr>
                <w:i/>
                <w:szCs w:val="27"/>
              </w:rPr>
              <w:t>年</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szCs w:val="27"/>
              </w:rPr>
            </w:pPr>
            <w:r>
              <w:rPr>
                <w:i/>
                <w:szCs w:val="27"/>
              </w:rPr>
              <w:t>2013</w:t>
            </w:r>
            <w:r>
              <w:rPr>
                <w:i/>
                <w:szCs w:val="27"/>
              </w:rPr>
              <w:t>年</w:t>
            </w:r>
          </w:p>
          <w:p>
            <w:pPr>
              <w:pStyle w:val="F21"/>
              <w:tabs>
                <w:tab w:val="clear" w:pos="567"/>
              </w:tabs>
              <w:ind w:left="57" w:right="57" w:hanging="0"/>
              <w:jc w:val="center"/>
              <w:rPr>
                <w:i/>
                <w:i/>
                <w:szCs w:val="27"/>
              </w:rPr>
            </w:pPr>
            <w:r>
              <w:rPr>
                <w:i/>
                <w:szCs w:val="27"/>
              </w:rPr>
              <w:t>(</w:t>
            </w:r>
            <w:r>
              <w:rPr>
                <w:i/>
                <w:szCs w:val="27"/>
              </w:rPr>
              <w:t>截至</w:t>
            </w:r>
            <w:r>
              <w:rPr>
                <w:i/>
                <w:szCs w:val="27"/>
              </w:rPr>
              <w:t>9</w:t>
            </w:r>
            <w:r>
              <w:rPr>
                <w:i/>
                <w:szCs w:val="27"/>
              </w:rPr>
              <w:t>月</w:t>
            </w:r>
            <w:r>
              <w:rPr>
                <w:i/>
                <w:szCs w:val="27"/>
              </w:rPr>
              <w:t>30</w:t>
            </w:r>
            <w:r>
              <w:rPr>
                <w:i/>
                <w:szCs w:val="27"/>
              </w:rPr>
              <w:t>日</w:t>
            </w:r>
            <w:r>
              <w:rPr>
                <w:i/>
                <w:szCs w:val="27"/>
              </w:rPr>
              <w:t>)</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接獲的滲水舉報</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25 717</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23 660</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27 353</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22 802</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已處理的個案</w:t>
            </w:r>
            <w:r>
              <w:rPr>
                <w:szCs w:val="27"/>
                <w:vertAlign w:val="superscript"/>
              </w:rPr>
              <w:t>(1)</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22 971</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23 210</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24 553</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18 390</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甄別為不予以調查的個案</w:t>
            </w:r>
            <w:r>
              <w:rPr>
                <w:szCs w:val="27"/>
                <w:vertAlign w:val="superscript"/>
              </w:rPr>
              <w:t>(2)</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11 051</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12 219</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13 727</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9 618</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成功確證滲水源頭的個案</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4 737</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4 199</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4 053</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3 495</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在調查期間停止滲水的個案</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4 861</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4 703</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4 810</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3 444</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法庭發出“授權進入處所手令”的個案</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136</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90</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101</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47</w:t>
            </w:r>
          </w:p>
        </w:tc>
      </w:tr>
      <w:tr>
        <w:trPr>
          <w:trHeight w:val="567" w:hRule="atLeast"/>
        </w:trPr>
        <w:tc>
          <w:tcPr>
            <w:tcW w:w="288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rPr>
                <w:szCs w:val="27"/>
              </w:rPr>
            </w:pPr>
            <w:r>
              <w:rPr>
                <w:szCs w:val="27"/>
              </w:rPr>
              <w:t>發出“妨擾事故通知”的個案</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3 379</w:t>
            </w:r>
          </w:p>
        </w:tc>
        <w:tc>
          <w:tcPr>
            <w:tcW w:w="158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3 064</w:t>
            </w:r>
          </w:p>
        </w:tc>
        <w:tc>
          <w:tcPr>
            <w:tcW w:w="158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3 639</w:t>
            </w:r>
          </w:p>
        </w:tc>
        <w:tc>
          <w:tcPr>
            <w:tcW w:w="158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397" w:hanging="0"/>
              <w:jc w:val="right"/>
              <w:rPr>
                <w:szCs w:val="27"/>
              </w:rPr>
            </w:pPr>
            <w:r>
              <w:rPr>
                <w:szCs w:val="27"/>
              </w:rPr>
              <w:t>3 151</w:t>
            </w:r>
          </w:p>
        </w:tc>
      </w:tr>
    </w:tbl>
    <w:p>
      <w:pPr>
        <w:pStyle w:val="F21"/>
        <w:spacing w:lineRule="auto" w:line="240"/>
        <w:rPr>
          <w:szCs w:val="27"/>
        </w:rPr>
      </w:pPr>
      <w:r>
        <w:rPr>
          <w:szCs w:val="27"/>
        </w:rPr>
      </w:r>
    </w:p>
    <w:p>
      <w:pPr>
        <w:pStyle w:val="F21"/>
        <w:spacing w:lineRule="auto" w:line="240"/>
        <w:rPr>
          <w:sz w:val="20"/>
          <w:szCs w:val="20"/>
        </w:rPr>
      </w:pPr>
      <w:r>
        <w:rPr>
          <w:sz w:val="20"/>
          <w:szCs w:val="20"/>
        </w:rPr>
        <w:t>註：</w:t>
      </w:r>
    </w:p>
    <w:p>
      <w:pPr>
        <w:pStyle w:val="F21"/>
        <w:spacing w:lineRule="auto" w:line="240"/>
        <w:rPr>
          <w:sz w:val="20"/>
          <w:szCs w:val="20"/>
        </w:rPr>
      </w:pPr>
      <w:r>
        <w:rPr>
          <w:sz w:val="20"/>
          <w:szCs w:val="20"/>
        </w:rPr>
      </w:r>
    </w:p>
    <w:p>
      <w:pPr>
        <w:pStyle w:val="F21"/>
        <w:spacing w:lineRule="auto" w:line="240"/>
        <w:ind w:left="567" w:hanging="567"/>
        <w:rPr>
          <w:sz w:val="20"/>
          <w:szCs w:val="20"/>
        </w:rPr>
      </w:pPr>
      <w:r>
        <w:rPr>
          <w:sz w:val="20"/>
          <w:szCs w:val="20"/>
        </w:rPr>
        <w:t>(1)</w:t>
        <w:tab/>
      </w:r>
      <w:r>
        <w:rPr>
          <w:sz w:val="20"/>
          <w:szCs w:val="20"/>
        </w:rPr>
        <w:t>在某年的“已處理的個案”並非全部是屬於同一年的“接獲的滲水舉報”。</w:t>
      </w:r>
    </w:p>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(2)</w:t>
        <w:tab/>
      </w:r>
      <w:r>
        <w:rPr>
          <w:sz w:val="20"/>
          <w:szCs w:val="20"/>
        </w:rPr>
        <w:t>聯合辦對滲水源頭進行調查有既定的準則和規定。部分接獲的滲水舉報由於不涉及衞生妨擾，因此不屬於聯合辦有法定權力跟進的範圍；亦有部分個案缺乏理據、滲水情況終止或舉報人撤銷舉報等原因，聯合辦會把其甄別為不予以調查的個案，亦不會追查這類個案的滲水源頭。</w:t>
      </w:r>
    </w:p>
    <w:p>
      <w:pPr>
        <w:pStyle w:val="F21"/>
        <w:spacing w:lineRule="auto" w:line="240"/>
        <w:rPr>
          <w:szCs w:val="27"/>
        </w:rPr>
      </w:pPr>
      <w:r>
        <w:rPr>
          <w:szCs w:val="27"/>
        </w:rPr>
      </w:r>
    </w:p>
    <w:p>
      <w:pPr>
        <w:pStyle w:val="F21"/>
        <w:spacing w:lineRule="auto" w:line="240"/>
        <w:rPr>
          <w:szCs w:val="27"/>
        </w:rPr>
      </w:pPr>
      <w:r>
        <w:rPr>
          <w:szCs w:val="27"/>
        </w:rPr>
      </w:r>
    </w:p>
    <w:p>
      <w:pPr>
        <w:pStyle w:val="F21"/>
        <w:spacing w:lineRule="atLeast" w:line="380"/>
        <w:rPr>
          <w:i/>
          <w:i/>
        </w:rPr>
      </w:pPr>
      <w:r>
        <w:rPr>
          <w:rFonts w:ascii="華康中黑體" w:hAnsi="華康中黑體" w:cs="華康中黑體" w:eastAsia="華康中黑體"/>
          <w:b/>
          <w:szCs w:val="27"/>
        </w:rPr>
        <w:t>盧偉國議員</w:t>
      </w:r>
      <w:r>
        <w:rPr/>
        <w:t>：</w:t>
      </w:r>
      <w:r>
        <w:rPr>
          <w:i/>
        </w:rPr>
        <w:t>主席，有些投訴個案並不涉及虛報或濫用，因為受害的住戶的確受滲水影響，不過，在判斷上可能並非那麼容易。政府有沒有任何機制防止聯合辦因誤判滲水源頭而錯誤發出“妨擾事故通知”呢？此外，局長剛才亦介紹了他們現正研究的新技術，新的探測技術大約何時能採用，有沒有具體時間表呢？</w:t>
      </w:r>
    </w:p>
    <w:p>
      <w:pPr>
        <w:pStyle w:val="F21"/>
        <w:spacing w:lineRule="atLeast" w:line="380"/>
        <w:rPr/>
      </w:pPr>
      <w:r>
        <w:rPr/>
      </w:r>
    </w:p>
    <w:p>
      <w:pPr>
        <w:pStyle w:val="F21"/>
        <w:spacing w:lineRule="atLeast" w:line="380"/>
        <w:rPr/>
      </w:pPr>
      <w:r>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盧議員，你提出了兩項補充質詢。</w:t>
      </w:r>
    </w:p>
    <w:p>
      <w:pPr>
        <w:pStyle w:val="F21"/>
        <w:rPr/>
      </w:pPr>
      <w:r>
        <w:rPr/>
      </w:r>
      <w:r>
        <w:br w:type="page"/>
      </w:r>
    </w:p>
    <w:p>
      <w:pPr>
        <w:pStyle w:val="F21"/>
        <w:rPr>
          <w:i/>
          <w:i/>
        </w:rPr>
      </w:pPr>
      <w:r>
        <w:rPr>
          <w:rFonts w:ascii="華康中黑體" w:hAnsi="華康中黑體" w:cs="華康中黑體" w:eastAsia="華康中黑體"/>
          <w:b/>
          <w:szCs w:val="27"/>
        </w:rPr>
        <w:t>盧偉國議員</w:t>
      </w:r>
      <w:r>
        <w:rPr/>
        <w:t>：</w:t>
      </w:r>
      <w:r>
        <w:rPr>
          <w:i/>
        </w:rPr>
        <w:t>如果是這樣，請局長回答第一項補充質詢，如何能防止誤判，以及錯誤發出“妨擾事故通知”呢？</w:t>
      </w:r>
    </w:p>
    <w:p>
      <w:pPr>
        <w:pStyle w:val="F21"/>
        <w:rPr/>
      </w:pPr>
      <w:r>
        <w:rPr/>
      </w:r>
    </w:p>
    <w:p>
      <w:pPr>
        <w:pStyle w:val="F21"/>
        <w:rPr/>
      </w:pPr>
      <w:r>
        <w:rPr/>
      </w:r>
    </w:p>
    <w:p>
      <w:pPr>
        <w:pStyle w:val="F21"/>
        <w:rPr/>
      </w:pPr>
      <w:r>
        <w:rPr>
          <w:rFonts w:ascii="華康中黑體" w:hAnsi="華康中黑體" w:cs="華康中黑體" w:eastAsia="華康中黑體"/>
          <w:b/>
          <w:szCs w:val="27"/>
        </w:rPr>
        <w:t>發展局局長</w:t>
      </w:r>
      <w:r>
        <w:rPr/>
        <w:t>：主席，在接獲投訴後，同事們會採取的步驟基本上有</w:t>
      </w:r>
      <w:r>
        <w:rPr/>
        <w:t>3</w:t>
      </w:r>
      <w:r>
        <w:rPr/>
        <w:t>方面。第一方面，聯合辦會先派員視察有關單位，觀察滲水的情況和量度濕度的數據，以評估個案是否已經構成滲水的妨擾。如果通過這一步證明情況屬實，第二步便需要進行一些基本調查，即在第一階段的調查完成後，聯合辦會就認為需要跟進的個案派員檢視有關單位的喉管和衞生設備，並視乎需要，聯絡樓上或毗鄰單位的其他住戶進行一些基本的測試。正如主體答覆所述，這些測試包括注入色水測試，看看有否滲漏，而如果懷疑水管有滲漏，甚至會進行反向壓力測試等。如果在完成這一步後仍未能確定有關情況，便會委聘專業顧問公司進行程序較多和較複雜的測試，正如主體答覆提到的地台蓄水測試或天台蓄水測試，甚至向牆壁灑水，繼而監察濕度。</w:t>
      </w:r>
    </w:p>
    <w:p>
      <w:pPr>
        <w:pStyle w:val="F21"/>
        <w:rPr/>
      </w:pPr>
      <w:r>
        <w:rPr/>
      </w:r>
    </w:p>
    <w:p>
      <w:pPr>
        <w:pStyle w:val="F21"/>
        <w:rPr/>
      </w:pPr>
      <w:r>
        <w:rPr/>
        <w:tab/>
      </w:r>
      <w:r>
        <w:rPr/>
        <w:t>目前，根據這些程序，涉及我們作出錯誤判決的投訴個案並不多，而在實際跟進有關工作時，同事們亦非常小心謹慎，因為滲水問題很自然會牽涉其他單位，亦會對其他被懷疑有滲水的單位造成不便，所以在跟進時，我們是極為小心的。</w:t>
      </w:r>
    </w:p>
    <w:p>
      <w:pPr>
        <w:pStyle w:val="F21"/>
        <w:rPr/>
      </w:pPr>
      <w:r>
        <w:rPr/>
      </w:r>
    </w:p>
    <w:p>
      <w:pPr>
        <w:pStyle w:val="F21"/>
        <w:rPr/>
      </w:pPr>
      <w:r>
        <w:rPr/>
      </w:r>
    </w:p>
    <w:p>
      <w:pPr>
        <w:pStyle w:val="F21"/>
        <w:rPr>
          <w:i/>
          <w:i/>
        </w:rPr>
      </w:pPr>
      <w:r>
        <w:rPr>
          <w:rFonts w:ascii="華康中黑體" w:hAnsi="華康中黑體" w:cs="華康中黑體" w:eastAsia="華康中黑體"/>
          <w:b/>
          <w:szCs w:val="27"/>
        </w:rPr>
        <w:t>石禮謙議員</w:t>
      </w:r>
      <w:r>
        <w:rPr/>
        <w:t>：</w:t>
      </w:r>
      <w:r>
        <w:rPr>
          <w:i/>
        </w:rPr>
        <w:t>主席，在局長的主體答覆第</w:t>
      </w:r>
      <w:r>
        <w:rPr>
          <w:i/>
        </w:rPr>
        <w:t>(</w:t>
      </w:r>
      <w:r>
        <w:rPr>
          <w:i/>
        </w:rPr>
        <w:t>二</w:t>
      </w:r>
      <w:r>
        <w:rPr>
          <w:i/>
        </w:rPr>
        <w:t>)</w:t>
      </w:r>
      <w:r>
        <w:rPr>
          <w:i/>
        </w:rPr>
        <w:t>部分提到會對</w:t>
      </w:r>
      <w:r>
        <w:rPr>
          <w:i/>
        </w:rPr>
        <w:t>50%</w:t>
      </w:r>
      <w:r>
        <w:rPr>
          <w:i/>
        </w:rPr>
        <w:t>的個案作出跟進，而其餘</w:t>
      </w:r>
      <w:r>
        <w:rPr>
          <w:i/>
        </w:rPr>
        <w:t>50%</w:t>
      </w:r>
      <w:r>
        <w:rPr>
          <w:i/>
        </w:rPr>
        <w:t>的個案仍有滲水情況，令大廈內很多業主時有爭拗。我想問局長，除了法例第</w:t>
      </w:r>
      <w:r>
        <w:rPr>
          <w:i/>
        </w:rPr>
        <w:t>132</w:t>
      </w:r>
      <w:r>
        <w:rPr>
          <w:i/>
        </w:rPr>
        <w:t>章、第</w:t>
      </w:r>
      <w:r>
        <w:rPr>
          <w:i/>
        </w:rPr>
        <w:t>123</w:t>
      </w:r>
      <w:r>
        <w:rPr>
          <w:i/>
        </w:rPr>
        <w:t>章和第</w:t>
      </w:r>
      <w:r>
        <w:rPr>
          <w:i/>
        </w:rPr>
        <w:t>102</w:t>
      </w:r>
      <w:r>
        <w:rPr>
          <w:i/>
        </w:rPr>
        <w:t>章外，政府會否考慮修改條例，令業主既可解決這些問題，又可在政府的監察下令樓宇不會出現滲水情況呢？</w:t>
      </w:r>
    </w:p>
    <w:p>
      <w:pPr>
        <w:pStyle w:val="F21"/>
        <w:rPr/>
      </w:pPr>
      <w:r>
        <w:rPr/>
      </w:r>
    </w:p>
    <w:p>
      <w:pPr>
        <w:pStyle w:val="F21"/>
        <w:rPr/>
      </w:pPr>
      <w:r>
        <w:rPr/>
      </w:r>
    </w:p>
    <w:p>
      <w:pPr>
        <w:pStyle w:val="F21"/>
        <w:rPr/>
      </w:pPr>
      <w:r>
        <w:rPr>
          <w:rFonts w:ascii="華康中黑體" w:hAnsi="華康中黑體" w:cs="華康中黑體" w:eastAsia="華康中黑體"/>
          <w:b/>
          <w:szCs w:val="27"/>
        </w:rPr>
        <w:t>發展局局長</w:t>
      </w:r>
      <w:r>
        <w:rPr/>
        <w:t>：主席，在主體答覆的附件中已列出有關數據。我們可看看附件中截至</w:t>
      </w:r>
      <w:r>
        <w:rPr/>
        <w:t>2013</w:t>
      </w:r>
      <w:r>
        <w:rPr/>
        <w:t>年</w:t>
      </w:r>
      <w:r>
        <w:rPr/>
        <w:t>9</w:t>
      </w:r>
      <w:r>
        <w:rPr/>
        <w:t>月底的數據，所接獲的舉報個案數字合共為</w:t>
      </w:r>
      <w:r>
        <w:rPr/>
        <w:t>22 800</w:t>
      </w:r>
      <w:r>
        <w:rPr/>
        <w:t>宗，其中已處理的個案為</w:t>
      </w:r>
      <w:r>
        <w:rPr/>
        <w:t>18 000</w:t>
      </w:r>
      <w:r>
        <w:rPr/>
        <w:t>宗。正如石議員指出，在</w:t>
      </w:r>
      <w:r>
        <w:rPr/>
        <w:t>18 000</w:t>
      </w:r>
      <w:r>
        <w:rPr/>
        <w:t>宗個案中，約有一半</w:t>
      </w:r>
      <w:r>
        <w:rPr/>
        <w:t>(</w:t>
      </w:r>
      <w:r>
        <w:rPr/>
        <w:t>即</w:t>
      </w:r>
      <w:r>
        <w:rPr/>
        <w:t>9 000</w:t>
      </w:r>
      <w:r>
        <w:rPr/>
        <w:t>宗</w:t>
      </w:r>
      <w:r>
        <w:rPr/>
        <w:t>)</w:t>
      </w:r>
      <w:r>
        <w:rPr/>
        <w:t>是無須作出跟進的，而在餘下的</w:t>
      </w:r>
      <w:r>
        <w:rPr/>
        <w:t>9 000</w:t>
      </w:r>
      <w:r>
        <w:rPr/>
        <w:t>多宗個案中，約有</w:t>
      </w:r>
      <w:r>
        <w:rPr/>
        <w:t>3 500</w:t>
      </w:r>
      <w:r>
        <w:rPr/>
        <w:t>宗個案已證實源頭，亦已作出跟進處理。</w:t>
      </w:r>
    </w:p>
    <w:p>
      <w:pPr>
        <w:pStyle w:val="F21"/>
        <w:rPr/>
      </w:pPr>
      <w:r>
        <w:rPr/>
      </w:r>
    </w:p>
    <w:p>
      <w:pPr>
        <w:pStyle w:val="F21"/>
        <w:rPr/>
      </w:pPr>
      <w:r>
        <w:rPr/>
        <w:tab/>
      </w:r>
      <w:r>
        <w:rPr/>
        <w:t>此外，有些樓宇在調查期間再無出現滲水情況，這有可能是因為樓上的業主知道被人投訴，亦有政府部門介入跟進，因此自行做了些工夫，令樓宇不再出現滲水情況，而屬於這類情況的個案，大概有</w:t>
      </w:r>
      <w:r>
        <w:rPr/>
        <w:t>3 400</w:t>
      </w:r>
      <w:r>
        <w:rPr/>
        <w:t>多宗。在該</w:t>
      </w:r>
      <w:r>
        <w:rPr/>
        <w:t>9 000</w:t>
      </w:r>
      <w:r>
        <w:rPr/>
        <w:t>多宗個案中，其餘大概有</w:t>
      </w:r>
      <w:r>
        <w:rPr/>
        <w:t>20%</w:t>
      </w:r>
      <w:r>
        <w:rPr/>
        <w:t>的個案是找不到源頭所在的。相信大家也明白滲水情況有時是較為複雜的，未必一定與樓上的住戶有關，有時可能涉及樓上的毗鄰單位，甚至是相隔一層的單位，有時也可能關乎外牆問題。因此，這些個案須待滲水情況再次出現，方能作出跟進。</w:t>
      </w:r>
    </w:p>
    <w:p>
      <w:pPr>
        <w:pStyle w:val="F21"/>
        <w:spacing w:lineRule="atLeast" w:line="380"/>
        <w:rPr/>
      </w:pPr>
      <w:r>
        <w:rPr/>
      </w:r>
    </w:p>
    <w:p>
      <w:pPr>
        <w:pStyle w:val="F21"/>
        <w:spacing w:lineRule="atLeast" w:line="380"/>
        <w:rPr/>
      </w:pPr>
      <w:r>
        <w:rPr/>
        <w:tab/>
      </w:r>
      <w:r>
        <w:rPr/>
        <w:t>換言之，一般而言，經過剛才所述的逐步剔除和處理程序後，餘下找不到源頭所在的個案均非嚴重個案。因此，考慮到罰則和處理方法，以及對相關市民造成的不便的相稱比例，現階段我們未有計劃對法例作出任何修訂。</w:t>
      </w:r>
    </w:p>
    <w:p>
      <w:pPr>
        <w:pStyle w:val="F21"/>
        <w:spacing w:lineRule="atLeast" w:line="380"/>
        <w:rPr/>
      </w:pPr>
      <w:r>
        <w:rPr/>
      </w:r>
    </w:p>
    <w:p>
      <w:pPr>
        <w:pStyle w:val="F21"/>
        <w:spacing w:lineRule="atLeast" w:line="380"/>
        <w:rPr/>
      </w:pPr>
      <w:r>
        <w:rPr/>
      </w:r>
    </w:p>
    <w:p>
      <w:pPr>
        <w:pStyle w:val="F21"/>
        <w:spacing w:lineRule="atLeast" w:line="380"/>
        <w:rPr>
          <w:i/>
          <w:i/>
        </w:rPr>
      </w:pPr>
      <w:r>
        <w:rPr>
          <w:rFonts w:ascii="華康中黑體" w:hAnsi="華康中黑體" w:eastAsia="華康中黑體"/>
          <w:b/>
        </w:rPr>
        <w:t>謝偉銓議員</w:t>
      </w:r>
      <w:r>
        <w:rPr/>
        <w:t>：</w:t>
      </w:r>
      <w:r>
        <w:rPr>
          <w:i/>
        </w:rPr>
        <w:t>主席，很多人也覺得樓宇滲水是十分滋擾的問題，所以，盡快處理有關問題是應做的事。</w:t>
      </w:r>
    </w:p>
    <w:p>
      <w:pPr>
        <w:pStyle w:val="F21"/>
        <w:spacing w:lineRule="atLeast" w:line="380"/>
        <w:rPr>
          <w:i/>
          <w:i/>
        </w:rPr>
      </w:pPr>
      <w:r>
        <w:rPr>
          <w:i/>
        </w:rPr>
      </w:r>
    </w:p>
    <w:p>
      <w:pPr>
        <w:pStyle w:val="F21"/>
        <w:spacing w:lineRule="atLeast" w:line="380"/>
        <w:rPr>
          <w:i/>
          <w:i/>
        </w:rPr>
      </w:pPr>
      <w:r>
        <w:rPr>
          <w:i/>
        </w:rPr>
        <w:tab/>
      </w:r>
      <w:r>
        <w:rPr>
          <w:i/>
        </w:rPr>
        <w:t>從政府提交的資料中可見，其實過去</w:t>
      </w:r>
      <w:r>
        <w:rPr>
          <w:i/>
        </w:rPr>
        <w:t>3</w:t>
      </w:r>
      <w:r>
        <w:rPr>
          <w:i/>
        </w:rPr>
        <w:t>年的投訴舉報個案已超過兩萬宗。然而，我看見每年的個案並非</w:t>
      </w:r>
      <w:r>
        <w:rPr>
          <w:i/>
        </w:rPr>
        <w:t>100%</w:t>
      </w:r>
      <w:r>
        <w:rPr>
          <w:i/>
        </w:rPr>
        <w:t>獲得處理，換言之，個案宗數正持續累積。</w:t>
      </w:r>
    </w:p>
    <w:p>
      <w:pPr>
        <w:pStyle w:val="F21"/>
        <w:spacing w:lineRule="atLeast" w:line="380"/>
        <w:rPr>
          <w:i/>
          <w:i/>
        </w:rPr>
      </w:pPr>
      <w:r>
        <w:rPr>
          <w:i/>
        </w:rPr>
      </w:r>
    </w:p>
    <w:p>
      <w:pPr>
        <w:pStyle w:val="F21"/>
        <w:spacing w:lineRule="atLeast" w:line="380"/>
        <w:rPr>
          <w:i/>
          <w:i/>
        </w:rPr>
      </w:pPr>
      <w:r>
        <w:rPr>
          <w:i/>
        </w:rPr>
        <w:tab/>
      </w:r>
      <w:r>
        <w:rPr>
          <w:i/>
        </w:rPr>
        <w:t>我想問政府方面是否有相關數據，說明一般而言平均約需時多久才能處理好有關舉報？政府會否考慮其他做法，例如提升建造要求，從而令這些個案得以減少？</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發展局局長</w:t>
      </w:r>
      <w:r>
        <w:rPr/>
        <w:t>：主席，多謝謝議員提出的補充質詢。由於處理滲水個案須視乎個別情況的複雜程度，所需的處理時間可長可短。</w:t>
      </w:r>
    </w:p>
    <w:p>
      <w:pPr>
        <w:pStyle w:val="F21"/>
        <w:spacing w:lineRule="atLeast" w:line="380"/>
        <w:rPr/>
      </w:pPr>
      <w:r>
        <w:rPr/>
      </w:r>
    </w:p>
    <w:p>
      <w:pPr>
        <w:pStyle w:val="F21"/>
        <w:spacing w:lineRule="atLeast" w:line="380"/>
        <w:rPr/>
      </w:pPr>
      <w:r>
        <w:rPr/>
        <w:tab/>
      </w:r>
      <w:r>
        <w:rPr/>
        <w:t>例如一些比較簡單的滲水個案，涉及樓上的潔具或水喉滲水，這些都是較容易跟進的，而假設樓上業主又相對地願意合作，便能較快地獲得處理。然而，我們有時會遇到一些個案，相關的業主或住戶不太合作，所花的時間便會較長。正如我剛才所述，有時亦會出現一種隔層滲漏的情況，而有時外牆滲水也可能與天氣有關。因此，恕我抱歉，我難以一概而論地回覆處理一宗個案需時多久。</w:t>
      </w:r>
      <w:r>
        <w:rPr/>
        <w:br/>
      </w:r>
    </w:p>
    <w:p>
      <w:pPr>
        <w:pStyle w:val="F21"/>
        <w:spacing w:lineRule="atLeast" w:line="380"/>
        <w:rPr/>
      </w:pPr>
      <w:r>
        <w:rPr/>
        <w:tab/>
      </w:r>
      <w:r>
        <w:rPr/>
        <w:t>至於日後如何再進一步改善在處理滲水方面的工作，第一點，我們將滲水投訴調查聯合辦事處這個臨時辦事處的工作恆常化；第二點，我們亦在人手配置方面作出檢討，加強了人手。如此一來，我們相信在處理滲水問題方面的工作會得到改善。</w:t>
      </w:r>
    </w:p>
    <w:p>
      <w:pPr>
        <w:pStyle w:val="F21"/>
        <w:spacing w:lineRule="atLeast" w:line="380"/>
        <w:rPr/>
      </w:pPr>
      <w:r>
        <w:rPr/>
      </w:r>
    </w:p>
    <w:p>
      <w:pPr>
        <w:pStyle w:val="F21"/>
        <w:spacing w:lineRule="atLeast" w:line="380"/>
        <w:rPr/>
      </w:pPr>
      <w:r>
        <w:rPr/>
        <w:tab/>
      </w:r>
      <w:r>
        <w:rPr/>
        <w:t>至於謝議員提到會否就建築物標準要求方面作出修訂，我們暫時未有相關計劃，原因是我們覺得目前的滲水情況較常見於一些樓齡較高和老化的樓宇。</w:t>
      </w:r>
    </w:p>
    <w:p>
      <w:pPr>
        <w:pStyle w:val="F21"/>
        <w:spacing w:lineRule="atLeast" w:line="380"/>
        <w:rPr/>
      </w:pPr>
      <w:r>
        <w:rPr/>
      </w:r>
    </w:p>
    <w:p>
      <w:pPr>
        <w:pStyle w:val="F21"/>
        <w:spacing w:lineRule="atLeast" w:line="380"/>
        <w:rPr/>
      </w:pPr>
      <w:r>
        <w:rPr/>
      </w:r>
    </w:p>
    <w:p>
      <w:pPr>
        <w:pStyle w:val="F21"/>
        <w:spacing w:lineRule="atLeast" w:line="380"/>
        <w:rPr>
          <w:i/>
          <w:i/>
        </w:rPr>
      </w:pPr>
      <w:r>
        <w:rPr>
          <w:rFonts w:ascii="華康中黑體" w:hAnsi="華康中黑體" w:eastAsia="華康中黑體"/>
          <w:b/>
        </w:rPr>
        <w:t>葉國謙議員</w:t>
      </w:r>
      <w:r>
        <w:rPr/>
        <w:t>：</w:t>
      </w:r>
      <w:r>
        <w:rPr>
          <w:i/>
        </w:rPr>
        <w:t>主席，樓宇滲水問題的確對地區居民造成了十分大的滋擾。局長可能不知道，其實街坊均投訴指聯合辦的存在可謂毫無用處。為甚麼呢？基本上從多宗個案可見，街坊作出投訴已接近</w:t>
      </w:r>
      <w:r>
        <w:rPr>
          <w:i/>
        </w:rPr>
        <w:t>3</w:t>
      </w:r>
      <w:r>
        <w:rPr>
          <w:i/>
        </w:rPr>
        <w:t>年，但</w:t>
      </w:r>
      <w:r>
        <w:rPr>
          <w:i/>
        </w:rPr>
        <w:t>3</w:t>
      </w:r>
      <w:r>
        <w:rPr>
          <w:i/>
        </w:rPr>
        <w:t>年間，聯合辦幫不上忙，一拖再拖，不知做了些甚麼。</w:t>
      </w:r>
    </w:p>
    <w:p>
      <w:pPr>
        <w:pStyle w:val="F21"/>
        <w:spacing w:lineRule="atLeast" w:line="380"/>
        <w:rPr>
          <w:i/>
          <w:i/>
        </w:rPr>
      </w:pPr>
      <w:r>
        <w:rPr>
          <w:i/>
        </w:rPr>
      </w:r>
    </w:p>
    <w:p>
      <w:pPr>
        <w:pStyle w:val="F21"/>
        <w:spacing w:lineRule="atLeast" w:line="380"/>
        <w:rPr>
          <w:i/>
          <w:i/>
        </w:rPr>
      </w:pPr>
      <w:r>
        <w:rPr>
          <w:i/>
        </w:rPr>
        <w:tab/>
      </w:r>
      <w:r>
        <w:rPr>
          <w:i/>
        </w:rPr>
        <w:t>故此，我想請問局長，可否對聯合辦作出檢討，檢討現時聯合辦的整體權力及組合是否真的能急市民所急呢？我曾接觸一宗個案，情況實在離譜至極，電燈掣竟然滲水，而聯合辦卻無法處理和解決有關情況，亦找不到源頭，不知道水究竟是從外牆滲入還是從上層單位滲下來，這樣究竟如何能助市民解決問題呢？</w:t>
      </w:r>
    </w:p>
    <w:p>
      <w:pPr>
        <w:pStyle w:val="F21"/>
        <w:spacing w:lineRule="atLeast" w:line="380"/>
        <w:rPr>
          <w:i/>
          <w:i/>
        </w:rPr>
      </w:pPr>
      <w:r>
        <w:rPr>
          <w:i/>
        </w:rPr>
      </w:r>
    </w:p>
    <w:p>
      <w:pPr>
        <w:pStyle w:val="F21"/>
        <w:spacing w:lineRule="atLeast" w:line="380"/>
        <w:rPr>
          <w:i/>
          <w:i/>
        </w:rPr>
      </w:pPr>
      <w:r>
        <w:rPr>
          <w:i/>
        </w:rPr>
        <w:tab/>
      </w:r>
      <w:r>
        <w:rPr>
          <w:i/>
        </w:rPr>
        <w:t>我最主要的質詢是，局長，你可否清清楚楚的作出考慮，檢討現時聯合辦的架構組成和功能？</w:t>
      </w:r>
    </w:p>
    <w:p>
      <w:pPr>
        <w:pStyle w:val="F21"/>
        <w:spacing w:lineRule="atLeast" w:line="380"/>
        <w:rPr/>
      </w:pPr>
      <w:r>
        <w:rPr/>
      </w:r>
    </w:p>
    <w:p>
      <w:pPr>
        <w:pStyle w:val="F21"/>
        <w:spacing w:lineRule="atLeast" w:line="380"/>
        <w:rPr/>
      </w:pPr>
      <w:r>
        <w:rPr/>
      </w:r>
    </w:p>
    <w:p>
      <w:pPr>
        <w:pStyle w:val="F21"/>
        <w:spacing w:lineRule="atLeast" w:line="380"/>
        <w:rPr>
          <w:szCs w:val="27"/>
        </w:rPr>
      </w:pPr>
      <w:r>
        <w:rPr>
          <w:rFonts w:eastAsia="華康中黑體"/>
          <w:b/>
        </w:rPr>
        <w:t>發展局局長</w:t>
      </w:r>
      <w:r>
        <w:rPr/>
        <w:t>：主席，多謝葉議員提出的補充質詢。第一方面，我們會將聯合辦的架構恆常化；第二方面，在人手配置方面亦加強了檢討；第三方面，就其具體工作而言，我們亦參考了之前</w:t>
      </w:r>
      <w:r>
        <w:rPr>
          <w:szCs w:val="27"/>
        </w:rPr>
        <w:t>申訴專員在</w:t>
      </w:r>
      <w:r>
        <w:rPr>
          <w:szCs w:val="27"/>
        </w:rPr>
        <w:t>2008</w:t>
      </w:r>
      <w:r>
        <w:rPr>
          <w:szCs w:val="27"/>
        </w:rPr>
        <w:t>年發表的報告內的具體建議，並已落實部分工作，例如當聯合辦處理這類個案時，會為不同階段訂立指標，從而監察個案進度。另一方面，由於滲水問題一定會牽涉該單位以外的其他人士，故我們亦發出指引，希望可以幫助同事，當他們遇上各方不合作的情況，就可以果斷迅速地採取行動，甚至發出“妨擾事故通知”，繼而提出檢控。我們會加強這方面的工作。</w:t>
      </w:r>
    </w:p>
    <w:p>
      <w:pPr>
        <w:pStyle w:val="F21"/>
        <w:spacing w:lineRule="atLeast" w:line="380"/>
        <w:rPr>
          <w:szCs w:val="27"/>
        </w:rPr>
      </w:pPr>
      <w:r>
        <w:rPr>
          <w:szCs w:val="27"/>
        </w:rPr>
      </w:r>
    </w:p>
    <w:p>
      <w:pPr>
        <w:pStyle w:val="F21"/>
        <w:spacing w:lineRule="atLeast" w:line="350"/>
        <w:rPr>
          <w:szCs w:val="27"/>
        </w:rPr>
      </w:pPr>
      <w:r>
        <w:rPr>
          <w:szCs w:val="27"/>
        </w:rPr>
        <w:tab/>
      </w:r>
      <w:r>
        <w:rPr>
          <w:szCs w:val="27"/>
        </w:rPr>
        <w:t>此外，我們亦會改善資訊管理系統，使管理層可以在較早階段及時掌握有關的處理數字及時間，亦會敦促管理層與聯合辦團隊進行常設會議，就他們所遇到的問題和個案的處理進度多作溝通，從而加強管理能力。我們相信在這方面的工作落實後，情況應有所改善。至於還有哪方面的工作可以再加強，我們亦樂意聆聽議員及社會人士的意見。</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i/>
          <w:i/>
          <w:szCs w:val="27"/>
        </w:rPr>
      </w:pPr>
      <w:r>
        <w:rPr>
          <w:rFonts w:eastAsia="華康中黑體"/>
          <w:b/>
          <w:szCs w:val="27"/>
        </w:rPr>
        <w:t>田北辰議員</w:t>
      </w:r>
      <w:r>
        <w:rPr>
          <w:szCs w:val="27"/>
        </w:rPr>
        <w:t>：</w:t>
      </w:r>
      <w:r>
        <w:rPr>
          <w:i/>
          <w:szCs w:val="27"/>
        </w:rPr>
        <w:t>主席，我一直有密切跟進關於滲水問題的投訴。新界荃灣區有很多相關個案，居民不斷向新民黨的地區辦事處求助。他們反映，雖然聯合辦職員多次嘗試進入懷疑是滲水問題源頭所在的單位，但卻無法運用進入住所的法定權力，變相是“無牙老虎”。我想問局長，為何當手令發出後，聯合辦的職員仍然無法進入相關單位呢？職員是否怕麻煩、怕要負責任及不夠專業呢？為何不考慮加強他們的權力，為程序立法？</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eastAsia="華康中黑體"/>
          <w:b/>
          <w:szCs w:val="27"/>
        </w:rPr>
        <w:t>發展局局長</w:t>
      </w:r>
      <w:r>
        <w:rPr>
          <w:szCs w:val="27"/>
        </w:rPr>
        <w:t>：主席，正如我剛才引述附件中的數字時解釋，總的來說，我們認為在設立聯合辦後，事實上，在處理有關個案方面是較以往大有進步的。我想指出，在剔除一半因不成立而無須跟進的個案後，其餘有</w:t>
      </w:r>
      <w:r>
        <w:rPr>
          <w:szCs w:val="27"/>
        </w:rPr>
        <w:t>20%</w:t>
      </w:r>
      <w:r>
        <w:rPr>
          <w:szCs w:val="27"/>
        </w:rPr>
        <w:t>的個案因未找出源頭而需要跟進，這類個案涉及多方面的原因，但很多時這類個案並非比較嚴重的個案，因為如果是比較嚴重的個案，我們一定可以找出原因的。</w:t>
      </w:r>
    </w:p>
    <w:p>
      <w:pPr>
        <w:pStyle w:val="F21"/>
        <w:spacing w:lineRule="atLeast" w:line="350"/>
        <w:rPr>
          <w:szCs w:val="27"/>
        </w:rPr>
      </w:pPr>
      <w:r>
        <w:rPr>
          <w:szCs w:val="27"/>
        </w:rPr>
      </w:r>
    </w:p>
    <w:p>
      <w:pPr>
        <w:pStyle w:val="F21"/>
        <w:spacing w:lineRule="atLeast" w:line="350"/>
        <w:rPr>
          <w:szCs w:val="27"/>
        </w:rPr>
      </w:pPr>
      <w:r>
        <w:rPr>
          <w:szCs w:val="27"/>
        </w:rPr>
        <w:tab/>
      </w:r>
      <w:r>
        <w:rPr>
          <w:szCs w:val="27"/>
        </w:rPr>
        <w:t>所以，考慮到相稱性，我們認為現階段未有需要就法例進行檢討，或修例以加強罰則。不過，正如我之前所說，我們已經向同事發出指引，當遇上不合作的業主或住戶時，他們應盡早向管理層匯報問題，從而及早採取果斷措施，甚至向住戶發出“妨擾事故通知”，繼而提出檢控。</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i/>
          <w:i/>
          <w:szCs w:val="27"/>
        </w:rPr>
      </w:pPr>
      <w:r>
        <w:rPr>
          <w:rFonts w:eastAsia="華康中黑體"/>
          <w:b/>
          <w:szCs w:val="27"/>
        </w:rPr>
        <w:t>田北辰議員</w:t>
      </w:r>
      <w:r>
        <w:rPr>
          <w:szCs w:val="27"/>
        </w:rPr>
        <w:t>：</w:t>
      </w:r>
      <w:r>
        <w:rPr>
          <w:i/>
          <w:szCs w:val="27"/>
        </w:rPr>
        <w:t>主席，局長沒有答覆我的補充質詢。他們現時並非解決不了問題，而是無法入屋。</w:t>
      </w:r>
    </w:p>
    <w:p>
      <w:pPr>
        <w:pStyle w:val="F21"/>
        <w:spacing w:lineRule="atLeast" w:line="350"/>
        <w:rPr>
          <w:i/>
          <w:i/>
          <w:szCs w:val="27"/>
        </w:rPr>
      </w:pPr>
      <w:r>
        <w:rPr>
          <w:i/>
          <w:szCs w:val="27"/>
        </w:rPr>
      </w:r>
    </w:p>
    <w:p>
      <w:pPr>
        <w:pStyle w:val="F21"/>
        <w:spacing w:lineRule="atLeast" w:line="350"/>
        <w:rPr>
          <w:i/>
          <w:i/>
          <w:szCs w:val="27"/>
        </w:rPr>
      </w:pPr>
      <w:r>
        <w:rPr>
          <w:i/>
          <w:szCs w:val="27"/>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請重複你的補充質詢。</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i/>
          <w:i/>
          <w:szCs w:val="27"/>
        </w:rPr>
      </w:pPr>
      <w:r>
        <w:rPr>
          <w:rFonts w:eastAsia="華康中黑體"/>
          <w:b/>
          <w:szCs w:val="27"/>
        </w:rPr>
        <w:t>田北辰議員</w:t>
      </w:r>
      <w:r>
        <w:rPr>
          <w:szCs w:val="27"/>
        </w:rPr>
        <w:t>：</w:t>
      </w:r>
      <w:r>
        <w:rPr>
          <w:i/>
          <w:szCs w:val="27"/>
        </w:rPr>
        <w:t>為何不立法賦予他們更多權力，可以進入一些懷疑有問題的單位呢？因為現時即使在發出“妨擾事故通知”後，人們也是不把他們當一回事。即使你與管理處商量，又有甚麼是可以商量的呢？</w:t>
      </w:r>
      <w:r>
        <w:br w:type="page"/>
      </w:r>
    </w:p>
    <w:p>
      <w:pPr>
        <w:pStyle w:val="F21"/>
        <w:snapToGrid w:val="false"/>
        <w:spacing w:lineRule="atLeast" w:line="350"/>
        <w:rPr/>
      </w:pPr>
      <w:r>
        <w:rPr>
          <w:rFonts w:ascii="華康中黑體" w:hAnsi="華康中黑體" w:eastAsia="華康中黑體"/>
          <w:b/>
        </w:rPr>
        <w:t>主席</w:t>
      </w:r>
      <w:r>
        <w:rPr>
          <w:rFonts w:ascii="華康中黑體" w:hAnsi="華康中黑體"/>
        </w:rPr>
        <w:t>：</w:t>
      </w:r>
      <w:r>
        <w:rPr/>
        <w:t>田議員，你的補充質詢很清楚了。局長，田議員是詢問，為甚麼不賦予聯合辦的職員額外權力，讓他們可以進入一些懷疑滲水的單位？</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eastAsia="華康中黑體"/>
          <w:b/>
          <w:szCs w:val="27"/>
        </w:rPr>
        <w:t>發展局局長</w:t>
      </w:r>
      <w:r>
        <w:rPr>
          <w:szCs w:val="27"/>
        </w:rPr>
        <w:t>：主席，據我所知，如果大家參考附件，便可看到法庭曾發出“授權進入處所手令”，而當收到手令後，聯合辦的同事當然可以按照手令進入相關處所。如果他們遇到無法進入單位的問題，其實應該向我們反映，讓我們作出跟進，看看可以在哪方面再作改善。</w:t>
      </w:r>
    </w:p>
    <w:p>
      <w:pPr>
        <w:pStyle w:val="F21"/>
        <w:spacing w:lineRule="atLeast" w:line="350"/>
        <w:rPr>
          <w:szCs w:val="27"/>
        </w:rPr>
      </w:pPr>
      <w:r>
        <w:rPr>
          <w:szCs w:val="27"/>
        </w:rPr>
      </w:r>
    </w:p>
    <w:p>
      <w:pPr>
        <w:pStyle w:val="F21"/>
        <w:spacing w:lineRule="atLeast" w:line="350"/>
        <w:rPr>
          <w:i/>
          <w:i/>
          <w:szCs w:val="27"/>
        </w:rPr>
      </w:pPr>
      <w:r>
        <w:rPr>
          <w:i/>
          <w:szCs w:val="27"/>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本會就這項質詢已用了超過</w:t>
      </w:r>
      <w:r>
        <w:rPr/>
        <w:t>22</w:t>
      </w:r>
      <w:r>
        <w:rPr/>
        <w:t>分鐘。第二項質詢。</w:t>
      </w:r>
    </w:p>
    <w:p>
      <w:pPr>
        <w:pStyle w:val="F21"/>
        <w:spacing w:lineRule="atLeast" w:line="350"/>
        <w:rPr/>
      </w:pPr>
      <w:r>
        <w:rPr/>
      </w:r>
    </w:p>
    <w:p>
      <w:pPr>
        <w:pStyle w:val="F21"/>
        <w:spacing w:lineRule="atLeast" w:line="350"/>
        <w:rPr/>
      </w:pPr>
      <w:r>
        <w:rPr/>
      </w:r>
    </w:p>
    <w:p>
      <w:pPr>
        <w:pStyle w:val="F21"/>
        <w:spacing w:lineRule="atLeast" w:line="350"/>
        <w:rPr>
          <w:rFonts w:eastAsia="華康中黑體" w:cs="Times New Roman"/>
          <w:b/>
          <w:b/>
        </w:rPr>
      </w:pPr>
      <w:bookmarkStart w:id="16" w:name="orq02"/>
      <w:r>
        <w:rPr>
          <w:rFonts w:cs="Times New Roman" w:eastAsia="華康中黑體"/>
          <w:b/>
        </w:rPr>
        <w:t>網絡金融的規管</w:t>
      </w:r>
    </w:p>
    <w:p>
      <w:pPr>
        <w:pStyle w:val="Normal"/>
        <w:spacing w:lineRule="atLeast" w:line="350"/>
        <w:rPr>
          <w:b/>
          <w:b/>
        </w:rPr>
      </w:pPr>
      <w:bookmarkStart w:id="17" w:name="orq02"/>
      <w:r>
        <w:rPr>
          <w:b/>
        </w:rPr>
        <w:t>Regulation of E-finance</w:t>
      </w:r>
      <w:bookmarkEnd w:id="17"/>
    </w:p>
    <w:p>
      <w:pPr>
        <w:pStyle w:val="F21"/>
        <w:spacing w:lineRule="atLeast" w:line="350"/>
        <w:rPr/>
      </w:pPr>
      <w:r>
        <w:rPr/>
      </w:r>
    </w:p>
    <w:p>
      <w:pPr>
        <w:pStyle w:val="F21"/>
        <w:spacing w:lineRule="atLeast" w:line="350"/>
        <w:rPr>
          <w:rFonts w:eastAsia="華康中黑體"/>
          <w:i/>
          <w:i/>
        </w:rPr>
      </w:pPr>
      <w:r>
        <w:rPr>
          <w:rFonts w:eastAsia="華康中黑體"/>
          <w:b/>
        </w:rPr>
        <w:t>2.</w:t>
      </w:r>
      <w:r>
        <w:rPr/>
        <w:tab/>
      </w:r>
      <w:r>
        <w:rPr>
          <w:rFonts w:eastAsia="華康中黑體"/>
          <w:b/>
        </w:rPr>
        <w:t>吳亮星議員</w:t>
      </w:r>
      <w:r>
        <w:rPr/>
        <w:t>：</w:t>
      </w:r>
      <w:r>
        <w:rPr>
          <w:i/>
        </w:rPr>
        <w:t>主席，近年，由於具有即時性、不受時地所限和低成本等優點，透過互聯網進行的金融交易</w:t>
      </w:r>
      <w:r>
        <w:rPr>
          <w:i/>
        </w:rPr>
        <w:t>(</w:t>
      </w:r>
      <w:r>
        <w:rPr>
          <w:i/>
        </w:rPr>
        <w:t>包括證券買賣、轉撥資金及貿易結算等</w:t>
      </w:r>
      <w:r>
        <w:rPr>
          <w:i/>
        </w:rPr>
        <w:t>)(</w:t>
      </w:r>
      <w:r>
        <w:rPr>
          <w:i/>
        </w:rPr>
        <w:t>下稱“網絡金融”</w:t>
      </w:r>
      <w:r>
        <w:rPr>
          <w:i/>
        </w:rPr>
        <w:t>)</w:t>
      </w:r>
      <w:r>
        <w:rPr>
          <w:i/>
        </w:rPr>
        <w:t>急速發展，可說無遠弗屆。然而，有金融業人士指出，網絡金融是新興事物，兼具跨行業特性，而近年不時發現假冒的銀行網站，故此網絡金融的風險不容忽視。就此，政府可否告知本會：</w:t>
      </w:r>
    </w:p>
    <w:p>
      <w:pPr>
        <w:pStyle w:val="F21"/>
        <w:spacing w:lineRule="atLeast" w:line="350"/>
        <w:rPr/>
      </w:pPr>
      <w:r>
        <w:rPr/>
      </w:r>
    </w:p>
    <w:p>
      <w:pPr>
        <w:pStyle w:val="Style14"/>
        <w:spacing w:lineRule="atLeast" w:line="350"/>
        <w:ind w:left="1417" w:hanging="850"/>
        <w:rPr/>
      </w:pPr>
      <w:r>
        <w:rPr/>
        <w:t>(</w:t>
      </w:r>
      <w:r>
        <w:rPr/>
        <w:t>一</w:t>
      </w:r>
      <w:r>
        <w:rPr/>
        <w:t>)</w:t>
        <w:tab/>
      </w:r>
      <w:r>
        <w:rPr/>
        <w:t>有否評估網絡金融對香港金融業的發展有何影響；</w:t>
      </w:r>
    </w:p>
    <w:p>
      <w:pPr>
        <w:pStyle w:val="Style14"/>
        <w:spacing w:lineRule="atLeast" w:line="350"/>
        <w:ind w:left="1417" w:hanging="850"/>
        <w:rPr/>
      </w:pPr>
      <w:r>
        <w:rPr/>
      </w:r>
    </w:p>
    <w:p>
      <w:pPr>
        <w:pStyle w:val="Style14"/>
        <w:spacing w:lineRule="atLeast" w:line="350"/>
        <w:ind w:left="1417" w:hanging="850"/>
        <w:rPr/>
      </w:pPr>
      <w:r>
        <w:rPr/>
        <w:t>(</w:t>
      </w:r>
      <w:r>
        <w:rPr/>
        <w:t>二</w:t>
      </w:r>
      <w:r>
        <w:rPr/>
        <w:t>)</w:t>
        <w:tab/>
      </w:r>
      <w:r>
        <w:rPr/>
        <w:t>有否評估網絡金融服務的提供者及客戶所面對的風險；過去</w:t>
      </w:r>
      <w:r>
        <w:rPr/>
        <w:t>3</w:t>
      </w:r>
      <w:r>
        <w:rPr/>
        <w:t>年，有關假冒的金融網站的統計數字，以及涉及該等網站的行騙罪案舉報宗數為何；及</w:t>
      </w:r>
    </w:p>
    <w:p>
      <w:pPr>
        <w:pStyle w:val="Style14"/>
        <w:spacing w:lineRule="atLeast" w:line="350"/>
        <w:ind w:left="1417" w:hanging="850"/>
        <w:rPr/>
      </w:pPr>
      <w:r>
        <w:rPr/>
      </w:r>
    </w:p>
    <w:p>
      <w:pPr>
        <w:pStyle w:val="Style14"/>
        <w:spacing w:lineRule="atLeast" w:line="350"/>
        <w:ind w:left="1417" w:hanging="850"/>
        <w:rPr/>
      </w:pPr>
      <w:r>
        <w:rPr/>
        <w:t>(</w:t>
      </w:r>
      <w:r>
        <w:rPr/>
        <w:t>三</w:t>
      </w:r>
      <w:r>
        <w:rPr/>
        <w:t>)</w:t>
        <w:tab/>
      </w:r>
      <w:r>
        <w:rPr/>
        <w:t>有否考慮加強規管網絡金融服務，包括引入跨行業並具前瞻性的金融風險規管制度及措施，以確保網絡金融安全和持續地發展？</w:t>
      </w:r>
    </w:p>
    <w:p>
      <w:pPr>
        <w:pStyle w:val="F21"/>
        <w:spacing w:lineRule="atLeast" w:line="350"/>
        <w:rPr/>
      </w:pPr>
      <w:r>
        <w:rPr/>
      </w:r>
    </w:p>
    <w:p>
      <w:pPr>
        <w:pStyle w:val="F21"/>
        <w:spacing w:lineRule="atLeast" w:line="350"/>
        <w:rPr>
          <w:rFonts w:eastAsia="華康中黑體"/>
          <w:b/>
          <w:b/>
          <w:szCs w:val="27"/>
        </w:rPr>
      </w:pPr>
      <w:r>
        <w:rPr>
          <w:rFonts w:eastAsia="華康中黑體"/>
          <w:b/>
          <w:szCs w:val="27"/>
        </w:rPr>
      </w:r>
    </w:p>
    <w:p>
      <w:pPr>
        <w:pStyle w:val="F21"/>
        <w:spacing w:lineRule="atLeast" w:line="350"/>
        <w:rPr>
          <w:szCs w:val="27"/>
        </w:rPr>
      </w:pPr>
      <w:r>
        <w:rPr>
          <w:rFonts w:eastAsia="華康中黑體"/>
          <w:b/>
          <w:szCs w:val="27"/>
        </w:rPr>
        <w:t>財經事務及庫務局局長</w:t>
      </w:r>
      <w:r>
        <w:rPr>
          <w:szCs w:val="27"/>
        </w:rPr>
        <w:t>：主席，</w:t>
      </w:r>
    </w:p>
    <w:p>
      <w:pPr>
        <w:pStyle w:val="F21"/>
        <w:spacing w:lineRule="atLeast" w:line="350"/>
        <w:rPr>
          <w:szCs w:val="27"/>
        </w:rPr>
      </w:pPr>
      <w:r>
        <w:rPr>
          <w:szCs w:val="27"/>
        </w:rPr>
      </w:r>
    </w:p>
    <w:p>
      <w:pPr>
        <w:pStyle w:val="Style14"/>
        <w:spacing w:lineRule="atLeast" w:line="350"/>
        <w:rPr>
          <w:i w:val="false"/>
          <w:i w:val="false"/>
        </w:rPr>
      </w:pPr>
      <w:r>
        <w:rPr>
          <w:i w:val="false"/>
        </w:rPr>
        <w:t>(</w:t>
      </w:r>
      <w:r>
        <w:rPr>
          <w:i w:val="false"/>
        </w:rPr>
        <w:t>一</w:t>
      </w:r>
      <w:r>
        <w:rPr>
          <w:i w:val="false"/>
        </w:rPr>
        <w:t>)</w:t>
        <w:tab/>
      </w:r>
      <w:r>
        <w:rPr>
          <w:i w:val="false"/>
        </w:rPr>
        <w:t>安全、高效及創新的網上金融服務有助香港金融業的多元化發展，這不單為客戶節省交易時間及成本，並同時帶動資訊科技業及支持實體經濟的增長，鞏固香港作為國際金融和貿易中心的地位。</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香港作為區內資金及證券支付的結算中心，已發展了全面、安全及穩健的跨幣種、多層面的金融基建和配套，以支持外匯交易、貿易結算、證券交收和支票支付等金融服務。這些系統包括銀行同業的支付系統</w:t>
      </w:r>
      <w:r>
        <w:rPr>
          <w:i w:val="false"/>
        </w:rPr>
        <w:t>(</w:t>
      </w:r>
      <w:r>
        <w:rPr>
          <w:i w:val="false"/>
        </w:rPr>
        <w:t>即港元、美元、歐羅及人民幣的即時支付結算</w:t>
      </w:r>
      <w:r>
        <w:rPr>
          <w:i w:val="false"/>
        </w:rPr>
        <w:t>(RTGS)</w:t>
      </w:r>
      <w:r>
        <w:rPr>
          <w:i w:val="false"/>
        </w:rPr>
        <w:t>系統</w:t>
      </w:r>
      <w:r>
        <w:rPr>
          <w:i w:val="false"/>
        </w:rPr>
        <w:t>)</w:t>
      </w:r>
      <w:r>
        <w:rPr>
          <w:i w:val="false"/>
        </w:rPr>
        <w:t>債務工具中央結算系統</w:t>
      </w:r>
      <w:r>
        <w:rPr>
          <w:i w:val="false"/>
        </w:rPr>
        <w:t>(CMU)</w:t>
      </w:r>
      <w:r>
        <w:rPr>
          <w:i w:val="false"/>
        </w:rPr>
        <w:t>，以及中央結算系統</w:t>
      </w:r>
      <w:r>
        <w:rPr>
          <w:i w:val="false"/>
        </w:rPr>
        <w:t>(</w:t>
      </w:r>
      <w:r>
        <w:rPr>
          <w:i w:val="false"/>
        </w:rPr>
        <w:t>下稱“</w:t>
      </w:r>
      <w:r>
        <w:rPr>
          <w:i w:val="false"/>
        </w:rPr>
        <w:t>CCASS”)</w:t>
      </w:r>
      <w:r>
        <w:rPr>
          <w:i w:val="false"/>
        </w:rPr>
        <w:t>。</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在零售層面，使用網上銀行的客戶數目以及其使用量近年不斷上升，而通過證券公司、網上證券經紀或銀行提供的網上平台進行證券買賣亦日趨普及。同時，市場上新興的儲值產品及網上的零售支付服務日漸被消費者接受，為他們在網上購物和進行電子交易提供便利。在保險服務方面，很多保險公司及保險中介人公司均通過網站介紹其產品及服務，或提供網上購買及諮詢保險的服務。隨着更多客戶使用網上金融服務，這為金融機構及其他服務提供者無論在產品開發及客戶開拓方面提供了嶄新的機遇，提升了業界整體的競爭力。</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舉例來說，香港金融管理局</w:t>
      </w:r>
      <w:r>
        <w:rPr>
          <w:i w:val="false"/>
        </w:rPr>
        <w:t>(“</w:t>
      </w:r>
      <w:r>
        <w:rPr>
          <w:i w:val="false"/>
        </w:rPr>
        <w:t>金管局”</w:t>
      </w:r>
      <w:r>
        <w:rPr>
          <w:i w:val="false"/>
        </w:rPr>
        <w:t>)</w:t>
      </w:r>
      <w:r>
        <w:rPr>
          <w:i w:val="false"/>
        </w:rPr>
        <w:t>一直與銀行界緊密合作，配合業界推出新的網上銀行服務。在上星期三</w:t>
      </w:r>
      <w:r>
        <w:rPr>
          <w:i w:val="false"/>
        </w:rPr>
        <w:t>(12</w:t>
      </w:r>
      <w:r>
        <w:rPr>
          <w:i w:val="false"/>
        </w:rPr>
        <w:t>月</w:t>
      </w:r>
      <w:r>
        <w:rPr>
          <w:i w:val="false"/>
        </w:rPr>
        <w:t>11</w:t>
      </w:r>
      <w:r>
        <w:rPr>
          <w:i w:val="false"/>
        </w:rPr>
        <w:t>日</w:t>
      </w:r>
      <w:r>
        <w:rPr>
          <w:i w:val="false"/>
        </w:rPr>
        <w:t>)</w:t>
      </w:r>
      <w:r>
        <w:rPr>
          <w:i w:val="false"/>
        </w:rPr>
        <w:t>，金管局與銀行界共同開發的“電子帳單及繳費服務”正式啟動，這項服務是香港首個結合電子帳單發放及繳費的綜合平台，方便市民在其網上銀行帳戶以一站式收取、查閱及管理由商戶發出的電子賬單，並在網上繳費。此外，金管局正與業界共同研發“電子支票服務”，以電子方式簽發、傳遞和兌現支票，方便市民在未來隨時在網上發票或入票，有關服務預計於</w:t>
      </w:r>
      <w:r>
        <w:rPr>
          <w:i w:val="false"/>
        </w:rPr>
        <w:t>2015</w:t>
      </w:r>
      <w:r>
        <w:rPr>
          <w:i w:val="false"/>
        </w:rPr>
        <w:t>年推出。</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二</w:t>
      </w:r>
      <w:r>
        <w:rPr>
          <w:i w:val="false"/>
        </w:rPr>
        <w:t>)</w:t>
        <w:tab/>
      </w:r>
      <w:r>
        <w:rPr>
          <w:i w:val="false"/>
        </w:rPr>
        <w:t>各監管機構一直有評估資訊科技及網絡發展為金融服務的提供者及客戶產生的風險，並要求金融機構確保各網上交易平台及結算交收系統能安全穩健運作。監管機構並與警方合作打擊涉嫌欺詐的金融網站，為客戶使用網上金融服務提供適當的保障。</w:t>
      </w:r>
    </w:p>
    <w:p>
      <w:pPr>
        <w:pStyle w:val="Style14"/>
        <w:rPr>
          <w:i w:val="false"/>
          <w:i w:val="false"/>
        </w:rPr>
      </w:pPr>
      <w:r>
        <w:rPr>
          <w:i w:val="false"/>
        </w:rPr>
      </w:r>
    </w:p>
    <w:p>
      <w:pPr>
        <w:pStyle w:val="Style14"/>
        <w:rPr>
          <w:i w:val="false"/>
          <w:i w:val="false"/>
        </w:rPr>
      </w:pPr>
      <w:r>
        <w:rPr>
          <w:i w:val="false"/>
        </w:rPr>
        <w:tab/>
      </w:r>
      <w:r>
        <w:rPr>
          <w:i w:val="false"/>
        </w:rPr>
        <w:t>警方及監管機構留意到不法之徒利用互聯網詐騙客戶及金融機構有上升的趨勢。證券及期貨事務監察委員會</w:t>
      </w:r>
      <w:r>
        <w:rPr>
          <w:i w:val="false"/>
        </w:rPr>
        <w:t>(“</w:t>
      </w:r>
      <w:r>
        <w:rPr>
          <w:i w:val="false"/>
        </w:rPr>
        <w:t>證監會”</w:t>
      </w:r>
      <w:r>
        <w:rPr>
          <w:i w:val="false"/>
        </w:rPr>
        <w:t>)</w:t>
      </w:r>
      <w:r>
        <w:rPr>
          <w:i w:val="false"/>
        </w:rPr>
        <w:t>於</w:t>
      </w:r>
      <w:r>
        <w:rPr>
          <w:i w:val="false"/>
        </w:rPr>
        <w:t>2011</w:t>
      </w:r>
      <w:r>
        <w:rPr>
          <w:i w:val="false"/>
        </w:rPr>
        <w:t>年及</w:t>
      </w:r>
      <w:r>
        <w:rPr>
          <w:i w:val="false"/>
        </w:rPr>
        <w:t>2012</w:t>
      </w:r>
      <w:r>
        <w:rPr>
          <w:i w:val="false"/>
        </w:rPr>
        <w:t>年分別接獲</w:t>
      </w:r>
      <w:r>
        <w:rPr>
          <w:i w:val="false"/>
        </w:rPr>
        <w:t>10</w:t>
      </w:r>
      <w:r>
        <w:rPr>
          <w:i w:val="false"/>
        </w:rPr>
        <w:t>宗及</w:t>
      </w:r>
      <w:r>
        <w:rPr>
          <w:i w:val="false"/>
        </w:rPr>
        <w:t>13</w:t>
      </w:r>
      <w:r>
        <w:rPr>
          <w:i w:val="false"/>
        </w:rPr>
        <w:t>宗有關虛假證券公司網站的舉報，而今年首</w:t>
      </w:r>
      <w:r>
        <w:rPr>
          <w:i w:val="false"/>
        </w:rPr>
        <w:t>11</w:t>
      </w:r>
      <w:r>
        <w:rPr>
          <w:i w:val="false"/>
        </w:rPr>
        <w:t>個月為</w:t>
      </w:r>
      <w:r>
        <w:rPr>
          <w:i w:val="false"/>
        </w:rPr>
        <w:t>17</w:t>
      </w:r>
      <w:r>
        <w:rPr>
          <w:i w:val="false"/>
        </w:rPr>
        <w:t>宗。金管局於</w:t>
      </w:r>
      <w:r>
        <w:rPr>
          <w:i w:val="false"/>
        </w:rPr>
        <w:t>2011</w:t>
      </w:r>
      <w:r>
        <w:rPr>
          <w:i w:val="false"/>
        </w:rPr>
        <w:t>年及</w:t>
      </w:r>
      <w:r>
        <w:rPr>
          <w:i w:val="false"/>
        </w:rPr>
        <w:t>2012</w:t>
      </w:r>
      <w:r>
        <w:rPr>
          <w:i w:val="false"/>
        </w:rPr>
        <w:t>年接獲的虛假銀行網站的個案數字分別為</w:t>
      </w:r>
      <w:r>
        <w:rPr>
          <w:i w:val="false"/>
        </w:rPr>
        <w:t>25</w:t>
      </w:r>
      <w:r>
        <w:rPr>
          <w:i w:val="false"/>
        </w:rPr>
        <w:t>宗和</w:t>
      </w:r>
      <w:r>
        <w:rPr>
          <w:i w:val="false"/>
        </w:rPr>
        <w:t>26</w:t>
      </w:r>
      <w:r>
        <w:rPr>
          <w:i w:val="false"/>
        </w:rPr>
        <w:t>宗，而今年首</w:t>
      </w:r>
      <w:r>
        <w:rPr>
          <w:i w:val="false"/>
        </w:rPr>
        <w:t>11</w:t>
      </w:r>
      <w:r>
        <w:rPr>
          <w:i w:val="false"/>
        </w:rPr>
        <w:t>個月為</w:t>
      </w:r>
      <w:r>
        <w:rPr>
          <w:i w:val="false"/>
        </w:rPr>
        <w:t>19</w:t>
      </w:r>
      <w:r>
        <w:rPr>
          <w:i w:val="false"/>
        </w:rPr>
        <w:t>宗。保險業監理處於</w:t>
      </w:r>
      <w:r>
        <w:rPr>
          <w:i w:val="false"/>
        </w:rPr>
        <w:t>2011</w:t>
      </w:r>
      <w:r>
        <w:rPr>
          <w:i w:val="false"/>
        </w:rPr>
        <w:t>年並無接獲有關虛假保險公司網站的舉報，於</w:t>
      </w:r>
      <w:r>
        <w:rPr>
          <w:i w:val="false"/>
        </w:rPr>
        <w:t>2012</w:t>
      </w:r>
      <w:r>
        <w:rPr>
          <w:i w:val="false"/>
        </w:rPr>
        <w:t>年接獲</w:t>
      </w:r>
      <w:r>
        <w:rPr>
          <w:i w:val="false"/>
        </w:rPr>
        <w:t>1</w:t>
      </w:r>
      <w:r>
        <w:rPr>
          <w:i w:val="false"/>
        </w:rPr>
        <w:t>宗，而今年首</w:t>
      </w:r>
      <w:r>
        <w:rPr>
          <w:i w:val="false"/>
        </w:rPr>
        <w:t>11</w:t>
      </w:r>
      <w:r>
        <w:rPr>
          <w:i w:val="false"/>
        </w:rPr>
        <w:t>個月則為</w:t>
      </w:r>
      <w:r>
        <w:rPr>
          <w:i w:val="false"/>
        </w:rPr>
        <w:t>3</w:t>
      </w:r>
      <w:r>
        <w:rPr>
          <w:i w:val="false"/>
        </w:rPr>
        <w:t>宗。</w:t>
      </w:r>
    </w:p>
    <w:p>
      <w:pPr>
        <w:pStyle w:val="Style14"/>
        <w:rPr>
          <w:i w:val="false"/>
          <w:i w:val="false"/>
        </w:rPr>
      </w:pPr>
      <w:r>
        <w:rPr>
          <w:i w:val="false"/>
        </w:rPr>
      </w:r>
    </w:p>
    <w:p>
      <w:pPr>
        <w:pStyle w:val="Style14"/>
        <w:rPr>
          <w:i w:val="false"/>
          <w:i w:val="false"/>
        </w:rPr>
      </w:pPr>
      <w:r>
        <w:rPr>
          <w:i w:val="false"/>
        </w:rPr>
        <w:t>(</w:t>
      </w:r>
      <w:r>
        <w:rPr>
          <w:i w:val="false"/>
        </w:rPr>
        <w:t>三</w:t>
      </w:r>
      <w:r>
        <w:rPr>
          <w:i w:val="false"/>
        </w:rPr>
        <w:t>)</w:t>
        <w:tab/>
      </w:r>
      <w:r>
        <w:rPr>
          <w:i w:val="false"/>
        </w:rPr>
        <w:t>各監管機構十分重視並持續監察金融機構的電腦系統及網絡安全，以及因應市場發展就金融機構的科技風險管理及網上金融服務的保安措施發出監管指引或操守準則，要求金融機構採取足夠措施，保障系統及數據的安全，以減少網上金融詐騙行為和被黑客入侵的風險，並在遇到事故時，能有效應變。監管機構並會不時與警方、政府資訊科技總監辦公室、業界，以及境外監管機構就有關風險交流信息及監管經驗。</w:t>
      </w:r>
    </w:p>
    <w:p>
      <w:pPr>
        <w:pStyle w:val="Style14"/>
        <w:rPr>
          <w:i w:val="false"/>
          <w:i w:val="false"/>
        </w:rPr>
      </w:pPr>
      <w:r>
        <w:rPr>
          <w:i w:val="false"/>
        </w:rPr>
      </w:r>
    </w:p>
    <w:p>
      <w:pPr>
        <w:pStyle w:val="Style14"/>
        <w:rPr>
          <w:i w:val="false"/>
          <w:i w:val="false"/>
          <w:spacing w:val="22"/>
        </w:rPr>
      </w:pPr>
      <w:r>
        <w:rPr>
          <w:i w:val="false"/>
        </w:rPr>
        <w:tab/>
      </w:r>
      <w:r>
        <w:rPr>
          <w:i w:val="false"/>
          <w:spacing w:val="22"/>
        </w:rPr>
        <w:t>為保障市民免受虛假金融網站詐騙，當監管機構接獲舉報後，會盡快發布消息提醒市民，並向警方通報有關個案以便調查。為提高客戶的保安意識，警方及各監管機構一直積極教育公眾。例如，金管局剛於本年</w:t>
      </w:r>
      <w:r>
        <w:rPr>
          <w:i w:val="false"/>
          <w:spacing w:val="22"/>
        </w:rPr>
        <w:t>11</w:t>
      </w:r>
      <w:r>
        <w:rPr>
          <w:i w:val="false"/>
          <w:spacing w:val="22"/>
        </w:rPr>
        <w:t>月推出“消費者教育推廣計劃”，透過不同媒體協助市民更精明及負責任地使用銀行服務，當中包括提供使用網上銀行服務及智能手機或流動銀行服務的安全須知。於去年</w:t>
      </w:r>
      <w:r>
        <w:rPr>
          <w:i w:val="false"/>
          <w:spacing w:val="22"/>
        </w:rPr>
        <w:t>10</w:t>
      </w:r>
      <w:r>
        <w:rPr>
          <w:i w:val="false"/>
          <w:spacing w:val="22"/>
        </w:rPr>
        <w:t>月成立的投資者教育中心致力教育投資者，包括如何識別欺詐或偽冒網站，以防墮入網上投資騙局。警方亦於今年的</w:t>
      </w:r>
      <w:r>
        <w:rPr>
          <w:i w:val="false"/>
          <w:spacing w:val="22"/>
        </w:rPr>
        <w:t>5</w:t>
      </w:r>
      <w:r>
        <w:rPr>
          <w:i w:val="false"/>
          <w:spacing w:val="22"/>
        </w:rPr>
        <w:t>月及</w:t>
      </w:r>
      <w:r>
        <w:rPr>
          <w:i w:val="false"/>
          <w:spacing w:val="22"/>
        </w:rPr>
        <w:t>9</w:t>
      </w:r>
      <w:r>
        <w:rPr>
          <w:i w:val="false"/>
          <w:spacing w:val="22"/>
        </w:rPr>
        <w:t>月透過製作兩輯“警訊”，提醒市民最新的電子銀行騙案的犯罪手法。</w:t>
      </w:r>
    </w:p>
    <w:p>
      <w:pPr>
        <w:pStyle w:val="Style14"/>
        <w:rPr>
          <w:i w:val="false"/>
          <w:i w:val="false"/>
        </w:rPr>
      </w:pPr>
      <w:r>
        <w:rPr>
          <w:i w:val="false"/>
        </w:rPr>
      </w:r>
    </w:p>
    <w:p>
      <w:pPr>
        <w:pStyle w:val="Style14"/>
        <w:rPr>
          <w:i w:val="false"/>
          <w:i w:val="false"/>
          <w:spacing w:val="22"/>
        </w:rPr>
      </w:pPr>
      <w:r>
        <w:rPr>
          <w:i w:val="false"/>
          <w:spacing w:val="22"/>
        </w:rPr>
        <w:tab/>
      </w:r>
      <w:r>
        <w:rPr>
          <w:i w:val="false"/>
          <w:spacing w:val="22"/>
        </w:rPr>
        <w:t>此外，我們計劃修訂《結算及交收系統條例》，建立全面的儲值支付產品和零售支付系統的監管制度，以加強保障客戶，提升此類產品及服務的安全和穩健。財經事務及庫務局聯同金管局已於今年年中就建議的監管制度諮詢公眾，並得到普遍正面及積極的回應。我們現正分析所收集的意見，並預計在明年把有關的條例草案提交立法會審議。</w:t>
      </w:r>
    </w:p>
    <w:p>
      <w:pPr>
        <w:pStyle w:val="Style14"/>
        <w:rPr>
          <w:i w:val="false"/>
          <w:i w:val="false"/>
        </w:rPr>
      </w:pPr>
      <w:r>
        <w:rPr>
          <w:i w:val="false"/>
        </w:rPr>
      </w:r>
    </w:p>
    <w:p>
      <w:pPr>
        <w:pStyle w:val="Style14"/>
        <w:spacing w:lineRule="atLeast" w:line="380"/>
        <w:rPr/>
      </w:pPr>
      <w:r>
        <w:rPr>
          <w:i w:val="false"/>
        </w:rPr>
        <w:tab/>
      </w:r>
      <w:r>
        <w:rPr>
          <w:i w:val="false"/>
        </w:rPr>
        <w:t>整體來說，政府及監管機構會繼續完善及提升現時的規管制度及措施，並會密切留意資訊科技及保安等方面的國際趨勢及發展，確保香港的金融基建及系統的安全及持續發展，以保障客戶的利益，維持金融穩健，鞏固香港作為國際金融和貿易中心的地位。</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eastAsia="華康中黑體"/>
          <w:b/>
          <w:szCs w:val="27"/>
        </w:rPr>
        <w:t>吳亮星議員</w:t>
      </w:r>
      <w:r>
        <w:rPr>
          <w:szCs w:val="27"/>
        </w:rPr>
        <w:t>︰</w:t>
      </w:r>
      <w:r>
        <w:rPr>
          <w:i/>
          <w:szCs w:val="27"/>
        </w:rPr>
        <w:t>主席，就局長剛才的答覆，我相信作為金融從業員，我肯定當局有主動關注這個問題，亦有採取一些重視的行動，我從答覆的最後數段亦看到有一些教育和立法方面的跟進。</w:t>
      </w:r>
    </w:p>
    <w:p>
      <w:pPr>
        <w:pStyle w:val="F21"/>
        <w:spacing w:lineRule="atLeast" w:line="380"/>
        <w:rPr>
          <w:i/>
          <w:i/>
          <w:szCs w:val="27"/>
          <w:lang w:eastAsia="zh-CN"/>
        </w:rPr>
      </w:pPr>
      <w:r>
        <w:rPr>
          <w:i/>
          <w:szCs w:val="27"/>
          <w:lang w:eastAsia="zh-CN"/>
        </w:rPr>
      </w:r>
    </w:p>
    <w:p>
      <w:pPr>
        <w:pStyle w:val="F21"/>
        <w:spacing w:lineRule="atLeast" w:line="380"/>
        <w:rPr>
          <w:i/>
          <w:i/>
          <w:szCs w:val="27"/>
        </w:rPr>
      </w:pPr>
      <w:r>
        <w:rPr>
          <w:i/>
          <w:szCs w:val="27"/>
        </w:rPr>
        <w:tab/>
      </w:r>
      <w:r>
        <w:rPr>
          <w:i/>
          <w:szCs w:val="27"/>
        </w:rPr>
        <w:t>我在此想問，鑒於不斷出現的一些個案，當局就明年提交立法會的《結算及交收系統條例》進行公眾諮詢時，有否針對一些重要個案發生的情節，在業界及用者方面均取得更多回應意見，而在未來修例的時候，會否加入這些回應意見所提出的具體內容呢？</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pacing w:lineRule="atLeast" w:line="380"/>
        <w:rPr>
          <w:szCs w:val="27"/>
        </w:rPr>
      </w:pPr>
      <w:r>
        <w:rPr>
          <w:rFonts w:eastAsia="華康中黑體"/>
          <w:b/>
          <w:szCs w:val="27"/>
        </w:rPr>
        <w:t>財經事務及庫務局局長</w:t>
      </w:r>
      <w:r>
        <w:rPr>
          <w:szCs w:val="27"/>
        </w:rPr>
        <w:t>︰主席，關於建議優化儲值支付產品和零售支付系統的監管制度，我們收到很多市民的意見，現正整理及詳細分析諮詢結果，並考慮就部分建議作出適當的調整，以回應有關意見，並落實新的監管制度。</w:t>
      </w:r>
    </w:p>
    <w:p>
      <w:pPr>
        <w:pStyle w:val="F21"/>
        <w:spacing w:lineRule="atLeast" w:line="380"/>
        <w:rPr>
          <w:szCs w:val="27"/>
        </w:rPr>
      </w:pPr>
      <w:r>
        <w:rPr>
          <w:szCs w:val="27"/>
        </w:rPr>
      </w:r>
    </w:p>
    <w:p>
      <w:pPr>
        <w:pStyle w:val="F21"/>
        <w:spacing w:lineRule="atLeast" w:line="380"/>
        <w:rPr>
          <w:szCs w:val="27"/>
        </w:rPr>
      </w:pPr>
      <w:r>
        <w:rPr>
          <w:szCs w:val="27"/>
        </w:rPr>
        <w:tab/>
      </w:r>
      <w:r>
        <w:rPr>
          <w:szCs w:val="27"/>
        </w:rPr>
        <w:t>今次的建議是建基於我們看到不少儲值支付系統越來越廣受市民歡迎，已經超越了過往例如八達通那一類的支付系統。我們覺得在前瞻性方面，有需要訂立一套監管制度，對持牌人等各方面提出一些監管要求及新規定。我們正研究業界給我們的意見，整理有關的資料。</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eastAsia="華康中黑體"/>
          <w:b/>
          <w:szCs w:val="27"/>
        </w:rPr>
        <w:t>梁繼昌議員</w:t>
      </w:r>
      <w:r>
        <w:rPr>
          <w:szCs w:val="27"/>
        </w:rPr>
        <w:t>︰</w:t>
      </w:r>
      <w:r>
        <w:rPr>
          <w:i/>
          <w:szCs w:val="27"/>
        </w:rPr>
        <w:t>主席，局長剛才的答覆給我的感覺，是各個監管機構均各自為政。局長有否想過以一個中央統籌的機構，跨監管機構來監管網絡金融的刑事行為和進行執法呢？</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pacing w:lineRule="atLeast" w:line="380"/>
        <w:rPr>
          <w:szCs w:val="27"/>
        </w:rPr>
      </w:pPr>
      <w:r>
        <w:rPr>
          <w:rFonts w:eastAsia="華康中黑體"/>
          <w:b/>
          <w:szCs w:val="27"/>
        </w:rPr>
        <w:t>財經事務及庫務局局長</w:t>
      </w:r>
      <w:r>
        <w:rPr>
          <w:szCs w:val="27"/>
        </w:rPr>
        <w:t>：主席，關於監管方面，我剛才所提及的，是不同監管機構從本身的監管範圍所提供的數字，而不同的金融平台也有不同的情況要處理，這並不等於它們是各自為政。相反，我們今次看到很多措施，是因應不同的支付系統或銀行網站，甚至儲值支付系統而推行，這些是有跨行業性的措施。所以，在我們處理這方面的問題時，政府當局會統籌所有監管機構的工作，就網絡安全不斷提高安全意識。</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中黑體" w:eastAsia="華康中黑體"/>
          <w:b/>
          <w:szCs w:val="27"/>
        </w:rPr>
        <w:t>梁繼昌議員</w:t>
      </w:r>
      <w:r>
        <w:rPr>
          <w:szCs w:val="27"/>
        </w:rPr>
        <w:t>：</w:t>
      </w:r>
      <w:r>
        <w:rPr>
          <w:i/>
          <w:szCs w:val="27"/>
        </w:rPr>
        <w:t>主席，局長未回答究竟由哪個單位來統籌，是否財經事務及庫務局或轄下的單位呢？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eastAsia="華康中黑體"/>
          <w:b/>
          <w:szCs w:val="27"/>
        </w:rPr>
        <w:t>財經事務及庫務局局長</w:t>
      </w:r>
      <w:r>
        <w:rPr>
          <w:szCs w:val="27"/>
        </w:rPr>
        <w:t>：在金融政策方面，財經事務及庫務局是最主要的統籌機構，很多監管機構的監管工作，我們也有統籌，包括對證券買賣的</w:t>
      </w:r>
      <w:r>
        <w:rPr>
          <w:szCs w:val="27"/>
        </w:rPr>
        <w:t>CCASS</w:t>
      </w:r>
      <w:r>
        <w:rPr>
          <w:szCs w:val="27"/>
        </w:rPr>
        <w:t>或股票交易方面的中央結算系統等。金融方面的監察主要由我們統籌，但網絡安全本身並非只是金融的事務，也包括保安、警方等方面的措施。以政府整體而言，我們有充分的機制進行統籌和協調。</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cs="華康中黑體" w:eastAsia="華康中黑體"/>
          <w:b/>
          <w:szCs w:val="27"/>
        </w:rPr>
        <w:t>張華峰議員</w:t>
      </w:r>
      <w:r>
        <w:rPr>
          <w:szCs w:val="27"/>
        </w:rPr>
        <w:t>：</w:t>
      </w:r>
      <w:r>
        <w:rPr>
          <w:i/>
          <w:szCs w:val="27"/>
        </w:rPr>
        <w:t>主席，雖然財政司司長曾俊華較早前曾提醒投資者有關網上虛擬貨幣</w:t>
      </w:r>
      <w:r>
        <w:rPr>
          <w:i/>
          <w:szCs w:val="27"/>
        </w:rPr>
        <w:t>Bitcoin</w:t>
      </w:r>
      <w:r>
        <w:rPr>
          <w:i/>
          <w:szCs w:val="27"/>
        </w:rPr>
        <w:t>的風險，但政府有否掌握本地使用</w:t>
      </w:r>
      <w:r>
        <w:rPr>
          <w:i/>
          <w:szCs w:val="27"/>
        </w:rPr>
        <w:t>Bitcoin</w:t>
      </w:r>
      <w:r>
        <w:rPr>
          <w:i/>
          <w:szCs w:val="27"/>
        </w:rPr>
        <w:t>的情況，並評估有關的風險？政府會否公開表明對</w:t>
      </w:r>
      <w:r>
        <w:rPr>
          <w:i/>
          <w:szCs w:val="27"/>
        </w:rPr>
        <w:t>Bitcoin</w:t>
      </w:r>
      <w:r>
        <w:rPr>
          <w:i/>
          <w:szCs w:val="27"/>
        </w:rPr>
        <w:t>的取態，讓業界有所依據？</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eastAsia="華康中黑體"/>
          <w:b/>
          <w:szCs w:val="27"/>
        </w:rPr>
        <w:t>財經事務及庫務局局長</w:t>
      </w:r>
      <w:r>
        <w:rPr>
          <w:szCs w:val="27"/>
        </w:rPr>
        <w:t>：多謝張議員這項補充質詢。</w:t>
      </w:r>
    </w:p>
    <w:p>
      <w:pPr>
        <w:pStyle w:val="F21"/>
        <w:spacing w:lineRule="atLeast" w:line="380"/>
        <w:rPr>
          <w:szCs w:val="27"/>
        </w:rPr>
      </w:pPr>
      <w:r>
        <w:rPr>
          <w:szCs w:val="27"/>
        </w:rPr>
      </w:r>
    </w:p>
    <w:p>
      <w:pPr>
        <w:pStyle w:val="F21"/>
        <w:spacing w:lineRule="atLeast" w:line="380"/>
        <w:rPr>
          <w:szCs w:val="27"/>
        </w:rPr>
      </w:pPr>
      <w:r>
        <w:rPr>
          <w:szCs w:val="27"/>
        </w:rPr>
        <w:tab/>
      </w:r>
      <w:r>
        <w:rPr>
          <w:szCs w:val="27"/>
        </w:rPr>
        <w:t>在</w:t>
      </w:r>
      <w:r>
        <w:rPr>
          <w:szCs w:val="27"/>
        </w:rPr>
        <w:t>Bitcoin</w:t>
      </w:r>
      <w:r>
        <w:rPr>
          <w:szCs w:val="27"/>
        </w:rPr>
        <w:t>這個新興事物出現後，無論是財政司司長或政府同事，也就</w:t>
      </w:r>
      <w:r>
        <w:rPr>
          <w:szCs w:val="27"/>
        </w:rPr>
        <w:t>Bitcoin</w:t>
      </w:r>
      <w:r>
        <w:rPr>
          <w:szCs w:val="27"/>
        </w:rPr>
        <w:t>的本質提出了一些警告，提醒市民要小心</w:t>
      </w:r>
      <w:r>
        <w:rPr>
          <w:szCs w:val="27"/>
        </w:rPr>
        <w:t>Bitcoin</w:t>
      </w:r>
      <w:r>
        <w:rPr>
          <w:szCs w:val="27"/>
        </w:rPr>
        <w:t>這類產品的安全性。首先，我想說，</w:t>
      </w:r>
      <w:r>
        <w:rPr>
          <w:szCs w:val="27"/>
        </w:rPr>
        <w:t>Bitcoin</w:t>
      </w:r>
      <w:r>
        <w:rPr>
          <w:szCs w:val="27"/>
        </w:rPr>
        <w:t>這產品在世界上正在發展，我們會密切關注和留意其發展，看看是否要採取進一步的措施。目前而言，我們經常指出，</w:t>
      </w:r>
      <w:r>
        <w:rPr>
          <w:szCs w:val="27"/>
        </w:rPr>
        <w:t>Bitcoin</w:t>
      </w:r>
      <w:r>
        <w:rPr>
          <w:szCs w:val="27"/>
        </w:rPr>
        <w:t>這種產品本身是一種由虛擬世界產生出來的商品，我們基本上提出它並非電子貨幣，不是儲值支付產品。我們也看到其性質，因為從過往看到，它的價錢不斷大升大跌，價格如此浮動的產品，本身並沒有條件成為支付媒介的電子貨幣。所以，在目前而言，我想指出這種產品的本質，希望市民留意其安全性。我們會密切關心事情的發展，看看是否須採取進一步行動。</w:t>
      </w:r>
      <w:r>
        <w:br w:type="page"/>
      </w:r>
    </w:p>
    <w:p>
      <w:pPr>
        <w:pStyle w:val="F21"/>
        <w:rPr>
          <w:szCs w:val="27"/>
        </w:rPr>
      </w:pPr>
      <w:r>
        <w:rPr>
          <w:rFonts w:ascii="華康中黑體" w:hAnsi="華康中黑體" w:cs="華康中黑體" w:eastAsia="華康中黑體"/>
          <w:b/>
          <w:szCs w:val="27"/>
        </w:rPr>
        <w:t>廖長江議員</w:t>
      </w:r>
      <w:r>
        <w:rPr>
          <w:szCs w:val="27"/>
        </w:rPr>
        <w:t>：</w:t>
      </w:r>
      <w:r>
        <w:rPr>
          <w:i/>
          <w:szCs w:val="27"/>
        </w:rPr>
        <w:t>主席，根據報道，近月來，內地互聯網的巨業全也在搞網上金融，以及利用高回報率來吸引大批投資者，在短時間內，已吸引了過千億元投資。更有一些投資者拋售債券基金來進行換馬等情況出現，使債券基金罕有地出現單日大跌</w:t>
      </w:r>
      <w:r>
        <w:rPr>
          <w:i/>
          <w:szCs w:val="27"/>
        </w:rPr>
        <w:t>2%</w:t>
      </w:r>
      <w:r>
        <w:rPr>
          <w:i/>
          <w:szCs w:val="27"/>
        </w:rPr>
        <w:t>的慘況。除局長剛才提出監管機構會持續監管從業機構的電腦系統和網上安全外，有何對策來應付這類可能會扭曲債券孽息，擾亂金融秩序，甚至可能令投資者承受巨大風險的市場行為呢？</w:t>
      </w:r>
    </w:p>
    <w:p>
      <w:pPr>
        <w:pStyle w:val="F21"/>
        <w:rPr>
          <w:szCs w:val="27"/>
        </w:rPr>
      </w:pPr>
      <w:r>
        <w:rPr>
          <w:szCs w:val="27"/>
        </w:rPr>
      </w:r>
    </w:p>
    <w:p>
      <w:pPr>
        <w:pStyle w:val="F21"/>
        <w:rPr>
          <w:szCs w:val="27"/>
        </w:rPr>
      </w:pPr>
      <w:r>
        <w:rPr>
          <w:szCs w:val="27"/>
        </w:rPr>
      </w:r>
    </w:p>
    <w:p>
      <w:pPr>
        <w:pStyle w:val="F21"/>
        <w:rPr>
          <w:szCs w:val="27"/>
        </w:rPr>
      </w:pPr>
      <w:r>
        <w:rPr>
          <w:rFonts w:eastAsia="華康中黑體"/>
          <w:b/>
          <w:szCs w:val="27"/>
        </w:rPr>
        <w:t>財經事務及庫務局局長</w:t>
      </w:r>
      <w:r>
        <w:rPr>
          <w:szCs w:val="27"/>
        </w:rPr>
        <w:t>：主席，我首先想說說，根據香港的金融監管政策，如果是有關存款或提供金融交易和融資等各方面的金融行為活動，完全受香港目前相關金融條例的監管，包括金管局和證監會的條例。</w:t>
      </w:r>
    </w:p>
    <w:p>
      <w:pPr>
        <w:pStyle w:val="F21"/>
        <w:rPr>
          <w:szCs w:val="27"/>
        </w:rPr>
      </w:pPr>
      <w:r>
        <w:rPr>
          <w:szCs w:val="27"/>
        </w:rPr>
      </w:r>
    </w:p>
    <w:p>
      <w:pPr>
        <w:pStyle w:val="F21"/>
        <w:rPr>
          <w:szCs w:val="27"/>
        </w:rPr>
      </w:pPr>
      <w:r>
        <w:rPr>
          <w:szCs w:val="27"/>
        </w:rPr>
        <w:tab/>
      </w:r>
      <w:r>
        <w:rPr>
          <w:szCs w:val="27"/>
        </w:rPr>
        <w:t>我們也會密切留意香港會否出現所謂影子銀行、影子金融業務的活動。以目前來看，香港現有的金融監管制度，足夠讓我們規管所有的金融業務。所以，任何人在網上進行金融交易和買賣，如沒有持牌的話，這是違法的。</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eastAsia="華康中黑體"/>
          <w:b/>
          <w:szCs w:val="27"/>
        </w:rPr>
        <w:t>林健鋒議員</w:t>
      </w:r>
      <w:r>
        <w:rPr>
          <w:szCs w:val="27"/>
        </w:rPr>
        <w:t>：</w:t>
      </w:r>
      <w:r>
        <w:rPr>
          <w:i/>
          <w:szCs w:val="27"/>
        </w:rPr>
        <w:t>主席，我們現在仍然記得，數年前的金融海嘯，揭發高達</w:t>
      </w:r>
      <w:r>
        <w:rPr>
          <w:i/>
          <w:szCs w:val="27"/>
        </w:rPr>
        <w:t>500</w:t>
      </w:r>
      <w:r>
        <w:rPr>
          <w:i/>
          <w:szCs w:val="27"/>
        </w:rPr>
        <w:t>億美元的馬多夫世紀投資大騙案。如果同類的騙局在網絡上出現，殺傷力難以想像。我想請問局長有甚麼措施，以防止香港發生這類危機？</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財經事務及庫務局局長</w:t>
      </w:r>
      <w:r>
        <w:rPr>
          <w:szCs w:val="27"/>
        </w:rPr>
        <w:t>：任何騙案的手法都層出不窮，我們要小心。首先，關於通過互聯網進行欺騙的行為，當然互聯網本身的殺傷力可以很大，因為很多人可以參與或觸及，但同時，互聯網也是我們其中一個可監察的渠道。所以，我們的監管機構會密切監察互聯網的世界，如果有一些網站的詐騙行為，我們是會監察得到的。一旦發生上述行為，第一，我們會適當地提醒投資者，把這種情況揭露出來；第二，我們會採取執法的行動。</w:t>
      </w:r>
    </w:p>
    <w:p>
      <w:pPr>
        <w:pStyle w:val="F21"/>
        <w:rPr>
          <w:szCs w:val="27"/>
        </w:rPr>
      </w:pPr>
      <w:r>
        <w:rPr>
          <w:szCs w:val="27"/>
        </w:rPr>
      </w:r>
    </w:p>
    <w:p>
      <w:pPr>
        <w:pStyle w:val="F21"/>
        <w:rPr>
          <w:szCs w:val="27"/>
        </w:rPr>
      </w:pPr>
      <w:r>
        <w:rPr>
          <w:szCs w:val="27"/>
        </w:rPr>
      </w:r>
    </w:p>
    <w:p>
      <w:pPr>
        <w:pStyle w:val="F21"/>
        <w:spacing w:lineRule="atLeast" w:line="370"/>
        <w:rPr>
          <w:i/>
          <w:i/>
          <w:szCs w:val="27"/>
        </w:rPr>
      </w:pPr>
      <w:r>
        <w:rPr>
          <w:rFonts w:ascii="華康中黑體" w:hAnsi="華康中黑體" w:eastAsia="華康中黑體"/>
          <w:b/>
          <w:szCs w:val="27"/>
        </w:rPr>
        <w:t>莫乃光議員</w:t>
      </w:r>
      <w:r>
        <w:rPr>
          <w:szCs w:val="27"/>
        </w:rPr>
        <w:t>：</w:t>
      </w:r>
      <w:r>
        <w:rPr>
          <w:i/>
          <w:szCs w:val="27"/>
        </w:rPr>
        <w:t>主席，現時面對網絡金融，最大的問題、挑戰和機遇均在</w:t>
      </w:r>
      <w:r>
        <w:rPr>
          <w:i/>
          <w:szCs w:val="27"/>
        </w:rPr>
        <w:t>Bitcoin</w:t>
      </w:r>
      <w:r>
        <w:rPr>
          <w:i/>
          <w:szCs w:val="27"/>
        </w:rPr>
        <w:t>，我很奇怪在主體質詢和主體答覆竟然沒有提及。金管局只是警告市民有關</w:t>
      </w:r>
      <w:r>
        <w:rPr>
          <w:i/>
          <w:szCs w:val="27"/>
        </w:rPr>
        <w:t>Bitcoin</w:t>
      </w:r>
      <w:r>
        <w:rPr>
          <w:i/>
          <w:szCs w:val="27"/>
        </w:rPr>
        <w:t>的危險，而我剛才聽到局長竟然表示</w:t>
      </w:r>
      <w:r>
        <w:rPr>
          <w:i/>
          <w:szCs w:val="27"/>
        </w:rPr>
        <w:t>Bitcoin</w:t>
      </w:r>
      <w:r>
        <w:rPr>
          <w:i/>
          <w:szCs w:val="27"/>
        </w:rPr>
        <w:t>沒有條件成為支付貨幣，但很多大型機構，包括現時部分大型航空公司也讓市民在網上利用</w:t>
      </w:r>
      <w:r>
        <w:rPr>
          <w:i/>
          <w:szCs w:val="27"/>
        </w:rPr>
        <w:t>Bitcoin</w:t>
      </w:r>
      <w:r>
        <w:rPr>
          <w:i/>
          <w:szCs w:val="27"/>
        </w:rPr>
        <w:t>來購買機票，而部分政府如德國，甚至承認</w:t>
      </w:r>
      <w:r>
        <w:rPr>
          <w:i/>
          <w:szCs w:val="27"/>
        </w:rPr>
        <w:t>Bitcoin</w:t>
      </w:r>
      <w:r>
        <w:rPr>
          <w:i/>
          <w:szCs w:val="27"/>
        </w:rPr>
        <w:t>是貨幣。</w:t>
      </w:r>
    </w:p>
    <w:p>
      <w:pPr>
        <w:pStyle w:val="F21"/>
        <w:spacing w:lineRule="atLeast" w:line="380"/>
        <w:rPr>
          <w:i/>
          <w:i/>
          <w:szCs w:val="27"/>
        </w:rPr>
      </w:pPr>
      <w:r>
        <w:rPr>
          <w:i/>
          <w:szCs w:val="27"/>
        </w:rPr>
      </w:r>
    </w:p>
    <w:p>
      <w:pPr>
        <w:pStyle w:val="F21"/>
        <w:spacing w:lineRule="atLeast" w:line="380"/>
        <w:rPr>
          <w:i/>
          <w:i/>
          <w:szCs w:val="27"/>
        </w:rPr>
      </w:pPr>
      <w:r>
        <w:rPr>
          <w:i/>
          <w:szCs w:val="27"/>
        </w:rPr>
        <w:tab/>
      </w:r>
      <w:r>
        <w:rPr>
          <w:i/>
          <w:szCs w:val="27"/>
        </w:rPr>
        <w:t>我認為香港作為一個金融中心，真的應該看看</w:t>
      </w:r>
      <w:r>
        <w:rPr>
          <w:i/>
          <w:szCs w:val="27"/>
        </w:rPr>
        <w:t>Bitcoin</w:t>
      </w:r>
      <w:r>
        <w:rPr>
          <w:i/>
          <w:szCs w:val="27"/>
        </w:rPr>
        <w:t>的未來發展。我不知局長是否知道，部分香港公司其實已經使用類似</w:t>
      </w:r>
      <w:r>
        <w:rPr>
          <w:i/>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莫議員，請提出補充質詢。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莫乃光議員</w:t>
      </w:r>
      <w:r>
        <w:rPr>
          <w:szCs w:val="27"/>
        </w:rPr>
        <w:t>：</w:t>
      </w:r>
      <w:r>
        <w:rPr>
          <w:i/>
          <w:szCs w:val="27"/>
        </w:rPr>
        <w:t>......</w:t>
      </w:r>
      <w:r>
        <w:rPr>
          <w:i/>
          <w:szCs w:val="27"/>
        </w:rPr>
        <w:t>知道。香港公司使用類似</w:t>
      </w:r>
      <w:r>
        <w:rPr>
          <w:i/>
          <w:szCs w:val="27"/>
        </w:rPr>
        <w:t>Bitcoin</w:t>
      </w:r>
      <w:r>
        <w:rPr>
          <w:i/>
          <w:szCs w:val="27"/>
        </w:rPr>
        <w:t>的網絡貨幣，不知道政府有否考慮規管？</w:t>
      </w:r>
    </w:p>
    <w:p>
      <w:pPr>
        <w:pStyle w:val="F21"/>
        <w:spacing w:lineRule="atLeast" w:line="380"/>
        <w:rPr>
          <w:i/>
          <w:i/>
          <w:szCs w:val="27"/>
        </w:rPr>
      </w:pPr>
      <w:r>
        <w:rPr>
          <w:i/>
          <w:szCs w:val="27"/>
        </w:rPr>
      </w:r>
    </w:p>
    <w:p>
      <w:pPr>
        <w:pStyle w:val="F21"/>
        <w:spacing w:lineRule="atLeast" w:line="380"/>
        <w:rPr>
          <w:i/>
          <w:i/>
          <w:szCs w:val="27"/>
        </w:rPr>
      </w:pPr>
      <w:r>
        <w:rPr>
          <w:i/>
          <w:szCs w:val="27"/>
        </w:rPr>
        <w:tab/>
      </w:r>
      <w:r>
        <w:rPr>
          <w:i/>
          <w:szCs w:val="27"/>
        </w:rPr>
        <w:t>我的補充質詢是，香港政府除了提醒市民需要小心外，本身有否尋求顧問意見或研究國際情況，看看如何利用這個機遇，而非只是說不能夠做，便完全忽視這可能帶來的挑戰，或更重要的是機遇？</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eastAsia="華康中黑體"/>
          <w:b/>
          <w:szCs w:val="27"/>
        </w:rPr>
        <w:t>財經事務及庫務局局長</w:t>
      </w:r>
      <w:r>
        <w:rPr>
          <w:szCs w:val="27"/>
        </w:rPr>
        <w:t>：主席，我要小心答覆這項補充質詢。這當然是挑戰，但是否機遇，則見仁見智。我們認為</w:t>
      </w:r>
      <w:r>
        <w:rPr>
          <w:szCs w:val="27"/>
        </w:rPr>
        <w:t>Bitcoin</w:t>
      </w:r>
      <w:r>
        <w:rPr>
          <w:szCs w:val="27"/>
        </w:rPr>
        <w:t>這項產品實際上是不適宜作為一種支付貨幣，因此其本身有很大的風險。首先，我們會不斷向市民表示，如果他們認為</w:t>
      </w:r>
      <w:r>
        <w:rPr>
          <w:szCs w:val="27"/>
        </w:rPr>
        <w:t>Bitcoin</w:t>
      </w:r>
      <w:r>
        <w:rPr>
          <w:szCs w:val="27"/>
        </w:rPr>
        <w:t>是支付產品的話，當然需要自負其風險。</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我們會觀察這項產品的發展，如果我們認為</w:t>
      </w:r>
      <w:r>
        <w:rPr>
          <w:szCs w:val="27"/>
        </w:rPr>
        <w:t>Bitcoin</w:t>
      </w:r>
      <w:r>
        <w:rPr>
          <w:szCs w:val="27"/>
        </w:rPr>
        <w:t>有機會成為支付產品，我們自會加強監管的手段，以作處理。</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李慧琼議員</w:t>
      </w:r>
      <w:r>
        <w:rPr>
          <w:szCs w:val="27"/>
        </w:rPr>
        <w:t>：</w:t>
      </w:r>
      <w:r>
        <w:rPr>
          <w:i/>
          <w:szCs w:val="27"/>
        </w:rPr>
        <w:t>主席，我留意到局長回覆張華峰議員和莫乃光議員剛才的提問時，均表示只會提醒市民</w:t>
      </w:r>
      <w:r>
        <w:rPr>
          <w:i/>
          <w:szCs w:val="27"/>
        </w:rPr>
        <w:t>Bitcoin</w:t>
      </w:r>
      <w:r>
        <w:rPr>
          <w:i/>
          <w:szCs w:val="27"/>
        </w:rPr>
        <w:t>的可能風險。香港其實第一個</w:t>
      </w:r>
      <w:r>
        <w:rPr>
          <w:i/>
          <w:szCs w:val="27"/>
        </w:rPr>
        <w:t>Bitcoin</w:t>
      </w:r>
      <w:r>
        <w:rPr>
          <w:i/>
          <w:szCs w:val="27"/>
        </w:rPr>
        <w:t>的交易平台已經成立，而且根據報道，該平台的交易數量不斷上升，而客戶也由最初的</w:t>
      </w:r>
      <w:r>
        <w:rPr>
          <w:i/>
          <w:szCs w:val="27"/>
        </w:rPr>
        <w:t>10</w:t>
      </w:r>
      <w:r>
        <w:rPr>
          <w:i/>
          <w:szCs w:val="27"/>
        </w:rPr>
        <w:t>多名，現時已增至百多宗的交易出現；而我們也留意到中國人民銀行已經發出通知，禁止境內金融機構交易</w:t>
      </w:r>
      <w:r>
        <w:rPr>
          <w:i/>
          <w:szCs w:val="27"/>
        </w:rPr>
        <w:t>Bitcoin</w:t>
      </w:r>
      <w:r>
        <w:rPr>
          <w:i/>
          <w:szCs w:val="27"/>
        </w:rPr>
        <w:t>。</w:t>
      </w:r>
    </w:p>
    <w:p>
      <w:pPr>
        <w:pStyle w:val="F21"/>
        <w:spacing w:lineRule="atLeast" w:line="370"/>
        <w:rPr>
          <w:i/>
          <w:i/>
          <w:szCs w:val="27"/>
        </w:rPr>
      </w:pPr>
      <w:r>
        <w:rPr>
          <w:i/>
          <w:szCs w:val="27"/>
        </w:rPr>
      </w:r>
    </w:p>
    <w:p>
      <w:pPr>
        <w:pStyle w:val="F21"/>
        <w:rPr>
          <w:i/>
          <w:i/>
          <w:szCs w:val="27"/>
        </w:rPr>
      </w:pPr>
      <w:r>
        <w:rPr>
          <w:i/>
          <w:szCs w:val="27"/>
        </w:rPr>
        <w:tab/>
      </w:r>
      <w:r>
        <w:rPr>
          <w:i/>
          <w:szCs w:val="27"/>
        </w:rPr>
        <w:t>我想問局長，出現這些情況，他如何評估對香港金融風險的影響？</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eastAsia="華康中黑體"/>
          <w:b/>
          <w:szCs w:val="27"/>
        </w:rPr>
        <w:t>財經事務及庫務局局長</w:t>
      </w:r>
      <w:r>
        <w:rPr>
          <w:szCs w:val="27"/>
        </w:rPr>
        <w:t>：主席，在</w:t>
      </w:r>
      <w:r>
        <w:rPr>
          <w:szCs w:val="27"/>
        </w:rPr>
        <w:t>Bitcoin</w:t>
      </w:r>
      <w:r>
        <w:rPr>
          <w:szCs w:val="27"/>
        </w:rPr>
        <w:t>出現後，我們一向高度重視這項產品所衍生的風險。目前而言，除了向市民提供相關知識，指出這些所謂虛擬世界產品不一定會帶來機遇外，我們當然也會密切監視國際在這方面的監管；有需要時，我們一定會跟進。</w:t>
      </w:r>
    </w:p>
    <w:p>
      <w:pPr>
        <w:pStyle w:val="F21"/>
        <w:rPr>
          <w:szCs w:val="27"/>
        </w:rPr>
      </w:pPr>
      <w:r>
        <w:rPr>
          <w:szCs w:val="27"/>
        </w:rPr>
      </w:r>
    </w:p>
    <w:p>
      <w:pPr>
        <w:pStyle w:val="F21"/>
        <w:rPr>
          <w:szCs w:val="27"/>
        </w:rPr>
      </w:pPr>
      <w:r>
        <w:rPr>
          <w:szCs w:val="27"/>
        </w:rPr>
      </w:r>
    </w:p>
    <w:p>
      <w:pPr>
        <w:pStyle w:val="F21"/>
        <w:snapToGrid w:val="false"/>
        <w:ind w:left="851" w:hanging="851"/>
        <w:rPr/>
      </w:pPr>
      <w:r>
        <w:rPr>
          <w:rFonts w:ascii="華康中黑體" w:hAnsi="華康中黑體" w:eastAsia="華康中黑體"/>
          <w:b/>
        </w:rPr>
        <w:t>主席</w:t>
      </w:r>
      <w:r>
        <w:rPr>
          <w:rFonts w:ascii="華康中黑體" w:hAnsi="華康中黑體"/>
        </w:rPr>
        <w:t>：</w:t>
      </w:r>
      <w:r>
        <w:rPr/>
        <w:t>本會就這項質詢已用了超過</w:t>
      </w:r>
      <w:r>
        <w:rPr/>
        <w:t>22</w:t>
      </w:r>
      <w:r>
        <w:rPr/>
        <w:t>分</w:t>
      </w:r>
      <w:r>
        <w:rPr/>
        <w:t>30</w:t>
      </w:r>
      <w:r>
        <w:rPr/>
        <w:t>秒。第三項質詢。</w:t>
      </w:r>
    </w:p>
    <w:p>
      <w:pPr>
        <w:pStyle w:val="F21"/>
        <w:rPr>
          <w:szCs w:val="27"/>
        </w:rPr>
      </w:pPr>
      <w:r>
        <w:rPr>
          <w:szCs w:val="27"/>
        </w:rPr>
      </w:r>
    </w:p>
    <w:p>
      <w:pPr>
        <w:pStyle w:val="F21"/>
        <w:rPr>
          <w:szCs w:val="27"/>
        </w:rPr>
      </w:pPr>
      <w:r>
        <w:rPr>
          <w:szCs w:val="27"/>
        </w:rPr>
      </w:r>
    </w:p>
    <w:p>
      <w:pPr>
        <w:pStyle w:val="F21"/>
        <w:rPr>
          <w:rFonts w:eastAsia="華康中黑體" w:cs="Times New Roman"/>
          <w:b/>
          <w:b/>
        </w:rPr>
      </w:pPr>
      <w:bookmarkStart w:id="18" w:name="orq03"/>
      <w:r>
        <w:rPr>
          <w:rFonts w:cs="Times New Roman" w:eastAsia="華康中黑體"/>
          <w:b/>
        </w:rPr>
        <w:t>扶助工業發展的政策和措施</w:t>
      </w:r>
    </w:p>
    <w:p>
      <w:pPr>
        <w:pStyle w:val="Normal"/>
        <w:rPr>
          <w:b/>
          <w:b/>
        </w:rPr>
      </w:pPr>
      <w:bookmarkStart w:id="19" w:name="orq03"/>
      <w:r>
        <w:rPr>
          <w:b/>
        </w:rPr>
        <w:t>Policies and Measures to Boost Development of Industries</w:t>
      </w:r>
      <w:bookmarkEnd w:id="19"/>
    </w:p>
    <w:p>
      <w:pPr>
        <w:pStyle w:val="F21"/>
        <w:rPr/>
      </w:pPr>
      <w:r>
        <w:rPr/>
      </w:r>
    </w:p>
    <w:p>
      <w:pPr>
        <w:pStyle w:val="F21"/>
        <w:rPr>
          <w:i/>
          <w:i/>
        </w:rPr>
      </w:pPr>
      <w:r>
        <w:rPr>
          <w:rFonts w:eastAsia="華康中黑體"/>
          <w:b/>
        </w:rPr>
        <w:t>3.</w:t>
      </w:r>
      <w:r>
        <w:rPr/>
        <w:tab/>
      </w:r>
      <w:r>
        <w:rPr>
          <w:rFonts w:ascii="華康中黑體" w:hAnsi="華康中黑體" w:eastAsia="華康中黑體"/>
          <w:b/>
        </w:rPr>
        <w:t>鍾國斌議員</w:t>
      </w:r>
      <w:r>
        <w:rPr>
          <w:rFonts w:ascii="華康中黑體" w:hAnsi="華康中黑體"/>
        </w:rPr>
        <w:t>：</w:t>
      </w:r>
      <w:r>
        <w:rPr>
          <w:i/>
        </w:rPr>
        <w:t>主席，有工業界人士指出，儘管政府近年致力推動各產業的發展，但未有提出扶助工業發展的政策。隨着工業的升級轉型，香港的工業活動已由過往以製造工序為主，演變為包含設計、研發、市場資訊、管理、售後服務、市場推廣及展銷等多個環節的多元化發展。另一方面，隨着近年內地的勞動成本上升和人民幣兌港幣升值，有不少在內地設廠的香港廠商有意將高增值的生產工序遷回本港。就扶助工業發展的政策和措施，政府可否告知本會：</w:t>
      </w:r>
    </w:p>
    <w:p>
      <w:pPr>
        <w:pStyle w:val="F21"/>
        <w:tabs>
          <w:tab w:val="left" w:pos="480" w:leader="none"/>
          <w:tab w:val="left" w:pos="567" w:leader="none"/>
        </w:tabs>
        <w:ind w:left="862" w:hanging="794"/>
        <w:rPr>
          <w:rFonts w:ascii="華康中黑體" w:hAnsi="華康中黑體" w:eastAsia="華康中黑體"/>
        </w:rPr>
      </w:pPr>
      <w:r>
        <w:rPr>
          <w:rFonts w:eastAsia="華康中黑體" w:ascii="華康中黑體" w:hAnsi="華康中黑體"/>
        </w:rPr>
      </w:r>
    </w:p>
    <w:p>
      <w:pPr>
        <w:pStyle w:val="Style14"/>
        <w:ind w:left="1417" w:hanging="850"/>
        <w:rPr/>
      </w:pPr>
      <w:r>
        <w:rPr/>
        <w:t>(</w:t>
      </w:r>
      <w:r>
        <w:rPr/>
        <w:t>一</w:t>
      </w:r>
      <w:r>
        <w:rPr/>
        <w:t>)</w:t>
        <w:tab/>
      </w:r>
      <w:r>
        <w:rPr/>
        <w:t>會否因時制宜，檢討和重訂城市規劃委員會</w:t>
      </w:r>
      <w:r>
        <w:rPr/>
        <w:t>(“</w:t>
      </w:r>
      <w:r>
        <w:rPr/>
        <w:t>城規會”</w:t>
      </w:r>
      <w:r>
        <w:rPr/>
        <w:t>)</w:t>
      </w:r>
      <w:r>
        <w:rPr/>
        <w:t>所頒布的“工業用途”的定義，以及重新規劃全港的工業用地及相關設施，以扶助香港的工業和相關產業的發展、鼓勵廠商回流香港發展工業，以及促進工業升級轉型，從而改善香港產業結構過於單一化的情況；</w:t>
      </w:r>
    </w:p>
    <w:p>
      <w:pPr>
        <w:pStyle w:val="Style14"/>
        <w:ind w:left="1417" w:hanging="850"/>
        <w:rPr/>
      </w:pPr>
      <w:r>
        <w:rPr/>
      </w:r>
    </w:p>
    <w:p>
      <w:pPr>
        <w:pStyle w:val="Style14"/>
        <w:rPr/>
      </w:pPr>
      <w:r>
        <w:rPr/>
        <w:t>(</w:t>
      </w:r>
      <w:r>
        <w:rPr/>
        <w:t>二</w:t>
      </w:r>
      <w:r>
        <w:rPr/>
        <w:t>)</w:t>
        <w:tab/>
      </w:r>
      <w:r>
        <w:rPr/>
        <w:t>鑒於規劃署曾分別在</w:t>
      </w:r>
      <w:r>
        <w:rPr/>
        <w:t>2000</w:t>
      </w:r>
      <w:r>
        <w:rPr/>
        <w:t>年、</w:t>
      </w:r>
      <w:r>
        <w:rPr/>
        <w:t>2005</w:t>
      </w:r>
      <w:r>
        <w:rPr/>
        <w:t>年及</w:t>
      </w:r>
      <w:r>
        <w:rPr/>
        <w:t>2009</w:t>
      </w:r>
      <w:r>
        <w:rPr/>
        <w:t>年進行全港工業用地分區研究</w:t>
      </w:r>
      <w:r>
        <w:rPr/>
        <w:t>(“</w:t>
      </w:r>
      <w:r>
        <w:rPr/>
        <w:t>分區研究”</w:t>
      </w:r>
      <w:r>
        <w:rPr/>
        <w:t>)</w:t>
      </w:r>
      <w:r>
        <w:rPr/>
        <w:t>，以物色合適的工業用地改劃作非工業用途</w:t>
      </w:r>
      <w:r>
        <w:rPr/>
        <w:t>(</w:t>
      </w:r>
      <w:r>
        <w:rPr/>
        <w:t>包括住宅用途</w:t>
      </w:r>
      <w:r>
        <w:rPr/>
        <w:t>)</w:t>
      </w:r>
      <w:r>
        <w:rPr/>
        <w:t>，現正進行的分區研究的進度如何；當局會否因應香港經濟和工業的最新發展需要，藉分區研究探討香港工業用地的需求；及</w:t>
      </w:r>
    </w:p>
    <w:p>
      <w:pPr>
        <w:pStyle w:val="Style14"/>
        <w:ind w:left="1417" w:hanging="850"/>
        <w:rPr/>
      </w:pPr>
      <w:r>
        <w:rPr/>
      </w:r>
    </w:p>
    <w:p>
      <w:pPr>
        <w:pStyle w:val="Style14"/>
        <w:ind w:left="1417" w:hanging="850"/>
        <w:rPr/>
      </w:pPr>
      <w:r>
        <w:rPr/>
        <w:t>(</w:t>
      </w:r>
      <w:r>
        <w:rPr/>
        <w:t>三</w:t>
      </w:r>
      <w:r>
        <w:rPr/>
        <w:t>)</w:t>
        <w:tab/>
      </w:r>
      <w:r>
        <w:rPr/>
        <w:t>鑒於現時“工業用途”的定義訂明，工業樓宇內用作陳列室用途的實用樓面面積不可多於</w:t>
      </w:r>
      <w:r>
        <w:rPr/>
        <w:t>20%</w:t>
      </w:r>
      <w:r>
        <w:rPr/>
        <w:t>，但有意見指出市場推廣和展銷是工業活動的重要環節，政府會否研究放寬該百分比，以減少活化工業用地的障礙？</w:t>
      </w:r>
    </w:p>
    <w:p>
      <w:pPr>
        <w:pStyle w:val="F21"/>
        <w:spacing w:lineRule="exact" w:line="460"/>
        <w:ind w:left="1418" w:hanging="0"/>
        <w:rPr/>
      </w:pPr>
      <w:r>
        <w:rPr/>
      </w:r>
    </w:p>
    <w:p>
      <w:pPr>
        <w:pStyle w:val="F21"/>
        <w:rPr>
          <w:szCs w:val="27"/>
        </w:rPr>
      </w:pPr>
      <w:r>
        <w:rPr>
          <w:szCs w:val="27"/>
        </w:rPr>
      </w:r>
    </w:p>
    <w:p>
      <w:pPr>
        <w:pStyle w:val="F21"/>
        <w:rPr>
          <w:szCs w:val="27"/>
        </w:rPr>
      </w:pPr>
      <w:r>
        <w:rPr>
          <w:rFonts w:eastAsia="華康中黑體"/>
          <w:b/>
          <w:szCs w:val="27"/>
        </w:rPr>
        <w:t>發展局局長</w:t>
      </w:r>
      <w:r>
        <w:rPr>
          <w:szCs w:val="27"/>
        </w:rPr>
        <w:t>：主席，土地是香港的珍貴資源，是增加房屋供應以解決住屋問題，以及促進社會和經濟發展的重要元素。此外，各類公共和社會設施亦需尋覓空間，政府亦需要回應香港市民對增加居住空間的願景。發展局作為負責管理土地資源的政策局，會繼續致力以多管齊下的策略，善用現有土地及開發新增土地，以應付社會持續發展的土地需求。</w:t>
      </w:r>
    </w:p>
    <w:p>
      <w:pPr>
        <w:pStyle w:val="F21"/>
        <w:rPr>
          <w:szCs w:val="27"/>
        </w:rPr>
      </w:pPr>
      <w:r>
        <w:rPr>
          <w:szCs w:val="27"/>
        </w:rPr>
      </w:r>
    </w:p>
    <w:p>
      <w:pPr>
        <w:pStyle w:val="F21"/>
        <w:rPr>
          <w:szCs w:val="27"/>
        </w:rPr>
      </w:pPr>
      <w:r>
        <w:rPr>
          <w:szCs w:val="27"/>
        </w:rPr>
        <w:tab/>
      </w:r>
      <w:r>
        <w:rPr>
          <w:szCs w:val="27"/>
        </w:rPr>
        <w:t>香港整體經濟以至各項產業</w:t>
      </w:r>
      <w:r>
        <w:rPr>
          <w:szCs w:val="27"/>
        </w:rPr>
        <w:t>(</w:t>
      </w:r>
      <w:r>
        <w:rPr>
          <w:szCs w:val="27"/>
        </w:rPr>
        <w:t>包括工業</w:t>
      </w:r>
      <w:r>
        <w:rPr>
          <w:szCs w:val="27"/>
        </w:rPr>
        <w:t>)</w:t>
      </w:r>
      <w:r>
        <w:rPr>
          <w:szCs w:val="27"/>
        </w:rPr>
        <w:t>的持續發展，需要合適的土地資源配套。發展局會繼續透過土地供應及用途規劃，向市場提供發展所需的商業／商貿以至其他合適用地。發展局亦會支援相關政策局推展其各項產業政策。事實上，發展局與商務及經濟發展局過去曾合作撥出適當用地發展工業邨、科學園等由公營機構營運的場地和設施，以推動香港工業及科研活動，以及推行“只作酒店用途”計劃，透過特定的賣地及換地條款等，讓市場能夠有效回應旅客持續增加對酒店房間的需求。發展局亦與環境局合作，撥地發展環保園予環保業租用。發展局會繼續這方面的工作，確保我們能夠善用有限的可發展土地，支持香港的經濟和社會發展。</w:t>
      </w:r>
    </w:p>
    <w:p>
      <w:pPr>
        <w:pStyle w:val="F21"/>
        <w:rPr>
          <w:szCs w:val="27"/>
        </w:rPr>
      </w:pPr>
      <w:r>
        <w:rPr>
          <w:szCs w:val="27"/>
        </w:rPr>
      </w:r>
    </w:p>
    <w:p>
      <w:pPr>
        <w:pStyle w:val="F21"/>
        <w:rPr>
          <w:szCs w:val="27"/>
        </w:rPr>
      </w:pPr>
      <w:r>
        <w:rPr>
          <w:szCs w:val="27"/>
        </w:rPr>
        <w:tab/>
      </w:r>
      <w:r>
        <w:rPr>
          <w:szCs w:val="27"/>
        </w:rPr>
        <w:t>事實上，我們在考慮為不同產業提供土地，以至處理因發展或重建而受影響的經濟活動時，亦須同時考慮相關產業能否把握機遇，由現時可能較低增值的作業模式向較高端的運作轉型，以發揮更大的發展潛力，同時以最具效益的方式運用土地資源。</w:t>
      </w:r>
    </w:p>
    <w:p>
      <w:pPr>
        <w:pStyle w:val="F21"/>
        <w:rPr>
          <w:szCs w:val="27"/>
        </w:rPr>
      </w:pPr>
      <w:r>
        <w:rPr>
          <w:szCs w:val="27"/>
        </w:rPr>
      </w:r>
    </w:p>
    <w:p>
      <w:pPr>
        <w:pStyle w:val="F21"/>
        <w:rPr>
          <w:szCs w:val="27"/>
        </w:rPr>
      </w:pPr>
      <w:r>
        <w:rPr>
          <w:szCs w:val="27"/>
        </w:rPr>
        <w:tab/>
      </w:r>
      <w:r>
        <w:rPr>
          <w:szCs w:val="27"/>
        </w:rPr>
        <w:t>就質詢的各個部分，我的答覆如下：</w:t>
      </w:r>
    </w:p>
    <w:p>
      <w:pPr>
        <w:pStyle w:val="F21"/>
        <w:rPr>
          <w:szCs w:val="27"/>
        </w:rPr>
      </w:pPr>
      <w:r>
        <w:rPr>
          <w:szCs w:val="27"/>
        </w:rPr>
      </w:r>
    </w:p>
    <w:p>
      <w:pPr>
        <w:pStyle w:val="Style14"/>
        <w:rPr>
          <w:i w:val="false"/>
          <w:i w:val="false"/>
        </w:rPr>
      </w:pPr>
      <w:r>
        <w:rPr>
          <w:i w:val="false"/>
        </w:rPr>
        <w:t>(</w:t>
      </w:r>
      <w:r>
        <w:rPr>
          <w:i w:val="false"/>
        </w:rPr>
        <w:t>一</w:t>
      </w:r>
      <w:r>
        <w:rPr>
          <w:i w:val="false"/>
        </w:rPr>
        <w:t>)</w:t>
      </w:r>
      <w:r>
        <w:rPr>
          <w:i w:val="false"/>
        </w:rPr>
        <w:t>及</w:t>
      </w:r>
      <w:r>
        <w:rPr>
          <w:i w:val="false"/>
        </w:rPr>
        <w:t>(</w:t>
      </w:r>
      <w:r>
        <w:rPr>
          <w:i w:val="false"/>
        </w:rPr>
        <w:t>二</w:t>
      </w:r>
      <w:r>
        <w:rPr>
          <w:i w:val="false"/>
        </w:rPr>
        <w:t>)</w:t>
      </w:r>
    </w:p>
    <w:p>
      <w:pPr>
        <w:pStyle w:val="Style14"/>
        <w:rPr>
          <w:i w:val="false"/>
          <w:i w:val="false"/>
        </w:rPr>
      </w:pPr>
      <w:r>
        <w:rPr>
          <w:i w:val="false"/>
        </w:rPr>
      </w:r>
    </w:p>
    <w:p>
      <w:pPr>
        <w:pStyle w:val="Style14"/>
        <w:spacing w:lineRule="atLeast" w:line="380"/>
        <w:rPr>
          <w:i w:val="false"/>
          <w:i w:val="false"/>
        </w:rPr>
      </w:pPr>
      <w:r>
        <w:rPr>
          <w:i w:val="false"/>
        </w:rPr>
        <w:tab/>
      </w:r>
      <w:r>
        <w:rPr>
          <w:i w:val="false"/>
        </w:rPr>
        <w:t>城規會不時按社會及經濟發展需要檢討及修訂規劃，包括法定圖則上土地用途的定義。現時法定圖則上“工業用途”的定義，較一般的“工廠”定義</w:t>
      </w:r>
      <w:r>
        <w:rPr>
          <w:i w:val="false"/>
        </w:rPr>
        <w:t>(</w:t>
      </w:r>
      <w:r>
        <w:rPr>
          <w:i w:val="false"/>
        </w:rPr>
        <w:t>例如《工廠及工業經營條例》中的定義</w:t>
      </w:r>
      <w:r>
        <w:rPr>
          <w:i w:val="false"/>
        </w:rPr>
        <w:t>)</w:t>
      </w:r>
      <w:r>
        <w:rPr>
          <w:i w:val="false"/>
        </w:rPr>
        <w:t>寬闊，涵蓋與工業工序有關的部分用途，以及相關工序的訓練、研究、設計與發展、品質管制及包裝等。“工業”地帶的經常准許用途，亦已擴闊至包括“與工業用途有關的辦公室”、“資訊科技及電訊業”、“研究所及設計及發展中心”等。城規會亦在“工業用途”以外引入了</w:t>
      </w:r>
      <w:r>
        <w:rPr>
          <w:i w:val="false"/>
          <w:szCs w:val="27"/>
        </w:rPr>
        <w:t>“</w:t>
      </w:r>
      <w:r>
        <w:rPr>
          <w:i w:val="false"/>
        </w:rPr>
        <w:t>其他指定用途</w:t>
      </w:r>
      <w:r>
        <w:rPr>
          <w:i w:val="false"/>
          <w:szCs w:val="27"/>
        </w:rPr>
        <w:t>”</w:t>
      </w:r>
      <w:r>
        <w:rPr>
          <w:i w:val="false"/>
        </w:rPr>
        <w:t>註明“商貿”地帶，為現有的工業用地使用提供更大彈性。現時，法定圖則上劃為“商貿”地帶的舊工業樓宇如重建或改建作商業及非污染工業用途，包括辦公室、資訊科技、電訊業及其他創意工業等，均無須向城規會申請。</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為配合香港工業和相關產業的最新發展，規劃署分別於</w:t>
      </w:r>
      <w:r>
        <w:rPr>
          <w:i w:val="false"/>
        </w:rPr>
        <w:t>2000</w:t>
      </w:r>
      <w:r>
        <w:rPr>
          <w:i w:val="false"/>
        </w:rPr>
        <w:t>年、</w:t>
      </w:r>
      <w:r>
        <w:rPr>
          <w:i w:val="false"/>
        </w:rPr>
        <w:t>2005</w:t>
      </w:r>
      <w:r>
        <w:rPr>
          <w:i w:val="false"/>
        </w:rPr>
        <w:t>年及</w:t>
      </w:r>
      <w:r>
        <w:rPr>
          <w:i w:val="false"/>
        </w:rPr>
        <w:t>2009</w:t>
      </w:r>
      <w:r>
        <w:rPr>
          <w:i w:val="false"/>
        </w:rPr>
        <w:t>年進行了</w:t>
      </w:r>
      <w:r>
        <w:rPr>
          <w:i w:val="false"/>
        </w:rPr>
        <w:t>3</w:t>
      </w:r>
      <w:r>
        <w:rPr>
          <w:i w:val="false"/>
        </w:rPr>
        <w:t>輪分區研究，務求適時並妥善規劃和使用香港的工業用地。例如</w:t>
      </w:r>
      <w:r>
        <w:rPr>
          <w:i w:val="false"/>
        </w:rPr>
        <w:t>2009</w:t>
      </w:r>
      <w:r>
        <w:rPr>
          <w:i w:val="false"/>
        </w:rPr>
        <w:t>年分區研究建議改劃約</w:t>
      </w:r>
      <w:r>
        <w:rPr>
          <w:i w:val="false"/>
        </w:rPr>
        <w:t>60</w:t>
      </w:r>
      <w:r>
        <w:rPr>
          <w:i w:val="false"/>
        </w:rPr>
        <w:t>公頃工業用地作其他不同用途，其中包括商貿用途。規劃署亦已於</w:t>
      </w:r>
      <w:r>
        <w:rPr>
          <w:i w:val="false"/>
        </w:rPr>
        <w:t>2013</w:t>
      </w:r>
      <w:r>
        <w:rPr>
          <w:i w:val="false"/>
        </w:rPr>
        <w:t>年</w:t>
      </w:r>
      <w:r>
        <w:rPr>
          <w:i w:val="false"/>
        </w:rPr>
        <w:t>3</w:t>
      </w:r>
      <w:r>
        <w:rPr>
          <w:i w:val="false"/>
        </w:rPr>
        <w:t>月底展開最新一輪分區研究，主要目的是調查現有工業用地的最新使用情況，以及研究進一步將部分用地改作其他用途的可能性。有關研究亦會就本港工業</w:t>
      </w:r>
      <w:r>
        <w:rPr>
          <w:i w:val="false"/>
        </w:rPr>
        <w:t>(</w:t>
      </w:r>
      <w:r>
        <w:rPr>
          <w:i w:val="false"/>
        </w:rPr>
        <w:t>特別是製造業</w:t>
      </w:r>
      <w:r>
        <w:rPr>
          <w:i w:val="false"/>
        </w:rPr>
        <w:t>)</w:t>
      </w:r>
      <w:r>
        <w:rPr>
          <w:i w:val="false"/>
        </w:rPr>
        <w:t>的用地需求作出預測，藉以為有關研究提供更全面的參考資料。整項研究預計於</w:t>
      </w:r>
      <w:r>
        <w:rPr>
          <w:i w:val="false"/>
        </w:rPr>
        <w:t>2014</w:t>
      </w:r>
      <w:r>
        <w:rPr>
          <w:i w:val="false"/>
        </w:rPr>
        <w:t>年年底完成。</w:t>
      </w:r>
    </w:p>
    <w:p>
      <w:pPr>
        <w:pStyle w:val="Style14"/>
        <w:spacing w:lineRule="atLeast" w:line="380"/>
        <w:rPr>
          <w:i w:val="false"/>
          <w:i w:val="false"/>
        </w:rPr>
      </w:pPr>
      <w:r>
        <w:rPr>
          <w:i w:val="false"/>
        </w:rPr>
      </w:r>
    </w:p>
    <w:p>
      <w:pPr>
        <w:pStyle w:val="Style14"/>
        <w:spacing w:lineRule="atLeast" w:line="380"/>
        <w:rPr>
          <w:i w:val="false"/>
          <w:i w:val="false"/>
        </w:rPr>
      </w:pPr>
      <w:r>
        <w:rPr>
          <w:i w:val="false"/>
        </w:rPr>
        <w:t>(</w:t>
      </w:r>
      <w:r>
        <w:rPr>
          <w:i w:val="false"/>
        </w:rPr>
        <w:t>三</w:t>
      </w:r>
      <w:r>
        <w:rPr>
          <w:i w:val="false"/>
        </w:rPr>
        <w:t>)</w:t>
        <w:tab/>
      </w:r>
      <w:r>
        <w:rPr>
          <w:i w:val="false"/>
        </w:rPr>
        <w:t>按城規會</w:t>
      </w:r>
      <w:r>
        <w:rPr>
          <w:i w:val="false"/>
        </w:rPr>
        <w:t>2007</w:t>
      </w:r>
      <w:r>
        <w:rPr>
          <w:i w:val="false"/>
        </w:rPr>
        <w:t>年</w:t>
      </w:r>
      <w:r>
        <w:rPr>
          <w:i w:val="false"/>
        </w:rPr>
        <w:t>9</w:t>
      </w:r>
      <w:r>
        <w:rPr>
          <w:i w:val="false"/>
        </w:rPr>
        <w:t>月發出有關在“工業”地帶內進行的用途‍／發展的規劃指引，工業公司可在同一處所或樓宇內，把總實用樓面面積最多</w:t>
      </w:r>
      <w:r>
        <w:rPr>
          <w:i w:val="false"/>
        </w:rPr>
        <w:t>20%</w:t>
      </w:r>
      <w:r>
        <w:rPr>
          <w:i w:val="false"/>
        </w:rPr>
        <w:t>作附屬陳列室之用，而無須另行申請規劃許可。汽車陳列室亦可設於工業樓宇的地面一層。該指引的目的是在保持“工業”地帶的規劃意向，以及確保工業樓面供應充足的大前提下，適度容許一些非製造工序但與工業有關的支援活動在“工業”地帶內進行。</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雖然政府現時沒有計劃改變有關規定，但政府自</w:t>
      </w:r>
      <w:r>
        <w:rPr>
          <w:i w:val="false"/>
        </w:rPr>
        <w:t>2010</w:t>
      </w:r>
      <w:r>
        <w:rPr>
          <w:i w:val="false"/>
        </w:rPr>
        <w:t>年</w:t>
      </w:r>
      <w:r>
        <w:rPr>
          <w:i w:val="false"/>
        </w:rPr>
        <w:t>4</w:t>
      </w:r>
      <w:r>
        <w:rPr>
          <w:i w:val="false"/>
        </w:rPr>
        <w:t>月</w:t>
      </w:r>
      <w:r>
        <w:rPr>
          <w:i w:val="false"/>
        </w:rPr>
        <w:t>1</w:t>
      </w:r>
      <w:r>
        <w:rPr>
          <w:i w:val="false"/>
        </w:rPr>
        <w:t>日起實施的活化工廈措施能有效減少活化原工業用地的障礙，利便舊工廈重建和整幢改裝，藉以更善用土地資源，提供更多樓面作合適用途，配合香港不斷轉變的社會及經濟需要。</w:t>
      </w:r>
    </w:p>
    <w:p>
      <w:pPr>
        <w:pStyle w:val="F21"/>
        <w:spacing w:lineRule="atLeast" w:line="380"/>
        <w:rPr>
          <w:szCs w:val="27"/>
        </w:rPr>
      </w:pPr>
      <w:r>
        <w:rPr>
          <w:szCs w:val="27"/>
        </w:rPr>
      </w:r>
    </w:p>
    <w:p>
      <w:pPr>
        <w:pStyle w:val="F21"/>
        <w:spacing w:lineRule="atLeast" w:line="380"/>
        <w:rPr/>
      </w:pPr>
      <w:r>
        <w:rPr/>
      </w:r>
    </w:p>
    <w:p>
      <w:pPr>
        <w:pStyle w:val="F21"/>
        <w:spacing w:lineRule="atLeast" w:line="380"/>
        <w:rPr>
          <w:i/>
          <w:i/>
          <w:szCs w:val="27"/>
        </w:rPr>
      </w:pPr>
      <w:r>
        <w:rPr>
          <w:rFonts w:ascii="華康中黑體" w:hAnsi="華康中黑體" w:cs="華康中黑體" w:eastAsia="華康中黑體"/>
          <w:b/>
          <w:szCs w:val="27"/>
        </w:rPr>
        <w:t>鍾國斌議員</w:t>
      </w:r>
      <w:r>
        <w:rPr>
          <w:szCs w:val="27"/>
        </w:rPr>
        <w:t>：</w:t>
      </w:r>
      <w:r>
        <w:rPr>
          <w:i/>
          <w:szCs w:val="27"/>
        </w:rPr>
        <w:t>主席，局長表示現時法定圖則上“工業用途”的定義較一般的“工廠”定義寬闊，但實際上，工廠必定是作工業用途。如把工廠用作進行工業工作，其用途是否可擴闊至局長剛才所說的研究、設計、資訊科技及電訊業，但局長沒有提到的，例如我在質詢中提及的售後服務、市場推廣和展銷等，則不能進行？</w:t>
      </w:r>
    </w:p>
    <w:p>
      <w:pPr>
        <w:pStyle w:val="F21"/>
        <w:rPr>
          <w:szCs w:val="27"/>
        </w:rPr>
      </w:pPr>
      <w:r>
        <w:rPr>
          <w:szCs w:val="27"/>
        </w:rPr>
      </w:r>
    </w:p>
    <w:p>
      <w:pPr>
        <w:pStyle w:val="F21"/>
        <w:rPr>
          <w:szCs w:val="27"/>
        </w:rPr>
      </w:pPr>
      <w:r>
        <w:rPr>
          <w:szCs w:val="27"/>
        </w:rPr>
      </w:r>
    </w:p>
    <w:p>
      <w:pPr>
        <w:pStyle w:val="F21"/>
        <w:rPr>
          <w:szCs w:val="27"/>
        </w:rPr>
      </w:pPr>
      <w:r>
        <w:rPr>
          <w:rFonts w:eastAsia="華康中黑體"/>
          <w:b/>
          <w:kern w:val="2"/>
          <w:szCs w:val="27"/>
        </w:rPr>
        <w:t>發展局局長</w:t>
      </w:r>
      <w:r>
        <w:rPr>
          <w:szCs w:val="27"/>
        </w:rPr>
        <w:t>：主席，多謝鍾國斌</w:t>
      </w:r>
      <w:r>
        <w:rPr>
          <w:rFonts w:ascii="華康細明體" w:hAnsi="華康細明體"/>
          <w:szCs w:val="27"/>
        </w:rPr>
        <w:t>議員</w:t>
      </w:r>
      <w:r>
        <w:rPr>
          <w:szCs w:val="27"/>
        </w:rPr>
        <w:t>提出的補充質詢。那些活動不是不能進行，而是須要先行向城規會提出規劃申請。城規會在修訂有關的指引和用途時，其指導思想是除工序以外，與工業有關的用途均可以考慮。已列明的用途無須提出規劃申請，未有列明的則並非不能進行，只是須要先行提出規劃申請。</w:t>
      </w:r>
    </w:p>
    <w:p>
      <w:pPr>
        <w:pStyle w:val="F21"/>
        <w:rPr>
          <w:szCs w:val="27"/>
        </w:rPr>
      </w:pPr>
      <w:r>
        <w:rPr>
          <w:szCs w:val="27"/>
        </w:rPr>
      </w:r>
    </w:p>
    <w:p>
      <w:pPr>
        <w:pStyle w:val="F21"/>
        <w:rPr>
          <w:szCs w:val="27"/>
        </w:rPr>
      </w:pPr>
      <w:r>
        <w:rPr>
          <w:szCs w:val="27"/>
        </w:rPr>
      </w:r>
    </w:p>
    <w:p>
      <w:pPr>
        <w:pStyle w:val="F21"/>
        <w:snapToGrid w:val="false"/>
        <w:ind w:left="851" w:hanging="851"/>
        <w:rPr/>
      </w:pPr>
      <w:r>
        <w:rPr>
          <w:rFonts w:ascii="華康中黑體" w:hAnsi="華康中黑體" w:eastAsia="華康中黑體"/>
          <w:b/>
        </w:rPr>
        <w:t>主席</w:t>
      </w:r>
      <w:r>
        <w:rPr>
          <w:rFonts w:ascii="華康中黑體" w:hAnsi="華康中黑體"/>
        </w:rPr>
        <w:t>：</w:t>
      </w:r>
      <w:r>
        <w:rPr/>
        <w:t>你的補充質詢是否未獲答覆？</w:t>
      </w:r>
    </w:p>
    <w:p>
      <w:pPr>
        <w:pStyle w:val="F21"/>
        <w:snapToGrid w:val="false"/>
        <w:ind w:left="851" w:hanging="851"/>
        <w:rPr/>
      </w:pPr>
      <w:r>
        <w:rPr/>
      </w:r>
    </w:p>
    <w:p>
      <w:pPr>
        <w:pStyle w:val="F21"/>
        <w:snapToGrid w:val="false"/>
        <w:ind w:left="851" w:hanging="851"/>
        <w:rPr/>
      </w:pPr>
      <w:r>
        <w:rPr/>
      </w:r>
    </w:p>
    <w:p>
      <w:pPr>
        <w:pStyle w:val="F21"/>
        <w:snapToGrid w:val="false"/>
        <w:rPr>
          <w:i/>
          <w:i/>
        </w:rPr>
      </w:pPr>
      <w:r>
        <w:rPr>
          <w:rFonts w:ascii="華康中黑體" w:hAnsi="華康中黑體" w:eastAsia="華康中黑體"/>
          <w:b/>
        </w:rPr>
        <w:t>鍾國斌議員</w:t>
      </w:r>
      <w:r>
        <w:rPr/>
        <w:t>：</w:t>
      </w:r>
      <w:r>
        <w:rPr>
          <w:i/>
        </w:rPr>
        <w:t>主席，是的，局長沒有回答。我是問及工廠，我相信局長說的是一幢幢的工廠，但實際上</w:t>
      </w:r>
      <w:r>
        <w:rPr>
          <w:i/>
        </w:rPr>
        <w:t>......</w:t>
      </w:r>
    </w:p>
    <w:p>
      <w:pPr>
        <w:pStyle w:val="F21"/>
        <w:snapToGrid w:val="false"/>
        <w:ind w:left="851" w:hanging="851"/>
        <w:rPr/>
      </w:pPr>
      <w:r>
        <w:rPr/>
      </w:r>
    </w:p>
    <w:p>
      <w:pPr>
        <w:pStyle w:val="F21"/>
        <w:snapToGrid w:val="false"/>
        <w:ind w:left="851" w:hanging="851"/>
        <w:rPr/>
      </w:pPr>
      <w:r>
        <w:rPr/>
      </w:r>
    </w:p>
    <w:p>
      <w:pPr>
        <w:pStyle w:val="F21"/>
        <w:snapToGrid w:val="false"/>
        <w:ind w:left="851" w:hanging="851"/>
        <w:rPr/>
      </w:pPr>
      <w:r>
        <w:rPr>
          <w:rFonts w:ascii="華康中黑體" w:hAnsi="華康中黑體" w:eastAsia="華康中黑體"/>
          <w:b/>
        </w:rPr>
        <w:t>主席</w:t>
      </w:r>
      <w:r>
        <w:rPr>
          <w:rFonts w:ascii="華康中黑體" w:hAnsi="華康中黑體"/>
        </w:rPr>
        <w:t>：</w:t>
      </w:r>
      <w:r>
        <w:rPr/>
        <w:t>請清楚重複你剛才的補充質詢。</w:t>
      </w:r>
    </w:p>
    <w:p>
      <w:pPr>
        <w:pStyle w:val="F21"/>
        <w:snapToGrid w:val="false"/>
        <w:ind w:left="851" w:hanging="851"/>
        <w:rPr/>
      </w:pPr>
      <w:r>
        <w:rPr/>
      </w:r>
    </w:p>
    <w:p>
      <w:pPr>
        <w:pStyle w:val="F21"/>
        <w:snapToGrid w:val="false"/>
        <w:ind w:left="851" w:hanging="851"/>
        <w:rPr/>
      </w:pPr>
      <w:r>
        <w:rPr/>
      </w:r>
    </w:p>
    <w:p>
      <w:pPr>
        <w:pStyle w:val="F21"/>
        <w:snapToGrid w:val="false"/>
        <w:rPr>
          <w:i/>
          <w:i/>
        </w:rPr>
      </w:pPr>
      <w:r>
        <w:rPr>
          <w:rFonts w:ascii="華康中黑體" w:hAnsi="華康中黑體" w:eastAsia="華康中黑體"/>
          <w:b/>
        </w:rPr>
        <w:t>鍾國斌議員</w:t>
      </w:r>
      <w:r>
        <w:rPr/>
        <w:t>：</w:t>
      </w:r>
      <w:r>
        <w:rPr>
          <w:i/>
        </w:rPr>
        <w:t>我剛才的補充質詢是，有些工廠</w:t>
      </w:r>
      <w:r>
        <w:rPr>
          <w:i/>
        </w:rPr>
        <w:t>......</w:t>
      </w:r>
      <w:r>
        <w:rPr>
          <w:i/>
        </w:rPr>
        <w:t>如果工廠用作工業用途，是否自動可以</w:t>
      </w:r>
      <w:r>
        <w:rPr>
          <w:i/>
        </w:rPr>
        <w:t>......</w:t>
      </w:r>
      <w:r>
        <w:rPr>
          <w:i/>
        </w:rPr>
        <w:t>主席，或許我重新組織我的補充質詢。</w:t>
      </w:r>
    </w:p>
    <w:p>
      <w:pPr>
        <w:pStyle w:val="F21"/>
        <w:snapToGrid w:val="false"/>
        <w:ind w:left="851" w:hanging="851"/>
        <w:rPr/>
      </w:pPr>
      <w:r>
        <w:rPr/>
      </w:r>
    </w:p>
    <w:p>
      <w:pPr>
        <w:pStyle w:val="F21"/>
        <w:snapToGrid w:val="false"/>
        <w:ind w:left="851" w:hanging="851"/>
        <w:rPr/>
      </w:pPr>
      <w:r>
        <w:rPr/>
      </w:r>
    </w:p>
    <w:p>
      <w:pPr>
        <w:pStyle w:val="F21"/>
        <w:snapToGrid w:val="false"/>
        <w:ind w:left="851" w:hanging="851"/>
        <w:rPr/>
      </w:pPr>
      <w:r>
        <w:rPr>
          <w:rFonts w:ascii="華康中黑體" w:hAnsi="華康中黑體" w:eastAsia="華康中黑體"/>
          <w:b/>
        </w:rPr>
        <w:t>主席</w:t>
      </w:r>
      <w:r>
        <w:rPr>
          <w:rFonts w:ascii="華康中黑體" w:hAnsi="華康中黑體"/>
        </w:rPr>
        <w:t>：</w:t>
      </w:r>
      <w:r>
        <w:rPr/>
        <w:t>那麼，待你組織好我再讓你提問。</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cs="華康中黑體" w:eastAsia="華康中黑體"/>
          <w:b/>
          <w:szCs w:val="27"/>
        </w:rPr>
        <w:t>鍾國斌議員</w:t>
      </w:r>
      <w:r>
        <w:rPr>
          <w:szCs w:val="27"/>
        </w:rPr>
        <w:t>：</w:t>
      </w:r>
      <w:r>
        <w:rPr>
          <w:i/>
          <w:szCs w:val="27"/>
        </w:rPr>
        <w:t>好的。</w:t>
      </w:r>
    </w:p>
    <w:p>
      <w:pPr>
        <w:pStyle w:val="F21"/>
        <w:rPr>
          <w:szCs w:val="27"/>
        </w:rPr>
      </w:pPr>
      <w:r>
        <w:rPr>
          <w:szCs w:val="27"/>
        </w:rPr>
      </w:r>
    </w:p>
    <w:p>
      <w:pPr>
        <w:pStyle w:val="F21"/>
        <w:rPr>
          <w:szCs w:val="27"/>
        </w:rPr>
      </w:pPr>
      <w:r>
        <w:rPr>
          <w:szCs w:val="27"/>
        </w:rPr>
      </w:r>
    </w:p>
    <w:p>
      <w:pPr>
        <w:pStyle w:val="F21"/>
        <w:rPr>
          <w:i/>
          <w:i/>
          <w:szCs w:val="27"/>
        </w:rPr>
      </w:pPr>
      <w:r>
        <w:rPr>
          <w:rFonts w:eastAsia="華康中黑體"/>
          <w:b/>
          <w:kern w:val="2"/>
          <w:szCs w:val="27"/>
        </w:rPr>
        <w:t>陳婉嫻議員</w:t>
      </w:r>
      <w:r>
        <w:rPr>
          <w:szCs w:val="27"/>
        </w:rPr>
        <w:t>：</w:t>
      </w:r>
      <w:r>
        <w:rPr>
          <w:i/>
          <w:szCs w:val="27"/>
        </w:rPr>
        <w:t>主席，局長剛才在主體答覆第</w:t>
      </w:r>
      <w:r>
        <w:rPr>
          <w:i/>
          <w:szCs w:val="27"/>
        </w:rPr>
        <w:t>(</w:t>
      </w:r>
      <w:r>
        <w:rPr>
          <w:i/>
          <w:szCs w:val="27"/>
        </w:rPr>
        <w:t>二</w:t>
      </w:r>
      <w:r>
        <w:rPr>
          <w:i/>
          <w:szCs w:val="27"/>
        </w:rPr>
        <w:t>)</w:t>
      </w:r>
      <w:r>
        <w:rPr>
          <w:i/>
          <w:szCs w:val="27"/>
        </w:rPr>
        <w:t>部分表示，有關工業設施或政策的分區研究將於</w:t>
      </w:r>
      <w:r>
        <w:rPr>
          <w:i/>
          <w:szCs w:val="27"/>
        </w:rPr>
        <w:t>2014</w:t>
      </w:r>
      <w:r>
        <w:rPr>
          <w:i/>
          <w:szCs w:val="27"/>
        </w:rPr>
        <w:t>年年底完成，但現時有很多牽涉工業用地的當務之急需要處理。例如在新界東北發展方面，在石仔嶺一幅作醬園用途的土地上，設有一些已擁有百年歷史，生產美味白醋的醬油廠，而香港很多店鋪均有賴這些白醋、純醋，才能生產各種美味產品如薑醋等。當地設有</w:t>
      </w:r>
      <w:r>
        <w:rPr>
          <w:i/>
          <w:szCs w:val="27"/>
        </w:rPr>
        <w:t>5</w:t>
      </w:r>
      <w:r>
        <w:rPr>
          <w:i/>
          <w:szCs w:val="27"/>
        </w:rPr>
        <w:t>間醬油廠，但它們現在全皆面對新界東北發展問題。我曾向不同局長查詢，對於這些面對搬遷問題的醬油廠，政府能否提供新的土地以供繼續經營，但據說所提供的搬遷土地並不足夠，那該怎麼辦？若要待至</w:t>
      </w:r>
      <w:r>
        <w:rPr>
          <w:i/>
          <w:szCs w:val="27"/>
        </w:rPr>
        <w:t>2014</w:t>
      </w:r>
      <w:r>
        <w:rPr>
          <w:i/>
          <w:szCs w:val="27"/>
        </w:rPr>
        <w:t>年才完成研究，像石仔嶺</w:t>
      </w:r>
      <w:r>
        <w:rPr>
          <w:i/>
          <w:szCs w:val="27"/>
        </w:rPr>
        <w:t>5</w:t>
      </w:r>
      <w:r>
        <w:rPr>
          <w:i/>
          <w:szCs w:val="27"/>
        </w:rPr>
        <w:t>間醬油廠這類工業經營若希望繼續運作，當局如何可解決有關問題？</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eastAsia="華康中黑體"/>
          <w:b/>
          <w:kern w:val="2"/>
          <w:szCs w:val="27"/>
        </w:rPr>
        <w:t>發展局局長</w:t>
      </w:r>
      <w:r>
        <w:rPr>
          <w:szCs w:val="27"/>
        </w:rPr>
        <w:t>：多謝陳婉嫻議員提出的補充質詢。進行新一輪工業用地檢討，其實與新界東北發展並無關係。關於陳</w:t>
      </w:r>
      <w:r>
        <w:rPr>
          <w:rFonts w:ascii="華康細明體" w:hAnsi="華康細明體"/>
          <w:szCs w:val="27"/>
        </w:rPr>
        <w:t>議員剛才</w:t>
      </w:r>
      <w:r>
        <w:rPr>
          <w:szCs w:val="27"/>
        </w:rPr>
        <w:t>提及，新界東北有數間醬油廠受發展規劃影響而需要拆遷，我不但知情，而且曾前往其中一間參觀，仔細觀察其工序及各方面情況。目前而言，我們正與商務及經濟發展局研究這方面的跟進工作，因此，我可以說我們正就此進行研究。</w:t>
      </w:r>
    </w:p>
    <w:p>
      <w:pPr>
        <w:pStyle w:val="F21"/>
        <w:spacing w:lineRule="atLeast" w:line="380"/>
        <w:rPr>
          <w:szCs w:val="27"/>
        </w:rPr>
      </w:pPr>
      <w:r>
        <w:rPr>
          <w:szCs w:val="27"/>
        </w:rPr>
      </w:r>
    </w:p>
    <w:p>
      <w:pPr>
        <w:pStyle w:val="F21"/>
        <w:spacing w:lineRule="atLeast" w:line="380"/>
        <w:rPr>
          <w:szCs w:val="27"/>
        </w:rPr>
      </w:pPr>
      <w:r>
        <w:rPr>
          <w:szCs w:val="27"/>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陳議員，你有甚麼問題？</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ind w:left="851" w:hanging="851"/>
        <w:rPr>
          <w:i/>
          <w:i/>
        </w:rPr>
      </w:pPr>
      <w:r>
        <w:rPr>
          <w:rFonts w:ascii="華康中黑體" w:hAnsi="華康中黑體" w:eastAsia="華康中黑體"/>
          <w:b/>
        </w:rPr>
        <w:t>陳婉嫻議員</w:t>
      </w:r>
      <w:r>
        <w:rPr/>
        <w:t>：</w:t>
      </w:r>
      <w:r>
        <w:rPr>
          <w:i/>
        </w:rPr>
        <w:t>主席，局長沒有回答我的補充質詢。</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請重複你的補充質詢。</w:t>
      </w:r>
    </w:p>
    <w:p>
      <w:pPr>
        <w:pStyle w:val="F21"/>
        <w:spacing w:lineRule="atLeast" w:line="38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8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80"/>
        <w:rPr>
          <w:szCs w:val="27"/>
        </w:rPr>
      </w:pPr>
      <w:r>
        <w:rPr>
          <w:rFonts w:ascii="華康中黑體" w:hAnsi="華康中黑體" w:eastAsia="華康中黑體"/>
          <w:b/>
          <w:szCs w:val="27"/>
        </w:rPr>
        <w:t>陳婉嫻議員</w:t>
      </w:r>
      <w:r>
        <w:rPr>
          <w:szCs w:val="27"/>
        </w:rPr>
        <w:t>：</w:t>
      </w:r>
      <w:r>
        <w:rPr>
          <w:i/>
          <w:szCs w:val="27"/>
        </w:rPr>
        <w:t>有關研究要在</w:t>
      </w:r>
      <w:r>
        <w:rPr>
          <w:i/>
          <w:szCs w:val="27"/>
        </w:rPr>
        <w:t>2014</w:t>
      </w:r>
      <w:r>
        <w:rPr>
          <w:i/>
          <w:szCs w:val="27"/>
        </w:rPr>
        <w:t>年年底才能完成，但它們現在已面臨被迫拆遷的問題，當局有何措施保留這些傳統工業？這些都是我往訪日本時</w:t>
      </w:r>
      <w:r>
        <w:rPr>
          <w:i/>
          <w:szCs w:val="27"/>
        </w:rPr>
        <w:t>......</w:t>
      </w:r>
      <w:r>
        <w:rPr>
          <w:szCs w:val="27"/>
        </w:rPr>
        <w:t xml:space="preserve"> </w:t>
      </w:r>
    </w:p>
    <w:p>
      <w:pPr>
        <w:pStyle w:val="F21"/>
        <w:spacing w:lineRule="atLeast" w:line="380"/>
        <w:rPr>
          <w:szCs w:val="27"/>
        </w:rPr>
      </w:pPr>
      <w:r>
        <w:rPr>
          <w:szCs w:val="27"/>
        </w:rPr>
      </w:r>
    </w:p>
    <w:p>
      <w:pPr>
        <w:pStyle w:val="F21"/>
        <w:spacing w:lineRule="atLeast" w:line="380"/>
        <w:rPr>
          <w:szCs w:val="27"/>
        </w:rPr>
      </w:pPr>
      <w:r>
        <w:rPr>
          <w:szCs w:val="27"/>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陳議員，你已重複了你的補充質詢，請讓局長作答。</w:t>
      </w:r>
    </w:p>
    <w:p>
      <w:pPr>
        <w:pStyle w:val="F21"/>
        <w:spacing w:lineRule="atLeast" w:line="38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8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80"/>
        <w:rPr>
          <w:i/>
          <w:i/>
          <w:szCs w:val="27"/>
        </w:rPr>
      </w:pPr>
      <w:r>
        <w:rPr>
          <w:rFonts w:ascii="華康中黑體" w:hAnsi="華康中黑體" w:eastAsia="華康中黑體"/>
          <w:b/>
          <w:szCs w:val="27"/>
        </w:rPr>
        <w:t>陳婉嫻議員</w:t>
      </w:r>
      <w:r>
        <w:rPr>
          <w:szCs w:val="27"/>
        </w:rPr>
        <w:t>：</w:t>
      </w:r>
      <w:r>
        <w:rPr>
          <w:i/>
          <w:szCs w:val="27"/>
        </w:rPr>
        <w:t>主席，局長沒有回答我的補充質詢。</w:t>
      </w:r>
    </w:p>
    <w:p>
      <w:pPr>
        <w:pStyle w:val="F21"/>
        <w:spacing w:lineRule="atLeast" w:line="38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8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spacing w:lineRule="atLeast" w:line="380"/>
        <w:rPr>
          <w:szCs w:val="27"/>
        </w:rPr>
      </w:pPr>
      <w:r>
        <w:rPr>
          <w:rFonts w:ascii="華康中黑體" w:hAnsi="華康中黑體" w:cs="華康中黑體" w:eastAsia="華康中黑體"/>
          <w:b/>
          <w:szCs w:val="27"/>
        </w:rPr>
        <w:t>發展局局長</w:t>
      </w:r>
      <w:r>
        <w:rPr>
          <w:szCs w:val="27"/>
        </w:rPr>
        <w:t>：主席，我其實已經作答，因為將於</w:t>
      </w:r>
      <w:r>
        <w:rPr>
          <w:szCs w:val="27"/>
        </w:rPr>
        <w:t>2014</w:t>
      </w:r>
      <w:r>
        <w:rPr>
          <w:szCs w:val="27"/>
        </w:rPr>
        <w:t>年完成的分區研究是涉及全港工業用地的檢討，而在新界東北發展項目中，除該數間工廠外，其實還有其他經營者受到影響，我們現正就有關影響的應對措施進行跨政策局的研究。受影響的經營者亦並非須在</w:t>
      </w:r>
      <w:r>
        <w:rPr>
          <w:szCs w:val="27"/>
        </w:rPr>
        <w:t>2014</w:t>
      </w:r>
      <w:r>
        <w:rPr>
          <w:szCs w:val="27"/>
        </w:rPr>
        <w:t>年拆遷，而是數年後才需要他遷，所以我們現正緊密進行跨政策局的研究工作。</w:t>
      </w:r>
    </w:p>
    <w:p>
      <w:pPr>
        <w:pStyle w:val="F21"/>
        <w:rPr>
          <w:rFonts w:ascii="華康中黑體" w:hAnsi="華康中黑體" w:eastAsia="華康中黑體"/>
          <w:b/>
          <w:b/>
          <w:szCs w:val="27"/>
        </w:rPr>
      </w:pPr>
      <w:r>
        <w:rPr>
          <w:rFonts w:eastAsia="華康中黑體" w:ascii="華康中黑體" w:hAnsi="華康中黑體"/>
          <w:b/>
          <w:szCs w:val="27"/>
        </w:rPr>
      </w:r>
    </w:p>
    <w:p>
      <w:pPr>
        <w:pStyle w:val="F21"/>
        <w:rPr>
          <w:rFonts w:ascii="華康中黑體" w:hAnsi="華康中黑體" w:eastAsia="華康中黑體"/>
          <w:b/>
          <w:b/>
          <w:szCs w:val="27"/>
        </w:rPr>
      </w:pPr>
      <w:r>
        <w:rPr>
          <w:rFonts w:eastAsia="華康中黑體" w:ascii="華康中黑體" w:hAnsi="華康中黑體"/>
          <w:b/>
          <w:szCs w:val="27"/>
        </w:rPr>
      </w:r>
    </w:p>
    <w:p>
      <w:pPr>
        <w:pStyle w:val="F21"/>
        <w:rPr>
          <w:i/>
          <w:i/>
          <w:szCs w:val="27"/>
        </w:rPr>
      </w:pPr>
      <w:r>
        <w:rPr>
          <w:rFonts w:ascii="華康中黑體" w:hAnsi="華康中黑體" w:eastAsia="華康中黑體"/>
          <w:b/>
          <w:szCs w:val="27"/>
        </w:rPr>
        <w:t>葉劉淑儀議員</w:t>
      </w:r>
      <w:r>
        <w:rPr>
          <w:szCs w:val="27"/>
        </w:rPr>
        <w:t>：</w:t>
      </w:r>
      <w:r>
        <w:rPr>
          <w:i/>
          <w:szCs w:val="27"/>
        </w:rPr>
        <w:t>很多市民有一種錯覺，以為工廠大廈</w:t>
      </w:r>
      <w:r>
        <w:rPr>
          <w:i/>
          <w:szCs w:val="27"/>
        </w:rPr>
        <w:t>(“</w:t>
      </w:r>
      <w:r>
        <w:rPr>
          <w:i/>
          <w:szCs w:val="27"/>
        </w:rPr>
        <w:t>工廈”</w:t>
      </w:r>
      <w:r>
        <w:rPr>
          <w:i/>
          <w:szCs w:val="27"/>
        </w:rPr>
        <w:t>)</w:t>
      </w:r>
      <w:r>
        <w:rPr>
          <w:i/>
          <w:szCs w:val="27"/>
        </w:rPr>
        <w:t>使用率偏低或長期空置，而且空置率甚高。我想問局長，工廈的空置率是否真的很高？若否，局長手邊可有關於工廈用途的資料，可告知有多少工廈仍用作進行製造工序，或局長在主體答覆中指出的與工業用途有關的其他用途？</w:t>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szCs w:val="27"/>
        </w:rPr>
      </w:pPr>
      <w:r>
        <w:rPr>
          <w:rFonts w:ascii="華康中黑體" w:hAnsi="華康中黑體" w:cs="華康中黑體" w:eastAsia="華康中黑體"/>
          <w:b/>
          <w:szCs w:val="27"/>
        </w:rPr>
        <w:t>發展局局長</w:t>
      </w:r>
      <w:r>
        <w:rPr>
          <w:szCs w:val="27"/>
        </w:rPr>
        <w:t>：多謝葉劉淑儀議員的補充質詢，這項提問可說正中要害。我們現正進行的工業用地用途檢討的其中一項內容，正是檢視有關用途地帶內的工廈的實際用途。所以，我在現階段無法提供任何具體數據，但在檢討完成後便會知道詳情。我們亦注意到現時大部分工廈的空置率其實很低，所以在考慮活化工廈時必需留意這一點。因為如所推出的措施並不合適，在這些工廈營運的中小型企業</w:t>
      </w:r>
      <w:r>
        <w:rPr>
          <w:szCs w:val="27"/>
        </w:rPr>
        <w:t>(“</w:t>
      </w:r>
      <w:r>
        <w:rPr>
          <w:szCs w:val="27"/>
        </w:rPr>
        <w:t>中小企”</w:t>
      </w:r>
      <w:r>
        <w:rPr>
          <w:szCs w:val="27"/>
        </w:rPr>
        <w:t>)</w:t>
      </w:r>
      <w:r>
        <w:rPr>
          <w:szCs w:val="27"/>
        </w:rPr>
        <w:t>及其他使用者將會受到很大影響。</w:t>
      </w:r>
    </w:p>
    <w:p>
      <w:pPr>
        <w:pStyle w:val="F21"/>
        <w:rPr>
          <w:rFonts w:ascii="華康中黑體" w:hAnsi="華康中黑體" w:eastAsia="華康中黑體"/>
          <w:b/>
          <w:b/>
          <w:szCs w:val="27"/>
        </w:rPr>
      </w:pPr>
      <w:r>
        <w:rPr>
          <w:rFonts w:eastAsia="華康中黑體" w:ascii="華康中黑體" w:hAnsi="華康中黑體"/>
          <w:b/>
          <w:szCs w:val="27"/>
        </w:rPr>
      </w:r>
    </w:p>
    <w:p>
      <w:pPr>
        <w:pStyle w:val="F21"/>
        <w:rPr>
          <w:rFonts w:ascii="華康中黑體" w:hAnsi="華康中黑體" w:eastAsia="華康中黑體"/>
          <w:b/>
          <w:b/>
          <w:szCs w:val="27"/>
        </w:rPr>
      </w:pPr>
      <w:r>
        <w:rPr>
          <w:rFonts w:eastAsia="華康中黑體" w:ascii="華康中黑體" w:hAnsi="華康中黑體"/>
          <w:b/>
          <w:szCs w:val="27"/>
        </w:rPr>
      </w:r>
    </w:p>
    <w:p>
      <w:pPr>
        <w:pStyle w:val="F21"/>
        <w:rPr>
          <w:i/>
          <w:i/>
          <w:szCs w:val="27"/>
        </w:rPr>
      </w:pPr>
      <w:r>
        <w:rPr>
          <w:rFonts w:ascii="華康中黑體" w:hAnsi="華康中黑體" w:eastAsia="華康中黑體"/>
          <w:b/>
          <w:szCs w:val="27"/>
        </w:rPr>
        <w:t>林健鋒議員</w:t>
      </w:r>
      <w:r>
        <w:rPr>
          <w:szCs w:val="27"/>
        </w:rPr>
        <w:t>：</w:t>
      </w:r>
      <w:r>
        <w:rPr>
          <w:i/>
          <w:szCs w:val="27"/>
        </w:rPr>
        <w:t>主席，從一些調查報告，我發現回流的工業並不太多，香港現應有足夠工廈應付這些工業生產活動。我亦想就葉劉淑儀議員的補充質詢作出跟進，因為現時有很多工廈實際上並非從事工業生產工作，而是進行輔助生產或服務業務。如可更改其用途，我認為將更能扶助香港的創意工業及年青人的發展。</w:t>
      </w:r>
    </w:p>
    <w:p>
      <w:pPr>
        <w:pStyle w:val="F21"/>
        <w:rPr>
          <w:i/>
          <w:i/>
          <w:szCs w:val="27"/>
        </w:rPr>
      </w:pPr>
      <w:r>
        <w:rPr>
          <w:i/>
          <w:szCs w:val="27"/>
        </w:rPr>
      </w:r>
    </w:p>
    <w:p>
      <w:pPr>
        <w:pStyle w:val="F21"/>
        <w:rPr>
          <w:szCs w:val="27"/>
        </w:rPr>
      </w:pPr>
      <w:r>
        <w:rPr>
          <w:i/>
          <w:szCs w:val="27"/>
        </w:rPr>
        <w:tab/>
      </w:r>
      <w:r>
        <w:rPr>
          <w:i/>
          <w:szCs w:val="27"/>
        </w:rPr>
        <w:t>在使用率方面，政府會否盡快考慮更改部分現有工廈的用途，使之除製造工序外，亦可用作進行更多有關工業發展的工序？</w:t>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szCs w:val="27"/>
        </w:rPr>
      </w:pPr>
      <w:r>
        <w:rPr>
          <w:rFonts w:ascii="華康中黑體" w:hAnsi="華康中黑體" w:cs="華康中黑體" w:eastAsia="華康中黑體"/>
          <w:b/>
          <w:szCs w:val="27"/>
        </w:rPr>
        <w:t>發展局局長</w:t>
      </w:r>
      <w:r>
        <w:rPr>
          <w:szCs w:val="27"/>
        </w:rPr>
        <w:t>：多謝林健鋒議員的提問。主席，正如剛才所說，在進行工業用地檢討時，我們會關注有關大廈的實際使用者是從事哪些行業。因此，我們在進行檢討時會審視數方面事宜。</w:t>
      </w:r>
    </w:p>
    <w:p>
      <w:pPr>
        <w:pStyle w:val="F21"/>
        <w:rPr>
          <w:szCs w:val="27"/>
        </w:rPr>
      </w:pPr>
      <w:r>
        <w:rPr>
          <w:szCs w:val="27"/>
        </w:rPr>
      </w:r>
    </w:p>
    <w:p>
      <w:pPr>
        <w:pStyle w:val="F21"/>
        <w:rPr>
          <w:szCs w:val="27"/>
        </w:rPr>
      </w:pPr>
      <w:r>
        <w:rPr>
          <w:szCs w:val="27"/>
        </w:rPr>
        <w:tab/>
      </w:r>
      <w:r>
        <w:rPr>
          <w:szCs w:val="27"/>
        </w:rPr>
        <w:t>首先，如區內的工業生產活動較少，並已作其他用途，有關用地將有可能改劃為其他用途，例如商業用地或其他用地。如整個區域的生產活動造成較少污染或噪音，甚至可改劃為住宅用途，但需要視乎情況而定。如個別地區有部分樓宇沒有工業生產活動，部分則仍有這類活動，則有關用地將不會改劃為住宅用途，而大多數會改劃為其他用途或商業用途。因為在這情況下，我們考慮到作住宅用途發展一定要容許住戶打開窗戶通風，因此受噪音或空氣污染的影響亦會較大。但是，若作酒店或商業用途，由於可使用中央空調系統，所受影響將較小，問題亦不大。所以，這是我們會留意的其中一點。</w:t>
      </w:r>
    </w:p>
    <w:p>
      <w:pPr>
        <w:pStyle w:val="F21"/>
        <w:rPr>
          <w:szCs w:val="27"/>
        </w:rPr>
      </w:pPr>
      <w:r>
        <w:rPr>
          <w:szCs w:val="27"/>
        </w:rPr>
      </w:r>
    </w:p>
    <w:p>
      <w:pPr>
        <w:pStyle w:val="F21"/>
        <w:rPr>
          <w:szCs w:val="27"/>
        </w:rPr>
      </w:pPr>
      <w:r>
        <w:rPr>
          <w:szCs w:val="27"/>
        </w:rPr>
        <w:tab/>
      </w:r>
      <w:r>
        <w:rPr>
          <w:szCs w:val="27"/>
        </w:rPr>
        <w:t>另一方面，我們亦注意到社會上有些意見認為，現時人民幣不斷升值，內地工資亦水漲船高，兩地生產成本的距離似乎有所拉近。因此，政府或可推出一些措施，讓某些生產工序回流香港，尤其是高增值的生產工序。在這方面，我們亦正加以留意。</w:t>
      </w:r>
    </w:p>
    <w:p>
      <w:pPr>
        <w:pStyle w:val="F21"/>
        <w:rPr>
          <w:szCs w:val="27"/>
        </w:rPr>
      </w:pPr>
      <w:r>
        <w:rPr>
          <w:szCs w:val="27"/>
        </w:rPr>
      </w:r>
    </w:p>
    <w:p>
      <w:pPr>
        <w:pStyle w:val="F21"/>
        <w:rPr>
          <w:szCs w:val="27"/>
        </w:rPr>
      </w:pPr>
      <w:r>
        <w:rPr>
          <w:szCs w:val="27"/>
        </w:rPr>
        <w:tab/>
      </w:r>
      <w:r>
        <w:rPr>
          <w:szCs w:val="27"/>
        </w:rPr>
        <w:t>目前而言，由於部分工廈樓齡頗高，加上當中夾雜了很多不同用途，所以未必完全適合用作進行新一代的較高增值生產工序，因會受到樓上或樓下的其他產業所影響。我們正就這方面進行檢視，並會物色一些適當的個別工業用地，以供納入稍後進行的賣地計劃中，為市場製造這方面的發展空間。</w:t>
      </w:r>
    </w:p>
    <w:p>
      <w:pPr>
        <w:pStyle w:val="F21"/>
        <w:rPr>
          <w:szCs w:val="27"/>
        </w:rPr>
      </w:pPr>
      <w:r>
        <w:rPr>
          <w:szCs w:val="27"/>
        </w:rPr>
      </w:r>
    </w:p>
    <w:p>
      <w:pPr>
        <w:pStyle w:val="F21"/>
        <w:rPr>
          <w:szCs w:val="27"/>
        </w:rPr>
      </w:pPr>
      <w:r>
        <w:rPr>
          <w:szCs w:val="27"/>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鍾國斌議員，你是否準備好提出補充質詢？</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eastAsia="華康中黑體"/>
          <w:b/>
          <w:szCs w:val="27"/>
        </w:rPr>
        <w:t>鍾國斌議員</w:t>
      </w:r>
      <w:r>
        <w:rPr>
          <w:szCs w:val="27"/>
        </w:rPr>
        <w:t>：</w:t>
      </w:r>
      <w:r>
        <w:rPr>
          <w:i/>
          <w:szCs w:val="27"/>
        </w:rPr>
        <w:t>我的補充質詢是，很多中小企的經營單位面積只有三數千呎，難道要動輒向城規會提出申請？</w:t>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szCs w:val="27"/>
        </w:rPr>
      </w:pPr>
      <w:r>
        <w:rPr>
          <w:rFonts w:ascii="華康中黑體" w:hAnsi="華康中黑體" w:cs="華康中黑體" w:eastAsia="華康中黑體"/>
          <w:b/>
          <w:szCs w:val="27"/>
        </w:rPr>
        <w:t>發展局局長</w:t>
      </w:r>
      <w:r>
        <w:rPr>
          <w:szCs w:val="27"/>
        </w:rPr>
        <w:t>：主席，說到規劃申請，我所指的其實是重建或改裝。如涉及個別大廈內的部分用途，事實上確要依循目前的規定辦事。至於在這方面是否有可作調整的空間，我們樂意與業界溝通，探討可在哪些地方作出可能範圍內的配合。</w:t>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rPr>
          <w:i/>
          <w:i/>
        </w:rPr>
      </w:pPr>
      <w:r>
        <w:rPr>
          <w:rFonts w:ascii="華康中黑體" w:hAnsi="華康中黑體" w:cs="華康中黑體" w:eastAsia="華康中黑體"/>
          <w:b/>
          <w:szCs w:val="27"/>
        </w:rPr>
        <w:t>張宇人議員</w:t>
      </w:r>
      <w:r>
        <w:rPr/>
        <w:t>：</w:t>
      </w:r>
      <w:r>
        <w:rPr>
          <w:i/>
        </w:rPr>
        <w:t>主席，我想就工廈作飲食業用途一事提問。遠在</w:t>
      </w:r>
      <w:r>
        <w:rPr>
          <w:i/>
        </w:rPr>
        <w:t>30</w:t>
      </w:r>
      <w:r>
        <w:rPr>
          <w:i/>
        </w:rPr>
        <w:t>多年前，由於有流動小販在工廠區的街道上隨處擺賣，因此政府發出工廠食堂牌照，以供流動小販在工廈地下經營食堂。但是，</w:t>
      </w:r>
      <w:r>
        <w:rPr>
          <w:i/>
        </w:rPr>
        <w:t>30</w:t>
      </w:r>
      <w:r>
        <w:rPr>
          <w:i/>
        </w:rPr>
        <w:t>多年過後的今天，有不少業界人士向我反映，規管這類工廠食堂的條例非常苛刻，須向政府繳交的費用亦十分昂貴。我想問局長，他剛才答覆</w:t>
      </w:r>
      <w:r>
        <w:rPr>
          <w:i/>
          <w:szCs w:val="27"/>
        </w:rPr>
        <w:t>鍾國斌議員的質詢時</w:t>
      </w:r>
      <w:r>
        <w:rPr>
          <w:i/>
        </w:rPr>
        <w:t>表示會檢討，不知他會否切實作出檢討或跟我所屬業界人士會面，探討可有甚麼條例可在</w:t>
      </w:r>
      <w:r>
        <w:rPr>
          <w:i/>
        </w:rPr>
        <w:t>30</w:t>
      </w:r>
      <w:r>
        <w:rPr>
          <w:i/>
        </w:rPr>
        <w:t>年後的今天加以活化，以切合現今情況，讓工廠食堂的經營者得以生存？</w:t>
      </w:r>
    </w:p>
    <w:p>
      <w:pPr>
        <w:pStyle w:val="F21"/>
        <w:rPr/>
      </w:pPr>
      <w:r>
        <w:rPr/>
      </w:r>
    </w:p>
    <w:p>
      <w:pPr>
        <w:pStyle w:val="F21"/>
        <w:rPr/>
      </w:pPr>
      <w:r>
        <w:rPr/>
      </w:r>
    </w:p>
    <w:p>
      <w:pPr>
        <w:pStyle w:val="F21"/>
        <w:rPr/>
      </w:pPr>
      <w:r>
        <w:rPr>
          <w:rFonts w:ascii="華康中黑體" w:hAnsi="華康中黑體" w:cs="華康中黑體" w:eastAsia="華康中黑體"/>
          <w:b/>
          <w:szCs w:val="27"/>
        </w:rPr>
        <w:t>發展局局長</w:t>
      </w:r>
      <w:r>
        <w:rPr/>
        <w:t>：多謝</w:t>
      </w:r>
      <w:r>
        <w:rPr>
          <w:szCs w:val="27"/>
        </w:rPr>
        <w:t>張宇人議員</w:t>
      </w:r>
      <w:r>
        <w:rPr/>
        <w:t>的提問。在這方面，我們可以作出研究。我會就此與</w:t>
      </w:r>
      <w:r>
        <w:rPr>
          <w:szCs w:val="27"/>
        </w:rPr>
        <w:t>食物及衞生局進行研究，然後提交跟進答覆文件。</w:t>
      </w:r>
      <w:r>
        <w:rPr>
          <w:szCs w:val="27"/>
        </w:rPr>
        <w:t>(</w:t>
      </w:r>
      <w:hyperlink w:anchor="app_I">
        <w:r>
          <w:rPr/>
          <w:t>附錄</w:t>
        </w:r>
        <w:r>
          <w:rPr/>
          <w:t>I</w:t>
        </w:r>
      </w:hyperlink>
      <w:r>
        <w:rPr>
          <w:szCs w:val="27"/>
        </w:rPr>
        <w:t>)</w:t>
      </w:r>
    </w:p>
    <w:p>
      <w:pPr>
        <w:pStyle w:val="F21"/>
        <w:rPr/>
      </w:pPr>
      <w:r>
        <w:rPr/>
      </w:r>
    </w:p>
    <w:p>
      <w:pPr>
        <w:pStyle w:val="F21"/>
        <w:rPr/>
      </w:pPr>
      <w:r>
        <w:rPr/>
      </w:r>
    </w:p>
    <w:p>
      <w:pPr>
        <w:pStyle w:val="F21"/>
        <w:rPr/>
      </w:pPr>
      <w:r>
        <w:rPr>
          <w:rFonts w:ascii="華康中黑體" w:hAnsi="華康中黑體" w:cs="華康中黑體" w:eastAsia="華康中黑體"/>
          <w:b/>
          <w:szCs w:val="27"/>
        </w:rPr>
        <w:t>田北俊議員</w:t>
      </w:r>
      <w:r>
        <w:rPr/>
        <w:t>：</w:t>
      </w:r>
      <w:r>
        <w:rPr>
          <w:i/>
        </w:rPr>
        <w:t>主席，香港現時土地不足，住宅的入住率和寫字樓的使用率均相當高。但是，很多舊型工廈事實上有很高空置率，不過局長剛才表示沒有這方面的資料。我認為最大問題是市區重建局</w:t>
      </w:r>
      <w:r>
        <w:rPr>
          <w:i/>
        </w:rPr>
        <w:t>(“</w:t>
      </w:r>
      <w:r>
        <w:rPr>
          <w:i/>
        </w:rPr>
        <w:t>市建局”</w:t>
      </w:r>
      <w:r>
        <w:rPr>
          <w:i/>
        </w:rPr>
        <w:t>)</w:t>
      </w:r>
      <w:r>
        <w:rPr>
          <w:i/>
        </w:rPr>
        <w:t>只收購市區樓宇，而且按法例規定，如獲八成業主同意便可同時收購其餘兩成業權，而重建和活化舊型工廈的工作如此困難，是因為舊型工廈的業權相當分散，根本難以成事。所以，我想問政府有沒有計劃讓市建局或其他機構進行舊型工廈的收購及重建工作，以及引入在收購八成業權後便可重建的概念？</w:t>
      </w:r>
    </w:p>
    <w:p>
      <w:pPr>
        <w:pStyle w:val="F21"/>
        <w:rPr/>
      </w:pPr>
      <w:r>
        <w:rPr/>
      </w:r>
    </w:p>
    <w:p>
      <w:pPr>
        <w:pStyle w:val="F21"/>
        <w:rPr/>
      </w:pPr>
      <w:r>
        <w:rPr/>
      </w:r>
    </w:p>
    <w:p>
      <w:pPr>
        <w:pStyle w:val="F21"/>
        <w:rPr/>
      </w:pPr>
      <w:r>
        <w:rPr>
          <w:rFonts w:ascii="華康中黑體" w:hAnsi="華康中黑體" w:cs="華康中黑體" w:eastAsia="華康中黑體"/>
          <w:b/>
          <w:szCs w:val="27"/>
        </w:rPr>
        <w:t>發展局局長</w:t>
      </w:r>
      <w:r>
        <w:rPr/>
        <w:t>：多謝</w:t>
      </w:r>
      <w:r>
        <w:rPr>
          <w:szCs w:val="27"/>
        </w:rPr>
        <w:t>田北俊議員</w:t>
      </w:r>
      <w:r>
        <w:rPr/>
        <w:t>的提問。主席，今年年初，隨着當局在財政預算案</w:t>
      </w:r>
      <w:r>
        <w:rPr/>
        <w:t>(“</w:t>
      </w:r>
      <w:r>
        <w:rPr/>
        <w:t>預算案”</w:t>
      </w:r>
      <w:r>
        <w:rPr/>
        <w:t>)</w:t>
      </w:r>
      <w:r>
        <w:rPr/>
        <w:t>提出有關建議，市建局提出了兩個工廈重建項目以作落實。其中一個眾所周知的項目位於士美菲路，所涉業權亦非常分散，但在項目提出後遭業主反對由市建局進行重建，他們認為自行重建將較佳，所以市建局亦已放棄該項目。另一位於長沙灣的項目則已開展，從最近的報章報道可得知市建局已出價進行收購。這兩個項目均屬先導計劃，進一步應如何處理，須視乎這兩個先導計劃的進展情況才可再作考慮。</w:t>
      </w:r>
    </w:p>
    <w:p>
      <w:pPr>
        <w:pStyle w:val="F21"/>
        <w:rPr/>
      </w:pPr>
      <w:r>
        <w:rPr/>
      </w:r>
    </w:p>
    <w:p>
      <w:pPr>
        <w:pStyle w:val="F21"/>
        <w:rPr/>
      </w:pPr>
      <w:r>
        <w:rPr/>
        <w:tab/>
      </w:r>
      <w:r>
        <w:rPr/>
        <w:t>但是，必須注意的是，市建局在進行這些項目時，一般會以較市價為高的出價收購業權，而在這情況下，即使市建局無需就發展項目向特區政府支付補地價，但這些項目的財務估算往往會出現赤字，需要補貼資金。換言之，進行這些項目，不管是工廈重建或市建局推動的其他住宅項目發展，均涉及相當程度的公帑補貼。所以，在考慮其幅度及緩急先後時，必須小心作出衡量。</w:t>
      </w:r>
    </w:p>
    <w:p>
      <w:pPr>
        <w:pStyle w:val="F21"/>
        <w:rPr/>
      </w:pPr>
      <w:r>
        <w:rPr/>
      </w:r>
    </w:p>
    <w:p>
      <w:pPr>
        <w:pStyle w:val="F21"/>
        <w:rPr/>
      </w:pPr>
      <w:r>
        <w:rPr/>
        <w:tab/>
      </w:r>
      <w:r>
        <w:rPr/>
        <w:t>一般而言，為甚麼是虧本項目也要照做呢？因當中不單涉及重建問題，還有市區的更新，而個別大廈亦可能十分殘破，居住環境不但欠佳，甚至出現安全問題。所以，當有其他政策因素的考慮時，我們便會優先處理，但若純粹涉及發展，則要考慮其財務承擔及當中的影響。</w:t>
      </w:r>
    </w:p>
    <w:p>
      <w:pPr>
        <w:pStyle w:val="F21"/>
        <w:rPr/>
      </w:pPr>
      <w:r>
        <w:rPr/>
      </w:r>
    </w:p>
    <w:p>
      <w:pPr>
        <w:pStyle w:val="F21"/>
        <w:rPr/>
      </w:pPr>
      <w:r>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你的補充質詢是否未獲答覆？</w:t>
      </w:r>
    </w:p>
    <w:p>
      <w:pPr>
        <w:pStyle w:val="F21"/>
        <w:rPr/>
      </w:pPr>
      <w:r>
        <w:rPr/>
      </w:r>
    </w:p>
    <w:p>
      <w:pPr>
        <w:pStyle w:val="F21"/>
        <w:rPr/>
      </w:pPr>
      <w:r>
        <w:rPr/>
      </w:r>
    </w:p>
    <w:p>
      <w:pPr>
        <w:pStyle w:val="F21"/>
        <w:rPr/>
      </w:pPr>
      <w:r>
        <w:rPr>
          <w:rFonts w:ascii="華康中黑體" w:hAnsi="華康中黑體" w:cs="華康中黑體" w:eastAsia="華康中黑體"/>
          <w:b/>
          <w:szCs w:val="27"/>
        </w:rPr>
        <w:t>田北俊議員</w:t>
      </w:r>
      <w:r>
        <w:rPr/>
        <w:t>：</w:t>
      </w:r>
      <w:r>
        <w:rPr>
          <w:i/>
        </w:rPr>
        <w:t>主席，局長沒有答覆我的補充質詢。我明白市建局的參與是另一回事，但最重要的是市建局亦做不了多少。私人樓宇如有八成業主同意便可進行強拍，如把這個八成業權的概念運用在工廈方面，很多其他工廈便不一定需要由市建局處理。對於八成業權的規限，政府有何看法？</w:t>
      </w:r>
    </w:p>
    <w:p>
      <w:pPr>
        <w:pStyle w:val="F21"/>
        <w:rPr/>
      </w:pPr>
      <w:r>
        <w:rPr/>
      </w:r>
    </w:p>
    <w:p>
      <w:pPr>
        <w:pStyle w:val="F21"/>
        <w:rPr/>
      </w:pPr>
      <w:r>
        <w:rPr/>
      </w:r>
    </w:p>
    <w:p>
      <w:pPr>
        <w:pStyle w:val="F21"/>
        <w:rPr/>
      </w:pPr>
      <w:r>
        <w:rPr>
          <w:rFonts w:ascii="華康中黑體" w:hAnsi="華康中黑體" w:cs="華康中黑體" w:eastAsia="華康中黑體"/>
          <w:b/>
          <w:szCs w:val="27"/>
        </w:rPr>
        <w:t>發展局局長</w:t>
      </w:r>
      <w:r>
        <w:rPr/>
        <w:t>：主席，進行強拍的八成業權門檻規定，其實也實施不久，在這方面要平衡數方面事宜。一方面，我們須尊重私人產權。另一方面，亦要考慮不願接受方案那</w:t>
      </w:r>
      <w:r>
        <w:rPr/>
        <w:t>20%</w:t>
      </w:r>
      <w:r>
        <w:rPr/>
        <w:t>業主的權利和想法。再者，在現有的這些樓宇中，總的來說雖有個別工廈的空置率較高，但以我們所知，其實很多工廈的空置率均偏低。在推動工廈的重建時，我們亦必須考慮受發展影響而須遷出的中小企和其他工廈使用者的去向，以及如何滿足他們對辦公室、寫字樓和其他場所的需求。所有這些因素，我們均需整體作出考慮。</w:t>
      </w:r>
    </w:p>
    <w:p>
      <w:pPr>
        <w:pStyle w:val="F21"/>
        <w:rPr/>
      </w:pPr>
      <w:r>
        <w:rPr/>
      </w:r>
    </w:p>
    <w:p>
      <w:pPr>
        <w:pStyle w:val="F21"/>
        <w:rPr/>
      </w:pPr>
      <w:r>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本會就這項質詢已用了差不多</w:t>
      </w:r>
      <w:r>
        <w:rPr/>
        <w:t>26</w:t>
      </w:r>
      <w:r>
        <w:rPr/>
        <w:t>分鐘。第四項質詢。</w:t>
      </w:r>
    </w:p>
    <w:p>
      <w:pPr>
        <w:pStyle w:val="F21"/>
        <w:rPr>
          <w:szCs w:val="27"/>
        </w:rPr>
      </w:pPr>
      <w:r>
        <w:rPr>
          <w:szCs w:val="27"/>
        </w:rPr>
      </w:r>
    </w:p>
    <w:p>
      <w:pPr>
        <w:pStyle w:val="F21"/>
        <w:rPr/>
      </w:pPr>
      <w:r>
        <w:rPr/>
      </w:r>
    </w:p>
    <w:p>
      <w:pPr>
        <w:pStyle w:val="F21"/>
        <w:rPr>
          <w:rFonts w:eastAsia="華康中黑體" w:cs="Times New Roman"/>
          <w:b/>
          <w:b/>
        </w:rPr>
      </w:pPr>
      <w:bookmarkStart w:id="20" w:name="orq04"/>
      <w:r>
        <w:rPr>
          <w:rFonts w:cs="Times New Roman" w:eastAsia="華康中黑體"/>
          <w:b/>
        </w:rPr>
        <w:t>在出入境管制站進行的旅客健康篩檢</w:t>
      </w:r>
    </w:p>
    <w:p>
      <w:pPr>
        <w:pStyle w:val="Normal"/>
        <w:rPr>
          <w:b/>
          <w:b/>
        </w:rPr>
      </w:pPr>
      <w:bookmarkStart w:id="21" w:name="orq04"/>
      <w:r>
        <w:rPr>
          <w:b/>
        </w:rPr>
        <w:t>Conduct of Health Screening on Travellers at Immigration Control Points</w:t>
      </w:r>
      <w:bookmarkEnd w:id="21"/>
    </w:p>
    <w:p>
      <w:pPr>
        <w:pStyle w:val="F21"/>
        <w:rPr/>
      </w:pPr>
      <w:r>
        <w:rPr/>
      </w:r>
    </w:p>
    <w:p>
      <w:pPr>
        <w:pStyle w:val="F21"/>
        <w:rPr>
          <w:i/>
          <w:i/>
        </w:rPr>
      </w:pPr>
      <w:r>
        <w:rPr>
          <w:rFonts w:eastAsia="華康中黑體"/>
          <w:b/>
        </w:rPr>
        <w:t>4.</w:t>
      </w:r>
      <w:r>
        <w:rPr/>
        <w:tab/>
      </w:r>
      <w:r>
        <w:rPr>
          <w:rFonts w:eastAsia="華康中黑體"/>
          <w:b/>
        </w:rPr>
        <w:t>范國威議員</w:t>
      </w:r>
      <w:r>
        <w:rPr/>
        <w:t>：</w:t>
      </w:r>
      <w:r>
        <w:rPr>
          <w:i/>
        </w:rPr>
        <w:t>主席，衞生署正逐步將在各出入境管制站</w:t>
      </w:r>
      <w:r>
        <w:rPr>
          <w:i/>
        </w:rPr>
        <w:t>(“</w:t>
      </w:r>
      <w:r>
        <w:rPr>
          <w:i/>
        </w:rPr>
        <w:t>管制站”</w:t>
      </w:r>
      <w:r>
        <w:rPr>
          <w:i/>
        </w:rPr>
        <w:t>)</w:t>
      </w:r>
      <w:r>
        <w:rPr>
          <w:i/>
        </w:rPr>
        <w:t>提供的健康篩檢服務外判。有健康監察助理表示擔心職位不保。他們更質疑，衞生署近日採取苛刻的管理措施並增加他們的工作壓力，意圖迫使他們辭職以落實服務外判。例如，居住在長洲並一直在港澳客運碼頭管制站工作的員工被調往落馬洲管制站上班，以及當他們未能從抵港旅客中辨認出懷孕</w:t>
      </w:r>
      <w:r>
        <w:rPr>
          <w:i/>
        </w:rPr>
        <w:t>28</w:t>
      </w:r>
      <w:r>
        <w:rPr>
          <w:i/>
        </w:rPr>
        <w:t>周或以上的內地孕婦時，會被要求撰寫報告作出解釋。就此，政府可否告知本會：</w:t>
      </w:r>
    </w:p>
    <w:p>
      <w:pPr>
        <w:pStyle w:val="F21"/>
        <w:rPr>
          <w:i/>
          <w:i/>
        </w:rPr>
      </w:pPr>
      <w:r>
        <w:rPr>
          <w:i/>
        </w:rPr>
      </w:r>
    </w:p>
    <w:p>
      <w:pPr>
        <w:pStyle w:val="F21"/>
        <w:ind w:left="1417" w:hanging="850"/>
        <w:rPr>
          <w:i/>
          <w:i/>
        </w:rPr>
      </w:pPr>
      <w:r>
        <w:rPr>
          <w:i/>
        </w:rPr>
        <w:t>(</w:t>
      </w:r>
      <w:r>
        <w:rPr>
          <w:i/>
        </w:rPr>
        <w:t>一</w:t>
      </w:r>
      <w:r>
        <w:rPr>
          <w:i/>
        </w:rPr>
        <w:t>)</w:t>
        <w:tab/>
      </w:r>
      <w:r>
        <w:rPr>
          <w:i/>
        </w:rPr>
        <w:t>鑒於近日發生兩宗懷疑外地傳入的人類感染</w:t>
      </w:r>
      <w:r>
        <w:rPr>
          <w:i/>
        </w:rPr>
        <w:t>H7N9</w:t>
      </w:r>
      <w:r>
        <w:rPr>
          <w:i/>
        </w:rPr>
        <w:t>禽流感的個案，當局有否評估健康篩檢服務承辦商有否足夠人手，應付疫症大爆發時的健康篩檢服務需求；如有評估，詳情為何；以及當局如何監管承辦商增聘的員工的服務質素；</w:t>
      </w:r>
    </w:p>
    <w:p>
      <w:pPr>
        <w:pStyle w:val="F21"/>
        <w:ind w:left="1417" w:hanging="850"/>
        <w:rPr>
          <w:i/>
          <w:i/>
        </w:rPr>
      </w:pPr>
      <w:r>
        <w:rPr>
          <w:i/>
        </w:rPr>
      </w:r>
    </w:p>
    <w:p>
      <w:pPr>
        <w:pStyle w:val="F21"/>
        <w:ind w:left="1417" w:hanging="850"/>
        <w:rPr>
          <w:i/>
          <w:i/>
        </w:rPr>
      </w:pPr>
      <w:r>
        <w:rPr>
          <w:i/>
        </w:rPr>
        <w:t>(</w:t>
      </w:r>
      <w:r>
        <w:rPr>
          <w:i/>
        </w:rPr>
        <w:t>二</w:t>
      </w:r>
      <w:r>
        <w:rPr>
          <w:i/>
        </w:rPr>
        <w:t>)</w:t>
        <w:tab/>
      </w:r>
      <w:r>
        <w:rPr>
          <w:i/>
        </w:rPr>
        <w:t>過去</w:t>
      </w:r>
      <w:r>
        <w:rPr>
          <w:i/>
        </w:rPr>
        <w:t>5</w:t>
      </w:r>
      <w:r>
        <w:rPr>
          <w:i/>
        </w:rPr>
        <w:t>年，健康監察助理藉目測方法在管制站辨認出多少名非本地孕婦，以及當局如何評估他們的工作成效；及</w:t>
      </w:r>
    </w:p>
    <w:p>
      <w:pPr>
        <w:pStyle w:val="F21"/>
        <w:ind w:left="1417" w:hanging="850"/>
        <w:rPr>
          <w:i/>
          <w:i/>
        </w:rPr>
      </w:pPr>
      <w:r>
        <w:rPr>
          <w:i/>
        </w:rPr>
      </w:r>
    </w:p>
    <w:p>
      <w:pPr>
        <w:pStyle w:val="F21"/>
        <w:ind w:left="1417" w:hanging="850"/>
        <w:rPr>
          <w:i/>
          <w:i/>
        </w:rPr>
      </w:pPr>
      <w:r>
        <w:rPr>
          <w:i/>
        </w:rPr>
        <w:t>(</w:t>
      </w:r>
      <w:r>
        <w:rPr>
          <w:i/>
        </w:rPr>
        <w:t>三</w:t>
      </w:r>
      <w:r>
        <w:rPr>
          <w:i/>
        </w:rPr>
        <w:t>)</w:t>
        <w:tab/>
      </w:r>
      <w:r>
        <w:rPr>
          <w:i/>
        </w:rPr>
        <w:t>鑒於有健康監察助理指出，透過個人遊計劃訪港的內地旅客的人數近年不斷增加，加上入境事務處</w:t>
      </w:r>
      <w:r>
        <w:rPr>
          <w:i/>
        </w:rPr>
        <w:t>(“</w:t>
      </w:r>
      <w:r>
        <w:rPr>
          <w:i/>
        </w:rPr>
        <w:t>入境處”</w:t>
      </w:r>
      <w:r>
        <w:rPr>
          <w:i/>
        </w:rPr>
        <w:t>)</w:t>
      </w:r>
      <w:r>
        <w:rPr>
          <w:i/>
        </w:rPr>
        <w:t>將逐漸以旅客自助出入境檢查系統</w:t>
      </w:r>
      <w:r>
        <w:rPr>
          <w:i/>
        </w:rPr>
        <w:t>e-</w:t>
      </w:r>
      <w:r>
        <w:rPr>
          <w:i/>
        </w:rPr>
        <w:t>道取代傳統櫃位，為持電子《前往港澳通行證》的旅客辦理出入境手續，令通關時間縮短，以致他們以目測方法辨認非本地孕婦工作的難度日益增加，當局有否檢討健康監察助理的人手及工作崗位調配，以紓緩該等員工的工作壓力？</w:t>
      </w:r>
    </w:p>
    <w:p>
      <w:pPr>
        <w:pStyle w:val="F21"/>
        <w:rPr>
          <w:i/>
          <w:i/>
        </w:rPr>
      </w:pPr>
      <w:r>
        <w:rPr>
          <w:i/>
        </w:rPr>
      </w:r>
    </w:p>
    <w:p>
      <w:pPr>
        <w:pStyle w:val="F21"/>
        <w:rPr>
          <w:szCs w:val="27"/>
        </w:rPr>
      </w:pPr>
      <w:r>
        <w:rPr>
          <w:szCs w:val="27"/>
        </w:rPr>
      </w:r>
    </w:p>
    <w:p>
      <w:pPr>
        <w:pStyle w:val="F21"/>
        <w:rPr>
          <w:szCs w:val="27"/>
        </w:rPr>
      </w:pPr>
      <w:r>
        <w:rPr>
          <w:rFonts w:eastAsia="華康中黑體"/>
          <w:b/>
          <w:szCs w:val="27"/>
        </w:rPr>
        <w:t>食物及衞生局局長</w:t>
      </w:r>
      <w:r>
        <w:rPr>
          <w:szCs w:val="27"/>
        </w:rPr>
        <w:t>：主席，衞生署自</w:t>
      </w:r>
      <w:r>
        <w:rPr>
          <w:szCs w:val="27"/>
        </w:rPr>
        <w:t>2003</w:t>
      </w:r>
      <w:r>
        <w:rPr>
          <w:szCs w:val="27"/>
        </w:rPr>
        <w:t>年開始在出入境口岸實施健康篩檢工作，並制訂相關的體溫檢測工作指引和轉介機制。已接受培訓的健康篩檢人員</w:t>
      </w:r>
      <w:r>
        <w:rPr>
          <w:szCs w:val="27"/>
        </w:rPr>
        <w:t>(</w:t>
      </w:r>
      <w:r>
        <w:rPr>
          <w:szCs w:val="27"/>
        </w:rPr>
        <w:t>無論政府僱員或承辦商員工</w:t>
      </w:r>
      <w:r>
        <w:rPr>
          <w:szCs w:val="27"/>
        </w:rPr>
        <w:t>)</w:t>
      </w:r>
      <w:r>
        <w:rPr>
          <w:szCs w:val="27"/>
        </w:rPr>
        <w:t>，會為懷疑傳染病個案作出即時和合適的跟進。口岸的健康監察站作為聯絡點，會為有傳染病病徵的旅客提供協助；亦作為健康教育宣傳地點，為旅客提供疾病資訊，提高旅客警覺。透過恆常運作及演練，這套機制一直運作理想。</w:t>
      </w:r>
    </w:p>
    <w:p>
      <w:pPr>
        <w:pStyle w:val="F21"/>
        <w:rPr>
          <w:szCs w:val="27"/>
        </w:rPr>
      </w:pPr>
      <w:r>
        <w:rPr>
          <w:szCs w:val="27"/>
        </w:rPr>
      </w:r>
    </w:p>
    <w:p>
      <w:pPr>
        <w:pStyle w:val="F21"/>
        <w:rPr>
          <w:szCs w:val="27"/>
        </w:rPr>
      </w:pPr>
      <w:r>
        <w:rPr>
          <w:szCs w:val="27"/>
        </w:rPr>
        <w:tab/>
      </w:r>
      <w:r>
        <w:rPr>
          <w:szCs w:val="27"/>
        </w:rPr>
        <w:t>此外，自</w:t>
      </w:r>
      <w:r>
        <w:rPr>
          <w:szCs w:val="27"/>
        </w:rPr>
        <w:t>2007</w:t>
      </w:r>
      <w:r>
        <w:rPr>
          <w:szCs w:val="27"/>
        </w:rPr>
        <w:t>年開始，衞生署已調派健康監察助理在部分管制站以目測方法協助辨認非本地孕婦，以便分流她們至入境處指定的入境櫃位或車道，然後由入境處人員對非本地孕婦進行入境檢查。入境處與衞生署不時檢討有關非本地孕婦入境措施的成效，並保持密切溝通，協調工作流程。</w:t>
      </w:r>
    </w:p>
    <w:p>
      <w:pPr>
        <w:pStyle w:val="F21"/>
        <w:rPr>
          <w:szCs w:val="27"/>
        </w:rPr>
      </w:pPr>
      <w:r>
        <w:rPr>
          <w:szCs w:val="27"/>
        </w:rPr>
      </w:r>
    </w:p>
    <w:p>
      <w:pPr>
        <w:pStyle w:val="F21"/>
        <w:tabs>
          <w:tab w:val="clear" w:pos="567"/>
        </w:tabs>
        <w:ind w:firstLine="567"/>
        <w:rPr>
          <w:szCs w:val="27"/>
        </w:rPr>
      </w:pPr>
      <w:r>
        <w:rPr>
          <w:szCs w:val="27"/>
        </w:rPr>
        <w:t>現時，衞生署港口衞生處的合約制健康監察助理於</w:t>
      </w:r>
      <w:r>
        <w:rPr>
          <w:szCs w:val="27"/>
        </w:rPr>
        <w:t>9</w:t>
      </w:r>
      <w:r>
        <w:rPr>
          <w:szCs w:val="27"/>
        </w:rPr>
        <w:t>個管制站執行健康篩檢工作，而外判服務承辦商員工則於香港國際機場和啟德郵輪碼頭執行這項工作。有關運作十分暢順。</w:t>
      </w:r>
    </w:p>
    <w:p>
      <w:pPr>
        <w:pStyle w:val="F21"/>
        <w:rPr>
          <w:szCs w:val="27"/>
        </w:rPr>
      </w:pPr>
      <w:r>
        <w:rPr>
          <w:szCs w:val="27"/>
        </w:rPr>
      </w:r>
    </w:p>
    <w:p>
      <w:pPr>
        <w:pStyle w:val="F21"/>
        <w:ind w:firstLine="540"/>
        <w:rPr>
          <w:szCs w:val="27"/>
        </w:rPr>
      </w:pPr>
      <w:r>
        <w:rPr>
          <w:szCs w:val="27"/>
        </w:rPr>
        <w:t>衞生署因應廉政公署的意見，定期安排前線員工調派往不同的口岸工作，有助提升部門誠信倡廉的管治文化。因此，在同一口岸工作達</w:t>
      </w:r>
      <w:r>
        <w:rPr>
          <w:szCs w:val="27"/>
        </w:rPr>
        <w:t>3</w:t>
      </w:r>
      <w:r>
        <w:rPr>
          <w:szCs w:val="27"/>
        </w:rPr>
        <w:t>年或以上的健康監察助理，會分批調派往其他口岸值勤。港口衞生處會因應個別員工的要求，考慮其健康狀況或家庭情況等因素，處理他們的口岸調動安排。港口衞生處亦為在遍遠口岸值勤的員工安排接駁巴士。</w:t>
      </w:r>
    </w:p>
    <w:p>
      <w:pPr>
        <w:pStyle w:val="F21"/>
        <w:spacing w:lineRule="atLeast" w:line="390"/>
        <w:rPr>
          <w:szCs w:val="27"/>
        </w:rPr>
      </w:pPr>
      <w:r>
        <w:rPr>
          <w:szCs w:val="27"/>
        </w:rPr>
      </w:r>
    </w:p>
    <w:p>
      <w:pPr>
        <w:pStyle w:val="F21"/>
        <w:tabs>
          <w:tab w:val="clear" w:pos="567"/>
          <w:tab w:val="left" w:pos="840" w:leader="none"/>
        </w:tabs>
        <w:spacing w:lineRule="atLeast" w:line="390"/>
        <w:ind w:firstLine="600"/>
        <w:rPr>
          <w:szCs w:val="27"/>
        </w:rPr>
      </w:pPr>
      <w:r>
        <w:rPr>
          <w:szCs w:val="27"/>
        </w:rPr>
        <w:t>因應健康監察助理的流失，亦考慮更靈活處理和提供服務，港口衞生處將由本月底開始在深圳灣口岸及文錦渡口岸實施由外判服務承辦商提供健康篩檢服務。現時任職於深圳灣口岸及文錦渡口岸的健康監察助理，將透過既定機制調派到其他口岸。目前，衞生署沒有在其他口岸外判健康篩檢服務的時間表。</w:t>
      </w:r>
    </w:p>
    <w:p>
      <w:pPr>
        <w:pStyle w:val="F21"/>
        <w:spacing w:lineRule="atLeast" w:line="390"/>
        <w:rPr>
          <w:szCs w:val="27"/>
        </w:rPr>
      </w:pPr>
      <w:r>
        <w:rPr>
          <w:szCs w:val="27"/>
        </w:rPr>
      </w:r>
    </w:p>
    <w:p>
      <w:pPr>
        <w:pStyle w:val="F21"/>
        <w:tabs>
          <w:tab w:val="clear" w:pos="567"/>
          <w:tab w:val="left" w:pos="570" w:leader="none"/>
        </w:tabs>
        <w:spacing w:lineRule="atLeast" w:line="390"/>
        <w:ind w:firstLine="600"/>
        <w:rPr>
          <w:szCs w:val="27"/>
        </w:rPr>
      </w:pPr>
      <w:r>
        <w:rPr>
          <w:szCs w:val="27"/>
        </w:rPr>
        <w:t>我再次強調，衞生署的健康篩檢服務外判安排並不會影響現有健康監察助理的僱傭合約、合約條款及續約安排。衞生署港口衞生處總部自本年年初已透過訪問員工、小組面談、內部通訊，向所有同事講解和討論有關安排，並再三強調現有員工的合約將不受影響。</w:t>
      </w:r>
    </w:p>
    <w:p>
      <w:pPr>
        <w:pStyle w:val="F21"/>
        <w:spacing w:lineRule="atLeast" w:line="390"/>
        <w:rPr>
          <w:szCs w:val="27"/>
        </w:rPr>
      </w:pPr>
      <w:r>
        <w:rPr>
          <w:szCs w:val="27"/>
        </w:rPr>
      </w:r>
    </w:p>
    <w:p>
      <w:pPr>
        <w:pStyle w:val="F21"/>
        <w:spacing w:lineRule="atLeast" w:line="390"/>
        <w:ind w:firstLine="600"/>
        <w:rPr>
          <w:szCs w:val="27"/>
        </w:rPr>
      </w:pPr>
      <w:r>
        <w:rPr>
          <w:szCs w:val="27"/>
        </w:rPr>
        <w:t>就范國威議員的質詢，我的答覆如下：</w:t>
      </w:r>
    </w:p>
    <w:p>
      <w:pPr>
        <w:pStyle w:val="F21"/>
        <w:spacing w:lineRule="atLeast" w:line="390"/>
        <w:rPr>
          <w:szCs w:val="27"/>
        </w:rPr>
      </w:pPr>
      <w:r>
        <w:rPr>
          <w:szCs w:val="27"/>
        </w:rPr>
      </w:r>
    </w:p>
    <w:p>
      <w:pPr>
        <w:pStyle w:val="Style14"/>
        <w:spacing w:lineRule="atLeast" w:line="390"/>
        <w:rPr>
          <w:i w:val="false"/>
          <w:i w:val="false"/>
        </w:rPr>
      </w:pPr>
      <w:r>
        <w:rPr>
          <w:i w:val="false"/>
        </w:rPr>
        <w:t>(</w:t>
      </w:r>
      <w:r>
        <w:rPr>
          <w:i w:val="false"/>
        </w:rPr>
        <w:t>一</w:t>
      </w:r>
      <w:r>
        <w:rPr>
          <w:i w:val="false"/>
        </w:rPr>
        <w:t>)</w:t>
        <w:tab/>
      </w:r>
      <w:r>
        <w:rPr>
          <w:i w:val="false"/>
        </w:rPr>
        <w:t>衞生署會定期為所有執行健康篩檢工作的人員</w:t>
      </w:r>
      <w:r>
        <w:rPr>
          <w:i w:val="false"/>
        </w:rPr>
        <w:t>(</w:t>
      </w:r>
      <w:r>
        <w:rPr>
          <w:i w:val="false"/>
        </w:rPr>
        <w:t>無論是政府僱員或承辦商</w:t>
      </w:r>
      <w:r>
        <w:rPr>
          <w:i w:val="false"/>
        </w:rPr>
        <w:t>)</w:t>
      </w:r>
      <w:r>
        <w:rPr>
          <w:i w:val="false"/>
        </w:rPr>
        <w:t>提供所需的培訓。培訓內容包括體溫檢測、感染控制、穿着保護衣物和對發燒人士進行健康調查等。</w:t>
      </w:r>
    </w:p>
    <w:p>
      <w:pPr>
        <w:pStyle w:val="Style14"/>
        <w:spacing w:lineRule="atLeast" w:line="390"/>
        <w:rPr>
          <w:i w:val="false"/>
          <w:i w:val="false"/>
        </w:rPr>
      </w:pPr>
      <w:r>
        <w:rPr>
          <w:i w:val="false"/>
        </w:rPr>
      </w:r>
    </w:p>
    <w:p>
      <w:pPr>
        <w:pStyle w:val="Style14"/>
        <w:spacing w:lineRule="atLeast" w:line="390"/>
        <w:rPr>
          <w:i w:val="false"/>
          <w:i w:val="false"/>
        </w:rPr>
      </w:pPr>
      <w:r>
        <w:rPr>
          <w:i w:val="false"/>
        </w:rPr>
        <w:tab/>
      </w:r>
      <w:r>
        <w:rPr>
          <w:i w:val="false"/>
        </w:rPr>
        <w:t>外判服務承辦商須根據合約，安排足夠並已經培訓的人員進行工作。衞生署和外判公司已就在緊急情況下可能需要短期內調動大量人手的情況，預先安排大量承辦商員工接受需要的培訓。</w:t>
      </w:r>
    </w:p>
    <w:p>
      <w:pPr>
        <w:pStyle w:val="Style14"/>
        <w:spacing w:lineRule="atLeast" w:line="390"/>
        <w:rPr>
          <w:i w:val="false"/>
          <w:i w:val="false"/>
        </w:rPr>
      </w:pPr>
      <w:r>
        <w:rPr>
          <w:i w:val="false"/>
        </w:rPr>
      </w:r>
    </w:p>
    <w:p>
      <w:pPr>
        <w:pStyle w:val="Style14"/>
        <w:spacing w:lineRule="atLeast" w:line="390"/>
        <w:ind w:left="1418" w:hanging="0"/>
        <w:rPr>
          <w:i w:val="false"/>
          <w:i w:val="false"/>
        </w:rPr>
      </w:pPr>
      <w:r>
        <w:rPr>
          <w:i w:val="false"/>
        </w:rPr>
        <w:t>衞生署亦會定期評估外判承辦商的工作表現和處理突發事件的應變能力。</w:t>
      </w:r>
    </w:p>
    <w:p>
      <w:pPr>
        <w:pStyle w:val="Style14"/>
        <w:spacing w:lineRule="atLeast" w:line="390"/>
        <w:rPr>
          <w:i w:val="false"/>
          <w:i w:val="false"/>
        </w:rPr>
      </w:pPr>
      <w:r>
        <w:rPr>
          <w:i w:val="false"/>
        </w:rPr>
      </w:r>
    </w:p>
    <w:p>
      <w:pPr>
        <w:pStyle w:val="Style14"/>
        <w:spacing w:lineRule="atLeast" w:line="390"/>
        <w:ind w:left="1418" w:hanging="0"/>
        <w:rPr>
          <w:i w:val="false"/>
          <w:i w:val="false"/>
        </w:rPr>
      </w:pPr>
      <w:r>
        <w:rPr>
          <w:i w:val="false"/>
        </w:rPr>
        <w:t>我們相信，無論是衞生署的合約制員工或外判承辦商人員，他們在經過培訓和透過實踐工作而累積經驗後，均可以做到這項工作。</w:t>
      </w:r>
    </w:p>
    <w:p>
      <w:pPr>
        <w:pStyle w:val="Style14"/>
        <w:spacing w:lineRule="atLeast" w:line="390"/>
        <w:rPr>
          <w:i w:val="false"/>
          <w:i w:val="false"/>
        </w:rPr>
      </w:pPr>
      <w:r>
        <w:rPr>
          <w:i w:val="false"/>
        </w:rPr>
      </w:r>
    </w:p>
    <w:p>
      <w:pPr>
        <w:pStyle w:val="Style14"/>
        <w:rPr>
          <w:i w:val="false"/>
          <w:i w:val="false"/>
        </w:rPr>
      </w:pPr>
      <w:r>
        <w:rPr>
          <w:i w:val="false"/>
        </w:rPr>
        <w:t>(</w:t>
      </w:r>
      <w:r>
        <w:rPr>
          <w:i w:val="false"/>
        </w:rPr>
        <w:t>二</w:t>
      </w:r>
      <w:r>
        <w:rPr>
          <w:i w:val="false"/>
        </w:rPr>
        <w:t>)</w:t>
      </w:r>
      <w:r>
        <w:rPr>
          <w:i w:val="false"/>
        </w:rPr>
        <w:t>及</w:t>
      </w:r>
      <w:r>
        <w:rPr>
          <w:i w:val="false"/>
        </w:rPr>
        <w:t>(</w:t>
      </w:r>
      <w:r>
        <w:rPr>
          <w:i w:val="false"/>
        </w:rPr>
        <w:t>三</w:t>
      </w:r>
      <w:r>
        <w:rPr>
          <w:i w:val="false"/>
        </w:rPr>
        <w:t>)</w:t>
      </w:r>
    </w:p>
    <w:p>
      <w:pPr>
        <w:pStyle w:val="Style14"/>
        <w:rPr>
          <w:i w:val="false"/>
          <w:i w:val="false"/>
        </w:rPr>
      </w:pPr>
      <w:r>
        <w:rPr>
          <w:i w:val="false"/>
        </w:rPr>
      </w:r>
    </w:p>
    <w:p>
      <w:pPr>
        <w:pStyle w:val="Style14"/>
        <w:ind w:left="1418" w:hanging="0"/>
        <w:rPr>
          <w:i w:val="false"/>
          <w:i w:val="false"/>
        </w:rPr>
      </w:pPr>
      <w:r>
        <w:rPr>
          <w:i w:val="false"/>
        </w:rPr>
        <w:t>為配合落實“內地雙非孕婦來港產子零配額”的政策，政府已加強在管制站對內地孕婦的檢查。目前，懷孕</w:t>
      </w:r>
      <w:r>
        <w:rPr>
          <w:i w:val="false"/>
        </w:rPr>
        <w:t>28</w:t>
      </w:r>
      <w:r>
        <w:rPr>
          <w:i w:val="false"/>
        </w:rPr>
        <w:t>周或以上的內地孕婦，入境時必須向入境處人員展示由本港醫院發出的“預約分娩服務確認書”，否則可能被拒入境。</w:t>
      </w:r>
    </w:p>
    <w:p>
      <w:pPr>
        <w:pStyle w:val="Style14"/>
        <w:rPr>
          <w:i w:val="false"/>
          <w:i w:val="false"/>
        </w:rPr>
      </w:pPr>
      <w:r>
        <w:rPr>
          <w:i w:val="false"/>
        </w:rPr>
      </w:r>
    </w:p>
    <w:p>
      <w:pPr>
        <w:pStyle w:val="Style14"/>
        <w:ind w:left="1418" w:hanging="0"/>
        <w:rPr>
          <w:i w:val="false"/>
          <w:i w:val="false"/>
        </w:rPr>
      </w:pPr>
      <w:r>
        <w:rPr>
          <w:i w:val="false"/>
        </w:rPr>
        <w:t>在入境檢查方面，衞生署的助理人員在部分口岸以目測方法進行檢測。健康監察助理會將懷疑個案分流至港方入境櫃位，由入境處人員處理。有關的目測工作是在旅客到達入境櫃台前的旅客通道內進行，所以不會因使用</w:t>
      </w:r>
      <w:r>
        <w:rPr>
          <w:i w:val="false"/>
        </w:rPr>
        <w:t>e-</w:t>
      </w:r>
      <w:r>
        <w:rPr>
          <w:i w:val="false"/>
        </w:rPr>
        <w:t>道而受影響。</w:t>
      </w:r>
    </w:p>
    <w:p>
      <w:pPr>
        <w:pStyle w:val="Style14"/>
        <w:rPr>
          <w:i w:val="false"/>
          <w:i w:val="false"/>
        </w:rPr>
      </w:pPr>
      <w:r>
        <w:rPr>
          <w:i w:val="false"/>
        </w:rPr>
      </w:r>
    </w:p>
    <w:p>
      <w:pPr>
        <w:pStyle w:val="Style14"/>
        <w:ind w:left="1418" w:hanging="0"/>
        <w:rPr>
          <w:i w:val="false"/>
          <w:i w:val="false"/>
        </w:rPr>
      </w:pPr>
      <w:r>
        <w:rPr>
          <w:i w:val="false"/>
        </w:rPr>
        <w:t>過去</w:t>
      </w:r>
      <w:r>
        <w:rPr>
          <w:i w:val="false"/>
        </w:rPr>
        <w:t>5</w:t>
      </w:r>
      <w:r>
        <w:rPr>
          <w:i w:val="false"/>
        </w:rPr>
        <w:t>年，由衞生署健康監察助理將旅客轉介至入境處人員跟進的個案數目已列於附表。</w:t>
      </w:r>
    </w:p>
    <w:p>
      <w:pPr>
        <w:pStyle w:val="Style14"/>
        <w:rPr>
          <w:i w:val="false"/>
          <w:i w:val="false"/>
        </w:rPr>
      </w:pPr>
      <w:r>
        <w:rPr>
          <w:i w:val="false"/>
        </w:rPr>
      </w:r>
    </w:p>
    <w:p>
      <w:pPr>
        <w:pStyle w:val="Style14"/>
        <w:ind w:left="1418" w:hanging="0"/>
        <w:rPr>
          <w:i w:val="false"/>
          <w:i w:val="false"/>
        </w:rPr>
      </w:pPr>
      <w:r>
        <w:rPr>
          <w:i w:val="false"/>
        </w:rPr>
        <w:t>內地孕婦不經預約闖香港醫院產子的個案已大幅下降，由</w:t>
      </w:r>
      <w:r>
        <w:rPr>
          <w:i w:val="false"/>
        </w:rPr>
        <w:t>2011</w:t>
      </w:r>
      <w:r>
        <w:rPr>
          <w:i w:val="false"/>
        </w:rPr>
        <w:t>年</w:t>
      </w:r>
      <w:r>
        <w:rPr>
          <w:i w:val="false"/>
        </w:rPr>
        <w:t>9</w:t>
      </w:r>
      <w:r>
        <w:rPr>
          <w:i w:val="false"/>
        </w:rPr>
        <w:t>月至</w:t>
      </w:r>
      <w:r>
        <w:rPr>
          <w:i w:val="false"/>
        </w:rPr>
        <w:t>12</w:t>
      </w:r>
      <w:r>
        <w:rPr>
          <w:i w:val="false"/>
        </w:rPr>
        <w:t>月的每月平均</w:t>
      </w:r>
      <w:r>
        <w:rPr>
          <w:i w:val="false"/>
        </w:rPr>
        <w:t>150</w:t>
      </w:r>
      <w:r>
        <w:rPr>
          <w:i w:val="false"/>
        </w:rPr>
        <w:t>宗，下降至</w:t>
      </w:r>
      <w:r>
        <w:rPr>
          <w:i w:val="false"/>
        </w:rPr>
        <w:t>2013</w:t>
      </w:r>
      <w:r>
        <w:rPr>
          <w:i w:val="false"/>
        </w:rPr>
        <w:t>年</w:t>
      </w:r>
      <w:r>
        <w:rPr>
          <w:i w:val="false"/>
        </w:rPr>
        <w:t>1</w:t>
      </w:r>
      <w:r>
        <w:rPr>
          <w:i w:val="false"/>
        </w:rPr>
        <w:t>月至</w:t>
      </w:r>
      <w:r>
        <w:rPr>
          <w:i w:val="false"/>
        </w:rPr>
        <w:t>11</w:t>
      </w:r>
      <w:r>
        <w:rPr>
          <w:i w:val="false"/>
        </w:rPr>
        <w:t>月每月平均只有</w:t>
      </w:r>
      <w:r>
        <w:rPr>
          <w:i w:val="false"/>
        </w:rPr>
        <w:t>20</w:t>
      </w:r>
      <w:r>
        <w:rPr>
          <w:i w:val="false"/>
        </w:rPr>
        <w:t>宗。衞生署會繼續配合各管制站的運作需要而調動人手。</w:t>
      </w:r>
    </w:p>
    <w:p>
      <w:pPr>
        <w:pStyle w:val="F21"/>
        <w:rPr>
          <w:szCs w:val="27"/>
        </w:rPr>
      </w:pPr>
      <w:r>
        <w:rPr>
          <w:szCs w:val="27"/>
        </w:rPr>
      </w:r>
    </w:p>
    <w:p>
      <w:pPr>
        <w:pStyle w:val="F21"/>
        <w:rPr>
          <w:szCs w:val="27"/>
        </w:rPr>
      </w:pPr>
      <w:r>
        <w:rPr>
          <w:szCs w:val="27"/>
        </w:rPr>
      </w:r>
    </w:p>
    <w:p>
      <w:pPr>
        <w:pStyle w:val="F21"/>
        <w:jc w:val="right"/>
        <w:rPr>
          <w:szCs w:val="27"/>
        </w:rPr>
      </w:pPr>
      <w:r>
        <w:rPr>
          <w:szCs w:val="27"/>
        </w:rPr>
        <w:t>附表</w:t>
      </w:r>
    </w:p>
    <w:p>
      <w:pPr>
        <w:pStyle w:val="F21"/>
        <w:jc w:val="right"/>
        <w:rPr>
          <w:szCs w:val="27"/>
        </w:rPr>
      </w:pPr>
      <w:r>
        <w:rPr>
          <w:szCs w:val="27"/>
        </w:rPr>
      </w:r>
    </w:p>
    <w:p>
      <w:pPr>
        <w:pStyle w:val="F21"/>
        <w:jc w:val="center"/>
        <w:rPr>
          <w:szCs w:val="27"/>
        </w:rPr>
      </w:pPr>
      <w:r>
        <w:rPr>
          <w:szCs w:val="27"/>
        </w:rPr>
        <w:t>“</w:t>
      </w:r>
      <w:r>
        <w:rPr>
          <w:szCs w:val="27"/>
        </w:rPr>
        <w:t>內地雙非孕婦來港產子零配額”的政策</w:t>
      </w:r>
    </w:p>
    <w:p>
      <w:pPr>
        <w:pStyle w:val="F21"/>
        <w:jc w:val="center"/>
        <w:rPr>
          <w:szCs w:val="27"/>
        </w:rPr>
      </w:pPr>
      <w:r>
        <w:rPr>
          <w:szCs w:val="27"/>
        </w:rPr>
      </w:r>
    </w:p>
    <w:p>
      <w:pPr>
        <w:pStyle w:val="F21"/>
        <w:jc w:val="center"/>
        <w:rPr>
          <w:szCs w:val="27"/>
        </w:rPr>
      </w:pPr>
      <w:r>
        <w:rPr>
          <w:szCs w:val="27"/>
        </w:rPr>
        <w:t>由衞生署健康監察助理轉介至入境處人員跟進的旅客個案數目</w:t>
      </w:r>
    </w:p>
    <w:p>
      <w:pPr>
        <w:pStyle w:val="F21"/>
        <w:jc w:val="center"/>
        <w:rPr>
          <w:szCs w:val="27"/>
        </w:rPr>
      </w:pPr>
      <w:r>
        <w:rPr>
          <w:szCs w:val="27"/>
        </w:rPr>
      </w:r>
    </w:p>
    <w:tbl>
      <w:tblPr>
        <w:tblW w:w="9115" w:type="dxa"/>
        <w:jc w:val="left"/>
        <w:tblInd w:w="108" w:type="dxa"/>
        <w:tblCellMar>
          <w:top w:w="0" w:type="dxa"/>
          <w:left w:w="5" w:type="dxa"/>
          <w:bottom w:w="0" w:type="dxa"/>
          <w:right w:w="5" w:type="dxa"/>
        </w:tblCellMar>
        <w:tblLook w:val="01e0" w:noHBand="0" w:noVBand="0" w:firstColumn="1" w:lastRow="1" w:lastColumn="1" w:firstRow="1"/>
      </w:tblPr>
      <w:tblGrid>
        <w:gridCol w:w="4043"/>
        <w:gridCol w:w="5071"/>
      </w:tblGrid>
      <w:tr>
        <w:trPr>
          <w:trHeight w:val="454" w:hRule="atLeast"/>
        </w:trPr>
        <w:tc>
          <w:tcPr>
            <w:tcW w:w="40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i/>
                <w:i/>
                <w:szCs w:val="27"/>
              </w:rPr>
            </w:pPr>
            <w:r>
              <w:rPr>
                <w:i/>
                <w:szCs w:val="27"/>
              </w:rPr>
              <w:t>年份</w:t>
            </w:r>
          </w:p>
        </w:tc>
        <w:tc>
          <w:tcPr>
            <w:tcW w:w="507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i/>
                <w:i/>
                <w:szCs w:val="27"/>
              </w:rPr>
            </w:pPr>
            <w:r>
              <w:rPr>
                <w:i/>
                <w:szCs w:val="27"/>
              </w:rPr>
              <w:t>轉介個案數目</w:t>
            </w:r>
          </w:p>
        </w:tc>
      </w:tr>
      <w:tr>
        <w:trPr>
          <w:trHeight w:val="454" w:hRule="atLeast"/>
        </w:trPr>
        <w:tc>
          <w:tcPr>
            <w:tcW w:w="4043" w:type="dxa"/>
            <w:tcBorders>
              <w:top w:val="single" w:sz="4" w:space="0" w:color="000000"/>
              <w:left w:val="single" w:sz="4" w:space="0" w:color="000000"/>
              <w:bottom w:val="single" w:sz="4" w:space="0" w:color="000000"/>
              <w:right w:val="single" w:sz="4" w:space="0" w:color="000000"/>
            </w:tcBorders>
            <w:shd w:color="auto" w:fill="auto" w:val="clear"/>
            <w:tcMar>
              <w:left w:w="57" w:type="dxa"/>
            </w:tcMar>
            <w:vAlign w:val="center"/>
          </w:tcPr>
          <w:p>
            <w:pPr>
              <w:pStyle w:val="F21"/>
              <w:tabs>
                <w:tab w:val="clear" w:pos="567"/>
              </w:tabs>
              <w:jc w:val="center"/>
              <w:rPr>
                <w:szCs w:val="27"/>
              </w:rPr>
            </w:pPr>
            <w:r>
              <w:rPr>
                <w:szCs w:val="27"/>
              </w:rPr>
              <w:t>2009</w:t>
            </w:r>
          </w:p>
        </w:tc>
        <w:tc>
          <w:tcPr>
            <w:tcW w:w="507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szCs w:val="27"/>
              </w:rPr>
            </w:pPr>
            <w:r>
              <w:rPr>
                <w:szCs w:val="27"/>
              </w:rPr>
              <w:t>46 749</w:t>
            </w:r>
          </w:p>
        </w:tc>
      </w:tr>
      <w:tr>
        <w:trPr>
          <w:trHeight w:val="454" w:hRule="atLeast"/>
        </w:trPr>
        <w:tc>
          <w:tcPr>
            <w:tcW w:w="4043" w:type="dxa"/>
            <w:tcBorders>
              <w:top w:val="single" w:sz="4" w:space="0" w:color="000000"/>
              <w:left w:val="single" w:sz="4" w:space="0" w:color="000000"/>
              <w:bottom w:val="single" w:sz="4" w:space="0" w:color="000000"/>
              <w:right w:val="single" w:sz="4" w:space="0" w:color="000000"/>
            </w:tcBorders>
            <w:shd w:color="auto" w:fill="auto" w:val="clear"/>
            <w:tcMar>
              <w:left w:w="57" w:type="dxa"/>
            </w:tcMar>
            <w:vAlign w:val="center"/>
          </w:tcPr>
          <w:p>
            <w:pPr>
              <w:pStyle w:val="F21"/>
              <w:tabs>
                <w:tab w:val="clear" w:pos="567"/>
              </w:tabs>
              <w:jc w:val="center"/>
              <w:rPr>
                <w:szCs w:val="27"/>
              </w:rPr>
            </w:pPr>
            <w:r>
              <w:rPr>
                <w:szCs w:val="27"/>
              </w:rPr>
              <w:t>2010</w:t>
            </w:r>
          </w:p>
        </w:tc>
        <w:tc>
          <w:tcPr>
            <w:tcW w:w="507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szCs w:val="27"/>
              </w:rPr>
            </w:pPr>
            <w:r>
              <w:rPr>
                <w:szCs w:val="27"/>
              </w:rPr>
              <w:t>55 521</w:t>
            </w:r>
          </w:p>
        </w:tc>
      </w:tr>
      <w:tr>
        <w:trPr>
          <w:trHeight w:val="454" w:hRule="atLeast"/>
        </w:trPr>
        <w:tc>
          <w:tcPr>
            <w:tcW w:w="4043" w:type="dxa"/>
            <w:tcBorders>
              <w:top w:val="single" w:sz="4" w:space="0" w:color="000000"/>
              <w:left w:val="single" w:sz="4" w:space="0" w:color="000000"/>
              <w:bottom w:val="single" w:sz="4" w:space="0" w:color="000000"/>
              <w:right w:val="single" w:sz="4" w:space="0" w:color="000000"/>
            </w:tcBorders>
            <w:shd w:color="auto" w:fill="auto" w:val="clear"/>
            <w:tcMar>
              <w:left w:w="57" w:type="dxa"/>
            </w:tcMar>
            <w:vAlign w:val="center"/>
          </w:tcPr>
          <w:p>
            <w:pPr>
              <w:pStyle w:val="F21"/>
              <w:tabs>
                <w:tab w:val="clear" w:pos="567"/>
              </w:tabs>
              <w:jc w:val="center"/>
              <w:rPr>
                <w:szCs w:val="27"/>
              </w:rPr>
            </w:pPr>
            <w:r>
              <w:rPr>
                <w:szCs w:val="27"/>
              </w:rPr>
              <w:t>2011</w:t>
            </w:r>
          </w:p>
        </w:tc>
        <w:tc>
          <w:tcPr>
            <w:tcW w:w="507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szCs w:val="27"/>
              </w:rPr>
            </w:pPr>
            <w:r>
              <w:rPr>
                <w:szCs w:val="27"/>
              </w:rPr>
              <w:t>59 726</w:t>
            </w:r>
          </w:p>
        </w:tc>
      </w:tr>
      <w:tr>
        <w:trPr>
          <w:trHeight w:val="454" w:hRule="atLeast"/>
        </w:trPr>
        <w:tc>
          <w:tcPr>
            <w:tcW w:w="4043" w:type="dxa"/>
            <w:tcBorders>
              <w:top w:val="single" w:sz="4" w:space="0" w:color="000000"/>
              <w:left w:val="single" w:sz="4" w:space="0" w:color="000000"/>
              <w:bottom w:val="single" w:sz="4" w:space="0" w:color="000000"/>
              <w:right w:val="single" w:sz="4" w:space="0" w:color="000000"/>
            </w:tcBorders>
            <w:shd w:color="auto" w:fill="auto" w:val="clear"/>
            <w:tcMar>
              <w:left w:w="57" w:type="dxa"/>
            </w:tcMar>
            <w:vAlign w:val="center"/>
          </w:tcPr>
          <w:p>
            <w:pPr>
              <w:pStyle w:val="F21"/>
              <w:tabs>
                <w:tab w:val="clear" w:pos="567"/>
              </w:tabs>
              <w:jc w:val="center"/>
              <w:rPr>
                <w:szCs w:val="27"/>
              </w:rPr>
            </w:pPr>
            <w:r>
              <w:rPr>
                <w:szCs w:val="27"/>
              </w:rPr>
              <w:t>2012</w:t>
            </w:r>
          </w:p>
        </w:tc>
        <w:tc>
          <w:tcPr>
            <w:tcW w:w="507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szCs w:val="27"/>
              </w:rPr>
            </w:pPr>
            <w:r>
              <w:rPr>
                <w:szCs w:val="27"/>
              </w:rPr>
              <w:t>47 876</w:t>
            </w:r>
          </w:p>
        </w:tc>
      </w:tr>
      <w:tr>
        <w:trPr>
          <w:trHeight w:val="454" w:hRule="atLeast"/>
        </w:trPr>
        <w:tc>
          <w:tcPr>
            <w:tcW w:w="4043" w:type="dxa"/>
            <w:tcBorders>
              <w:top w:val="single" w:sz="4" w:space="0" w:color="000000"/>
              <w:left w:val="single" w:sz="4" w:space="0" w:color="000000"/>
              <w:bottom w:val="single" w:sz="4" w:space="0" w:color="000000"/>
              <w:right w:val="single" w:sz="4" w:space="0" w:color="000000"/>
            </w:tcBorders>
            <w:shd w:color="auto" w:fill="auto" w:val="clear"/>
            <w:tcMar>
              <w:left w:w="57" w:type="dxa"/>
            </w:tcMar>
            <w:vAlign w:val="center"/>
          </w:tcPr>
          <w:p>
            <w:pPr>
              <w:pStyle w:val="F21"/>
              <w:tabs>
                <w:tab w:val="clear" w:pos="567"/>
              </w:tabs>
              <w:jc w:val="center"/>
              <w:rPr>
                <w:szCs w:val="27"/>
              </w:rPr>
            </w:pPr>
            <w:r>
              <w:rPr>
                <w:szCs w:val="27"/>
              </w:rPr>
              <w:t>2013(</w:t>
            </w:r>
            <w:r>
              <w:rPr>
                <w:szCs w:val="27"/>
              </w:rPr>
              <w:t>截至</w:t>
            </w:r>
            <w:r>
              <w:rPr>
                <w:szCs w:val="27"/>
              </w:rPr>
              <w:t>11</w:t>
            </w:r>
            <w:r>
              <w:rPr>
                <w:szCs w:val="27"/>
              </w:rPr>
              <w:t>月</w:t>
            </w:r>
            <w:r>
              <w:rPr>
                <w:szCs w:val="27"/>
              </w:rPr>
              <w:t>30</w:t>
            </w:r>
            <w:r>
              <w:rPr>
                <w:szCs w:val="27"/>
              </w:rPr>
              <w:t>日</w:t>
            </w:r>
            <w:r>
              <w:rPr>
                <w:szCs w:val="27"/>
              </w:rPr>
              <w:t>)</w:t>
            </w:r>
          </w:p>
        </w:tc>
        <w:tc>
          <w:tcPr>
            <w:tcW w:w="507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jc w:val="center"/>
              <w:rPr>
                <w:szCs w:val="27"/>
              </w:rPr>
            </w:pPr>
            <w:r>
              <w:rPr>
                <w:szCs w:val="27"/>
              </w:rPr>
              <w:t>27 431</w:t>
            </w:r>
          </w:p>
        </w:tc>
      </w:tr>
    </w:tbl>
    <w:p>
      <w:pPr>
        <w:pStyle w:val="F21"/>
        <w:rPr>
          <w:szCs w:val="27"/>
        </w:rPr>
      </w:pPr>
      <w:r>
        <w:rPr>
          <w:szCs w:val="27"/>
        </w:rPr>
      </w:r>
    </w:p>
    <w:p>
      <w:pPr>
        <w:pStyle w:val="F21"/>
        <w:rPr/>
      </w:pPr>
      <w:r>
        <w:rPr/>
      </w:r>
    </w:p>
    <w:p>
      <w:pPr>
        <w:pStyle w:val="F21"/>
        <w:rPr>
          <w:i/>
          <w:i/>
          <w:szCs w:val="27"/>
        </w:rPr>
      </w:pPr>
      <w:r>
        <w:rPr>
          <w:rFonts w:eastAsia="華康中黑體"/>
          <w:b/>
          <w:szCs w:val="27"/>
        </w:rPr>
        <w:t>范國威議員</w:t>
      </w:r>
      <w:r>
        <w:rPr>
          <w:szCs w:val="27"/>
        </w:rPr>
        <w:t>︰</w:t>
      </w:r>
      <w:r>
        <w:rPr>
          <w:i/>
          <w:szCs w:val="27"/>
        </w:rPr>
        <w:t>主席，即使局長強調沒有藉加速健康監察助理的外判進程壓迫員工，但健康監察助理人手的流失情況確實非常嚴重，由今年</w:t>
      </w:r>
      <w:r>
        <w:rPr>
          <w:i/>
          <w:szCs w:val="27"/>
        </w:rPr>
        <w:t>5</w:t>
      </w:r>
      <w:r>
        <w:rPr>
          <w:i/>
          <w:szCs w:val="27"/>
        </w:rPr>
        <w:t>月的</w:t>
      </w:r>
      <w:r>
        <w:rPr>
          <w:i/>
          <w:szCs w:val="27"/>
        </w:rPr>
        <w:t>600</w:t>
      </w:r>
      <w:r>
        <w:rPr>
          <w:i/>
          <w:szCs w:val="27"/>
        </w:rPr>
        <w:t>人，下降至本月底只剩下</w:t>
      </w:r>
      <w:r>
        <w:rPr>
          <w:i/>
          <w:szCs w:val="27"/>
        </w:rPr>
        <w:t>445</w:t>
      </w:r>
      <w:r>
        <w:rPr>
          <w:i/>
          <w:szCs w:val="27"/>
        </w:rPr>
        <w:t>人，但他們負責的旅客人數卻大增了三成。局長，我希望你回答的是，在他們工作量大增的情況下，政府可以怎樣確保前線人員的服務質素不受影響，而並非局長剛才所指的“會定期評估”。局長可否解釋，當局是怎樣培訓健康監察助理，以及怎樣監管外判商的培訓，確保他們的質素不會因外判而下降？</w:t>
      </w:r>
    </w:p>
    <w:p>
      <w:pPr>
        <w:pStyle w:val="F21"/>
        <w:rPr>
          <w:i/>
          <w:i/>
          <w:szCs w:val="27"/>
        </w:rPr>
      </w:pPr>
      <w:r>
        <w:rPr>
          <w:i/>
          <w:szCs w:val="27"/>
        </w:rPr>
      </w:r>
    </w:p>
    <w:p>
      <w:pPr>
        <w:pStyle w:val="F21"/>
        <w:rPr>
          <w:i/>
          <w:i/>
          <w:szCs w:val="27"/>
        </w:rPr>
      </w:pPr>
      <w:r>
        <w:rPr>
          <w:i/>
          <w:szCs w:val="27"/>
        </w:rPr>
      </w:r>
    </w:p>
    <w:p>
      <w:pPr>
        <w:pStyle w:val="F21"/>
        <w:rPr>
          <w:szCs w:val="27"/>
        </w:rPr>
      </w:pPr>
      <w:r>
        <w:rPr>
          <w:rFonts w:eastAsia="華康中黑體"/>
          <w:b/>
          <w:szCs w:val="27"/>
        </w:rPr>
        <w:t>食物及衞生局局長</w:t>
      </w:r>
      <w:r>
        <w:rPr>
          <w:szCs w:val="27"/>
        </w:rPr>
        <w:t>︰主席，議員提出了數個問題。第一，正如范國威議員說，近期基於各種原因，加上內地爆發傳染病，令我們需要不時增調人手，而這些需求亦會因為情況轉變而可能出現波動。正因為有波動，如果政府純粹自行聘用人手，便更不能確保在短期內調動足夠人手。所以，使用外判的安排其實令我們能更有彈性地安排不同的人手，適應不同的波動情況。</w:t>
      </w:r>
    </w:p>
    <w:p>
      <w:pPr>
        <w:pStyle w:val="F21"/>
        <w:rPr>
          <w:szCs w:val="27"/>
        </w:rPr>
      </w:pPr>
      <w:r>
        <w:rPr>
          <w:szCs w:val="27"/>
        </w:rPr>
      </w:r>
    </w:p>
    <w:p>
      <w:pPr>
        <w:pStyle w:val="F21"/>
        <w:rPr>
          <w:szCs w:val="27"/>
        </w:rPr>
      </w:pPr>
      <w:r>
        <w:rPr>
          <w:szCs w:val="27"/>
        </w:rPr>
      </w:r>
    </w:p>
    <w:p>
      <w:pPr>
        <w:pStyle w:val="F21"/>
        <w:rPr>
          <w:i/>
          <w:i/>
        </w:rPr>
      </w:pPr>
      <w:r>
        <w:rPr>
          <w:rFonts w:eastAsia="華康中黑體"/>
          <w:b/>
          <w:szCs w:val="27"/>
        </w:rPr>
        <w:t>潘兆平議員</w:t>
      </w:r>
      <w:r>
        <w:rPr>
          <w:szCs w:val="27"/>
        </w:rPr>
        <w:t>︰</w:t>
      </w:r>
      <w:r>
        <w:rPr>
          <w:i/>
          <w:szCs w:val="27"/>
        </w:rPr>
        <w:t>主席，口岸的篩檢很重要，有工會指出人手不足，他們亦提出停止外判口岸服務，要求政府重新增聘健康監察助理，以填補流失的人手。我想問局長，當局採取了甚麼措施重新招聘人手呢？當然，局長剛才說要靈活，但原來是有</w:t>
      </w:r>
      <w:r>
        <w:rPr>
          <w:i/>
          <w:szCs w:val="27"/>
        </w:rPr>
        <w:t>600</w:t>
      </w:r>
      <w:r>
        <w:rPr>
          <w:i/>
          <w:szCs w:val="27"/>
        </w:rPr>
        <w:t>名健康監助理的，</w:t>
      </w:r>
      <w:r>
        <w:rPr>
          <w:i/>
        </w:rPr>
        <w:t>當局最少要把人手補回</w:t>
      </w:r>
      <w:r>
        <w:rPr>
          <w:i/>
        </w:rPr>
        <w:t>600</w:t>
      </w:r>
      <w:r>
        <w:rPr>
          <w:i/>
        </w:rPr>
        <w:t>人，大家才可以接受把新增口岸的服務外判。</w:t>
      </w:r>
    </w:p>
    <w:p>
      <w:pPr>
        <w:pStyle w:val="F21"/>
        <w:rPr>
          <w:i/>
          <w:i/>
        </w:rPr>
      </w:pPr>
      <w:r>
        <w:rPr>
          <w:i/>
        </w:rPr>
      </w:r>
    </w:p>
    <w:p>
      <w:pPr>
        <w:pStyle w:val="F21"/>
        <w:rPr/>
      </w:pPr>
      <w:r>
        <w:rPr/>
      </w:r>
    </w:p>
    <w:p>
      <w:pPr>
        <w:pStyle w:val="F21"/>
        <w:rPr/>
      </w:pPr>
      <w:r>
        <w:rPr>
          <w:rFonts w:ascii="華康中黑體" w:hAnsi="華康中黑體" w:cs="華康中黑體" w:eastAsia="華康中黑體"/>
          <w:b/>
        </w:rPr>
        <w:t>食物及衞生局局長</w:t>
      </w:r>
      <w:r>
        <w:rPr/>
        <w:t>：主席，基於種種原因，健康監察助理的流失率和輪轉率從來都是較高，不是由於最近的原因才導致流失率偏高。我已三番四次跟衞生署的港口衞生處確認，署方一定會確保有適當的人事管理制度，不會用各種藉口強迫人員離職。</w:t>
      </w:r>
    </w:p>
    <w:p>
      <w:pPr>
        <w:pStyle w:val="F21"/>
        <w:rPr/>
      </w:pPr>
      <w:r>
        <w:rPr/>
      </w:r>
    </w:p>
    <w:p>
      <w:pPr>
        <w:pStyle w:val="F21"/>
        <w:rPr>
          <w:rFonts w:ascii="華康細明體" w:hAnsi="華康細明體"/>
        </w:rPr>
      </w:pPr>
      <w:r>
        <w:rPr/>
        <w:tab/>
      </w:r>
      <w:r>
        <w:rPr/>
        <w:t>我們當然明白同</w:t>
      </w:r>
      <w:r>
        <w:rPr>
          <w:rFonts w:ascii="華康細明體" w:hAnsi="華康細明體"/>
        </w:rPr>
        <w:t>事，尤其是工會的同事，很關心一定要保持本身的職系。可是，從我們的角度來說，除了他們的福利外，我們更要關心工作安排，能夠做到因應不同時候出現的種種突如其來的需求，在短期內增減人手應付所需。</w:t>
      </w:r>
    </w:p>
    <w:p>
      <w:pPr>
        <w:pStyle w:val="F21"/>
        <w:rPr/>
      </w:pPr>
      <w:r>
        <w:rPr/>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i/>
          <w:i/>
        </w:rPr>
      </w:pPr>
      <w:r>
        <w:rPr>
          <w:rFonts w:ascii="華康中黑體" w:hAnsi="華康中黑體" w:cs="華康中黑體" w:eastAsia="華康中黑體"/>
          <w:b/>
        </w:rPr>
        <w:t>單仲偕議員</w:t>
      </w:r>
      <w:r>
        <w:rPr/>
        <w:t>：</w:t>
      </w:r>
      <w:r>
        <w:rPr>
          <w:i/>
        </w:rPr>
        <w:t>主席，局長可能比較操勞，但現在大戰當前，近來</w:t>
      </w:r>
      <w:r>
        <w:rPr>
          <w:i/>
        </w:rPr>
        <w:t>H9</w:t>
      </w:r>
      <w:r>
        <w:rPr>
          <w:i/>
        </w:rPr>
        <w:t>、</w:t>
      </w:r>
      <w:r>
        <w:rPr>
          <w:i/>
        </w:rPr>
        <w:t>H10</w:t>
      </w:r>
      <w:r>
        <w:rPr>
          <w:i/>
        </w:rPr>
        <w:t>肆虐，希望局長好好保重身體。</w:t>
      </w:r>
    </w:p>
    <w:p>
      <w:pPr>
        <w:pStyle w:val="F21"/>
        <w:rPr>
          <w:i/>
          <w:i/>
        </w:rPr>
      </w:pPr>
      <w:r>
        <w:rPr>
          <w:i/>
        </w:rPr>
      </w:r>
    </w:p>
    <w:p>
      <w:pPr>
        <w:pStyle w:val="F21"/>
        <w:rPr>
          <w:i/>
          <w:i/>
        </w:rPr>
      </w:pPr>
      <w:r>
        <w:rPr>
          <w:i/>
        </w:rPr>
        <w:tab/>
      </w:r>
      <w:r>
        <w:rPr>
          <w:i/>
        </w:rPr>
        <w:t>我的補充質詢是，流失情況的確嚴重，但局長可否考慮多採用科技以取替人手？此舉是否可行？特別是局長剛才說</w:t>
      </w:r>
      <w:r>
        <w:rPr>
          <w:i/>
        </w:rPr>
        <w:t>e-</w:t>
      </w:r>
      <w:r>
        <w:rPr>
          <w:i/>
        </w:rPr>
        <w:t>道方面沒有影響，那麼，他是否認為可以於每條</w:t>
      </w:r>
      <w:r>
        <w:rPr>
          <w:i/>
        </w:rPr>
        <w:t>e-</w:t>
      </w:r>
      <w:r>
        <w:rPr>
          <w:i/>
        </w:rPr>
        <w:t>道安裝溫度探測器，以便能更準確地辨認，不會出現“走漏眼”的情況？</w:t>
      </w:r>
    </w:p>
    <w:p>
      <w:pPr>
        <w:pStyle w:val="F21"/>
        <w:rPr/>
      </w:pPr>
      <w:r>
        <w:rPr/>
      </w:r>
    </w:p>
    <w:p>
      <w:pPr>
        <w:pStyle w:val="F21"/>
        <w:rPr/>
      </w:pPr>
      <w:r>
        <w:rPr/>
      </w:r>
    </w:p>
    <w:p>
      <w:pPr>
        <w:pStyle w:val="F21"/>
        <w:rPr/>
      </w:pPr>
      <w:r>
        <w:rPr>
          <w:rFonts w:ascii="華康中黑體" w:hAnsi="華康中黑體" w:cs="華康中黑體" w:eastAsia="華康中黑體"/>
          <w:b/>
        </w:rPr>
        <w:t>食物及衞生局局長</w:t>
      </w:r>
      <w:r>
        <w:rPr/>
        <w:t>：主席，我們現時安排人員進行健康篩檢，其實已經是一項額外的保障措施，因為所有管制站均配置了全新的紅外線探測器。因應單議員的提問，我一定會確保每名入境人士入境的位置都安裝了這些儀器，我會後會再確認一下。由此可見，除了儀器外，這些人員所進行的隨機辨認，便是額外的保障措施。</w:t>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szCs w:val="27"/>
        </w:rPr>
      </w:pPr>
      <w:r>
        <w:rPr>
          <w:szCs w:val="27"/>
        </w:rPr>
      </w:r>
    </w:p>
    <w:p>
      <w:pPr>
        <w:pStyle w:val="F21"/>
        <w:rPr>
          <w:i/>
          <w:i/>
        </w:rPr>
      </w:pPr>
      <w:r>
        <w:rPr>
          <w:rFonts w:ascii="華康中黑體" w:hAnsi="華康中黑體" w:cs="華康中黑體" w:eastAsia="華康中黑體"/>
          <w:b/>
        </w:rPr>
        <w:t>陳婉嫻議員</w:t>
      </w:r>
      <w:r>
        <w:rPr/>
        <w:t>：</w:t>
      </w:r>
      <w:r>
        <w:rPr>
          <w:i/>
        </w:rPr>
        <w:t>局長，你這麼辛苦，不如休息一下，另覓他人來回答質詢，這樣，你可以舒服一點，我們亦無需聽得這麼辛苦。如果你不休息，便要多打一場大仗</w:t>
      </w:r>
      <w:r>
        <w:rPr>
          <w:i/>
        </w:rPr>
        <w:t>......</w:t>
      </w:r>
    </w:p>
    <w:p>
      <w:pPr>
        <w:pStyle w:val="F21"/>
        <w:rPr>
          <w:i/>
          <w:i/>
        </w:rPr>
      </w:pPr>
      <w:r>
        <w:rPr>
          <w:i/>
        </w:rPr>
      </w:r>
    </w:p>
    <w:p>
      <w:pPr>
        <w:pStyle w:val="F21"/>
        <w:rPr>
          <w:i/>
          <w:i/>
        </w:rPr>
      </w:pPr>
      <w:r>
        <w:rPr>
          <w:i/>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陳議員，請提出補充質詢。</w:t>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i/>
          <w:i/>
        </w:rPr>
      </w:pPr>
      <w:r>
        <w:rPr>
          <w:rFonts w:ascii="華康中黑體" w:hAnsi="華康中黑體" w:cs="華康中黑體" w:eastAsia="華康中黑體"/>
          <w:b/>
        </w:rPr>
        <w:t>陳婉嫻議員</w:t>
      </w:r>
      <w:r>
        <w:rPr/>
        <w:t>：</w:t>
      </w:r>
      <w:r>
        <w:rPr>
          <w:i/>
        </w:rPr>
        <w:t>主席，我不同意政府說基於人手關係，所以需要外判。無論這是最終或過渡的做法，健康監察助理始終是一個很重要的職位，他們既可保障</w:t>
      </w:r>
      <w:r>
        <w:rPr>
          <w:i/>
        </w:rPr>
        <w:t>......</w:t>
      </w:r>
    </w:p>
    <w:p>
      <w:pPr>
        <w:pStyle w:val="F21"/>
        <w:rPr/>
      </w:pPr>
      <w:r>
        <w:rPr/>
      </w:r>
    </w:p>
    <w:p>
      <w:pPr>
        <w:pStyle w:val="F21"/>
        <w:rPr/>
      </w:pPr>
      <w:r>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陳議員，請提出補充質詢，不要發表意見。</w:t>
      </w:r>
    </w:p>
    <w:p>
      <w:pPr>
        <w:pStyle w:val="F21"/>
        <w:snapToGrid w:val="false"/>
        <w:spacing w:lineRule="atLeast" w:line="350"/>
        <w:ind w:left="851" w:hanging="851"/>
        <w:rPr/>
      </w:pPr>
      <w:r>
        <w:rPr/>
      </w:r>
    </w:p>
    <w:p>
      <w:pPr>
        <w:pStyle w:val="F21"/>
        <w:snapToGrid w:val="false"/>
        <w:spacing w:lineRule="atLeast" w:line="350"/>
        <w:ind w:left="851" w:hanging="851"/>
        <w:rPr/>
      </w:pPr>
      <w:r>
        <w:rPr/>
      </w:r>
    </w:p>
    <w:p>
      <w:pPr>
        <w:pStyle w:val="F21"/>
        <w:snapToGrid w:val="false"/>
        <w:spacing w:lineRule="atLeast" w:line="350"/>
        <w:ind w:left="851" w:hanging="851"/>
        <w:rPr>
          <w:i/>
          <w:i/>
        </w:rPr>
      </w:pPr>
      <w:r>
        <w:rPr>
          <w:rFonts w:ascii="華康中黑體" w:hAnsi="華康中黑體" w:eastAsia="華康中黑體"/>
          <w:b/>
        </w:rPr>
        <w:t>陳婉嫻議員</w:t>
      </w:r>
      <w:r>
        <w:rPr/>
        <w:t>：</w:t>
      </w:r>
      <w:r>
        <w:rPr>
          <w:i/>
        </w:rPr>
        <w:t>知道。主席，我們曾去信政府</w:t>
      </w:r>
      <w:r>
        <w:rPr>
          <w:i/>
        </w:rPr>
        <w:t>......</w:t>
      </w:r>
    </w:p>
    <w:p>
      <w:pPr>
        <w:pStyle w:val="F21"/>
        <w:snapToGrid w:val="false"/>
        <w:spacing w:lineRule="atLeast" w:line="350"/>
        <w:ind w:left="851" w:hanging="851"/>
        <w:rPr/>
      </w:pPr>
      <w:r>
        <w:rPr/>
      </w:r>
    </w:p>
    <w:p>
      <w:pPr>
        <w:pStyle w:val="F21"/>
        <w:snapToGrid w:val="false"/>
        <w:spacing w:lineRule="atLeast" w:line="350"/>
        <w:ind w:left="851" w:hanging="851"/>
        <w:rPr/>
      </w:pPr>
      <w:r>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請提出補充質詢。</w:t>
      </w:r>
    </w:p>
    <w:p>
      <w:pPr>
        <w:pStyle w:val="F21"/>
        <w:rPr/>
      </w:pPr>
      <w:r>
        <w:rPr/>
      </w:r>
    </w:p>
    <w:p>
      <w:pPr>
        <w:pStyle w:val="F21"/>
        <w:rPr/>
      </w:pPr>
      <w:r>
        <w:rPr/>
      </w:r>
    </w:p>
    <w:p>
      <w:pPr>
        <w:pStyle w:val="F21"/>
        <w:rPr>
          <w:i/>
          <w:i/>
        </w:rPr>
      </w:pPr>
      <w:r>
        <w:rPr>
          <w:rFonts w:ascii="華康中黑體" w:hAnsi="華康中黑體" w:cs="華康中黑體" w:eastAsia="華康中黑體"/>
          <w:b/>
        </w:rPr>
        <w:t>陳婉嫻議員</w:t>
      </w:r>
      <w:r>
        <w:rPr/>
        <w:t>：</w:t>
      </w:r>
      <w:r>
        <w:rPr>
          <w:i/>
        </w:rPr>
        <w:t>我想請問局長，為甚麼不招聘長工，一定要外判呢？長工既可穩定整支隊伍的心，將來在技術上亦可以延續，但如果外判，技術上便較難延續。我想請問局長，為甚麼不開設常設職位呢？</w:t>
      </w:r>
      <w:r>
        <w:br w:type="page"/>
      </w:r>
    </w:p>
    <w:p>
      <w:pPr>
        <w:pStyle w:val="F21"/>
        <w:snapToGrid w:val="false"/>
        <w:rPr/>
      </w:pPr>
      <w:r>
        <w:rPr>
          <w:rFonts w:ascii="華康中黑體" w:hAnsi="華康中黑體" w:eastAsia="華康中黑體"/>
          <w:b/>
        </w:rPr>
        <w:t>主席</w:t>
      </w:r>
      <w:r>
        <w:rPr>
          <w:rFonts w:ascii="華康中黑體" w:hAnsi="華康中黑體"/>
        </w:rPr>
        <w:t>：</w:t>
      </w:r>
      <w:r>
        <w:rPr/>
        <w:t>陳議員，局長剛才已有針對你這項補充質詢作答。我且看看局長有否補充。</w:t>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pPr>
      <w:r>
        <w:rPr/>
      </w:r>
    </w:p>
    <w:p>
      <w:pPr>
        <w:pStyle w:val="F21"/>
        <w:rPr/>
      </w:pPr>
      <w:r>
        <w:rPr>
          <w:rFonts w:ascii="華康中黑體" w:hAnsi="華康中黑體" w:cs="華康中黑體" w:eastAsia="華康中黑體"/>
          <w:b/>
        </w:rPr>
        <w:t>食物及衞生局局長</w:t>
      </w:r>
      <w:r>
        <w:rPr/>
        <w:t>：主席，你說得對，我沒有甚麼再補充。採用外判的方式，是因為服務需求波動很大。再者，我本身相信，無論面對自己的員工抑或外判商，衞生署都是提供同樣的培訓。即使是我們新聘請的員工，他們並沒有任何經驗，也是一樣要累積經驗的。所以，我沒有甚麼原因相信外判員工不能達到我們的工作目的。</w:t>
      </w:r>
    </w:p>
    <w:p>
      <w:pPr>
        <w:pStyle w:val="F21"/>
        <w:rPr/>
      </w:pPr>
      <w:r>
        <w:rPr/>
      </w:r>
    </w:p>
    <w:p>
      <w:pPr>
        <w:pStyle w:val="F21"/>
        <w:rPr/>
      </w:pPr>
      <w:r>
        <w:rPr/>
      </w:r>
    </w:p>
    <w:p>
      <w:pPr>
        <w:pStyle w:val="F21"/>
        <w:snapToGrid w:val="false"/>
        <w:ind w:left="851" w:hanging="851"/>
        <w:rPr/>
      </w:pPr>
      <w:r>
        <w:rPr>
          <w:rFonts w:ascii="華康中黑體" w:hAnsi="華康中黑體" w:eastAsia="華康中黑體"/>
          <w:b/>
        </w:rPr>
        <w:t>主席</w:t>
      </w:r>
      <w:r>
        <w:rPr>
          <w:rFonts w:ascii="華康中黑體" w:hAnsi="華康中黑體"/>
        </w:rPr>
        <w:t>：</w:t>
      </w:r>
      <w:r>
        <w:rPr/>
        <w:t>陳議員，你有甚麼問題？</w:t>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szCs w:val="27"/>
        </w:rPr>
      </w:pPr>
      <w:r>
        <w:rPr>
          <w:szCs w:val="27"/>
        </w:rPr>
      </w:r>
    </w:p>
    <w:p>
      <w:pPr>
        <w:pStyle w:val="F21"/>
        <w:rPr>
          <w:i/>
          <w:i/>
        </w:rPr>
      </w:pPr>
      <w:r>
        <w:rPr>
          <w:rFonts w:ascii="華康中黑體" w:hAnsi="華康中黑體" w:cs="華康中黑體" w:eastAsia="華康中黑體"/>
          <w:b/>
        </w:rPr>
        <w:t>陳婉嫻議員</w:t>
      </w:r>
      <w:r>
        <w:rPr/>
        <w:t>：</w:t>
      </w:r>
      <w:r>
        <w:rPr>
          <w:i/>
        </w:rPr>
        <w:t>主席，局長沒有很細心聆聽我的補充質詢。我是說如果招聘長工，既可穩定現在的隊伍，亦可令將來的員工更投入。為甚麼一定要外判呢？局長沒有回答這部分。</w:t>
      </w:r>
    </w:p>
    <w:p>
      <w:pPr>
        <w:pStyle w:val="F21"/>
        <w:rPr/>
      </w:pPr>
      <w:r>
        <w:rPr/>
      </w:r>
    </w:p>
    <w:p>
      <w:pPr>
        <w:pStyle w:val="F21"/>
        <w:rPr/>
      </w:pPr>
      <w:r>
        <w:rPr/>
      </w:r>
    </w:p>
    <w:p>
      <w:pPr>
        <w:pStyle w:val="F21"/>
        <w:snapToGrid w:val="false"/>
        <w:rPr/>
      </w:pPr>
      <w:r>
        <w:rPr>
          <w:rFonts w:ascii="華康中黑體" w:hAnsi="華康中黑體" w:eastAsia="華康中黑體"/>
          <w:b/>
        </w:rPr>
        <w:t>主席</w:t>
      </w:r>
      <w:r>
        <w:rPr>
          <w:rFonts w:ascii="華康中黑體" w:hAnsi="華康中黑體"/>
        </w:rPr>
        <w:t>：</w:t>
      </w:r>
      <w:r>
        <w:rPr/>
        <w:t>陳議員，我很留心聆聽你的提問，亦很留心聆聽局長回答。局長已經作答。如你不同意他的答覆，請另覓場合跟他辯論。</w:t>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rFonts w:ascii="華康中黑體" w:hAnsi="華康中黑體" w:eastAsia="華康中黑體" w:cs="華康中黑體"/>
          <w:b/>
          <w:b/>
        </w:rPr>
      </w:pPr>
      <w:r>
        <w:rPr>
          <w:rFonts w:eastAsia="華康中黑體" w:cs="華康中黑體" w:ascii="華康中黑體" w:hAnsi="華康中黑體"/>
          <w:b/>
        </w:rPr>
      </w:r>
    </w:p>
    <w:p>
      <w:pPr>
        <w:pStyle w:val="F21"/>
        <w:rPr>
          <w:i/>
          <w:i/>
          <w:szCs w:val="27"/>
        </w:rPr>
      </w:pPr>
      <w:r>
        <w:rPr>
          <w:rFonts w:ascii="華康中黑體" w:hAnsi="華康中黑體" w:cs="華康中黑體" w:eastAsia="華康中黑體"/>
          <w:b/>
          <w:szCs w:val="27"/>
        </w:rPr>
        <w:t>葉劉淑儀議員</w:t>
      </w:r>
      <w:r>
        <w:rPr>
          <w:szCs w:val="27"/>
        </w:rPr>
        <w:t>：</w:t>
      </w:r>
      <w:r>
        <w:rPr>
          <w:i/>
          <w:szCs w:val="27"/>
        </w:rPr>
        <w:t>局長作答時表示，衞生署的健康監察助理在部分管制站以目測方法協助辨認懷疑是孕婦的旅客，然後把懷疑個案分流至港方的入境櫃位，由入境處人員跟進。我想問局長，這些入境處人員有否接受訓練，或處方有否向他們提供甚麼儀器？我曾聽聞有衞生官員叫他們以尺量度旅客的肚皮，不知是否真有其事？</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食物及衞生局局長</w:t>
      </w:r>
      <w:r>
        <w:rPr>
          <w:szCs w:val="27"/>
        </w:rPr>
        <w:t>：主席，我無法在此印證葉劉淑儀議員提到的特別事例，但如果有需要，港口的衞生人員會為旅客進行健康評估。所以，遇有懷疑，是有醫護人員在場幫忙的。</w:t>
      </w:r>
    </w:p>
    <w:p>
      <w:pPr>
        <w:pStyle w:val="F21"/>
        <w:rPr>
          <w:szCs w:val="27"/>
        </w:rPr>
      </w:pPr>
      <w:r>
        <w:rPr>
          <w:szCs w:val="27"/>
        </w:rPr>
      </w:r>
    </w:p>
    <w:p>
      <w:pPr>
        <w:pStyle w:val="F21"/>
        <w:rPr>
          <w:szCs w:val="27"/>
        </w:rPr>
      </w:pPr>
      <w:r>
        <w:rPr>
          <w:szCs w:val="27"/>
        </w:rPr>
      </w:r>
    </w:p>
    <w:p>
      <w:pPr>
        <w:pStyle w:val="F21"/>
        <w:rPr>
          <w:i/>
          <w:i/>
          <w:szCs w:val="27"/>
        </w:rPr>
      </w:pPr>
      <w:r>
        <w:rPr>
          <w:rFonts w:ascii="華康中黑體" w:hAnsi="華康中黑體" w:cs="華康中黑體" w:eastAsia="華康中黑體"/>
          <w:b/>
          <w:szCs w:val="27"/>
        </w:rPr>
        <w:t>葉劉淑儀議員</w:t>
      </w:r>
      <w:r>
        <w:rPr>
          <w:szCs w:val="27"/>
        </w:rPr>
        <w:t>：</w:t>
      </w:r>
      <w:r>
        <w:rPr>
          <w:i/>
          <w:szCs w:val="27"/>
        </w:rPr>
        <w:t>主席，他未回答有甚麼訓練和儀器？</w:t>
      </w:r>
    </w:p>
    <w:p>
      <w:pPr>
        <w:pStyle w:val="F21"/>
        <w:rPr>
          <w:i/>
          <w:i/>
          <w:szCs w:val="27"/>
        </w:rPr>
      </w:pPr>
      <w:r>
        <w:rPr>
          <w:i/>
          <w:szCs w:val="27"/>
        </w:rPr>
      </w:r>
    </w:p>
    <w:p>
      <w:pPr>
        <w:pStyle w:val="F21"/>
        <w:rPr>
          <w:i/>
          <w:i/>
          <w:szCs w:val="27"/>
        </w:rPr>
      </w:pPr>
      <w:r>
        <w:rPr>
          <w:i/>
          <w:szCs w:val="27"/>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局長，議員詢問署方提供甚麼訓練和儀器？</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中黑體" w:eastAsia="華康中黑體"/>
          <w:b/>
          <w:szCs w:val="27"/>
        </w:rPr>
        <w:t>食物及衞生局局長</w:t>
      </w:r>
      <w:r>
        <w:rPr>
          <w:szCs w:val="27"/>
        </w:rPr>
        <w:t>：我無法在此詳細回答。如果要操作醫學儀器，是會由我們的衞生人員負責進行的。我現在想到的一個例子是，如果要用超音波儀器度胎聲，雖然可能只是一部簡單的儀器，但也是會由衞生人員操作的。</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cs="華康中黑體" w:eastAsia="華康中黑體"/>
          <w:b/>
          <w:szCs w:val="27"/>
        </w:rPr>
        <w:t>梁耀忠議員</w:t>
      </w:r>
      <w:r>
        <w:rPr>
          <w:szCs w:val="27"/>
        </w:rPr>
        <w:t>：</w:t>
      </w:r>
      <w:r>
        <w:rPr>
          <w:i/>
          <w:szCs w:val="27"/>
        </w:rPr>
        <w:t>主席，在確診首宗個案前，健康監察助理員工的人數超過</w:t>
      </w:r>
      <w:r>
        <w:rPr>
          <w:i/>
          <w:szCs w:val="27"/>
        </w:rPr>
        <w:t>460</w:t>
      </w:r>
      <w:r>
        <w:rPr>
          <w:i/>
          <w:szCs w:val="27"/>
        </w:rPr>
        <w:t>人，但近期反而減少了</w:t>
      </w:r>
      <w:r>
        <w:rPr>
          <w:i/>
          <w:szCs w:val="27"/>
        </w:rPr>
        <w:t>100</w:t>
      </w:r>
      <w:r>
        <w:rPr>
          <w:i/>
          <w:szCs w:val="27"/>
        </w:rPr>
        <w:t>人。局長剛才有提及員工減少的原因，可能是因為要因應口岸需要進行調配，以及他們的合約期很短，只有</w:t>
      </w:r>
      <w:r>
        <w:rPr>
          <w:i/>
          <w:szCs w:val="27"/>
        </w:rPr>
        <w:t>1</w:t>
      </w:r>
      <w:r>
        <w:rPr>
          <w:i/>
          <w:szCs w:val="27"/>
        </w:rPr>
        <w:t xml:space="preserve">年 </w:t>
      </w:r>
      <w:r>
        <w:rPr>
          <w:rFonts w:ascii="Symbol" w:hAnsi="Symbol" w:cs="Symbol" w:eastAsia="Symbol"/>
          <w:i/>
          <w:szCs w:val="27"/>
        </w:rPr>
        <w:t></w:t>
      </w:r>
      <w:r>
        <w:rPr>
          <w:i/>
          <w:szCs w:val="27"/>
        </w:rPr>
        <w:t xml:space="preserve"> 以往只有半年，後來爭取延長至</w:t>
      </w:r>
      <w:r>
        <w:rPr>
          <w:i/>
          <w:szCs w:val="27"/>
        </w:rPr>
        <w:t>1</w:t>
      </w:r>
      <w:r>
        <w:rPr>
          <w:i/>
          <w:szCs w:val="27"/>
        </w:rPr>
        <w:t xml:space="preserve">年 </w:t>
      </w:r>
      <w:r>
        <w:rPr>
          <w:rFonts w:ascii="Symbol" w:hAnsi="Symbol" w:cs="Symbol" w:eastAsia="Symbol"/>
          <w:i/>
          <w:szCs w:val="27"/>
        </w:rPr>
        <w:t></w:t>
      </w:r>
      <w:r>
        <w:rPr>
          <w:i/>
          <w:szCs w:val="27"/>
        </w:rPr>
        <w:t xml:space="preserve"> 令大家認為職位不穩，再加上近日不斷傳出外判消息，使員工在心理上認為不可以當長工。</w:t>
      </w:r>
    </w:p>
    <w:p>
      <w:pPr>
        <w:pStyle w:val="F21"/>
        <w:spacing w:lineRule="atLeast" w:line="380"/>
        <w:rPr>
          <w:i/>
          <w:i/>
          <w:szCs w:val="27"/>
        </w:rPr>
      </w:pPr>
      <w:r>
        <w:rPr>
          <w:i/>
          <w:szCs w:val="27"/>
        </w:rPr>
      </w:r>
    </w:p>
    <w:p>
      <w:pPr>
        <w:pStyle w:val="F21"/>
        <w:spacing w:lineRule="atLeast" w:line="380"/>
        <w:rPr>
          <w:i/>
          <w:i/>
          <w:szCs w:val="27"/>
        </w:rPr>
      </w:pPr>
      <w:r>
        <w:rPr>
          <w:i/>
          <w:szCs w:val="27"/>
        </w:rPr>
        <w:tab/>
      </w:r>
      <w:r>
        <w:rPr>
          <w:i/>
          <w:szCs w:val="27"/>
        </w:rPr>
        <w:t>如果局長想穩定員工人心，我便想問局長，可否先補聘</w:t>
      </w:r>
      <w:r>
        <w:rPr>
          <w:i/>
          <w:szCs w:val="27"/>
        </w:rPr>
        <w:t>100</w:t>
      </w:r>
      <w:r>
        <w:rPr>
          <w:i/>
          <w:szCs w:val="27"/>
        </w:rPr>
        <w:t>名員工，令人數回復至確診首宗個案前的水平，然後再把員工轉為長職，不要再在其他口岸聘用外判員工呢？</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中黑體" w:eastAsia="華康中黑體"/>
          <w:b/>
          <w:szCs w:val="27"/>
        </w:rPr>
        <w:t>食物及衞生局局長</w:t>
      </w:r>
      <w:r>
        <w:rPr>
          <w:szCs w:val="27"/>
        </w:rPr>
        <w:t>：主席，我必須指出，現時在口岸進行的其中一項重要工作是體溫檢測，這亦是世界每個地方也有進行的。世界衞生組織其實並沒有要求任何地方的海關針對傳染病人流採取措施。我們此舉雖然已經持續良久，但仍然只屬臨時的額外措施，我暫時不可以答應議員會增聘人手。</w:t>
      </w:r>
    </w:p>
    <w:p>
      <w:pPr>
        <w:pStyle w:val="F21"/>
        <w:spacing w:lineRule="atLeast" w:line="380"/>
        <w:rPr>
          <w:szCs w:val="27"/>
        </w:rPr>
      </w:pPr>
      <w:r>
        <w:rPr>
          <w:szCs w:val="27"/>
        </w:rPr>
      </w:r>
    </w:p>
    <w:p>
      <w:pPr>
        <w:pStyle w:val="F21"/>
        <w:spacing w:lineRule="atLeast" w:line="380"/>
        <w:rPr>
          <w:i/>
          <w:i/>
          <w:szCs w:val="27"/>
        </w:rPr>
      </w:pPr>
      <w:r>
        <w:rPr>
          <w:szCs w:val="27"/>
        </w:rPr>
        <w:tab/>
      </w:r>
      <w:r>
        <w:rPr>
          <w:szCs w:val="27"/>
        </w:rPr>
        <w:t>可是，無論何時，衞生署的人員、加上外判人員，以及在必要時調動其他紀律部隊人員，其實已經可以保持一定數目的工作人員，滿足需要。我們可以向議員保證，衞生署人員的合約和聘用情況，一定不會受外判安排影響。</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你的補充質詢是否未獲答覆？</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rPr>
          <w:i/>
          <w:i/>
        </w:rPr>
      </w:pPr>
      <w:r>
        <w:rPr>
          <w:rFonts w:ascii="華康中黑體" w:hAnsi="華康中黑體" w:eastAsia="華康中黑體"/>
          <w:b/>
        </w:rPr>
        <w:t>梁耀忠議員</w:t>
      </w:r>
      <w:r>
        <w:rPr/>
        <w:t>：</w:t>
      </w:r>
      <w:r>
        <w:rPr>
          <w:i/>
        </w:rPr>
        <w:t>局長沒有回答，他可能誤解了我的補充質詢。我不是要求他增聘人手</w:t>
      </w:r>
      <w:r>
        <w:rPr>
          <w:i/>
        </w:rPr>
        <w:t>......</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請重複你的補充質詢。</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ind w:left="851" w:hanging="851"/>
        <w:rPr>
          <w:i/>
          <w:i/>
        </w:rPr>
      </w:pPr>
      <w:r>
        <w:rPr>
          <w:rFonts w:ascii="華康中黑體" w:hAnsi="華康中黑體" w:eastAsia="華康中黑體"/>
          <w:b/>
        </w:rPr>
        <w:t>梁耀忠議員</w:t>
      </w:r>
      <w:r>
        <w:rPr/>
        <w:t>：</w:t>
      </w:r>
      <w:r>
        <w:rPr>
          <w:i/>
        </w:rPr>
        <w:t>......</w:t>
      </w:r>
      <w:r>
        <w:rPr>
          <w:i/>
        </w:rPr>
        <w:t>我是說在確診首宗個案前有</w:t>
      </w:r>
      <w:r>
        <w:rPr>
          <w:i/>
        </w:rPr>
        <w:t>460</w:t>
      </w:r>
      <w:r>
        <w:rPr>
          <w:i/>
        </w:rPr>
        <w:t>名員工</w:t>
      </w:r>
      <w:r>
        <w:rPr>
          <w:i/>
        </w:rPr>
        <w:t>......</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請重複你的補充質詢。</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rPr/>
      </w:pPr>
      <w:r>
        <w:rPr>
          <w:rFonts w:ascii="華康中黑體" w:hAnsi="華康中黑體" w:eastAsia="華康中黑體"/>
          <w:b/>
        </w:rPr>
        <w:t>梁耀忠議員</w:t>
      </w:r>
      <w:r>
        <w:rPr/>
        <w:t>：</w:t>
      </w:r>
      <w:r>
        <w:rPr>
          <w:i/>
        </w:rPr>
        <w:t>......</w:t>
      </w:r>
      <w:r>
        <w:rPr>
          <w:i/>
        </w:rPr>
        <w:t>現在已經減少了</w:t>
      </w:r>
      <w:r>
        <w:rPr>
          <w:i/>
        </w:rPr>
        <w:t>100</w:t>
      </w:r>
      <w:r>
        <w:rPr>
          <w:i/>
        </w:rPr>
        <w:t>人，我是問局長可否補聘</w:t>
      </w:r>
      <w:r>
        <w:rPr>
          <w:i/>
        </w:rPr>
        <w:t>100</w:t>
      </w:r>
      <w:r>
        <w:rPr>
          <w:i/>
        </w:rPr>
        <w:t>名員工，以穩定現時員工的軍心？</w:t>
      </w:r>
    </w:p>
    <w:p>
      <w:pPr>
        <w:pStyle w:val="F21"/>
        <w:snapToGrid w:val="false"/>
        <w:spacing w:lineRule="atLeast" w:line="380"/>
        <w:ind w:left="851" w:hanging="851"/>
        <w:rPr/>
      </w:pPr>
      <w:r>
        <w:rPr/>
      </w:r>
    </w:p>
    <w:p>
      <w:pPr>
        <w:pStyle w:val="F21"/>
        <w:snapToGrid w:val="false"/>
        <w:spacing w:lineRule="atLeast" w:line="380"/>
        <w:ind w:left="851" w:hanging="851"/>
        <w:rPr/>
      </w:pPr>
      <w:r>
        <w:rPr/>
      </w:r>
    </w:p>
    <w:p>
      <w:pPr>
        <w:pStyle w:val="F21"/>
        <w:snapToGrid w:val="false"/>
        <w:spacing w:lineRule="atLeast" w:line="380"/>
        <w:ind w:left="851" w:hanging="851"/>
        <w:rPr/>
      </w:pPr>
      <w:r>
        <w:rPr>
          <w:rFonts w:ascii="華康中黑體" w:hAnsi="華康中黑體" w:eastAsia="華康中黑體"/>
          <w:b/>
        </w:rPr>
        <w:t>主席</w:t>
      </w:r>
      <w:r>
        <w:rPr>
          <w:rFonts w:ascii="華康中黑體" w:hAnsi="華康中黑體"/>
        </w:rPr>
        <w:t>：</w:t>
      </w:r>
      <w:r>
        <w:rPr/>
        <w:t>局長，你有否補充？</w:t>
      </w:r>
    </w:p>
    <w:p>
      <w:pPr>
        <w:pStyle w:val="F21"/>
        <w:snapToGrid w:val="false"/>
        <w:spacing w:lineRule="atLeast" w:line="380"/>
        <w:ind w:left="851" w:hanging="851"/>
        <w:rPr/>
      </w:pPr>
      <w:r>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cs="華康中黑體" w:eastAsia="華康中黑體"/>
          <w:b/>
          <w:szCs w:val="27"/>
        </w:rPr>
        <w:t>食物及衞生局局長</w:t>
      </w:r>
      <w:r>
        <w:rPr>
          <w:szCs w:val="27"/>
        </w:rPr>
        <w:t>：主席，我其實已經說了，我們不會以此方法穩定員工士氣。最好的方法其實是清楚告訴他們，個別員工的聘用條件和合約不會受影響。</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napToGrid w:val="false"/>
        <w:spacing w:lineRule="atLeast" w:line="380"/>
        <w:rPr/>
      </w:pPr>
      <w:r>
        <w:rPr>
          <w:rFonts w:ascii="華康中黑體" w:hAnsi="華康中黑體" w:eastAsia="華康中黑體"/>
          <w:b/>
        </w:rPr>
        <w:t>主席</w:t>
      </w:r>
      <w:r>
        <w:rPr>
          <w:rFonts w:ascii="華康中黑體" w:hAnsi="華康中黑體"/>
        </w:rPr>
        <w:t>：</w:t>
      </w:r>
      <w:r>
        <w:rPr/>
        <w:t>本會就這項質詢已用了超過</w:t>
      </w:r>
      <w:r>
        <w:rPr/>
        <w:t>22</w:t>
      </w:r>
      <w:r>
        <w:rPr/>
        <w:t>分鐘。食物及衞生局局長，下一項質詢也是由你作答。第五項質詢。</w:t>
      </w:r>
    </w:p>
    <w:p>
      <w:pPr>
        <w:pStyle w:val="F21"/>
        <w:spacing w:lineRule="atLeast" w:line="380"/>
        <w:rPr/>
      </w:pPr>
      <w:r>
        <w:rPr/>
      </w:r>
    </w:p>
    <w:p>
      <w:pPr>
        <w:pStyle w:val="F21"/>
        <w:spacing w:lineRule="atLeast" w:line="380"/>
        <w:rPr>
          <w:rFonts w:ascii="華康中黑體" w:hAnsi="華康中黑體" w:eastAsia="華康中黑體"/>
          <w:b/>
          <w:b/>
        </w:rPr>
      </w:pPr>
      <w:r>
        <w:rPr>
          <w:rFonts w:eastAsia="華康中黑體" w:ascii="華康中黑體" w:hAnsi="華康中黑體"/>
          <w:b/>
        </w:rPr>
      </w:r>
    </w:p>
    <w:p>
      <w:pPr>
        <w:pStyle w:val="F21"/>
        <w:spacing w:lineRule="atLeast" w:line="380"/>
        <w:rPr>
          <w:rFonts w:eastAsia="華康中黑體" w:cs="Times New Roman"/>
          <w:b/>
          <w:b/>
        </w:rPr>
      </w:pPr>
      <w:bookmarkStart w:id="22" w:name="orq05"/>
      <w:r>
        <w:rPr>
          <w:rFonts w:cs="Times New Roman" w:eastAsia="華康中黑體"/>
          <w:b/>
        </w:rPr>
        <w:t>改善公立醫院的設施和服務</w:t>
      </w:r>
    </w:p>
    <w:p>
      <w:pPr>
        <w:pStyle w:val="Normal"/>
        <w:spacing w:lineRule="atLeast" w:line="380"/>
        <w:rPr>
          <w:b/>
          <w:b/>
        </w:rPr>
      </w:pPr>
      <w:bookmarkStart w:id="23" w:name="orq05"/>
      <w:r>
        <w:rPr>
          <w:b/>
        </w:rPr>
        <w:t>Improvements to Services and Facilities of Public Hospitals</w:t>
      </w:r>
      <w:bookmarkEnd w:id="23"/>
    </w:p>
    <w:p>
      <w:pPr>
        <w:pStyle w:val="F21"/>
        <w:spacing w:lineRule="atLeast" w:line="380"/>
        <w:rPr/>
      </w:pPr>
      <w:r>
        <w:rPr/>
      </w:r>
    </w:p>
    <w:p>
      <w:pPr>
        <w:pStyle w:val="F21"/>
        <w:spacing w:lineRule="atLeast" w:line="380"/>
        <w:rPr>
          <w:i/>
          <w:i/>
        </w:rPr>
      </w:pPr>
      <w:r>
        <w:rPr>
          <w:rFonts w:eastAsia="華康中黑體"/>
          <w:b/>
        </w:rPr>
        <w:t>5.</w:t>
      </w:r>
      <w:r>
        <w:rPr/>
        <w:tab/>
      </w:r>
      <w:r>
        <w:rPr>
          <w:rFonts w:eastAsia="華康中黑體"/>
          <w:b/>
        </w:rPr>
        <w:t>陳恒鑌議員</w:t>
      </w:r>
      <w:r>
        <w:rPr>
          <w:rFonts w:ascii="華康細明體" w:hAnsi="華康細明體"/>
        </w:rPr>
        <w:t>：</w:t>
      </w:r>
      <w:r>
        <w:rPr>
          <w:i/>
        </w:rPr>
        <w:t>主席，我希望局長能保重身體。</w:t>
      </w:r>
    </w:p>
    <w:p>
      <w:pPr>
        <w:pStyle w:val="F21"/>
        <w:spacing w:lineRule="atLeast" w:line="380"/>
        <w:rPr>
          <w:i/>
          <w:i/>
        </w:rPr>
      </w:pPr>
      <w:r>
        <w:rPr>
          <w:i/>
        </w:rPr>
      </w:r>
    </w:p>
    <w:p>
      <w:pPr>
        <w:pStyle w:val="F21"/>
        <w:spacing w:lineRule="atLeast" w:line="380"/>
        <w:rPr>
          <w:i/>
          <w:i/>
        </w:rPr>
      </w:pPr>
      <w:r>
        <w:rPr>
          <w:i/>
        </w:rPr>
        <w:tab/>
      </w:r>
      <w:r>
        <w:rPr>
          <w:i/>
        </w:rPr>
        <w:t>據悉，曾經有前往威爾斯親王醫院急症室求診並且被分流為“次緊急”的病人需要輪候</w:t>
      </w:r>
      <w:r>
        <w:rPr>
          <w:i/>
        </w:rPr>
        <w:t>26</w:t>
      </w:r>
      <w:r>
        <w:rPr>
          <w:i/>
        </w:rPr>
        <w:t>小時才獲得診治。另一方面，鑒於公立醫院的設施老化和空間不足，政府正計劃向本會財務委員會申請</w:t>
      </w:r>
      <w:r>
        <w:rPr>
          <w:i/>
        </w:rPr>
        <w:t>130</w:t>
      </w:r>
      <w:r>
        <w:rPr>
          <w:i/>
        </w:rPr>
        <w:t>億元撥款，以在未來</w:t>
      </w:r>
      <w:r>
        <w:rPr>
          <w:i/>
        </w:rPr>
        <w:t>5</w:t>
      </w:r>
      <w:r>
        <w:rPr>
          <w:i/>
        </w:rPr>
        <w:t>年至</w:t>
      </w:r>
      <w:r>
        <w:rPr>
          <w:i/>
        </w:rPr>
        <w:t>10</w:t>
      </w:r>
      <w:r>
        <w:rPr>
          <w:i/>
        </w:rPr>
        <w:t>年為公立醫院進行小型工程，改善醫院的設施。就改善公立醫院的服務及質素，政府可否告知本會：</w:t>
      </w:r>
    </w:p>
    <w:p>
      <w:pPr>
        <w:pStyle w:val="F21"/>
        <w:rPr>
          <w:i/>
          <w:i/>
        </w:rPr>
      </w:pPr>
      <w:r>
        <w:rPr>
          <w:i/>
        </w:rPr>
      </w:r>
    </w:p>
    <w:p>
      <w:pPr>
        <w:pStyle w:val="F21"/>
        <w:ind w:left="1417" w:hanging="850"/>
        <w:rPr>
          <w:i/>
          <w:i/>
        </w:rPr>
      </w:pPr>
      <w:r>
        <w:rPr>
          <w:i/>
        </w:rPr>
        <w:t>(</w:t>
      </w:r>
      <w:r>
        <w:rPr>
          <w:i/>
        </w:rPr>
        <w:t>一</w:t>
      </w:r>
      <w:r>
        <w:rPr>
          <w:i/>
        </w:rPr>
        <w:t>)</w:t>
        <w:tab/>
      </w:r>
      <w:r>
        <w:rPr>
          <w:i/>
        </w:rPr>
        <w:t>部分市民由於所住地區欠缺通宵門診服務，在晚間發病時惟有前往公立醫院急症室求診，並被分流為“次緊急”或“非緊急”病人，而他們的病情可能因輪候診治時間過長而加重，當局會否考慮鼓勵私營醫療機構加強通宵門診服務，以及再次考慮在公立醫院增設普通科通宵門診，以減輕急症室的負荷；若會，詳情為何；若不會，原因為何；</w:t>
      </w:r>
    </w:p>
    <w:p>
      <w:pPr>
        <w:pStyle w:val="F21"/>
        <w:ind w:left="1417" w:hanging="850"/>
        <w:rPr>
          <w:i/>
          <w:i/>
        </w:rPr>
      </w:pPr>
      <w:r>
        <w:rPr>
          <w:i/>
        </w:rPr>
      </w:r>
    </w:p>
    <w:p>
      <w:pPr>
        <w:pStyle w:val="F21"/>
        <w:ind w:left="1417" w:hanging="850"/>
        <w:rPr>
          <w:i/>
          <w:i/>
        </w:rPr>
      </w:pPr>
      <w:r>
        <w:rPr>
          <w:i/>
        </w:rPr>
        <w:t>(</w:t>
      </w:r>
      <w:r>
        <w:rPr>
          <w:i/>
        </w:rPr>
        <w:t>二</w:t>
      </w:r>
      <w:r>
        <w:rPr>
          <w:i/>
        </w:rPr>
        <w:t>)</w:t>
        <w:tab/>
      </w:r>
      <w:r>
        <w:rPr>
          <w:i/>
        </w:rPr>
        <w:t>鑒於新界西人口眾多，而博愛醫院並非全科醫院，天水圍醫院亦需要數年後才能落成啟用，令大部分病人需前往屯門醫院求診，使屯門醫院的服務供不應求；此外，作為中型醫院的博愛醫院只有</w:t>
      </w:r>
      <w:r>
        <w:rPr>
          <w:i/>
        </w:rPr>
        <w:t>8</w:t>
      </w:r>
      <w:r>
        <w:rPr>
          <w:i/>
        </w:rPr>
        <w:t>間手術室，而作為大型醫院的屯門醫院亦只有</w:t>
      </w:r>
      <w:r>
        <w:rPr>
          <w:i/>
        </w:rPr>
        <w:t>11</w:t>
      </w:r>
      <w:r>
        <w:rPr>
          <w:i/>
        </w:rPr>
        <w:t>間手術室</w:t>
      </w:r>
      <w:r>
        <w:rPr>
          <w:i/>
        </w:rPr>
        <w:t>(</w:t>
      </w:r>
      <w:r>
        <w:rPr>
          <w:i/>
        </w:rPr>
        <w:t>同樣是大型醫院的威爾斯親王醫院有</w:t>
      </w:r>
      <w:r>
        <w:rPr>
          <w:i/>
        </w:rPr>
        <w:t>20</w:t>
      </w:r>
      <w:r>
        <w:rPr>
          <w:i/>
        </w:rPr>
        <w:t>間手術室</w:t>
      </w:r>
      <w:r>
        <w:rPr>
          <w:i/>
        </w:rPr>
        <w:t>)</w:t>
      </w:r>
      <w:r>
        <w:rPr>
          <w:i/>
        </w:rPr>
        <w:t>，可見手術室的供應非常緊張；另外，屯門醫院的心導管檢查室設備亦同樣不足，而其他設施</w:t>
      </w:r>
      <w:r>
        <w:rPr>
          <w:i/>
        </w:rPr>
        <w:t>(</w:t>
      </w:r>
      <w:r>
        <w:rPr>
          <w:i/>
        </w:rPr>
        <w:t>例如渠管、電線</w:t>
      </w:r>
      <w:r>
        <w:rPr>
          <w:i/>
        </w:rPr>
        <w:t>)</w:t>
      </w:r>
      <w:r>
        <w:rPr>
          <w:i/>
        </w:rPr>
        <w:t>也出現老化，當局在</w:t>
      </w:r>
      <w:r>
        <w:rPr>
          <w:i/>
        </w:rPr>
        <w:t>130</w:t>
      </w:r>
      <w:r>
        <w:rPr>
          <w:i/>
        </w:rPr>
        <w:t>億元的撥款當中預留多少款項給屯門醫院進行改善工程，以及有關改善工程的詳情為何；及</w:t>
      </w:r>
    </w:p>
    <w:p>
      <w:pPr>
        <w:pStyle w:val="F21"/>
        <w:ind w:left="1417" w:hanging="850"/>
        <w:rPr>
          <w:i/>
          <w:i/>
        </w:rPr>
      </w:pPr>
      <w:r>
        <w:rPr>
          <w:i/>
        </w:rPr>
      </w:r>
    </w:p>
    <w:p>
      <w:pPr>
        <w:pStyle w:val="F21"/>
        <w:ind w:left="1417" w:hanging="850"/>
        <w:rPr>
          <w:i/>
          <w:i/>
        </w:rPr>
      </w:pPr>
      <w:r>
        <w:rPr>
          <w:i/>
        </w:rPr>
        <w:t>(</w:t>
      </w:r>
      <w:r>
        <w:rPr>
          <w:i/>
        </w:rPr>
        <w:t>三</w:t>
      </w:r>
      <w:r>
        <w:rPr>
          <w:i/>
        </w:rPr>
        <w:t>)</w:t>
        <w:tab/>
      </w:r>
      <w:r>
        <w:rPr>
          <w:i/>
        </w:rPr>
        <w:t>由</w:t>
      </w:r>
      <w:r>
        <w:rPr>
          <w:i/>
        </w:rPr>
        <w:t>2015-2016</w:t>
      </w:r>
      <w:r>
        <w:rPr>
          <w:i/>
        </w:rPr>
        <w:t>年度起，每年將會有較現時為多的本地醫科生畢業，醫院管理局</w:t>
      </w:r>
      <w:r>
        <w:rPr>
          <w:i/>
        </w:rPr>
        <w:t>(“</w:t>
      </w:r>
      <w:r>
        <w:rPr>
          <w:i/>
        </w:rPr>
        <w:t>醫管局”</w:t>
      </w:r>
      <w:r>
        <w:rPr>
          <w:i/>
        </w:rPr>
        <w:t>)</w:t>
      </w:r>
      <w:r>
        <w:rPr>
          <w:i/>
        </w:rPr>
        <w:t>有否計劃在未來的臨床設備和設施方面作出配合，以免屆時出現“有軟件，無硬件”的情況；若有計劃，詳情為何；若否，原因為何？</w:t>
      </w:r>
    </w:p>
    <w:p>
      <w:pPr>
        <w:pStyle w:val="F21"/>
        <w:rPr>
          <w:i/>
          <w:i/>
        </w:rPr>
      </w:pPr>
      <w:r>
        <w:rPr>
          <w:i/>
        </w:rPr>
      </w:r>
    </w:p>
    <w:p>
      <w:pPr>
        <w:pStyle w:val="F21"/>
        <w:rPr>
          <w:i/>
          <w:i/>
        </w:rPr>
      </w:pPr>
      <w:r>
        <w:rPr>
          <w:i/>
        </w:rPr>
      </w:r>
    </w:p>
    <w:p>
      <w:pPr>
        <w:pStyle w:val="F21"/>
        <w:rPr/>
      </w:pPr>
      <w:r>
        <w:rPr>
          <w:rFonts w:eastAsia="華康中黑體"/>
          <w:b/>
        </w:rPr>
        <w:t>食物及衞生局局長</w:t>
      </w:r>
      <w:r>
        <w:rPr/>
        <w:t>：主席，我們十分重視市民對醫療服務的需要，並且會致力改善各項醫療服務。</w:t>
      </w:r>
    </w:p>
    <w:p>
      <w:pPr>
        <w:pStyle w:val="F21"/>
        <w:rPr/>
      </w:pPr>
      <w:r>
        <w:rPr/>
      </w:r>
    </w:p>
    <w:p>
      <w:pPr>
        <w:pStyle w:val="F21"/>
        <w:spacing w:lineRule="atLeast" w:line="370"/>
        <w:rPr/>
      </w:pPr>
      <w:r>
        <w:rPr/>
        <w:tab/>
      </w:r>
      <w:r>
        <w:rPr/>
        <w:t>在急症室方面，醫管局採用分流制度，把到急症室求診的人士按其臨床情況分類。在</w:t>
      </w:r>
      <w:r>
        <w:rPr/>
        <w:t>2012-2013</w:t>
      </w:r>
      <w:r>
        <w:rPr/>
        <w:t>年度，被分流為“危殆”及“危急”類別的病人，分別有</w:t>
      </w:r>
      <w:r>
        <w:rPr/>
        <w:t>100%</w:t>
      </w:r>
      <w:r>
        <w:rPr/>
        <w:t>及</w:t>
      </w:r>
      <w:r>
        <w:rPr/>
        <w:t>97%</w:t>
      </w:r>
      <w:r>
        <w:rPr/>
        <w:t>可以在指定時間內</w:t>
      </w:r>
      <w:r>
        <w:rPr/>
        <w:t>(</w:t>
      </w:r>
      <w:r>
        <w:rPr/>
        <w:t>分別是即時和</w:t>
      </w:r>
      <w:r>
        <w:rPr/>
        <w:t>15</w:t>
      </w:r>
      <w:r>
        <w:rPr/>
        <w:t>分鐘</w:t>
      </w:r>
      <w:r>
        <w:rPr/>
        <w:t>)</w:t>
      </w:r>
      <w:r>
        <w:rPr/>
        <w:t>獲得診治，符合醫管局的服務承諾，顯示出絕大部分有急切醫療需要的病人皆能適時獲得治理。在此分流制度下，部分臨床情況相對不太緊急的病人需要輪候較長的時間。為縮短輪候時間及紓緩前線人員的壓力，醫管局在今年開始陸續於</w:t>
      </w:r>
      <w:r>
        <w:rPr/>
        <w:t>12</w:t>
      </w:r>
      <w:r>
        <w:rPr/>
        <w:t>間急症醫院進行支援服務先導計劃，為急症室招聘額外人手。截至</w:t>
      </w:r>
      <w:r>
        <w:rPr/>
        <w:t>9</w:t>
      </w:r>
      <w:r>
        <w:rPr/>
        <w:t>月底，醫管局共招聘</w:t>
      </w:r>
      <w:r>
        <w:rPr/>
        <w:t>792</w:t>
      </w:r>
      <w:r>
        <w:rPr/>
        <w:t>名醫護人員，提供約</w:t>
      </w:r>
      <w:r>
        <w:rPr/>
        <w:t>1 850</w:t>
      </w:r>
      <w:r>
        <w:rPr/>
        <w:t>個診症時段，額外處理超過</w:t>
      </w:r>
      <w:r>
        <w:rPr/>
        <w:t>33 000</w:t>
      </w:r>
      <w:r>
        <w:rPr/>
        <w:t>宗個案。</w:t>
      </w:r>
    </w:p>
    <w:p>
      <w:pPr>
        <w:pStyle w:val="F21"/>
        <w:spacing w:lineRule="atLeast" w:line="370"/>
        <w:rPr/>
      </w:pPr>
      <w:r>
        <w:rPr/>
      </w:r>
    </w:p>
    <w:p>
      <w:pPr>
        <w:pStyle w:val="F21"/>
        <w:spacing w:lineRule="atLeast" w:line="370"/>
        <w:rPr/>
      </w:pPr>
      <w:r>
        <w:rPr/>
        <w:tab/>
      </w:r>
      <w:r>
        <w:rPr/>
        <w:t>在普通科門診方面，醫管局一直積極招聘人手、翻新和擴建診所、更新設施，也在可行的情況下，提升普通科門診的應診能力。醫管局在</w:t>
      </w:r>
      <w:r>
        <w:rPr/>
        <w:t>2012-2013</w:t>
      </w:r>
      <w:r>
        <w:rPr/>
        <w:t>年度增加</w:t>
      </w:r>
      <w:r>
        <w:rPr/>
        <w:t>30</w:t>
      </w:r>
      <w:r>
        <w:rPr/>
        <w:t>萬個普通科門診名額，並會於</w:t>
      </w:r>
      <w:r>
        <w:rPr/>
        <w:t>2013-2014</w:t>
      </w:r>
      <w:r>
        <w:rPr/>
        <w:t>年度增加約</w:t>
      </w:r>
      <w:r>
        <w:rPr/>
        <w:t>85 000</w:t>
      </w:r>
      <w:r>
        <w:rPr/>
        <w:t>個名額。</w:t>
      </w:r>
    </w:p>
    <w:p>
      <w:pPr>
        <w:pStyle w:val="F21"/>
        <w:spacing w:lineRule="atLeast" w:line="370"/>
        <w:rPr/>
      </w:pPr>
      <w:r>
        <w:rPr/>
      </w:r>
    </w:p>
    <w:p>
      <w:pPr>
        <w:pStyle w:val="F21"/>
        <w:spacing w:lineRule="atLeast" w:line="370"/>
        <w:rPr/>
      </w:pPr>
      <w:r>
        <w:rPr/>
        <w:tab/>
      </w:r>
      <w:r>
        <w:rPr/>
        <w:t>此外，醫管局管理的建築物約有</w:t>
      </w:r>
      <w:r>
        <w:rPr/>
        <w:t>300</w:t>
      </w:r>
      <w:r>
        <w:rPr/>
        <w:t>座，樓面面積超過</w:t>
      </w:r>
      <w:r>
        <w:rPr/>
        <w:t>260</w:t>
      </w:r>
      <w:r>
        <w:rPr/>
        <w:t>萬平方米，當中超過</w:t>
      </w:r>
      <w:r>
        <w:rPr/>
        <w:t>56%</w:t>
      </w:r>
      <w:r>
        <w:rPr/>
        <w:t>的建築物已落成超過</w:t>
      </w:r>
      <w:r>
        <w:rPr/>
        <w:t>30</w:t>
      </w:r>
      <w:r>
        <w:rPr/>
        <w:t>年，有些甚至超過</w:t>
      </w:r>
      <w:r>
        <w:rPr/>
        <w:t>85</w:t>
      </w:r>
      <w:r>
        <w:rPr/>
        <w:t>年。所以，為免這些老化的建築物影響我們的服務，我們會向立法會財務委員會申請向醫管局一次過撥款</w:t>
      </w:r>
      <w:r>
        <w:rPr/>
        <w:t>130</w:t>
      </w:r>
      <w:r>
        <w:rPr/>
        <w:t>億元，讓醫管局可以在未來</w:t>
      </w:r>
      <w:r>
        <w:rPr/>
        <w:t>10</w:t>
      </w:r>
      <w:r>
        <w:rPr/>
        <w:t>年內加快落實各項改善工程。</w:t>
      </w:r>
    </w:p>
    <w:p>
      <w:pPr>
        <w:pStyle w:val="F21"/>
        <w:spacing w:lineRule="atLeast" w:line="370"/>
        <w:rPr/>
      </w:pPr>
      <w:r>
        <w:rPr/>
      </w:r>
    </w:p>
    <w:p>
      <w:pPr>
        <w:pStyle w:val="F21"/>
        <w:spacing w:lineRule="atLeast" w:line="370"/>
        <w:rPr/>
      </w:pPr>
      <w:r>
        <w:rPr/>
        <w:tab/>
      </w:r>
      <w:r>
        <w:rPr/>
        <w:t>就質詢的各部分，我答覆如下：</w:t>
      </w:r>
    </w:p>
    <w:p>
      <w:pPr>
        <w:pStyle w:val="F21"/>
        <w:spacing w:lineRule="atLeast" w:line="370"/>
        <w:rPr/>
      </w:pPr>
      <w:r>
        <w:rPr/>
      </w:r>
    </w:p>
    <w:p>
      <w:pPr>
        <w:pStyle w:val="Style14"/>
        <w:spacing w:lineRule="atLeast" w:line="370"/>
        <w:ind w:left="1417" w:hanging="850"/>
        <w:rPr>
          <w:i w:val="false"/>
          <w:i w:val="false"/>
        </w:rPr>
      </w:pPr>
      <w:r>
        <w:rPr>
          <w:i w:val="false"/>
        </w:rPr>
        <w:t>(</w:t>
      </w:r>
      <w:r>
        <w:rPr>
          <w:i w:val="false"/>
        </w:rPr>
        <w:t>一</w:t>
      </w:r>
      <w:r>
        <w:rPr>
          <w:i w:val="false"/>
        </w:rPr>
        <w:t>)</w:t>
        <w:tab/>
      </w:r>
      <w:r>
        <w:rPr>
          <w:i w:val="false"/>
        </w:rPr>
        <w:t>醫管局不同的服務，有不同的範圍和對象。就普通科門診而言，病人主要分為兩大類，一類為病情穩定的長期病患者，另一類為偶發性疾病患者。現時，醫管局設有</w:t>
      </w:r>
      <w:r>
        <w:rPr>
          <w:i w:val="false"/>
        </w:rPr>
        <w:t>73</w:t>
      </w:r>
      <w:r>
        <w:rPr>
          <w:i w:val="false"/>
        </w:rPr>
        <w:t>間普通科門診，當中有</w:t>
      </w:r>
      <w:r>
        <w:rPr>
          <w:i w:val="false"/>
        </w:rPr>
        <w:t>23</w:t>
      </w:r>
      <w:r>
        <w:rPr>
          <w:i w:val="false"/>
        </w:rPr>
        <w:t>間設有夜間門診服務，服務時間為晚上</w:t>
      </w:r>
      <w:r>
        <w:rPr>
          <w:i w:val="false"/>
        </w:rPr>
        <w:t>6</w:t>
      </w:r>
      <w:r>
        <w:rPr>
          <w:i w:val="false"/>
        </w:rPr>
        <w:t>時至</w:t>
      </w:r>
      <w:r>
        <w:rPr>
          <w:i w:val="false"/>
        </w:rPr>
        <w:t>10</w:t>
      </w:r>
      <w:r>
        <w:rPr>
          <w:i w:val="false"/>
        </w:rPr>
        <w:t>時，另有</w:t>
      </w:r>
      <w:r>
        <w:rPr>
          <w:i w:val="false"/>
        </w:rPr>
        <w:t>12</w:t>
      </w:r>
      <w:r>
        <w:rPr>
          <w:i w:val="false"/>
        </w:rPr>
        <w:t>間設有星期日及公眾假期門診。</w:t>
      </w:r>
    </w:p>
    <w:p>
      <w:pPr>
        <w:pStyle w:val="Style14"/>
        <w:spacing w:lineRule="atLeast" w:line="370"/>
        <w:ind w:left="1417" w:hanging="850"/>
        <w:rPr>
          <w:i w:val="false"/>
          <w:i w:val="false"/>
        </w:rPr>
      </w:pPr>
      <w:r>
        <w:rPr>
          <w:i w:val="false"/>
        </w:rPr>
      </w:r>
    </w:p>
    <w:p>
      <w:pPr>
        <w:pStyle w:val="Style14"/>
        <w:spacing w:lineRule="atLeast" w:line="370"/>
        <w:ind w:left="1417" w:hanging="850"/>
        <w:rPr>
          <w:i w:val="false"/>
          <w:i w:val="false"/>
        </w:rPr>
      </w:pPr>
      <w:r>
        <w:rPr>
          <w:i w:val="false"/>
        </w:rPr>
        <w:tab/>
      </w:r>
      <w:r>
        <w:rPr>
          <w:i w:val="false"/>
        </w:rPr>
        <w:t>出現嚴重及急性病徵的人士應到急症室求診。醫管局當然會在人手可以的情況下，加強急症室的設施和服務。</w:t>
      </w:r>
    </w:p>
    <w:p>
      <w:pPr>
        <w:pStyle w:val="Style14"/>
        <w:spacing w:lineRule="atLeast" w:line="370"/>
        <w:ind w:left="1417" w:hanging="850"/>
        <w:rPr>
          <w:i w:val="false"/>
          <w:i w:val="false"/>
        </w:rPr>
      </w:pPr>
      <w:r>
        <w:rPr>
          <w:i w:val="false"/>
        </w:rPr>
      </w:r>
    </w:p>
    <w:p>
      <w:pPr>
        <w:pStyle w:val="Style14"/>
        <w:spacing w:lineRule="atLeast" w:line="370"/>
        <w:ind w:left="1417" w:hanging="850"/>
        <w:rPr>
          <w:i w:val="false"/>
          <w:i w:val="false"/>
        </w:rPr>
      </w:pPr>
      <w:r>
        <w:rPr>
          <w:i w:val="false"/>
        </w:rPr>
        <w:tab/>
      </w:r>
      <w:r>
        <w:rPr>
          <w:i w:val="false"/>
        </w:rPr>
        <w:t>至於普通科門診所照顧的，主要是病情穩定的長期病患者及病徵相對較輕的病人，因此他們應該不需要</w:t>
      </w:r>
      <w:r>
        <w:rPr>
          <w:i w:val="false"/>
        </w:rPr>
        <w:t>24</w:t>
      </w:r>
      <w:r>
        <w:rPr>
          <w:i w:val="false"/>
        </w:rPr>
        <w:t>小時服務，而普通科門診亦並非為提供緊急服務而設的。這種做法雖然對部分病人而言較為方便，但對我們的人手會構成進一步壓力。</w:t>
      </w:r>
    </w:p>
    <w:p>
      <w:pPr>
        <w:pStyle w:val="Style14"/>
        <w:spacing w:lineRule="atLeast" w:line="370"/>
        <w:ind w:left="1417" w:hanging="850"/>
        <w:rPr>
          <w:i w:val="false"/>
          <w:i w:val="false"/>
        </w:rPr>
      </w:pPr>
      <w:r>
        <w:rPr>
          <w:i w:val="false"/>
        </w:rPr>
      </w:r>
    </w:p>
    <w:p>
      <w:pPr>
        <w:pStyle w:val="Style14"/>
        <w:spacing w:lineRule="atLeast" w:line="370"/>
        <w:ind w:left="1417" w:hanging="850"/>
        <w:rPr>
          <w:i w:val="false"/>
          <w:i w:val="false"/>
        </w:rPr>
      </w:pPr>
      <w:r>
        <w:rPr>
          <w:i w:val="false"/>
        </w:rPr>
        <w:tab/>
      </w:r>
      <w:r>
        <w:rPr>
          <w:i w:val="false"/>
        </w:rPr>
        <w:t>至於個別私營機構方面，它們因應其模式會提供不同的服務。我們一直鼓勵私營機構加強通宵門診。為方便市民，我們在衞生署設立《基層醫療指南》，當中提供個人及應診時間資料，供市民參考。</w:t>
      </w:r>
    </w:p>
    <w:p>
      <w:pPr>
        <w:pStyle w:val="Style14"/>
        <w:ind w:left="1417" w:hanging="850"/>
        <w:rPr>
          <w:i w:val="false"/>
          <w:i w:val="false"/>
        </w:rPr>
      </w:pPr>
      <w:r>
        <w:rPr>
          <w:i w:val="false"/>
        </w:rPr>
      </w:r>
    </w:p>
    <w:p>
      <w:pPr>
        <w:pStyle w:val="Style14"/>
        <w:spacing w:lineRule="atLeast" w:line="380"/>
        <w:ind w:left="1417" w:hanging="850"/>
        <w:rPr>
          <w:i w:val="false"/>
          <w:i w:val="false"/>
        </w:rPr>
      </w:pPr>
      <w:r>
        <w:rPr>
          <w:i w:val="false"/>
        </w:rPr>
        <w:t>(</w:t>
      </w:r>
      <w:r>
        <w:rPr>
          <w:i w:val="false"/>
        </w:rPr>
        <w:t>二</w:t>
      </w:r>
      <w:r>
        <w:rPr>
          <w:i w:val="false"/>
        </w:rPr>
        <w:t>)</w:t>
        <w:tab/>
      </w:r>
      <w:r>
        <w:rPr>
          <w:i w:val="false"/>
        </w:rPr>
        <w:t>為改善屯門醫院的現有設施，醫管局會在</w:t>
      </w:r>
      <w:r>
        <w:rPr>
          <w:i w:val="false"/>
        </w:rPr>
        <w:t>2013-2014</w:t>
      </w:r>
      <w:r>
        <w:rPr>
          <w:i w:val="false"/>
        </w:rPr>
        <w:t>年度開展約</w:t>
      </w:r>
      <w:r>
        <w:rPr>
          <w:i w:val="false"/>
        </w:rPr>
        <w:t>25</w:t>
      </w:r>
      <w:r>
        <w:rPr>
          <w:i w:val="false"/>
        </w:rPr>
        <w:t>項合共超過</w:t>
      </w:r>
      <w:r>
        <w:rPr>
          <w:i w:val="false"/>
        </w:rPr>
        <w:t>1</w:t>
      </w:r>
      <w:r>
        <w:rPr>
          <w:i w:val="false"/>
        </w:rPr>
        <w:t>億元的改善工程。</w:t>
      </w:r>
    </w:p>
    <w:p>
      <w:pPr>
        <w:pStyle w:val="Style14"/>
        <w:spacing w:lineRule="atLeast" w:line="380"/>
        <w:ind w:left="1417" w:hanging="850"/>
        <w:rPr>
          <w:i w:val="false"/>
          <w:i w:val="false"/>
        </w:rPr>
      </w:pPr>
      <w:r>
        <w:rPr>
          <w:i w:val="false"/>
        </w:rPr>
      </w:r>
    </w:p>
    <w:p>
      <w:pPr>
        <w:pStyle w:val="Style14"/>
        <w:spacing w:lineRule="atLeast" w:line="380"/>
        <w:ind w:left="1417" w:hanging="850"/>
        <w:rPr>
          <w:i w:val="false"/>
          <w:i w:val="false"/>
        </w:rPr>
      </w:pPr>
      <w:r>
        <w:rPr>
          <w:i w:val="false"/>
        </w:rPr>
        <w:tab/>
      </w:r>
      <w:r>
        <w:rPr>
          <w:i w:val="false"/>
        </w:rPr>
        <w:t>如果建議的</w:t>
      </w:r>
      <w:r>
        <w:rPr>
          <w:i w:val="false"/>
        </w:rPr>
        <w:t>130</w:t>
      </w:r>
      <w:r>
        <w:rPr>
          <w:i w:val="false"/>
        </w:rPr>
        <w:t>億元撥款申請獲得通過，醫管局計劃於未來數年利用該筆撥款，在屯門醫院推行多項小型改善工程。不過，對於屯門醫院手術室的需求，我較早前在衞生事務委員會</w:t>
      </w:r>
      <w:r>
        <w:rPr>
          <w:i w:val="false"/>
        </w:rPr>
        <w:t>(“</w:t>
      </w:r>
      <w:r>
        <w:rPr>
          <w:i w:val="false"/>
        </w:rPr>
        <w:t>事務委員會”</w:t>
      </w:r>
      <w:r>
        <w:rPr>
          <w:i w:val="false"/>
        </w:rPr>
        <w:t>)</w:t>
      </w:r>
      <w:r>
        <w:rPr>
          <w:i w:val="false"/>
        </w:rPr>
        <w:t>上也曾解釋，因為各項工程的規模較大，所以我們會在</w:t>
      </w:r>
      <w:r>
        <w:rPr>
          <w:i w:val="false"/>
        </w:rPr>
        <w:t>130</w:t>
      </w:r>
      <w:r>
        <w:rPr>
          <w:i w:val="false"/>
        </w:rPr>
        <w:t>億元的撥款以外，進行一項技術可行性研究。如果可行性研究獲得確立的話，我們會另行申請撥款。</w:t>
      </w:r>
    </w:p>
    <w:p>
      <w:pPr>
        <w:pStyle w:val="Style14"/>
        <w:spacing w:lineRule="atLeast" w:line="380"/>
        <w:ind w:left="1417" w:hanging="850"/>
        <w:rPr>
          <w:i w:val="false"/>
          <w:i w:val="false"/>
        </w:rPr>
      </w:pPr>
      <w:r>
        <w:rPr>
          <w:i w:val="false"/>
        </w:rPr>
      </w:r>
    </w:p>
    <w:p>
      <w:pPr>
        <w:pStyle w:val="Style14"/>
        <w:spacing w:lineRule="atLeast" w:line="380"/>
        <w:ind w:left="1417" w:hanging="850"/>
        <w:rPr>
          <w:i w:val="false"/>
          <w:i w:val="false"/>
        </w:rPr>
      </w:pPr>
      <w:r>
        <w:rPr>
          <w:i w:val="false"/>
        </w:rPr>
        <w:t>(</w:t>
      </w:r>
      <w:r>
        <w:rPr>
          <w:i w:val="false"/>
        </w:rPr>
        <w:t>三</w:t>
      </w:r>
      <w:r>
        <w:rPr>
          <w:i w:val="false"/>
        </w:rPr>
        <w:t>)</w:t>
        <w:tab/>
      </w:r>
      <w:r>
        <w:rPr>
          <w:i w:val="false"/>
        </w:rPr>
        <w:t>為應付日漸上升的醫護人手需求，政府採取多項措施改善人手，其中包括自</w:t>
      </w:r>
      <w:r>
        <w:rPr>
          <w:i w:val="false"/>
        </w:rPr>
        <w:t>2012</w:t>
      </w:r>
      <w:r>
        <w:rPr>
          <w:i w:val="false"/>
        </w:rPr>
        <w:t>年起的</w:t>
      </w:r>
      <w:r>
        <w:rPr>
          <w:i w:val="false"/>
        </w:rPr>
        <w:t>3</w:t>
      </w:r>
      <w:r>
        <w:rPr>
          <w:i w:val="false"/>
        </w:rPr>
        <w:t>個年度額外撥款</w:t>
      </w:r>
      <w:r>
        <w:rPr>
          <w:i w:val="false"/>
        </w:rPr>
        <w:t>2</w:t>
      </w:r>
      <w:r>
        <w:rPr>
          <w:i w:val="false"/>
        </w:rPr>
        <w:t>億元，增加第一年醫科學士生學額</w:t>
      </w:r>
      <w:r>
        <w:rPr>
          <w:i w:val="false"/>
        </w:rPr>
        <w:t>100</w:t>
      </w:r>
      <w:r>
        <w:rPr>
          <w:i w:val="false"/>
        </w:rPr>
        <w:t>個至每年</w:t>
      </w:r>
      <w:r>
        <w:rPr>
          <w:i w:val="false"/>
        </w:rPr>
        <w:t>420</w:t>
      </w:r>
      <w:r>
        <w:rPr>
          <w:i w:val="false"/>
        </w:rPr>
        <w:t>個。預計</w:t>
      </w:r>
      <w:r>
        <w:rPr>
          <w:i w:val="false"/>
        </w:rPr>
        <w:t>2015-2016</w:t>
      </w:r>
      <w:r>
        <w:rPr>
          <w:i w:val="false"/>
        </w:rPr>
        <w:t>年度及</w:t>
      </w:r>
      <w:r>
        <w:rPr>
          <w:i w:val="false"/>
        </w:rPr>
        <w:t>2018-2019</w:t>
      </w:r>
      <w:r>
        <w:rPr>
          <w:i w:val="false"/>
        </w:rPr>
        <w:t>年度分別會有</w:t>
      </w:r>
      <w:r>
        <w:rPr>
          <w:i w:val="false"/>
        </w:rPr>
        <w:t>320</w:t>
      </w:r>
      <w:r>
        <w:rPr>
          <w:i w:val="false"/>
        </w:rPr>
        <w:t>名及</w:t>
      </w:r>
      <w:r>
        <w:rPr>
          <w:i w:val="false"/>
        </w:rPr>
        <w:t>420</w:t>
      </w:r>
      <w:r>
        <w:rPr>
          <w:i w:val="false"/>
        </w:rPr>
        <w:t>名醫科生畢業。</w:t>
      </w:r>
    </w:p>
    <w:p>
      <w:pPr>
        <w:pStyle w:val="Style14"/>
        <w:spacing w:lineRule="atLeast" w:line="380"/>
        <w:ind w:left="1417" w:hanging="850"/>
        <w:rPr>
          <w:i w:val="false"/>
          <w:i w:val="false"/>
        </w:rPr>
      </w:pPr>
      <w:r>
        <w:rPr>
          <w:i w:val="false"/>
        </w:rPr>
      </w:r>
    </w:p>
    <w:p>
      <w:pPr>
        <w:pStyle w:val="Style14"/>
        <w:spacing w:lineRule="atLeast" w:line="380"/>
        <w:ind w:left="1417" w:hanging="850"/>
        <w:rPr>
          <w:i w:val="false"/>
          <w:i w:val="false"/>
        </w:rPr>
      </w:pPr>
      <w:r>
        <w:rPr>
          <w:i w:val="false"/>
        </w:rPr>
        <w:tab/>
      </w:r>
      <w:r>
        <w:rPr>
          <w:i w:val="false"/>
        </w:rPr>
        <w:t>在硬件方面，醫管局亦進行多項醫院重建和擴建工程，以及我較早時已經向事務委員會交代的一項長遠醫院硬件發展藍圖。</w:t>
      </w:r>
    </w:p>
    <w:p>
      <w:pPr>
        <w:pStyle w:val="F21"/>
        <w:spacing w:lineRule="atLeast" w:line="380"/>
        <w:ind w:left="1417" w:hanging="850"/>
        <w:rPr>
          <w:szCs w:val="27"/>
        </w:rPr>
      </w:pPr>
      <w:r>
        <w:rPr>
          <w:szCs w:val="27"/>
        </w:rPr>
      </w:r>
    </w:p>
    <w:p>
      <w:pPr>
        <w:pStyle w:val="F21"/>
        <w:spacing w:lineRule="atLeast" w:line="380"/>
        <w:rPr/>
      </w:pPr>
      <w:r>
        <w:rPr/>
      </w:r>
    </w:p>
    <w:p>
      <w:pPr>
        <w:pStyle w:val="F21"/>
        <w:spacing w:lineRule="atLeast" w:line="380"/>
        <w:rPr>
          <w:i/>
          <w:i/>
          <w:szCs w:val="27"/>
        </w:rPr>
      </w:pPr>
      <w:r>
        <w:rPr>
          <w:rFonts w:eastAsia="華康中黑體"/>
          <w:b/>
          <w:szCs w:val="27"/>
        </w:rPr>
        <w:t>陳恒鑌議員</w:t>
      </w:r>
      <w:r>
        <w:rPr>
          <w:szCs w:val="27"/>
        </w:rPr>
        <w:t>︰</w:t>
      </w:r>
      <w:r>
        <w:rPr>
          <w:i/>
          <w:szCs w:val="27"/>
        </w:rPr>
        <w:t>主席，作為新界西的龍頭醫院，屯門醫院只有</w:t>
      </w:r>
      <w:r>
        <w:rPr>
          <w:i/>
          <w:szCs w:val="27"/>
        </w:rPr>
        <w:t>11</w:t>
      </w:r>
      <w:r>
        <w:rPr>
          <w:i/>
          <w:szCs w:val="27"/>
        </w:rPr>
        <w:t>間手術室，與中等規模的博愛醫院相差無幾。局長在答覆我的主體質詢時表示，就增加手術室的問題，當局正進行一項可行性研究，但卻無具體安排。由於屯門醫院</w:t>
      </w:r>
      <w:r>
        <w:rPr>
          <w:i/>
          <w:szCs w:val="27"/>
        </w:rPr>
        <w:t>23</w:t>
      </w:r>
      <w:r>
        <w:rPr>
          <w:i/>
          <w:szCs w:val="27"/>
        </w:rPr>
        <w:t>年來只以</w:t>
      </w:r>
      <w:r>
        <w:rPr>
          <w:i/>
          <w:szCs w:val="27"/>
        </w:rPr>
        <w:t>11</w:t>
      </w:r>
      <w:r>
        <w:rPr>
          <w:i/>
          <w:szCs w:val="27"/>
        </w:rPr>
        <w:t>間手術室服務近</w:t>
      </w:r>
      <w:r>
        <w:rPr>
          <w:i/>
          <w:szCs w:val="27"/>
        </w:rPr>
        <w:t>100</w:t>
      </w:r>
      <w:r>
        <w:rPr>
          <w:i/>
          <w:szCs w:val="27"/>
        </w:rPr>
        <w:t>萬名新界西市民，我想問政府有否感到愧對新界西市民，以及有否快速見效的具體措施，以彌補手術室數目不足的問題呢？</w:t>
      </w:r>
    </w:p>
    <w:p>
      <w:pPr>
        <w:pStyle w:val="F21"/>
        <w:spacing w:lineRule="atLeast" w:line="38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8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80"/>
        <w:rPr>
          <w:szCs w:val="27"/>
        </w:rPr>
      </w:pPr>
      <w:r>
        <w:rPr>
          <w:rFonts w:ascii="華康中黑體" w:hAnsi="華康中黑體" w:eastAsia="華康中黑體"/>
          <w:b/>
          <w:szCs w:val="27"/>
        </w:rPr>
        <w:t>食物及衞生局局長</w:t>
      </w:r>
      <w:r>
        <w:rPr>
          <w:szCs w:val="27"/>
        </w:rPr>
        <w:t>：正如我剛才所說，我完全同意屯門醫院手術室數目不足。所以，我們已快速地與醫管局討論如何盡快制訂計劃，協助屯門醫院增建手術室。不過，因為這項計劃所需的資源遠超小型工程所需的資源，因此我們必須進行可行性研究，然後盡快向立法會申請撥款。</w:t>
      </w:r>
      <w:r>
        <w:br w:type="page"/>
      </w:r>
    </w:p>
    <w:p>
      <w:pPr>
        <w:pStyle w:val="F21"/>
        <w:spacing w:lineRule="atLeast" w:line="350"/>
        <w:rPr>
          <w:i/>
          <w:i/>
          <w:szCs w:val="27"/>
        </w:rPr>
      </w:pPr>
      <w:r>
        <w:rPr>
          <w:rFonts w:ascii="華康中黑體" w:hAnsi="華康中黑體" w:eastAsia="華康中黑體"/>
          <w:b/>
          <w:szCs w:val="27"/>
        </w:rPr>
        <w:t>鍾樹根議員</w:t>
      </w:r>
      <w:r>
        <w:rPr>
          <w:szCs w:val="27"/>
        </w:rPr>
        <w:t>：</w:t>
      </w:r>
      <w:r>
        <w:rPr>
          <w:i/>
          <w:szCs w:val="27"/>
        </w:rPr>
        <w:t>主席，雖然局長在主體答覆中表示，醫管局在本年的首</w:t>
      </w:r>
      <w:r>
        <w:rPr>
          <w:i/>
          <w:szCs w:val="27"/>
        </w:rPr>
        <w:t>9</w:t>
      </w:r>
      <w:r>
        <w:rPr>
          <w:i/>
          <w:szCs w:val="27"/>
        </w:rPr>
        <w:t>個月內已為急症室聘請</w:t>
      </w:r>
      <w:r>
        <w:rPr>
          <w:i/>
          <w:szCs w:val="27"/>
        </w:rPr>
        <w:t>792</w:t>
      </w:r>
      <w:r>
        <w:rPr>
          <w:i/>
          <w:szCs w:val="27"/>
        </w:rPr>
        <w:t>名醫護人員，但急症室很多時候仍有大量病人輪候，很多病人需要等候</w:t>
      </w:r>
      <w:r>
        <w:rPr>
          <w:i/>
          <w:szCs w:val="27"/>
        </w:rPr>
        <w:t>10</w:t>
      </w:r>
      <w:r>
        <w:rPr>
          <w:i/>
          <w:szCs w:val="27"/>
        </w:rPr>
        <w:t>至</w:t>
      </w:r>
      <w:r>
        <w:rPr>
          <w:i/>
          <w:szCs w:val="27"/>
        </w:rPr>
        <w:t>20</w:t>
      </w:r>
      <w:r>
        <w:rPr>
          <w:i/>
          <w:szCs w:val="27"/>
        </w:rPr>
        <w:t>小時才能獲得診治。以局長現時的情況而言，他其實可以前往急症室求診。他只要除下眼鏡，以免別人認出。</w:t>
      </w:r>
    </w:p>
    <w:p>
      <w:pPr>
        <w:pStyle w:val="F21"/>
        <w:spacing w:lineRule="atLeast" w:line="350"/>
        <w:rPr>
          <w:i/>
          <w:i/>
          <w:szCs w:val="27"/>
        </w:rPr>
      </w:pPr>
      <w:r>
        <w:rPr>
          <w:i/>
          <w:szCs w:val="27"/>
        </w:rPr>
      </w:r>
    </w:p>
    <w:p>
      <w:pPr>
        <w:pStyle w:val="F21"/>
        <w:spacing w:lineRule="atLeast" w:line="350"/>
        <w:rPr>
          <w:i/>
          <w:i/>
          <w:szCs w:val="27"/>
        </w:rPr>
      </w:pPr>
      <w:r>
        <w:rPr>
          <w:i/>
          <w:szCs w:val="27"/>
        </w:rPr>
        <w:tab/>
      </w:r>
      <w:r>
        <w:rPr>
          <w:i/>
          <w:szCs w:val="27"/>
        </w:rPr>
        <w:t>我的補充質詢是，究竟現時的人手是否仍然不足夠呢？是因為醫管局出現管理問題，還是因為其他原因而造成的呢？我希望局長能親身試試。</w:t>
      </w:r>
    </w:p>
    <w:p>
      <w:pPr>
        <w:pStyle w:val="F21"/>
        <w:spacing w:lineRule="atLeast" w:line="35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5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50"/>
        <w:rPr>
          <w:szCs w:val="27"/>
        </w:rPr>
      </w:pPr>
      <w:r>
        <w:rPr>
          <w:rFonts w:ascii="華康中黑體" w:hAnsi="華康中黑體" w:eastAsia="華康中黑體"/>
          <w:b/>
          <w:szCs w:val="27"/>
        </w:rPr>
        <w:t>食物及衞生局局長</w:t>
      </w:r>
      <w:r>
        <w:rPr>
          <w:szCs w:val="27"/>
        </w:rPr>
        <w:t>：主席，我想翻查一些數字，以解釋為何情況會如此。</w:t>
      </w:r>
    </w:p>
    <w:p>
      <w:pPr>
        <w:pStyle w:val="F21"/>
        <w:spacing w:lineRule="atLeast" w:line="350"/>
        <w:rPr>
          <w:szCs w:val="27"/>
        </w:rPr>
      </w:pPr>
      <w:r>
        <w:rPr>
          <w:szCs w:val="27"/>
        </w:rPr>
      </w:r>
    </w:p>
    <w:p>
      <w:pPr>
        <w:pStyle w:val="F21"/>
        <w:spacing w:lineRule="atLeast" w:line="350"/>
        <w:rPr>
          <w:szCs w:val="27"/>
        </w:rPr>
      </w:pPr>
      <w:r>
        <w:rPr>
          <w:szCs w:val="27"/>
        </w:rPr>
        <w:tab/>
      </w:r>
      <w:r>
        <w:rPr>
          <w:szCs w:val="27"/>
        </w:rPr>
        <w:t>較早時，我們有數年時間因為各種原因而削減醫科學生人數，所以，自</w:t>
      </w:r>
      <w:r>
        <w:rPr>
          <w:szCs w:val="27"/>
        </w:rPr>
        <w:t>2007</w:t>
      </w:r>
      <w:r>
        <w:rPr>
          <w:szCs w:val="27"/>
        </w:rPr>
        <w:t>年至今</w:t>
      </w:r>
      <w:r>
        <w:rPr>
          <w:szCs w:val="27"/>
        </w:rPr>
        <w:t>(</w:t>
      </w:r>
      <w:r>
        <w:rPr>
          <w:szCs w:val="27"/>
        </w:rPr>
        <w:t>即</w:t>
      </w:r>
      <w:r>
        <w:rPr>
          <w:szCs w:val="27"/>
        </w:rPr>
        <w:t>2012-2013</w:t>
      </w:r>
      <w:r>
        <w:rPr>
          <w:szCs w:val="27"/>
        </w:rPr>
        <w:t>年度</w:t>
      </w:r>
      <w:r>
        <w:rPr>
          <w:szCs w:val="27"/>
        </w:rPr>
        <w:t>)</w:t>
      </w:r>
      <w:r>
        <w:rPr>
          <w:szCs w:val="27"/>
        </w:rPr>
        <w:t>，每年的本地醫學院醫科畢業生在削減人數後徘徊在</w:t>
      </w:r>
      <w:r>
        <w:rPr>
          <w:szCs w:val="27"/>
        </w:rPr>
        <w:t>248</w:t>
      </w:r>
      <w:r>
        <w:rPr>
          <w:szCs w:val="27"/>
        </w:rPr>
        <w:t>人至</w:t>
      </w:r>
      <w:r>
        <w:rPr>
          <w:szCs w:val="27"/>
        </w:rPr>
        <w:t>261</w:t>
      </w:r>
      <w:r>
        <w:rPr>
          <w:szCs w:val="27"/>
        </w:rPr>
        <w:t xml:space="preserve">人 </w:t>
      </w:r>
      <w:r>
        <w:rPr>
          <w:rFonts w:ascii="Symbol" w:hAnsi="Symbol" w:cs="Symbol" w:eastAsia="Symbol"/>
          <w:szCs w:val="27"/>
          <w:lang w:eastAsia="zh-CN"/>
        </w:rPr>
        <w:t></w:t>
      </w:r>
      <w:r>
        <w:rPr>
          <w:szCs w:val="27"/>
        </w:rPr>
        <w:t xml:space="preserve"> 不是，應該是</w:t>
      </w:r>
      <w:r>
        <w:rPr>
          <w:szCs w:val="27"/>
        </w:rPr>
        <w:t>283</w:t>
      </w:r>
      <w:r>
        <w:rPr>
          <w:szCs w:val="27"/>
        </w:rPr>
        <w:t xml:space="preserve">人 </w:t>
      </w:r>
      <w:r>
        <w:rPr>
          <w:rFonts w:ascii="Symbol" w:hAnsi="Symbol" w:cs="Symbol" w:eastAsia="Symbol"/>
          <w:szCs w:val="27"/>
          <w:lang w:eastAsia="zh-CN"/>
        </w:rPr>
        <w:t></w:t>
      </w:r>
      <w:r>
        <w:rPr>
          <w:szCs w:val="27"/>
        </w:rPr>
        <w:t xml:space="preserve"> 之間，人數大幅減少。儘管數目在過去數年已有所增加，但我們只在今年才將數目增至</w:t>
      </w:r>
      <w:r>
        <w:rPr>
          <w:szCs w:val="27"/>
        </w:rPr>
        <w:t>340</w:t>
      </w:r>
      <w:r>
        <w:rPr>
          <w:szCs w:val="27"/>
        </w:rPr>
        <w:t>個，要及至</w:t>
      </w:r>
      <w:r>
        <w:rPr>
          <w:szCs w:val="27"/>
        </w:rPr>
        <w:t>2016-2017</w:t>
      </w:r>
      <w:r>
        <w:rPr>
          <w:szCs w:val="27"/>
        </w:rPr>
        <w:t>年度，數目才會增至</w:t>
      </w:r>
      <w:r>
        <w:rPr>
          <w:szCs w:val="27"/>
        </w:rPr>
        <w:t>420</w:t>
      </w:r>
      <w:r>
        <w:rPr>
          <w:szCs w:val="27"/>
        </w:rPr>
        <w:t xml:space="preserve">個，原因便是如此。而且，本年度 </w:t>
      </w:r>
      <w:r>
        <w:rPr>
          <w:rFonts w:ascii="Symbol" w:hAnsi="Symbol" w:cs="Symbol" w:eastAsia="Symbol"/>
          <w:szCs w:val="27"/>
          <w:lang w:eastAsia="zh-CN"/>
        </w:rPr>
        <w:t></w:t>
      </w:r>
      <w:r>
        <w:rPr>
          <w:szCs w:val="27"/>
        </w:rPr>
        <w:t xml:space="preserve"> 即明年 </w:t>
      </w:r>
      <w:r>
        <w:rPr>
          <w:rFonts w:ascii="Symbol" w:hAnsi="Symbol" w:cs="Symbol" w:eastAsia="Symbol"/>
          <w:szCs w:val="27"/>
          <w:lang w:eastAsia="zh-CN"/>
        </w:rPr>
        <w:t></w:t>
      </w:r>
      <w:r>
        <w:rPr>
          <w:szCs w:val="27"/>
        </w:rPr>
        <w:t xml:space="preserve"> 畢業的醫科學生數目會增加</w:t>
      </w:r>
      <w:r>
        <w:rPr>
          <w:szCs w:val="27"/>
        </w:rPr>
        <w:t>80</w:t>
      </w:r>
      <w:r>
        <w:rPr>
          <w:szCs w:val="27"/>
        </w:rPr>
        <w:t>人。</w:t>
      </w:r>
    </w:p>
    <w:p>
      <w:pPr>
        <w:pStyle w:val="F21"/>
        <w:spacing w:lineRule="atLeast" w:line="350"/>
        <w:rPr>
          <w:szCs w:val="27"/>
        </w:rPr>
      </w:pPr>
      <w:r>
        <w:rPr>
          <w:szCs w:val="27"/>
        </w:rPr>
      </w:r>
    </w:p>
    <w:p>
      <w:pPr>
        <w:pStyle w:val="F21"/>
        <w:spacing w:lineRule="atLeast" w:line="350"/>
        <w:rPr>
          <w:szCs w:val="27"/>
        </w:rPr>
      </w:pPr>
      <w:r>
        <w:rPr>
          <w:szCs w:val="27"/>
        </w:rPr>
      </w:r>
    </w:p>
    <w:p>
      <w:pPr>
        <w:pStyle w:val="F21"/>
        <w:snapToGrid w:val="false"/>
        <w:spacing w:lineRule="atLeast" w:line="350"/>
        <w:ind w:left="851" w:hanging="851"/>
        <w:rPr/>
      </w:pPr>
      <w:r>
        <w:rPr>
          <w:rFonts w:ascii="華康中黑體" w:hAnsi="華康中黑體" w:eastAsia="華康中黑體"/>
          <w:b/>
        </w:rPr>
        <w:t>主席</w:t>
      </w:r>
      <w:r>
        <w:rPr>
          <w:rFonts w:ascii="華康中黑體" w:hAnsi="華康中黑體"/>
        </w:rPr>
        <w:t>：</w:t>
      </w:r>
      <w:r>
        <w:rPr/>
        <w:t>鍾議員，你的補充質詢是否未獲答覆？</w:t>
      </w:r>
    </w:p>
    <w:p>
      <w:pPr>
        <w:pStyle w:val="F21"/>
        <w:spacing w:lineRule="atLeast" w:line="350"/>
        <w:rPr>
          <w:rFonts w:eastAsia="華康中黑體"/>
          <w:b/>
          <w:b/>
          <w:szCs w:val="27"/>
        </w:rPr>
      </w:pPr>
      <w:r>
        <w:rPr>
          <w:rFonts w:eastAsia="華康中黑體"/>
          <w:b/>
          <w:szCs w:val="27"/>
        </w:rPr>
      </w:r>
    </w:p>
    <w:p>
      <w:pPr>
        <w:pStyle w:val="F21"/>
        <w:spacing w:lineRule="atLeast" w:line="350"/>
        <w:rPr>
          <w:rFonts w:eastAsia="華康中黑體"/>
          <w:b/>
          <w:b/>
          <w:szCs w:val="27"/>
        </w:rPr>
      </w:pPr>
      <w:r>
        <w:rPr>
          <w:rFonts w:eastAsia="華康中黑體"/>
          <w:b/>
          <w:szCs w:val="27"/>
        </w:rPr>
      </w:r>
    </w:p>
    <w:p>
      <w:pPr>
        <w:pStyle w:val="F21"/>
        <w:spacing w:lineRule="atLeast" w:line="350"/>
        <w:rPr>
          <w:i/>
          <w:i/>
          <w:szCs w:val="27"/>
        </w:rPr>
      </w:pPr>
      <w:r>
        <w:rPr>
          <w:rFonts w:eastAsia="華康中黑體"/>
          <w:b/>
          <w:szCs w:val="27"/>
        </w:rPr>
        <w:t>鍾樹根議員</w:t>
      </w:r>
      <w:r>
        <w:rPr>
          <w:szCs w:val="27"/>
        </w:rPr>
        <w:t>：</w:t>
      </w:r>
      <w:r>
        <w:rPr>
          <w:i/>
          <w:szCs w:val="27"/>
        </w:rPr>
        <w:t>局長沒有回答我的補充質詢。如果這是他的答覆，那麼他會否考慮聘請外地的醫護人員</w:t>
      </w:r>
      <w:r>
        <w:rPr>
          <w:i/>
          <w:szCs w:val="27"/>
        </w:rPr>
        <w:t>......</w:t>
      </w:r>
    </w:p>
    <w:p>
      <w:pPr>
        <w:pStyle w:val="F21"/>
        <w:spacing w:lineRule="atLeast" w:line="350"/>
        <w:rPr>
          <w:i/>
          <w:i/>
          <w:szCs w:val="27"/>
        </w:rPr>
      </w:pPr>
      <w:r>
        <w:rPr>
          <w:i/>
          <w:szCs w:val="27"/>
        </w:rPr>
      </w:r>
    </w:p>
    <w:p>
      <w:pPr>
        <w:pStyle w:val="F21"/>
        <w:spacing w:lineRule="atLeast" w:line="350"/>
        <w:rPr>
          <w:i/>
          <w:i/>
          <w:szCs w:val="27"/>
        </w:rPr>
      </w:pPr>
      <w:r>
        <w:rPr>
          <w:i/>
          <w:szCs w:val="27"/>
        </w:rPr>
      </w:r>
    </w:p>
    <w:p>
      <w:pPr>
        <w:pStyle w:val="F21"/>
        <w:snapToGrid w:val="false"/>
        <w:spacing w:lineRule="atLeast" w:line="350"/>
        <w:rPr/>
      </w:pPr>
      <w:r>
        <w:rPr>
          <w:rFonts w:ascii="華康中黑體" w:hAnsi="華康中黑體" w:eastAsia="華康中黑體"/>
          <w:b/>
        </w:rPr>
        <w:t>主席</w:t>
      </w:r>
      <w:r>
        <w:rPr>
          <w:rFonts w:ascii="華康中黑體" w:hAnsi="華康中黑體"/>
        </w:rPr>
        <w:t>：</w:t>
      </w:r>
      <w:r>
        <w:rPr/>
        <w:t>鍾議員，你不能提出另一項補充質詢。如果你認為局長沒有作答，請重複你剛才的補充質詢，但局長其實已經作答。</w:t>
      </w:r>
    </w:p>
    <w:p>
      <w:pPr>
        <w:pStyle w:val="F21"/>
        <w:spacing w:lineRule="atLeast" w:line="350"/>
        <w:rPr>
          <w:rFonts w:ascii="華康中黑體" w:hAnsi="華康中黑體" w:eastAsia="華康中黑體"/>
          <w:b/>
          <w:b/>
        </w:rPr>
      </w:pPr>
      <w:r>
        <w:rPr>
          <w:rFonts w:eastAsia="華康中黑體" w:ascii="華康中黑體" w:hAnsi="華康中黑體"/>
          <w:b/>
        </w:rPr>
      </w:r>
    </w:p>
    <w:p>
      <w:pPr>
        <w:pStyle w:val="F21"/>
        <w:spacing w:lineRule="atLeast" w:line="350"/>
        <w:rPr>
          <w:rFonts w:ascii="華康中黑體" w:hAnsi="華康中黑體" w:eastAsia="華康中黑體"/>
          <w:b/>
          <w:b/>
        </w:rPr>
      </w:pPr>
      <w:r>
        <w:rPr>
          <w:rFonts w:eastAsia="華康中黑體" w:ascii="華康中黑體" w:hAnsi="華康中黑體"/>
          <w:b/>
        </w:rPr>
      </w:r>
    </w:p>
    <w:p>
      <w:pPr>
        <w:pStyle w:val="F21"/>
        <w:spacing w:lineRule="atLeast" w:line="350"/>
        <w:rPr>
          <w:i/>
          <w:i/>
        </w:rPr>
      </w:pPr>
      <w:r>
        <w:rPr>
          <w:rFonts w:ascii="華康中黑體" w:hAnsi="華康中黑體" w:eastAsia="華康中黑體"/>
          <w:b/>
        </w:rPr>
        <w:t>梁家騮議員</w:t>
      </w:r>
      <w:r>
        <w:rPr/>
        <w:t>：</w:t>
      </w:r>
      <w:r>
        <w:rPr>
          <w:i/>
        </w:rPr>
        <w:t>不好意思，我亦有輕微感冒。</w:t>
      </w:r>
    </w:p>
    <w:p>
      <w:pPr>
        <w:pStyle w:val="F21"/>
        <w:spacing w:lineRule="atLeast" w:line="350"/>
        <w:rPr>
          <w:i/>
          <w:i/>
        </w:rPr>
      </w:pPr>
      <w:r>
        <w:rPr>
          <w:i/>
        </w:rPr>
      </w:r>
    </w:p>
    <w:p>
      <w:pPr>
        <w:pStyle w:val="F21"/>
        <w:spacing w:lineRule="atLeast" w:line="350"/>
        <w:rPr>
          <w:i/>
          <w:i/>
        </w:rPr>
      </w:pPr>
      <w:r>
        <w:rPr>
          <w:i/>
        </w:rPr>
        <w:tab/>
      </w:r>
      <w:r>
        <w:rPr>
          <w:i/>
        </w:rPr>
        <w:t>主席，急症室問題的癥結，在於剛才局長所提及的，患上感冒、傷風或腸胃炎等的病人應該前往普通科門診求診，但他們卻前往急症室。事實上，超過一半的急症室病人屬於“非緊急”病人。</w:t>
      </w:r>
      <w:r>
        <w:br w:type="page"/>
      </w:r>
    </w:p>
    <w:p>
      <w:pPr>
        <w:pStyle w:val="F21"/>
        <w:spacing w:lineRule="atLeast" w:line="350"/>
        <w:rPr>
          <w:i/>
          <w:i/>
        </w:rPr>
      </w:pPr>
      <w:r>
        <w:rPr>
          <w:i/>
        </w:rPr>
        <w:tab/>
      </w:r>
      <w:r>
        <w:rPr>
          <w:i/>
        </w:rPr>
        <w:t>我早前曾詢問局長可否考慮再推行</w:t>
      </w:r>
      <w:r>
        <w:rPr>
          <w:i/>
        </w:rPr>
        <w:t>10</w:t>
      </w:r>
      <w:r>
        <w:rPr>
          <w:i/>
        </w:rPr>
        <w:t>年前的做法，在急症室旁設置私人普通科門診。十年前之所以失敗，是因為急症室服務是免費的，但私人普通科門診服務卻要收取</w:t>
      </w:r>
      <w:r>
        <w:rPr>
          <w:i/>
        </w:rPr>
        <w:t>200</w:t>
      </w:r>
      <w:r>
        <w:rPr>
          <w:i/>
        </w:rPr>
        <w:t>元的費用。時至今天，急症室服務收費為</w:t>
      </w:r>
      <w:r>
        <w:rPr>
          <w:i/>
        </w:rPr>
        <w:t>100</w:t>
      </w:r>
      <w:r>
        <w:rPr>
          <w:i/>
        </w:rPr>
        <w:t>元，而私人普通科門診服務的收費則為</w:t>
      </w:r>
      <w:r>
        <w:rPr>
          <w:i/>
        </w:rPr>
        <w:t>200</w:t>
      </w:r>
      <w:r>
        <w:rPr>
          <w:i/>
        </w:rPr>
        <w:t>元，兩者差距已縮減不少。</w:t>
      </w:r>
    </w:p>
    <w:p>
      <w:pPr>
        <w:pStyle w:val="F21"/>
        <w:spacing w:lineRule="atLeast" w:line="350"/>
        <w:rPr>
          <w:i/>
          <w:i/>
        </w:rPr>
      </w:pPr>
      <w:r>
        <w:rPr>
          <w:i/>
        </w:rPr>
      </w:r>
    </w:p>
    <w:p>
      <w:pPr>
        <w:pStyle w:val="F21"/>
        <w:spacing w:lineRule="atLeast" w:line="350"/>
        <w:rPr>
          <w:i/>
          <w:i/>
        </w:rPr>
      </w:pPr>
      <w:r>
        <w:rPr>
          <w:i/>
        </w:rPr>
        <w:tab/>
      </w:r>
      <w:r>
        <w:rPr>
          <w:i/>
        </w:rPr>
        <w:t>既然如此，不知道局長可否重新推行這項試驗計劃，讓“非緊急”的病人選擇向設於急症室旁的私人普通科門診求醫呢？由於局長早前其實已答覆我會予以考慮，因此我的補充質詢是：局長，對於這項建議，現時有何進展呢？</w:t>
      </w:r>
    </w:p>
    <w:p>
      <w:pPr>
        <w:pStyle w:val="F21"/>
        <w:spacing w:lineRule="atLeast" w:line="350"/>
        <w:rPr>
          <w:rFonts w:ascii="華康中黑體" w:hAnsi="華康中黑體" w:eastAsia="華康中黑體" w:cs="華康中黑體"/>
          <w:b/>
          <w:b/>
        </w:rPr>
      </w:pPr>
      <w:r>
        <w:rPr>
          <w:rFonts w:eastAsia="華康中黑體" w:cs="華康中黑體" w:ascii="華康中黑體" w:hAnsi="華康中黑體"/>
          <w:b/>
        </w:rPr>
      </w:r>
    </w:p>
    <w:p>
      <w:pPr>
        <w:pStyle w:val="F21"/>
        <w:spacing w:lineRule="atLeast" w:line="350"/>
        <w:rPr>
          <w:rFonts w:ascii="華康中黑體" w:hAnsi="華康中黑體" w:eastAsia="華康中黑體" w:cs="華康中黑體"/>
          <w:b/>
          <w:b/>
        </w:rPr>
      </w:pPr>
      <w:r>
        <w:rPr>
          <w:rFonts w:eastAsia="華康中黑體" w:cs="華康中黑體" w:ascii="華康中黑體" w:hAnsi="華康中黑體"/>
          <w:b/>
        </w:rPr>
      </w:r>
    </w:p>
    <w:p>
      <w:pPr>
        <w:pStyle w:val="F21"/>
        <w:spacing w:lineRule="atLeast" w:line="350"/>
        <w:rPr/>
      </w:pPr>
      <w:r>
        <w:rPr>
          <w:rFonts w:ascii="華康中黑體" w:hAnsi="華康中黑體" w:cs="華康中黑體" w:eastAsia="華康中黑體"/>
          <w:b/>
        </w:rPr>
        <w:t>食物及衞生局局長</w:t>
      </w:r>
      <w:r>
        <w:rPr/>
        <w:t>：主席，沒錯，我們的確曾在</w:t>
      </w:r>
      <w:r>
        <w:rPr/>
        <w:t>10</w:t>
      </w:r>
      <w:r>
        <w:rPr/>
        <w:t>年前急症室服務尚未收取費用時推行這項措施。不過，這項措施當時並不成功，原因之一便正如梁議員所說般，急症室服務不收取任何費用。</w:t>
      </w:r>
    </w:p>
    <w:p>
      <w:pPr>
        <w:pStyle w:val="F21"/>
        <w:spacing w:lineRule="atLeast" w:line="350"/>
        <w:rPr/>
      </w:pPr>
      <w:r>
        <w:rPr/>
      </w:r>
    </w:p>
    <w:p>
      <w:pPr>
        <w:pStyle w:val="F21"/>
        <w:spacing w:lineRule="atLeast" w:line="350"/>
        <w:rPr/>
      </w:pPr>
      <w:r>
        <w:rPr/>
        <w:tab/>
      </w:r>
      <w:r>
        <w:rPr/>
        <w:t>梁議員或許還記得，當時大部分私人診所的診金介乎</w:t>
      </w:r>
      <w:r>
        <w:rPr/>
        <w:t>100</w:t>
      </w:r>
      <w:r>
        <w:rPr/>
        <w:t>元至</w:t>
      </w:r>
      <w:r>
        <w:rPr/>
        <w:t>200</w:t>
      </w:r>
      <w:r>
        <w:rPr/>
        <w:t xml:space="preserve">元之間。在梁議員再次提出這項措施，而我亦加以思考後，我認為以目前的情況而言，即使再次推行這項措施 </w:t>
      </w:r>
      <w:r>
        <w:rPr>
          <w:rFonts w:ascii="Symbol" w:hAnsi="Symbol" w:cs="Symbol" w:eastAsia="Symbol"/>
          <w:lang w:eastAsia="zh-CN"/>
        </w:rPr>
        <w:t></w:t>
      </w:r>
      <w:r>
        <w:rPr/>
        <w:t xml:space="preserve"> 雖然急症室服務收費為</w:t>
      </w:r>
      <w:r>
        <w:rPr/>
        <w:t>100</w:t>
      </w:r>
      <w:r>
        <w:rPr/>
        <w:t>元，但私人診所的收費已上升至</w:t>
      </w:r>
      <w:r>
        <w:rPr/>
        <w:t>200</w:t>
      </w:r>
      <w:r>
        <w:rPr/>
        <w:t xml:space="preserve">多元，兩者仍有差距 </w:t>
      </w:r>
      <w:r>
        <w:rPr>
          <w:rFonts w:ascii="Symbol" w:hAnsi="Symbol" w:cs="Symbol" w:eastAsia="Symbol"/>
          <w:lang w:eastAsia="zh-CN"/>
        </w:rPr>
        <w:t></w:t>
      </w:r>
      <w:r>
        <w:rPr/>
        <w:t xml:space="preserve"> 我們亦無信心會取得成功。因此，醫管局在過去</w:t>
      </w:r>
      <w:r>
        <w:rPr/>
        <w:t>1</w:t>
      </w:r>
      <w:r>
        <w:rPr/>
        <w:t>年便採用我剛才所提及的其他方法，紓緩這問題。</w:t>
      </w:r>
    </w:p>
    <w:p>
      <w:pPr>
        <w:pStyle w:val="F21"/>
        <w:spacing w:lineRule="atLeast" w:line="350"/>
        <w:rPr>
          <w:rFonts w:ascii="華康中黑體" w:hAnsi="華康中黑體" w:eastAsia="華康中黑體"/>
          <w:b/>
          <w:b/>
        </w:rPr>
      </w:pPr>
      <w:r>
        <w:rPr>
          <w:rFonts w:eastAsia="華康中黑體" w:ascii="華康中黑體" w:hAnsi="華康中黑體"/>
          <w:b/>
        </w:rPr>
      </w:r>
    </w:p>
    <w:p>
      <w:pPr>
        <w:pStyle w:val="F21"/>
        <w:spacing w:lineRule="atLeast" w:line="350"/>
        <w:rPr>
          <w:rFonts w:ascii="華康中黑體" w:hAnsi="華康中黑體" w:eastAsia="華康中黑體"/>
          <w:b/>
          <w:b/>
        </w:rPr>
      </w:pPr>
      <w:r>
        <w:rPr>
          <w:rFonts w:eastAsia="華康中黑體" w:ascii="華康中黑體" w:hAnsi="華康中黑體"/>
          <w:b/>
        </w:rPr>
      </w:r>
    </w:p>
    <w:p>
      <w:pPr>
        <w:pStyle w:val="F21"/>
        <w:spacing w:lineRule="atLeast" w:line="350"/>
        <w:rPr>
          <w:i/>
          <w:i/>
        </w:rPr>
      </w:pPr>
      <w:r>
        <w:rPr>
          <w:rFonts w:ascii="華康中黑體" w:hAnsi="華康中黑體" w:eastAsia="華康中黑體"/>
          <w:b/>
        </w:rPr>
        <w:t>李慧琼議員</w:t>
      </w:r>
      <w:r>
        <w:rPr/>
        <w:t>：</w:t>
      </w:r>
      <w:r>
        <w:rPr>
          <w:i/>
        </w:rPr>
        <w:t>主席，局長剛才答覆鍾樹根議員的補充質詢時指出，現時醫生人手不足，原因之一是有一段時間醫科畢業生人數減少。雖然局長在主體答覆的第</w:t>
      </w:r>
      <w:r>
        <w:rPr>
          <w:i/>
        </w:rPr>
        <w:t>(</w:t>
      </w:r>
      <w:r>
        <w:rPr>
          <w:i/>
        </w:rPr>
        <w:t>三</w:t>
      </w:r>
      <w:r>
        <w:rPr>
          <w:i/>
        </w:rPr>
        <w:t>)</w:t>
      </w:r>
      <w:r>
        <w:rPr>
          <w:i/>
        </w:rPr>
        <w:t>部分表示，當局現已積極增加人數，但現時醫護人手不足的情況已到達非常嚴峻的地步。據我了解，醫護人手不足，令北大嶼山醫院的急症室服務未能即時展開，亦令將軍澳醫院的婦科未能投入服務。</w:t>
      </w:r>
    </w:p>
    <w:p>
      <w:pPr>
        <w:pStyle w:val="F21"/>
        <w:spacing w:lineRule="atLeast" w:line="350"/>
        <w:rPr>
          <w:i/>
          <w:i/>
        </w:rPr>
      </w:pPr>
      <w:r>
        <w:rPr>
          <w:i/>
        </w:rPr>
      </w:r>
    </w:p>
    <w:p>
      <w:pPr>
        <w:pStyle w:val="F21"/>
        <w:spacing w:lineRule="atLeast" w:line="350"/>
        <w:rPr>
          <w:i/>
          <w:i/>
        </w:rPr>
      </w:pPr>
      <w:r>
        <w:rPr>
          <w:i/>
        </w:rPr>
        <w:tab/>
      </w:r>
      <w:r>
        <w:rPr>
          <w:i/>
        </w:rPr>
        <w:t>早前有在英聯邦國家長期執業的醫生表示，因為未能通過香港醫務委員會</w:t>
      </w:r>
      <w:r>
        <w:rPr>
          <w:i/>
        </w:rPr>
        <w:t>(“</w:t>
      </w:r>
      <w:r>
        <w:rPr>
          <w:i/>
        </w:rPr>
        <w:t>醫委會”</w:t>
      </w:r>
      <w:r>
        <w:rPr>
          <w:i/>
        </w:rPr>
        <w:t>)</w:t>
      </w:r>
      <w:r>
        <w:rPr>
          <w:i/>
        </w:rPr>
        <w:t>的執業資格試</w:t>
      </w:r>
      <w:r>
        <w:rPr>
          <w:i/>
        </w:rPr>
        <w:t>(“</w:t>
      </w:r>
      <w:r>
        <w:rPr>
          <w:i/>
        </w:rPr>
        <w:t>資格試”</w:t>
      </w:r>
      <w:r>
        <w:rPr>
          <w:i/>
        </w:rPr>
        <w:t>)</w:t>
      </w:r>
      <w:r>
        <w:rPr>
          <w:i/>
        </w:rPr>
        <w:t>而無法在港執業。此外，亦有人表示，香港的資格試合格率偏低。當然，醫委會的回應是要確保有意者必須具備一定的專業水平。</w:t>
      </w:r>
    </w:p>
    <w:p>
      <w:pPr>
        <w:pStyle w:val="F21"/>
        <w:spacing w:lineRule="atLeast" w:line="350"/>
        <w:rPr>
          <w:i/>
          <w:i/>
        </w:rPr>
      </w:pPr>
      <w:r>
        <w:rPr>
          <w:i/>
        </w:rPr>
      </w:r>
    </w:p>
    <w:p>
      <w:pPr>
        <w:pStyle w:val="F21"/>
        <w:spacing w:lineRule="atLeast" w:line="350"/>
        <w:rPr>
          <w:i/>
          <w:i/>
        </w:rPr>
      </w:pPr>
      <w:r>
        <w:rPr>
          <w:i/>
        </w:rPr>
        <w:tab/>
      </w:r>
      <w:r>
        <w:rPr>
          <w:i/>
        </w:rPr>
        <w:t>我想問高醫生會否了解這問題呢？我上次已向高醫生建議成立一個獨立委員會，由政府代表、醫委會成員、專家及學者等組成，共同評估現實情況。局長可否從這方面增加醫護人手呢？</w:t>
      </w:r>
      <w:r>
        <w:br w:type="page"/>
      </w:r>
    </w:p>
    <w:p>
      <w:pPr>
        <w:pStyle w:val="F21"/>
        <w:rPr/>
      </w:pPr>
      <w:r>
        <w:rPr>
          <w:rFonts w:ascii="華康中黑體" w:hAnsi="華康中黑體" w:cs="華康中黑體" w:eastAsia="華康中黑體"/>
          <w:b/>
        </w:rPr>
        <w:t>食物及衞生局局長</w:t>
      </w:r>
      <w:r>
        <w:rPr/>
        <w:t>：主席，李議員的補充質詢分為兩部分。有關第一部分，我們已就現行《醫生註冊條例》下的資格試與醫委會達成協議。醫委會自明年起會增加資格試的舉行次數，由每年一次增加至每年兩次，亦會逐步優化資格試。我們希望有關安排能方便尤其是從香港前往外地修讀醫科的本地子弟回港執業。</w:t>
      </w:r>
    </w:p>
    <w:p>
      <w:pPr>
        <w:pStyle w:val="F21"/>
        <w:rPr/>
      </w:pPr>
      <w:r>
        <w:rPr/>
      </w:r>
    </w:p>
    <w:p>
      <w:pPr>
        <w:pStyle w:val="F21"/>
        <w:rPr/>
      </w:pPr>
      <w:r>
        <w:rPr/>
        <w:tab/>
      </w:r>
      <w:r>
        <w:rPr/>
        <w:t>至於補充質詢的第二部分，即成立委員會，我相信議員可能了解到，局方其實已成立</w:t>
      </w:r>
      <w:r>
        <w:rPr>
          <w:iCs/>
        </w:rPr>
        <w:t>醫護人力規劃及專業發展策略檢討督導委員會</w:t>
      </w:r>
      <w:r>
        <w:rPr/>
        <w:t>，該委員會應該會於明年公布這方面的報告。</w:t>
      </w:r>
    </w:p>
    <w:p>
      <w:pPr>
        <w:pStyle w:val="Normal"/>
        <w:tabs>
          <w:tab w:val="left" w:pos="567" w:leader="none"/>
          <w:tab w:val="left" w:pos="720" w:leader="none"/>
        </w:tabs>
        <w:snapToGrid w:val="false"/>
        <w:rPr/>
      </w:pPr>
      <w:r>
        <w:rPr/>
      </w:r>
    </w:p>
    <w:p>
      <w:pPr>
        <w:pStyle w:val="Normal"/>
        <w:tabs>
          <w:tab w:val="left" w:pos="567" w:leader="none"/>
          <w:tab w:val="left" w:pos="720" w:leader="none"/>
        </w:tabs>
        <w:snapToGrid w:val="false"/>
        <w:rPr/>
      </w:pPr>
      <w:r>
        <w:rPr/>
      </w:r>
    </w:p>
    <w:p>
      <w:pPr>
        <w:pStyle w:val="F21"/>
        <w:rPr>
          <w:i/>
          <w:i/>
          <w:szCs w:val="27"/>
        </w:rPr>
      </w:pPr>
      <w:r>
        <w:rPr>
          <w:rFonts w:eastAsia="華康中黑體"/>
          <w:b/>
          <w:kern w:val="2"/>
          <w:szCs w:val="27"/>
        </w:rPr>
        <w:t>葛珮帆議員</w:t>
      </w:r>
      <w:r>
        <w:rPr>
          <w:szCs w:val="27"/>
        </w:rPr>
        <w:t>：</w:t>
      </w:r>
      <w:r>
        <w:rPr>
          <w:i/>
          <w:szCs w:val="27"/>
        </w:rPr>
        <w:t>主席，威爾斯親王醫院的硬件和軟件均長期不足。在硬件方面，除急症室長期“淪陷”外，內科部門亦長期“爆滿”，入住率高達</w:t>
      </w:r>
      <w:r>
        <w:rPr>
          <w:i/>
          <w:szCs w:val="27"/>
        </w:rPr>
        <w:t>183%</w:t>
      </w:r>
      <w:r>
        <w:rPr>
          <w:i/>
          <w:szCs w:val="27"/>
        </w:rPr>
        <w:t>。有見及此，當局有何措施解決病房內長期添加病床的問題呢？</w:t>
      </w:r>
    </w:p>
    <w:p>
      <w:pPr>
        <w:pStyle w:val="F21"/>
        <w:rPr>
          <w:i/>
          <w:i/>
          <w:szCs w:val="27"/>
        </w:rPr>
      </w:pPr>
      <w:r>
        <w:rPr>
          <w:i/>
          <w:szCs w:val="27"/>
        </w:rPr>
      </w:r>
    </w:p>
    <w:p>
      <w:pPr>
        <w:pStyle w:val="F21"/>
        <w:rPr>
          <w:i/>
          <w:i/>
          <w:szCs w:val="27"/>
        </w:rPr>
      </w:pPr>
      <w:r>
        <w:rPr>
          <w:i/>
          <w:szCs w:val="27"/>
        </w:rPr>
        <w:tab/>
      </w:r>
      <w:r>
        <w:rPr>
          <w:i/>
          <w:szCs w:val="27"/>
        </w:rPr>
        <w:t>在軟件方面，當局有否考慮以合理的薪金水平，即向醫生提供與他們所累積的經驗和年資相稱的薪金水平，而並非採用醫生離開公立醫院時的薪金水平作為計算基礎，邀請私家醫生以彈性工作時間到公立醫院當兼職，以減輕公立醫院醫生人手不足的問題呢？</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食物及衞生局局長</w:t>
      </w:r>
      <w:r>
        <w:rPr>
          <w:szCs w:val="27"/>
        </w:rPr>
        <w:t>：葛議員的補充質詢分為兩部分。第一，就病床數目而言，我較早時已說過，我已經向事務委員會交代香港醫院病床長遠的發展藍圖，並已就威爾斯親王醫院的情況，特別敦促醫管局就威爾斯親王醫院的長遠病床需要進行檢討。</w:t>
      </w:r>
    </w:p>
    <w:p>
      <w:pPr>
        <w:pStyle w:val="F21"/>
        <w:rPr>
          <w:szCs w:val="27"/>
        </w:rPr>
      </w:pPr>
      <w:r>
        <w:rPr>
          <w:szCs w:val="27"/>
        </w:rPr>
      </w:r>
    </w:p>
    <w:p>
      <w:pPr>
        <w:pStyle w:val="F21"/>
        <w:rPr>
          <w:szCs w:val="27"/>
        </w:rPr>
      </w:pPr>
      <w:r>
        <w:rPr>
          <w:szCs w:val="27"/>
        </w:rPr>
        <w:tab/>
      </w:r>
      <w:r>
        <w:rPr>
          <w:szCs w:val="27"/>
        </w:rPr>
        <w:t>至於葛</w:t>
      </w:r>
      <w:r>
        <w:rPr>
          <w:rFonts w:ascii="華康細明體" w:hAnsi="華康細明體"/>
          <w:szCs w:val="27"/>
        </w:rPr>
        <w:t>議員</w:t>
      </w:r>
      <w:r>
        <w:rPr>
          <w:szCs w:val="27"/>
        </w:rPr>
        <w:t>的補充質詢第二部分，不好意思，我忘記了。</w:t>
      </w:r>
    </w:p>
    <w:p>
      <w:pPr>
        <w:pStyle w:val="F21"/>
        <w:rPr>
          <w:szCs w:val="27"/>
        </w:rPr>
      </w:pPr>
      <w:r>
        <w:rPr>
          <w:szCs w:val="27"/>
        </w:rPr>
      </w:r>
    </w:p>
    <w:p>
      <w:pPr>
        <w:pStyle w:val="F21"/>
        <w:rPr>
          <w:szCs w:val="27"/>
        </w:rPr>
      </w:pPr>
      <w:r>
        <w:rPr>
          <w:szCs w:val="27"/>
        </w:rPr>
      </w:r>
    </w:p>
    <w:p>
      <w:pPr>
        <w:pStyle w:val="F21"/>
        <w:rPr>
          <w:i/>
          <w:i/>
          <w:szCs w:val="27"/>
        </w:rPr>
      </w:pPr>
      <w:r>
        <w:rPr>
          <w:rFonts w:eastAsia="華康中黑體"/>
          <w:b/>
          <w:kern w:val="2"/>
          <w:szCs w:val="27"/>
        </w:rPr>
        <w:t>葛珮帆議員</w:t>
      </w:r>
      <w:r>
        <w:rPr>
          <w:szCs w:val="27"/>
        </w:rPr>
        <w:t>：</w:t>
      </w:r>
      <w:r>
        <w:rPr>
          <w:i/>
          <w:szCs w:val="27"/>
        </w:rPr>
        <w:t>第二部分是關於聘請私家醫生到公立醫院當兼職。</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食物及衞生局局長</w:t>
      </w:r>
      <w:r>
        <w:rPr>
          <w:szCs w:val="27"/>
        </w:rPr>
        <w:t>：有關第二部分，當然曾有不同人士向我們提出採用較為優厚或更吸引的條件，聘請私家醫生當兼職。不過，我相信這方面會有限制，因為如果我們聘請兼職醫生的條件較在醫管局工作的醫生的條件更吸引的話，便會造成反效果。</w:t>
      </w:r>
      <w:r>
        <w:br w:type="page"/>
      </w:r>
    </w:p>
    <w:p>
      <w:pPr>
        <w:pStyle w:val="F21"/>
        <w:rPr>
          <w:i/>
          <w:i/>
          <w:szCs w:val="27"/>
        </w:rPr>
      </w:pPr>
      <w:r>
        <w:rPr>
          <w:rFonts w:eastAsia="華康中黑體"/>
          <w:b/>
          <w:kern w:val="2"/>
          <w:szCs w:val="27"/>
        </w:rPr>
        <w:t>郭家麒議員</w:t>
      </w:r>
      <w:r>
        <w:rPr>
          <w:szCs w:val="27"/>
        </w:rPr>
        <w:t>：</w:t>
      </w:r>
      <w:r>
        <w:rPr>
          <w:i/>
          <w:szCs w:val="27"/>
        </w:rPr>
        <w:t>主席，看到高醫生如此辛苦，我也感到於心不忍，希望他能多加休息。</w:t>
      </w:r>
    </w:p>
    <w:p>
      <w:pPr>
        <w:pStyle w:val="F21"/>
        <w:rPr>
          <w:i/>
          <w:i/>
          <w:szCs w:val="27"/>
        </w:rPr>
      </w:pPr>
      <w:r>
        <w:rPr>
          <w:i/>
          <w:szCs w:val="27"/>
        </w:rPr>
      </w:r>
    </w:p>
    <w:p>
      <w:pPr>
        <w:pStyle w:val="F21"/>
        <w:rPr>
          <w:i/>
          <w:i/>
          <w:szCs w:val="27"/>
        </w:rPr>
      </w:pPr>
      <w:r>
        <w:rPr>
          <w:i/>
          <w:szCs w:val="27"/>
        </w:rPr>
        <w:tab/>
      </w:r>
      <w:r>
        <w:rPr>
          <w:i/>
          <w:szCs w:val="27"/>
        </w:rPr>
        <w:t xml:space="preserve">主席，新界西的情況其實與局長的觀察稍有不同。天水圍、屯門及元朗 </w:t>
      </w:r>
      <w:r>
        <w:rPr>
          <w:rFonts w:ascii="Symbol" w:hAnsi="Symbol" w:cs="Symbol" w:eastAsia="Symbol"/>
          <w:i/>
          <w:szCs w:val="27"/>
        </w:rPr>
        <w:t></w:t>
      </w:r>
      <w:r>
        <w:rPr>
          <w:i/>
          <w:szCs w:val="27"/>
        </w:rPr>
        <w:t xml:space="preserve"> 特別是天水圍 </w:t>
      </w:r>
      <w:r>
        <w:rPr>
          <w:rFonts w:ascii="Symbol" w:hAnsi="Symbol" w:cs="Symbol" w:eastAsia="Symbol"/>
          <w:i/>
          <w:szCs w:val="27"/>
        </w:rPr>
        <w:t></w:t>
      </w:r>
      <w:r>
        <w:rPr>
          <w:i/>
          <w:szCs w:val="27"/>
        </w:rPr>
        <w:t xml:space="preserve"> 均沒有</w:t>
      </w:r>
      <w:r>
        <w:rPr>
          <w:i/>
          <w:szCs w:val="27"/>
        </w:rPr>
        <w:t>24</w:t>
      </w:r>
      <w:r>
        <w:rPr>
          <w:i/>
          <w:szCs w:val="27"/>
        </w:rPr>
        <w:t>小時診所供市民選擇。局長曾否考慮在天水圍、屯門及元朗等地區增加通宵或深夜診症服務，以紓緩急症室的情況呢？</w:t>
      </w:r>
    </w:p>
    <w:p>
      <w:pPr>
        <w:pStyle w:val="F21"/>
        <w:rPr>
          <w:i/>
          <w:i/>
          <w:szCs w:val="27"/>
        </w:rPr>
      </w:pPr>
      <w:r>
        <w:rPr>
          <w:i/>
          <w:szCs w:val="27"/>
        </w:rPr>
      </w:r>
    </w:p>
    <w:p>
      <w:pPr>
        <w:pStyle w:val="F21"/>
        <w:rPr>
          <w:i/>
          <w:i/>
          <w:szCs w:val="27"/>
        </w:rPr>
      </w:pPr>
      <w:r>
        <w:rPr>
          <w:i/>
          <w:szCs w:val="27"/>
        </w:rPr>
        <w:tab/>
      </w:r>
      <w:r>
        <w:rPr>
          <w:i/>
          <w:szCs w:val="27"/>
        </w:rPr>
        <w:t>大家皆知道，現時很多急症室病人其實是“非緊急”病人，因而導致急症室的診治有所延遲。如是者，局長可否考慮在該等特別地區推行有關做法，或聘用私人或已退休的醫管局員工</w:t>
      </w:r>
      <w:r>
        <w:rPr>
          <w:i/>
          <w:szCs w:val="27"/>
        </w:rPr>
        <w:t>(</w:t>
      </w:r>
      <w:r>
        <w:rPr>
          <w:i/>
          <w:szCs w:val="27"/>
        </w:rPr>
        <w:t>包括醫生和護士</w:t>
      </w:r>
      <w:r>
        <w:rPr>
          <w:i/>
          <w:szCs w:val="27"/>
        </w:rPr>
        <w:t>)</w:t>
      </w:r>
      <w:r>
        <w:rPr>
          <w:i/>
          <w:szCs w:val="27"/>
        </w:rPr>
        <w:t>當兼職，以增加深夜診症服務呢？</w:t>
      </w:r>
    </w:p>
    <w:p>
      <w:pPr>
        <w:pStyle w:val="F21"/>
        <w:rPr>
          <w:szCs w:val="27"/>
        </w:rPr>
      </w:pPr>
      <w:r>
        <w:rPr>
          <w:szCs w:val="27"/>
        </w:rPr>
      </w:r>
    </w:p>
    <w:p>
      <w:pPr>
        <w:pStyle w:val="F21"/>
        <w:rPr>
          <w:szCs w:val="27"/>
        </w:rPr>
      </w:pPr>
      <w:r>
        <w:rPr>
          <w:szCs w:val="27"/>
        </w:rPr>
      </w:r>
    </w:p>
    <w:p>
      <w:pPr>
        <w:pStyle w:val="F21"/>
        <w:rPr>
          <w:szCs w:val="27"/>
        </w:rPr>
      </w:pPr>
      <w:r>
        <w:rPr>
          <w:rFonts w:ascii="華康中黑體" w:hAnsi="華康中黑體" w:cs="華康中黑體" w:eastAsia="華康中黑體"/>
          <w:b/>
          <w:szCs w:val="27"/>
        </w:rPr>
        <w:t>食物及衞生局局長</w:t>
      </w:r>
      <w:r>
        <w:rPr>
          <w:szCs w:val="27"/>
        </w:rPr>
        <w:t>：主席，我們並非沒有予以考慮的，但根據醫管局的評估，不論我們如何動用人手或資源，其實也是使用政府和醫管局的資源。根據醫管局的評估，在深宵時段如果並非處理急症的話，如此的人手分配其實不符合成本效益。所以，我要老實地告訴郭</w:t>
      </w:r>
      <w:r>
        <w:rPr>
          <w:rFonts w:ascii="華康細明體" w:hAnsi="華康細明體"/>
          <w:szCs w:val="27"/>
        </w:rPr>
        <w:t>議員，我們</w:t>
      </w:r>
      <w:r>
        <w:rPr>
          <w:szCs w:val="27"/>
        </w:rPr>
        <w:t>暫時無這樣的考慮。</w:t>
      </w:r>
    </w:p>
    <w:p>
      <w:pPr>
        <w:pStyle w:val="F21"/>
        <w:rPr>
          <w:szCs w:val="27"/>
        </w:rPr>
      </w:pPr>
      <w:r>
        <w:rPr>
          <w:szCs w:val="27"/>
        </w:rPr>
      </w:r>
    </w:p>
    <w:p>
      <w:pPr>
        <w:pStyle w:val="F21"/>
        <w:rPr>
          <w:szCs w:val="27"/>
        </w:rPr>
      </w:pPr>
      <w:r>
        <w:rPr>
          <w:szCs w:val="27"/>
        </w:rPr>
      </w:r>
    </w:p>
    <w:p>
      <w:pPr>
        <w:pStyle w:val="F21"/>
        <w:rPr/>
      </w:pPr>
      <w:r>
        <w:rPr>
          <w:rFonts w:ascii="華康中黑體" w:hAnsi="華康中黑體" w:eastAsia="華康中黑體"/>
          <w:b/>
        </w:rPr>
        <w:t>主席</w:t>
      </w:r>
      <w:r>
        <w:rPr>
          <w:rFonts w:ascii="華康中黑體" w:hAnsi="華康中黑體"/>
        </w:rPr>
        <w:t>：</w:t>
      </w:r>
      <w:r>
        <w:rPr/>
        <w:t>最後一項口頭質詢。</w:t>
      </w:r>
    </w:p>
    <w:p>
      <w:pPr>
        <w:pStyle w:val="F21"/>
        <w:rPr/>
      </w:pPr>
      <w:r>
        <w:rPr/>
      </w:r>
    </w:p>
    <w:p>
      <w:pPr>
        <w:pStyle w:val="F21"/>
        <w:rPr/>
      </w:pPr>
      <w:r>
        <w:rPr/>
      </w:r>
    </w:p>
    <w:p>
      <w:pPr>
        <w:pStyle w:val="F21"/>
        <w:rPr>
          <w:rFonts w:eastAsia="華康中黑體" w:cs="Times New Roman"/>
          <w:b/>
          <w:b/>
        </w:rPr>
      </w:pPr>
      <w:bookmarkStart w:id="24" w:name="orq06"/>
      <w:r>
        <w:rPr>
          <w:rFonts w:cs="Times New Roman" w:eastAsia="華康中黑體"/>
          <w:b/>
        </w:rPr>
        <w:t>汽車引擎空轉</w:t>
      </w:r>
      <w:r>
        <w:rPr>
          <w:rFonts w:eastAsia="華康中黑體" w:cs="Times New Roman"/>
          <w:b/>
        </w:rPr>
        <w:t>(</w:t>
      </w:r>
      <w:r>
        <w:rPr>
          <w:rFonts w:cs="Times New Roman" w:eastAsia="華康中黑體"/>
          <w:b/>
        </w:rPr>
        <w:t>定額罰款</w:t>
      </w:r>
      <w:r>
        <w:rPr>
          <w:rFonts w:eastAsia="華康中黑體" w:cs="Times New Roman"/>
          <w:b/>
        </w:rPr>
        <w:t>)</w:t>
      </w:r>
      <w:r>
        <w:rPr>
          <w:rFonts w:cs="Times New Roman" w:eastAsia="華康中黑體"/>
          <w:b/>
        </w:rPr>
        <w:t>條例的執法行動</w:t>
      </w:r>
    </w:p>
    <w:p>
      <w:pPr>
        <w:pStyle w:val="Normal"/>
        <w:rPr>
          <w:b/>
          <w:b/>
        </w:rPr>
      </w:pPr>
      <w:bookmarkStart w:id="25" w:name="orq06"/>
      <w:r>
        <w:rPr>
          <w:b/>
        </w:rPr>
        <w:t>Enforcement of Motor Vehicle Idling (Fixed Penalty) Ordinance</w:t>
      </w:r>
      <w:bookmarkEnd w:id="25"/>
    </w:p>
    <w:p>
      <w:pPr>
        <w:pStyle w:val="F21"/>
        <w:rPr/>
      </w:pPr>
      <w:r>
        <w:rPr/>
      </w:r>
    </w:p>
    <w:p>
      <w:pPr>
        <w:pStyle w:val="F21"/>
        <w:rPr>
          <w:i/>
          <w:i/>
        </w:rPr>
      </w:pPr>
      <w:r>
        <w:rPr>
          <w:rFonts w:eastAsia="華康中黑體"/>
          <w:b/>
        </w:rPr>
        <w:t>6.</w:t>
      </w:r>
      <w:r>
        <w:rPr/>
        <w:tab/>
      </w:r>
      <w:r>
        <w:rPr>
          <w:rFonts w:eastAsia="華康中黑體"/>
          <w:b/>
        </w:rPr>
        <w:t>梁繼昌議員</w:t>
      </w:r>
      <w:r>
        <w:rPr/>
        <w:t>：</w:t>
      </w:r>
      <w:r>
        <w:rPr>
          <w:i/>
        </w:rPr>
        <w:t>2011</w:t>
      </w:r>
      <w:r>
        <w:rPr>
          <w:i/>
        </w:rPr>
        <w:t>年</w:t>
      </w:r>
      <w:r>
        <w:rPr>
          <w:i/>
        </w:rPr>
        <w:t>12</w:t>
      </w:r>
      <w:r>
        <w:rPr>
          <w:i/>
        </w:rPr>
        <w:t>月</w:t>
      </w:r>
      <w:r>
        <w:rPr>
          <w:i/>
        </w:rPr>
        <w:t>15</w:t>
      </w:r>
      <w:r>
        <w:rPr>
          <w:i/>
        </w:rPr>
        <w:t>日開始實施的《汽車引擎空轉</w:t>
      </w:r>
      <w:r>
        <w:rPr>
          <w:i/>
        </w:rPr>
        <w:t>(</w:t>
      </w:r>
      <w:r>
        <w:rPr>
          <w:i/>
        </w:rPr>
        <w:t>定額罰款</w:t>
      </w:r>
      <w:r>
        <w:rPr>
          <w:i/>
        </w:rPr>
        <w:t>)</w:t>
      </w:r>
      <w:r>
        <w:rPr>
          <w:i/>
        </w:rPr>
        <w:t>條例》</w:t>
      </w:r>
      <w:r>
        <w:rPr>
          <w:i/>
        </w:rPr>
        <w:t>(“</w:t>
      </w:r>
      <w:r>
        <w:rPr>
          <w:i/>
        </w:rPr>
        <w:t>條例”</w:t>
      </w:r>
      <w:r>
        <w:rPr>
          <w:i/>
        </w:rPr>
        <w:t>)</w:t>
      </w:r>
      <w:r>
        <w:rPr>
          <w:i/>
        </w:rPr>
        <w:t>，旨在改善路邊空氣的質素。最近有報章報道質疑政府執法不力，以致市區路邊的空氣質素未有改善，而駕駛者亦無養成綠色駕駛習慣。就此，政府可否告知本會：</w:t>
      </w:r>
    </w:p>
    <w:p>
      <w:pPr>
        <w:pStyle w:val="F21"/>
        <w:rPr>
          <w:i/>
          <w:i/>
        </w:rPr>
      </w:pPr>
      <w:r>
        <w:rPr>
          <w:i/>
        </w:rPr>
      </w:r>
    </w:p>
    <w:p>
      <w:pPr>
        <w:pStyle w:val="F21"/>
        <w:ind w:left="1417" w:hanging="850"/>
        <w:rPr>
          <w:i/>
          <w:i/>
        </w:rPr>
      </w:pPr>
      <w:r>
        <w:rPr>
          <w:i/>
        </w:rPr>
        <w:t>(</w:t>
      </w:r>
      <w:r>
        <w:rPr>
          <w:i/>
        </w:rPr>
        <w:t>一</w:t>
      </w:r>
      <w:r>
        <w:rPr>
          <w:i/>
        </w:rPr>
        <w:t>)</w:t>
        <w:tab/>
      </w:r>
      <w:r>
        <w:rPr>
          <w:i/>
        </w:rPr>
        <w:t>由條例實施至今，每年獲授權的執法人員的數目，以及相關的執法工作涉及的薪酬開支總額為何；當局會否增加人手，以加強執法；</w:t>
      </w:r>
    </w:p>
    <w:p>
      <w:pPr>
        <w:pStyle w:val="F21"/>
        <w:ind w:left="1417" w:hanging="850"/>
        <w:rPr>
          <w:i/>
          <w:i/>
        </w:rPr>
      </w:pPr>
      <w:r>
        <w:rPr>
          <w:i/>
        </w:rPr>
      </w:r>
    </w:p>
    <w:p>
      <w:pPr>
        <w:pStyle w:val="F21"/>
        <w:spacing w:lineRule="atLeast" w:line="350"/>
        <w:ind w:left="1417" w:hanging="850"/>
        <w:rPr>
          <w:i/>
          <w:i/>
        </w:rPr>
      </w:pPr>
      <w:r>
        <w:rPr>
          <w:i/>
        </w:rPr>
        <w:t>(</w:t>
      </w:r>
      <w:r>
        <w:rPr>
          <w:i/>
        </w:rPr>
        <w:t>二</w:t>
      </w:r>
      <w:r>
        <w:rPr>
          <w:i/>
        </w:rPr>
        <w:t>)</w:t>
        <w:tab/>
      </w:r>
      <w:r>
        <w:rPr>
          <w:i/>
        </w:rPr>
        <w:t>在條例實施以來，當局有否在車輛廢氣污染較嚴重的地點</w:t>
      </w:r>
      <w:r>
        <w:rPr>
          <w:i/>
        </w:rPr>
        <w:t>(</w:t>
      </w:r>
      <w:r>
        <w:rPr>
          <w:i/>
        </w:rPr>
        <w:t>例如小巴總站</w:t>
      </w:r>
      <w:r>
        <w:rPr>
          <w:i/>
        </w:rPr>
        <w:t>)</w:t>
      </w:r>
      <w:r>
        <w:rPr>
          <w:i/>
        </w:rPr>
        <w:t>監察空氣質素，以評估條例對改善空氣質素的效用；如有，詳情為何；如否，原因為何；當局有否採用其他方法評估條例的效用；當局在執法時遇到甚麼困難，以及當局有何解決方法；停車不熄匙的黑點的最新名單為何；及</w:t>
      </w:r>
    </w:p>
    <w:p>
      <w:pPr>
        <w:pStyle w:val="F21"/>
        <w:spacing w:lineRule="atLeast" w:line="350"/>
        <w:ind w:left="1417" w:hanging="850"/>
        <w:rPr>
          <w:i/>
          <w:i/>
        </w:rPr>
      </w:pPr>
      <w:r>
        <w:rPr>
          <w:i/>
        </w:rPr>
      </w:r>
    </w:p>
    <w:p>
      <w:pPr>
        <w:pStyle w:val="F21"/>
        <w:spacing w:lineRule="atLeast" w:line="350"/>
        <w:ind w:left="1417" w:hanging="850"/>
        <w:rPr>
          <w:i/>
          <w:i/>
        </w:rPr>
      </w:pPr>
      <w:r>
        <w:rPr>
          <w:i/>
        </w:rPr>
        <w:t>(</w:t>
      </w:r>
      <w:r>
        <w:rPr>
          <w:i/>
        </w:rPr>
        <w:t>三</w:t>
      </w:r>
      <w:r>
        <w:rPr>
          <w:i/>
        </w:rPr>
        <w:t>)</w:t>
        <w:tab/>
      </w:r>
      <w:r>
        <w:rPr>
          <w:i/>
        </w:rPr>
        <w:t>由條例實施至今，當局每月對多少車輛進行計時程序，以及就停車不熄匙的行為向駕駛者發出的口頭警告及定額罰款通知書的數目分別為何；按涉及的車輛類別列出分項數字，以及涉及多少政府車輛？</w:t>
      </w:r>
    </w:p>
    <w:p>
      <w:pPr>
        <w:pStyle w:val="F21"/>
        <w:spacing w:lineRule="atLeast" w:line="350"/>
        <w:rPr>
          <w:i/>
          <w:i/>
        </w:rPr>
      </w:pPr>
      <w:r>
        <w:rPr>
          <w:i/>
        </w:rPr>
      </w:r>
    </w:p>
    <w:p>
      <w:pPr>
        <w:pStyle w:val="F21"/>
        <w:spacing w:lineRule="atLeast" w:line="350"/>
        <w:rPr>
          <w:i/>
          <w:i/>
        </w:rPr>
      </w:pPr>
      <w:r>
        <w:rPr>
          <w:i/>
        </w:rPr>
      </w:r>
    </w:p>
    <w:p>
      <w:pPr>
        <w:pStyle w:val="F21"/>
        <w:spacing w:lineRule="atLeast" w:line="350"/>
        <w:rPr/>
      </w:pPr>
      <w:r>
        <w:rPr>
          <w:rFonts w:eastAsia="華康中黑體"/>
          <w:b/>
        </w:rPr>
        <w:t>環境局局長</w:t>
      </w:r>
      <w:r>
        <w:rPr/>
        <w:t>：主席，就</w:t>
      </w:r>
      <w:r>
        <w:rPr>
          <w:szCs w:val="27"/>
        </w:rPr>
        <w:t>梁繼昌議員</w:t>
      </w:r>
      <w:r>
        <w:rPr/>
        <w:t>的質詢，我答覆如下：</w:t>
      </w:r>
    </w:p>
    <w:p>
      <w:pPr>
        <w:pStyle w:val="F21"/>
        <w:spacing w:lineRule="atLeast" w:line="350"/>
        <w:rPr/>
      </w:pPr>
      <w:r>
        <w:rPr/>
      </w:r>
    </w:p>
    <w:p>
      <w:pPr>
        <w:pStyle w:val="Style14"/>
        <w:spacing w:lineRule="atLeast" w:line="350"/>
        <w:rPr>
          <w:i w:val="false"/>
          <w:i w:val="false"/>
        </w:rPr>
      </w:pPr>
      <w:r>
        <w:rPr>
          <w:i w:val="false"/>
        </w:rPr>
        <w:t>(</w:t>
      </w:r>
      <w:r>
        <w:rPr>
          <w:i w:val="false"/>
        </w:rPr>
        <w:t>一</w:t>
      </w:r>
      <w:r>
        <w:rPr>
          <w:i w:val="false"/>
        </w:rPr>
        <w:t>)</w:t>
        <w:tab/>
      </w:r>
      <w:r>
        <w:rPr>
          <w:i w:val="false"/>
        </w:rPr>
        <w:t>環境保護署</w:t>
      </w:r>
      <w:r>
        <w:rPr>
          <w:i w:val="false"/>
        </w:rPr>
        <w:t>(</w:t>
      </w:r>
      <w:r>
        <w:rPr>
          <w:i w:val="false"/>
          <w:szCs w:val="27"/>
        </w:rPr>
        <w:t>“</w:t>
      </w:r>
      <w:r>
        <w:rPr>
          <w:i w:val="false"/>
        </w:rPr>
        <w:t>環保署</w:t>
      </w:r>
      <w:r>
        <w:rPr>
          <w:i w:val="false"/>
          <w:szCs w:val="27"/>
        </w:rPr>
        <w:t>”</w:t>
      </w:r>
      <w:r>
        <w:rPr>
          <w:i w:val="false"/>
          <w:szCs w:val="27"/>
        </w:rPr>
        <w:t>)</w:t>
      </w:r>
      <w:r>
        <w:rPr>
          <w:i w:val="false"/>
        </w:rPr>
        <w:t>負責統籌條例的執法工作，並透過向司機的宣傳教育活動和巡邏雙軌方式執行。在宣傳教育方面，我們向司機派發宣傳單張，並透過在電視台和電台的宣傳廣播，勸導司機養成停車熄匙的習慣。執法工作則由警務處的交通督導員和環保署的環境保護督察負責。警務處交通督導員在日常巡邏時會向違反禁止引擎空轉規定的司機發出定額罰款通知書。為配合上述工作，警務處已增設</w:t>
      </w:r>
      <w:r>
        <w:rPr>
          <w:i w:val="false"/>
        </w:rPr>
        <w:t>18</w:t>
      </w:r>
      <w:r>
        <w:rPr>
          <w:i w:val="false"/>
        </w:rPr>
        <w:t>個交通督導員職位，現時交通督導員的總數約為</w:t>
      </w:r>
      <w:r>
        <w:rPr>
          <w:i w:val="false"/>
        </w:rPr>
        <w:t>298</w:t>
      </w:r>
      <w:r>
        <w:rPr>
          <w:i w:val="false"/>
        </w:rPr>
        <w:t>名。環保署現有約</w:t>
      </w:r>
      <w:r>
        <w:rPr>
          <w:i w:val="false"/>
        </w:rPr>
        <w:t>383</w:t>
      </w:r>
      <w:r>
        <w:rPr>
          <w:i w:val="false"/>
        </w:rPr>
        <w:t>名環境保護督察獲授權發出定額罰款通知書，並會聯合交通督導員在黑點的執法行動。條例生效至今已進行了</w:t>
      </w:r>
      <w:r>
        <w:rPr>
          <w:i w:val="false"/>
        </w:rPr>
        <w:t>677</w:t>
      </w:r>
      <w:r>
        <w:rPr>
          <w:i w:val="false"/>
        </w:rPr>
        <w:t>次聯合行動，執法人員共進行了</w:t>
      </w:r>
      <w:r>
        <w:rPr>
          <w:i w:val="false"/>
        </w:rPr>
        <w:t>3 070</w:t>
      </w:r>
      <w:r>
        <w:rPr>
          <w:i w:val="false"/>
        </w:rPr>
        <w:t>次計時，以及發出</w:t>
      </w:r>
      <w:r>
        <w:rPr>
          <w:i w:val="false"/>
        </w:rPr>
        <w:t>86</w:t>
      </w:r>
      <w:r>
        <w:rPr>
          <w:i w:val="false"/>
        </w:rPr>
        <w:t>張定額罰款通知書。現時的人手編制大致可應付有關的工作。</w:t>
      </w:r>
    </w:p>
    <w:p>
      <w:pPr>
        <w:pStyle w:val="Style14"/>
        <w:spacing w:lineRule="atLeast" w:line="350"/>
        <w:rPr>
          <w:i w:val="false"/>
          <w:i w:val="false"/>
        </w:rPr>
      </w:pPr>
      <w:r>
        <w:rPr>
          <w:i w:val="false"/>
        </w:rPr>
      </w:r>
    </w:p>
    <w:p>
      <w:pPr>
        <w:pStyle w:val="Style14"/>
        <w:spacing w:lineRule="atLeast" w:line="350"/>
        <w:rPr>
          <w:i w:val="false"/>
          <w:i w:val="false"/>
        </w:rPr>
      </w:pPr>
      <w:r>
        <w:rPr>
          <w:i w:val="false"/>
        </w:rPr>
        <w:t>(</w:t>
      </w:r>
      <w:r>
        <w:rPr>
          <w:i w:val="false"/>
        </w:rPr>
        <w:t>二</w:t>
      </w:r>
      <w:r>
        <w:rPr>
          <w:i w:val="false"/>
        </w:rPr>
        <w:t>)</w:t>
        <w:tab/>
      </w:r>
      <w:r>
        <w:rPr>
          <w:i w:val="false"/>
        </w:rPr>
        <w:t>實施停車熄匙法例主要是避免汽車引擎空轉時對附近的行人和店鋪人員造成空氣污染，以及減少熱氣和噪音滋擾。對改善整體空氣質素而言，停車熄匙的效果不會十分明顯的。要改善香港的整體空氣質素，我們必須致力減少本地車輛、船隻和電廠，以及珠江三角洲區域內污染源的廢氣排放。</w:t>
      </w:r>
    </w:p>
    <w:p>
      <w:pPr>
        <w:pStyle w:val="Style14"/>
        <w:spacing w:lineRule="atLeast" w:line="350"/>
        <w:rPr>
          <w:i w:val="false"/>
          <w:i w:val="false"/>
        </w:rPr>
      </w:pPr>
      <w:r>
        <w:rPr>
          <w:i w:val="false"/>
        </w:rPr>
      </w:r>
    </w:p>
    <w:p>
      <w:pPr>
        <w:pStyle w:val="Style14"/>
        <w:spacing w:lineRule="atLeast" w:line="350"/>
        <w:rPr>
          <w:i w:val="false"/>
          <w:i w:val="false"/>
        </w:rPr>
      </w:pPr>
      <w:r>
        <w:rPr>
          <w:i w:val="false"/>
        </w:rPr>
        <w:tab/>
      </w:r>
      <w:r>
        <w:rPr>
          <w:i w:val="false"/>
        </w:rPr>
        <w:t>我們一直留意條例實施的成效，尤其是一些經常有停車不熄匙情況的黑點。根據我們的觀察，在條例實施後，大部分的司機都能遵從。至於個別未有遵守停車熄匙要求的駕駛人士，在執法人員開始計時後，絕大部分都會即時熄匙。</w:t>
      </w:r>
    </w:p>
    <w:p>
      <w:pPr>
        <w:pStyle w:val="Style14"/>
        <w:rPr>
          <w:i w:val="false"/>
          <w:i w:val="false"/>
        </w:rPr>
      </w:pPr>
      <w:r>
        <w:rPr>
          <w:i w:val="false"/>
        </w:rPr>
      </w:r>
    </w:p>
    <w:p>
      <w:pPr>
        <w:pStyle w:val="Style14"/>
        <w:spacing w:lineRule="atLeast" w:line="340"/>
        <w:rPr>
          <w:i w:val="false"/>
          <w:i w:val="false"/>
        </w:rPr>
      </w:pPr>
      <w:r>
        <w:rPr>
          <w:i w:val="false"/>
        </w:rPr>
        <w:tab/>
      </w:r>
      <w:r>
        <w:rPr>
          <w:i w:val="false"/>
        </w:rPr>
        <w:t>為更有效打擊違例的司機，我們會將過去</w:t>
      </w:r>
      <w:r>
        <w:rPr>
          <w:i w:val="false"/>
        </w:rPr>
        <w:t>3</w:t>
      </w:r>
      <w:r>
        <w:rPr>
          <w:i w:val="false"/>
        </w:rPr>
        <w:t>個月內有兩個或以上停車不熄匙車輛投訴的地點列作黑點；並會要求交通督導員日常巡邏時，加強留意這些黑點。環境保護督察亦會在這些地點聯合交通督導員進行宣傳暨執法行動。停車不熄匙黑點的最新名單載列於附表一。</w:t>
      </w:r>
    </w:p>
    <w:p>
      <w:pPr>
        <w:pStyle w:val="Style14"/>
        <w:spacing w:lineRule="atLeast" w:line="340"/>
        <w:rPr>
          <w:i w:val="false"/>
          <w:i w:val="false"/>
        </w:rPr>
      </w:pPr>
      <w:r>
        <w:rPr>
          <w:i w:val="false"/>
        </w:rPr>
      </w:r>
    </w:p>
    <w:p>
      <w:pPr>
        <w:pStyle w:val="Style14"/>
        <w:spacing w:lineRule="atLeast" w:line="340"/>
        <w:rPr>
          <w:i w:val="false"/>
          <w:i w:val="false"/>
        </w:rPr>
      </w:pPr>
      <w:r>
        <w:rPr>
          <w:i w:val="false"/>
        </w:rPr>
        <w:t>(</w:t>
      </w:r>
      <w:r>
        <w:rPr>
          <w:i w:val="false"/>
        </w:rPr>
        <w:t>三</w:t>
      </w:r>
      <w:r>
        <w:rPr>
          <w:i w:val="false"/>
        </w:rPr>
        <w:t>)</w:t>
        <w:tab/>
      </w:r>
      <w:r>
        <w:rPr>
          <w:i w:val="false"/>
        </w:rPr>
        <w:t>條例賦予執法人員權力在無須先行給予口頭警告下向違例司機發出罰款通知書。作為過渡安排，執法人員在條例實施的首個月會先向違例的司機發出口頭警告；如司機無視警告，執法人員才發出定額罰款通知書。在這一個月期間，執法人員曾發出</w:t>
      </w:r>
      <w:r>
        <w:rPr>
          <w:i w:val="false"/>
        </w:rPr>
        <w:t>457</w:t>
      </w:r>
      <w:r>
        <w:rPr>
          <w:i w:val="false"/>
        </w:rPr>
        <w:t>次警告，所有被警告的司機均即時熄匙。</w:t>
      </w:r>
    </w:p>
    <w:p>
      <w:pPr>
        <w:pStyle w:val="Style14"/>
        <w:spacing w:lineRule="atLeast" w:line="340"/>
        <w:rPr>
          <w:i w:val="false"/>
          <w:i w:val="false"/>
        </w:rPr>
      </w:pPr>
      <w:r>
        <w:rPr>
          <w:i w:val="false"/>
        </w:rPr>
      </w:r>
    </w:p>
    <w:p>
      <w:pPr>
        <w:pStyle w:val="Style14"/>
        <w:spacing w:lineRule="atLeast" w:line="340"/>
        <w:rPr>
          <w:i w:val="false"/>
          <w:i w:val="false"/>
        </w:rPr>
      </w:pPr>
      <w:r>
        <w:rPr>
          <w:i w:val="false"/>
        </w:rPr>
        <w:tab/>
      </w:r>
      <w:r>
        <w:rPr>
          <w:i w:val="false"/>
        </w:rPr>
        <w:t>由條例生效至本年</w:t>
      </w:r>
      <w:r>
        <w:rPr>
          <w:i w:val="false"/>
        </w:rPr>
        <w:t>11</w:t>
      </w:r>
      <w:r>
        <w:rPr>
          <w:i w:val="false"/>
        </w:rPr>
        <w:t>月底，執法人員共向</w:t>
      </w:r>
      <w:r>
        <w:rPr>
          <w:i w:val="false"/>
        </w:rPr>
        <w:t>3 070</w:t>
      </w:r>
      <w:r>
        <w:rPr>
          <w:i w:val="false"/>
        </w:rPr>
        <w:t>輛正空轉引擎的車輛執行計時程序；並向當中</w:t>
      </w:r>
      <w:r>
        <w:rPr>
          <w:i w:val="false"/>
        </w:rPr>
        <w:t>86</w:t>
      </w:r>
      <w:r>
        <w:rPr>
          <w:i w:val="false"/>
        </w:rPr>
        <w:t>名違例</w:t>
      </w:r>
      <w:r>
        <w:rPr>
          <w:i w:val="false"/>
        </w:rPr>
        <w:t>(</w:t>
      </w:r>
      <w:r>
        <w:rPr>
          <w:i w:val="false"/>
        </w:rPr>
        <w:t>即未有在</w:t>
      </w:r>
      <w:r>
        <w:rPr>
          <w:i w:val="false"/>
        </w:rPr>
        <w:t>3</w:t>
      </w:r>
      <w:r>
        <w:rPr>
          <w:i w:val="false"/>
        </w:rPr>
        <w:t>分鐘內熄匙</w:t>
      </w:r>
      <w:r>
        <w:rPr>
          <w:i w:val="false"/>
        </w:rPr>
        <w:t>)</w:t>
      </w:r>
      <w:r>
        <w:rPr>
          <w:i w:val="false"/>
        </w:rPr>
        <w:t>的司機發出定額罰款通知書，其餘的司機則熄匙或駛離現場。有關數字載列於附表二和三，當中並沒有政府車輛。我們會繼續透過宣傳教育和巡邏執法，以及司機朋輩的相互影響，協助司機培養和實踐綠色的駕駛習慣。</w:t>
      </w:r>
    </w:p>
    <w:p>
      <w:pPr>
        <w:pStyle w:val="F21"/>
        <w:spacing w:lineRule="atLeast" w:line="320"/>
        <w:rPr/>
      </w:pPr>
      <w:r>
        <w:rPr/>
      </w:r>
    </w:p>
    <w:p>
      <w:pPr>
        <w:pStyle w:val="F21"/>
        <w:spacing w:lineRule="atLeast" w:line="320"/>
        <w:rPr/>
      </w:pPr>
      <w:r>
        <w:rPr/>
      </w:r>
    </w:p>
    <w:p>
      <w:pPr>
        <w:pStyle w:val="F21"/>
        <w:spacing w:lineRule="atLeast" w:line="320"/>
        <w:jc w:val="right"/>
        <w:rPr/>
      </w:pPr>
      <w:r>
        <w:rPr/>
        <w:t>附表一</w:t>
      </w:r>
    </w:p>
    <w:p>
      <w:pPr>
        <w:pStyle w:val="F21"/>
        <w:spacing w:lineRule="atLeast" w:line="320"/>
        <w:rPr/>
      </w:pPr>
      <w:r>
        <w:rPr/>
      </w:r>
    </w:p>
    <w:p>
      <w:pPr>
        <w:pStyle w:val="F21"/>
        <w:spacing w:lineRule="atLeast" w:line="320"/>
        <w:jc w:val="center"/>
        <w:rPr/>
      </w:pPr>
      <w:r>
        <w:rPr/>
        <w:t>停車不熄匙的黑點</w:t>
      </w:r>
    </w:p>
    <w:p>
      <w:pPr>
        <w:pStyle w:val="F21"/>
        <w:spacing w:lineRule="atLeast" w:line="320"/>
        <w:rPr/>
      </w:pPr>
      <w:r>
        <w:rPr/>
      </w:r>
    </w:p>
    <w:tbl>
      <w:tblPr>
        <w:tblW w:w="9223" w:type="dxa"/>
        <w:jc w:val="left"/>
        <w:tblInd w:w="0" w:type="dxa"/>
        <w:tblCellMar>
          <w:top w:w="0" w:type="dxa"/>
          <w:left w:w="5" w:type="dxa"/>
          <w:bottom w:w="0" w:type="dxa"/>
          <w:right w:w="5" w:type="dxa"/>
        </w:tblCellMar>
        <w:tblLook w:val="01e0" w:noHBand="0" w:noVBand="0" w:firstColumn="1" w:lastRow="1" w:lastColumn="1" w:firstRow="1"/>
      </w:tblPr>
      <w:tblGrid>
        <w:gridCol w:w="4611"/>
        <w:gridCol w:w="4611"/>
      </w:tblGrid>
      <w:tr>
        <w:trPr>
          <w:tblHeader w:val="true"/>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i/>
                <w:i/>
              </w:rPr>
            </w:pPr>
            <w:r>
              <w:rPr>
                <w:i/>
              </w:rPr>
              <w:t>停車不熄匙的黑點</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中西區</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正街</w:t>
            </w:r>
          </w:p>
          <w:p>
            <w:pPr>
              <w:pStyle w:val="F21"/>
              <w:tabs>
                <w:tab w:val="clear" w:pos="567"/>
              </w:tabs>
              <w:ind w:left="57" w:right="57" w:hanging="0"/>
              <w:jc w:val="center"/>
              <w:rPr/>
            </w:pPr>
            <w:r>
              <w:rPr/>
              <w:t>愛丁堡廣場</w:t>
            </w:r>
          </w:p>
          <w:p>
            <w:pPr>
              <w:pStyle w:val="F21"/>
              <w:tabs>
                <w:tab w:val="clear" w:pos="567"/>
              </w:tabs>
              <w:ind w:left="57" w:right="57" w:hanging="0"/>
              <w:jc w:val="center"/>
              <w:rPr/>
            </w:pPr>
            <w:r>
              <w:rPr/>
              <w:t>禧利街</w:t>
            </w:r>
          </w:p>
          <w:p>
            <w:pPr>
              <w:pStyle w:val="F21"/>
              <w:tabs>
                <w:tab w:val="clear" w:pos="567"/>
              </w:tabs>
              <w:ind w:left="57" w:right="57" w:hanging="0"/>
              <w:jc w:val="center"/>
              <w:rPr/>
            </w:pPr>
            <w:r>
              <w:rPr/>
              <w:t>梅道</w:t>
            </w:r>
          </w:p>
          <w:p>
            <w:pPr>
              <w:pStyle w:val="F21"/>
              <w:tabs>
                <w:tab w:val="clear" w:pos="567"/>
              </w:tabs>
              <w:ind w:left="57" w:right="57" w:hanging="0"/>
              <w:jc w:val="center"/>
              <w:rPr/>
            </w:pPr>
            <w:r>
              <w:rPr/>
              <w:t>柯士甸山道</w:t>
            </w:r>
          </w:p>
          <w:p>
            <w:pPr>
              <w:pStyle w:val="F21"/>
              <w:tabs>
                <w:tab w:val="clear" w:pos="567"/>
              </w:tabs>
              <w:ind w:left="57" w:right="57" w:hanging="0"/>
              <w:jc w:val="center"/>
              <w:rPr/>
            </w:pPr>
            <w:r>
              <w:rPr/>
              <w:t>皇后大道中</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灣仔</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駱克道</w:t>
            </w:r>
          </w:p>
          <w:p>
            <w:pPr>
              <w:pStyle w:val="F21"/>
              <w:tabs>
                <w:tab w:val="clear" w:pos="567"/>
              </w:tabs>
              <w:ind w:left="57" w:right="57" w:hanging="0"/>
              <w:jc w:val="center"/>
              <w:rPr/>
            </w:pPr>
            <w:r>
              <w:rPr/>
              <w:t>愛群道</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東區</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海澤街</w:t>
            </w:r>
          </w:p>
          <w:p>
            <w:pPr>
              <w:pStyle w:val="F21"/>
              <w:tabs>
                <w:tab w:val="clear" w:pos="567"/>
              </w:tabs>
              <w:ind w:left="57" w:right="57" w:hanging="0"/>
              <w:jc w:val="center"/>
              <w:rPr/>
            </w:pPr>
            <w:r>
              <w:rPr/>
              <w:t>北角道</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南區</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鴨脷洲海旁道</w:t>
            </w:r>
          </w:p>
          <w:p>
            <w:pPr>
              <w:pStyle w:val="F21"/>
              <w:tabs>
                <w:tab w:val="clear" w:pos="567"/>
              </w:tabs>
              <w:ind w:left="57" w:right="57" w:hanging="0"/>
              <w:jc w:val="center"/>
              <w:rPr/>
            </w:pPr>
            <w:r>
              <w:rPr/>
              <w:t>海灘道</w:t>
            </w:r>
          </w:p>
          <w:p>
            <w:pPr>
              <w:pStyle w:val="F21"/>
              <w:tabs>
                <w:tab w:val="clear" w:pos="567"/>
              </w:tabs>
              <w:ind w:left="57" w:right="57" w:hanging="0"/>
              <w:jc w:val="center"/>
              <w:rPr/>
            </w:pPr>
            <w:r>
              <w:rPr/>
              <w:t>南風道</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九龍城</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基堤道</w:t>
            </w:r>
          </w:p>
          <w:p>
            <w:pPr>
              <w:pStyle w:val="F21"/>
              <w:tabs>
                <w:tab w:val="clear" w:pos="567"/>
              </w:tabs>
              <w:ind w:left="57" w:right="57" w:hanging="0"/>
              <w:jc w:val="center"/>
              <w:rPr/>
            </w:pPr>
            <w:r>
              <w:rPr/>
              <w:t>延文禮士道</w:t>
            </w:r>
          </w:p>
          <w:p>
            <w:pPr>
              <w:pStyle w:val="F21"/>
              <w:tabs>
                <w:tab w:val="clear" w:pos="567"/>
              </w:tabs>
              <w:ind w:left="57" w:right="57" w:hanging="0"/>
              <w:jc w:val="center"/>
              <w:rPr/>
            </w:pPr>
            <w:r>
              <w:rPr/>
              <w:t>愛景街</w:t>
            </w:r>
          </w:p>
          <w:p>
            <w:pPr>
              <w:pStyle w:val="F21"/>
              <w:tabs>
                <w:tab w:val="clear" w:pos="567"/>
              </w:tabs>
              <w:ind w:left="57" w:right="57" w:hanging="0"/>
              <w:jc w:val="center"/>
              <w:rPr/>
            </w:pPr>
            <w:r>
              <w:rPr/>
              <w:t>牛津道</w:t>
            </w:r>
          </w:p>
          <w:p>
            <w:pPr>
              <w:pStyle w:val="F21"/>
              <w:tabs>
                <w:tab w:val="clear" w:pos="567"/>
              </w:tabs>
              <w:ind w:left="57" w:right="57" w:hanging="0"/>
              <w:jc w:val="center"/>
              <w:rPr/>
            </w:pPr>
            <w:r>
              <w:rPr/>
              <w:t>北帝街</w:t>
            </w:r>
          </w:p>
          <w:p>
            <w:pPr>
              <w:pStyle w:val="F21"/>
              <w:tabs>
                <w:tab w:val="clear" w:pos="567"/>
              </w:tabs>
              <w:ind w:left="57" w:right="57" w:hanging="0"/>
              <w:jc w:val="center"/>
              <w:rPr/>
            </w:pPr>
            <w:r>
              <w:rPr/>
              <w:t>炮仗街</w:t>
            </w:r>
          </w:p>
          <w:p>
            <w:pPr>
              <w:pStyle w:val="F21"/>
              <w:tabs>
                <w:tab w:val="clear" w:pos="567"/>
              </w:tabs>
              <w:ind w:left="57" w:right="57" w:hanging="0"/>
              <w:jc w:val="center"/>
              <w:rPr/>
            </w:pPr>
            <w:r>
              <w:rPr/>
              <w:t>常樂街</w:t>
            </w:r>
          </w:p>
          <w:p>
            <w:pPr>
              <w:pStyle w:val="F21"/>
              <w:tabs>
                <w:tab w:val="clear" w:pos="567"/>
              </w:tabs>
              <w:ind w:left="57" w:right="57" w:hanging="0"/>
              <w:jc w:val="center"/>
              <w:rPr/>
            </w:pPr>
            <w:r>
              <w:rPr/>
              <w:t>森麻實道</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觀塘</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輔仁街</w:t>
            </w:r>
          </w:p>
          <w:p>
            <w:pPr>
              <w:pStyle w:val="F21"/>
              <w:tabs>
                <w:tab w:val="clear" w:pos="567"/>
              </w:tabs>
              <w:ind w:left="57" w:right="57" w:hanging="0"/>
              <w:jc w:val="center"/>
              <w:rPr/>
            </w:pPr>
            <w:r>
              <w:rPr/>
              <w:t>物華街</w:t>
            </w:r>
          </w:p>
          <w:p>
            <w:pPr>
              <w:pStyle w:val="F21"/>
              <w:tabs>
                <w:tab w:val="clear" w:pos="567"/>
              </w:tabs>
              <w:ind w:left="57" w:right="57" w:hanging="0"/>
              <w:jc w:val="center"/>
              <w:rPr/>
            </w:pPr>
            <w:r>
              <w:rPr/>
              <w:t>瑞和街</w:t>
            </w:r>
          </w:p>
          <w:p>
            <w:pPr>
              <w:pStyle w:val="F21"/>
              <w:tabs>
                <w:tab w:val="clear" w:pos="567"/>
              </w:tabs>
              <w:ind w:left="57" w:right="57" w:hanging="0"/>
              <w:jc w:val="center"/>
              <w:rPr/>
            </w:pPr>
            <w:r>
              <w:rPr/>
              <w:t>天香街</w:t>
            </w:r>
          </w:p>
          <w:p>
            <w:pPr>
              <w:pStyle w:val="F21"/>
              <w:tabs>
                <w:tab w:val="clear" w:pos="567"/>
              </w:tabs>
              <w:ind w:left="57" w:right="57" w:hanging="0"/>
              <w:jc w:val="center"/>
              <w:rPr/>
            </w:pPr>
            <w:r>
              <w:rPr/>
              <w:t>裕民坊</w:t>
            </w:r>
          </w:p>
          <w:p>
            <w:pPr>
              <w:pStyle w:val="F21"/>
              <w:tabs>
                <w:tab w:val="clear" w:pos="567"/>
              </w:tabs>
              <w:ind w:left="57" w:right="57" w:hanging="0"/>
              <w:jc w:val="center"/>
              <w:rPr/>
            </w:pPr>
            <w:r>
              <w:rPr/>
              <w:t>月華街</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黃大仙</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蒲崗村道</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深水埗</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福榮街</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油尖旺</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炮台街</w:t>
            </w:r>
          </w:p>
          <w:p>
            <w:pPr>
              <w:pStyle w:val="F21"/>
              <w:tabs>
                <w:tab w:val="clear" w:pos="567"/>
              </w:tabs>
              <w:ind w:left="57" w:right="57" w:hanging="0"/>
              <w:jc w:val="center"/>
              <w:rPr/>
            </w:pPr>
            <w:r>
              <w:rPr/>
              <w:t>金馬倫道</w:t>
            </w:r>
          </w:p>
          <w:p>
            <w:pPr>
              <w:pStyle w:val="F21"/>
              <w:tabs>
                <w:tab w:val="clear" w:pos="567"/>
              </w:tabs>
              <w:ind w:left="57" w:right="57" w:hanging="0"/>
              <w:jc w:val="center"/>
              <w:rPr/>
            </w:pPr>
            <w:r>
              <w:rPr/>
              <w:t>花園街</w:t>
            </w:r>
          </w:p>
          <w:p>
            <w:pPr>
              <w:pStyle w:val="F21"/>
              <w:tabs>
                <w:tab w:val="clear" w:pos="567"/>
              </w:tabs>
              <w:ind w:left="57" w:right="57" w:hanging="0"/>
              <w:jc w:val="center"/>
              <w:rPr/>
            </w:pPr>
            <w:r>
              <w:rPr/>
              <w:t>海防道</w:t>
            </w:r>
          </w:p>
          <w:p>
            <w:pPr>
              <w:pStyle w:val="F21"/>
              <w:tabs>
                <w:tab w:val="clear" w:pos="567"/>
              </w:tabs>
              <w:ind w:left="57" w:right="57" w:hanging="0"/>
              <w:jc w:val="center"/>
              <w:rPr/>
            </w:pPr>
            <w:r>
              <w:rPr/>
              <w:t>金巴利道</w:t>
            </w:r>
          </w:p>
          <w:p>
            <w:pPr>
              <w:pStyle w:val="F21"/>
              <w:tabs>
                <w:tab w:val="clear" w:pos="567"/>
              </w:tabs>
              <w:ind w:left="57" w:right="57" w:hanging="0"/>
              <w:jc w:val="center"/>
              <w:rPr/>
            </w:pPr>
            <w:r>
              <w:rPr/>
              <w:t>荔枝角道</w:t>
            </w:r>
          </w:p>
          <w:p>
            <w:pPr>
              <w:pStyle w:val="F21"/>
              <w:tabs>
                <w:tab w:val="clear" w:pos="567"/>
              </w:tabs>
              <w:ind w:left="57" w:right="57" w:hanging="0"/>
              <w:jc w:val="center"/>
              <w:rPr/>
            </w:pPr>
            <w:r>
              <w:rPr/>
              <w:t>上海街</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西貢</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貿泰路</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元朗</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鳳翔路</w:t>
            </w:r>
          </w:p>
          <w:p>
            <w:pPr>
              <w:pStyle w:val="F21"/>
              <w:tabs>
                <w:tab w:val="clear" w:pos="567"/>
              </w:tabs>
              <w:ind w:left="57" w:right="57" w:hanging="0"/>
              <w:jc w:val="center"/>
              <w:rPr/>
            </w:pPr>
            <w:r>
              <w:rPr/>
              <w:t>錦上路</w:t>
            </w:r>
          </w:p>
          <w:p>
            <w:pPr>
              <w:pStyle w:val="F21"/>
              <w:tabs>
                <w:tab w:val="clear" w:pos="567"/>
              </w:tabs>
              <w:ind w:left="57" w:right="57" w:hanging="0"/>
              <w:jc w:val="center"/>
              <w:rPr/>
            </w:pPr>
            <w:r>
              <w:rPr/>
              <w:t>天華道</w:t>
            </w:r>
          </w:p>
          <w:p>
            <w:pPr>
              <w:pStyle w:val="F21"/>
              <w:tabs>
                <w:tab w:val="clear" w:pos="567"/>
              </w:tabs>
              <w:ind w:left="57" w:right="57" w:hanging="0"/>
              <w:jc w:val="center"/>
              <w:rPr/>
            </w:pPr>
            <w:r>
              <w:rPr/>
              <w:t>唐人新村路</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屯門</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兆康站</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沙田</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沙田第一城</w:t>
            </w:r>
          </w:p>
          <w:p>
            <w:pPr>
              <w:pStyle w:val="F21"/>
              <w:tabs>
                <w:tab w:val="clear" w:pos="567"/>
              </w:tabs>
              <w:ind w:left="57" w:right="57" w:hanging="0"/>
              <w:jc w:val="center"/>
              <w:rPr/>
            </w:pPr>
            <w:r>
              <w:rPr/>
              <w:t>鞍駿街</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荃灣</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海盛路</w:t>
            </w:r>
          </w:p>
          <w:p>
            <w:pPr>
              <w:pStyle w:val="F21"/>
              <w:tabs>
                <w:tab w:val="clear" w:pos="567"/>
              </w:tabs>
              <w:ind w:left="57" w:right="57" w:hanging="0"/>
              <w:jc w:val="center"/>
              <w:rPr/>
            </w:pPr>
            <w:r>
              <w:rPr/>
              <w:t>西樓角路</w:t>
            </w:r>
          </w:p>
        </w:tc>
      </w:tr>
      <w:tr>
        <w:trPr/>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葵青</w:t>
            </w:r>
          </w:p>
        </w:tc>
        <w:tc>
          <w:tcPr>
            <w:tcW w:w="461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仁芳街</w:t>
            </w:r>
          </w:p>
        </w:tc>
      </w:tr>
    </w:tbl>
    <w:p>
      <w:pPr>
        <w:pStyle w:val="F21"/>
        <w:rPr/>
      </w:pPr>
      <w:r>
        <w:rPr/>
      </w:r>
    </w:p>
    <w:p>
      <w:pPr>
        <w:pStyle w:val="F21"/>
        <w:rPr/>
      </w:pPr>
      <w:r>
        <w:rPr/>
      </w:r>
    </w:p>
    <w:p>
      <w:pPr>
        <w:pStyle w:val="F21"/>
        <w:spacing w:lineRule="atLeast" w:line="380"/>
        <w:jc w:val="right"/>
        <w:rPr/>
      </w:pPr>
      <w:r>
        <w:rPr/>
        <w:t>附表二</w:t>
      </w:r>
    </w:p>
    <w:p>
      <w:pPr>
        <w:pStyle w:val="F21"/>
        <w:spacing w:lineRule="atLeast" w:line="380"/>
        <w:rPr/>
      </w:pPr>
      <w:r>
        <w:rPr/>
      </w:r>
    </w:p>
    <w:p>
      <w:pPr>
        <w:pStyle w:val="F21"/>
        <w:spacing w:lineRule="atLeast" w:line="380"/>
        <w:jc w:val="center"/>
        <w:rPr/>
      </w:pPr>
      <w:r>
        <w:rPr/>
        <w:t>《汽車引擎空轉</w:t>
      </w:r>
      <w:r>
        <w:rPr/>
        <w:t>(</w:t>
      </w:r>
      <w:r>
        <w:rPr/>
        <w:t>定額罰款</w:t>
      </w:r>
      <w:r>
        <w:rPr/>
        <w:t>)</w:t>
      </w:r>
      <w:r>
        <w:rPr/>
        <w:t>條例》的執法數據</w:t>
      </w:r>
    </w:p>
    <w:p>
      <w:pPr>
        <w:pStyle w:val="F21"/>
        <w:spacing w:lineRule="atLeast" w:line="380"/>
        <w:rPr/>
      </w:pPr>
      <w:r>
        <w:rPr/>
      </w:r>
    </w:p>
    <w:tbl>
      <w:tblPr>
        <w:tblW w:w="9223" w:type="dxa"/>
        <w:jc w:val="left"/>
        <w:tblInd w:w="0" w:type="dxa"/>
        <w:tblCellMar>
          <w:top w:w="0" w:type="dxa"/>
          <w:left w:w="5" w:type="dxa"/>
          <w:bottom w:w="0" w:type="dxa"/>
          <w:right w:w="5" w:type="dxa"/>
        </w:tblCellMar>
        <w:tblLook w:val="01e0" w:noHBand="0" w:noVBand="0" w:firstColumn="1" w:lastRow="1" w:lastColumn="1" w:firstRow="1"/>
      </w:tblPr>
      <w:tblGrid>
        <w:gridCol w:w="2164"/>
        <w:gridCol w:w="3530"/>
        <w:gridCol w:w="3529"/>
      </w:tblGrid>
      <w:tr>
        <w:trPr>
          <w:tblHeader w:val="true"/>
          <w:trHeight w:val="851"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rPr>
            </w:pPr>
            <w:r>
              <w:rPr>
                <w:i/>
              </w:rPr>
              <w:t>月份</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rPr>
            </w:pPr>
            <w:r>
              <w:rPr>
                <w:i/>
              </w:rPr>
              <w:t>曾進行計時程序的</w:t>
            </w:r>
          </w:p>
          <w:p>
            <w:pPr>
              <w:pStyle w:val="F21"/>
              <w:tabs>
                <w:tab w:val="clear" w:pos="567"/>
              </w:tabs>
              <w:ind w:left="57" w:right="57" w:hanging="0"/>
              <w:jc w:val="center"/>
              <w:rPr>
                <w:i/>
                <w:i/>
              </w:rPr>
            </w:pPr>
            <w:r>
              <w:rPr>
                <w:i/>
              </w:rPr>
              <w:t>空轉引擎車輛數目</w:t>
            </w:r>
          </w:p>
        </w:tc>
        <w:tc>
          <w:tcPr>
            <w:tcW w:w="35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57" w:hanging="0"/>
              <w:jc w:val="center"/>
              <w:rPr>
                <w:i/>
                <w:i/>
              </w:rPr>
            </w:pPr>
            <w:r>
              <w:rPr>
                <w:i/>
              </w:rPr>
              <w:t>發出定額罰款通知書</w:t>
            </w:r>
          </w:p>
          <w:p>
            <w:pPr>
              <w:pStyle w:val="F21"/>
              <w:tabs>
                <w:tab w:val="clear" w:pos="567"/>
              </w:tabs>
              <w:ind w:left="57" w:right="57" w:hanging="0"/>
              <w:jc w:val="center"/>
              <w:rPr>
                <w:i/>
                <w:i/>
              </w:rPr>
            </w:pPr>
            <w:r>
              <w:rPr>
                <w:i/>
              </w:rPr>
              <w:t>數目</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1</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2</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3</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19</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4</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20</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5</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71</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6</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117</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7</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108</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8</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218</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2</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9</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253</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10</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192</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11</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121</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2012</w:t>
            </w:r>
            <w:r>
              <w:rPr/>
              <w:t>年</w:t>
            </w:r>
            <w:r>
              <w:rPr/>
              <w:t>12</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85</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3</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1</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134</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2</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102</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3</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94</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4</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147</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10</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5</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199</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5</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6</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212</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7</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171</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11</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8</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231</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12</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9</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223</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15</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10</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214</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7</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2013</w:t>
            </w:r>
            <w:r>
              <w:rPr/>
              <w:t>年</w:t>
            </w:r>
            <w:r>
              <w:rPr/>
              <w:t>11</w:t>
            </w:r>
            <w:r>
              <w:rPr/>
              <w:t>月</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139</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5</w:t>
            </w:r>
          </w:p>
        </w:tc>
      </w:tr>
      <w:tr>
        <w:trPr>
          <w:trHeight w:val="397" w:hRule="atLeast"/>
        </w:trPr>
        <w:tc>
          <w:tcPr>
            <w:tcW w:w="216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57" w:hanging="0"/>
              <w:jc w:val="center"/>
              <w:rPr/>
            </w:pPr>
            <w:r>
              <w:rPr/>
              <w:t>總數</w:t>
            </w:r>
          </w:p>
        </w:tc>
        <w:tc>
          <w:tcPr>
            <w:tcW w:w="353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left="57" w:right="1609" w:hanging="0"/>
              <w:jc w:val="right"/>
              <w:rPr/>
            </w:pPr>
            <w:r>
              <w:rPr/>
              <w:t>3 070</w:t>
            </w:r>
          </w:p>
        </w:tc>
        <w:tc>
          <w:tcPr>
            <w:tcW w:w="3529"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ind w:left="57" w:right="1658" w:hanging="0"/>
              <w:jc w:val="right"/>
              <w:rPr/>
            </w:pPr>
            <w:r>
              <w:rPr/>
              <w:t>86</w:t>
            </w:r>
          </w:p>
        </w:tc>
      </w:tr>
    </w:tbl>
    <w:p>
      <w:pPr>
        <w:pStyle w:val="F21"/>
        <w:spacing w:lineRule="auto" w:line="240"/>
        <w:rPr>
          <w:sz w:val="20"/>
          <w:szCs w:val="20"/>
        </w:rPr>
      </w:pPr>
      <w:r>
        <w:rPr>
          <w:sz w:val="20"/>
          <w:szCs w:val="20"/>
        </w:rPr>
      </w:r>
    </w:p>
    <w:p>
      <w:pPr>
        <w:pStyle w:val="F21"/>
        <w:spacing w:lineRule="auto" w:line="240"/>
        <w:rPr>
          <w:sz w:val="20"/>
          <w:szCs w:val="20"/>
        </w:rPr>
      </w:pPr>
      <w:r>
        <w:rPr>
          <w:sz w:val="20"/>
          <w:szCs w:val="20"/>
        </w:rPr>
        <w:t>註：</w:t>
      </w:r>
    </w:p>
    <w:p>
      <w:pPr>
        <w:pStyle w:val="F21"/>
        <w:spacing w:lineRule="auto" w:line="240"/>
        <w:rPr>
          <w:sz w:val="20"/>
          <w:szCs w:val="20"/>
        </w:rPr>
      </w:pPr>
      <w:r>
        <w:rPr>
          <w:sz w:val="20"/>
          <w:szCs w:val="20"/>
        </w:rPr>
      </w:r>
    </w:p>
    <w:p>
      <w:pPr>
        <w:pStyle w:val="F21"/>
        <w:spacing w:lineRule="auto" w:line="240"/>
        <w:rPr>
          <w:sz w:val="20"/>
          <w:szCs w:val="20"/>
        </w:rPr>
      </w:pPr>
      <w:r>
        <w:rPr>
          <w:sz w:val="20"/>
          <w:szCs w:val="20"/>
        </w:rPr>
        <w:t>2012</w:t>
      </w:r>
      <w:r>
        <w:rPr>
          <w:sz w:val="20"/>
          <w:szCs w:val="20"/>
        </w:rPr>
        <w:t>年</w:t>
      </w:r>
      <w:r>
        <w:rPr>
          <w:sz w:val="20"/>
          <w:szCs w:val="20"/>
        </w:rPr>
        <w:t>1</w:t>
      </w:r>
      <w:r>
        <w:rPr>
          <w:sz w:val="20"/>
          <w:szCs w:val="20"/>
        </w:rPr>
        <w:t>月及</w:t>
      </w:r>
      <w:r>
        <w:rPr>
          <w:sz w:val="20"/>
          <w:szCs w:val="20"/>
        </w:rPr>
        <w:t>2</w:t>
      </w:r>
      <w:r>
        <w:rPr>
          <w:sz w:val="20"/>
          <w:szCs w:val="20"/>
        </w:rPr>
        <w:t>月未有為進行計時程序次數統計資料。</w:t>
      </w:r>
    </w:p>
    <w:p>
      <w:pPr>
        <w:pStyle w:val="F21"/>
        <w:rPr/>
      </w:pPr>
      <w:r>
        <w:rPr/>
      </w:r>
    </w:p>
    <w:p>
      <w:pPr>
        <w:pStyle w:val="F21"/>
        <w:spacing w:lineRule="atLeast" w:line="380"/>
        <w:jc w:val="right"/>
        <w:rPr/>
      </w:pPr>
      <w:r>
        <w:rPr/>
        <w:t>附表三</w:t>
      </w:r>
    </w:p>
    <w:p>
      <w:pPr>
        <w:pStyle w:val="F21"/>
        <w:spacing w:lineRule="atLeast" w:line="380"/>
        <w:rPr/>
      </w:pPr>
      <w:r>
        <w:rPr/>
      </w:r>
    </w:p>
    <w:p>
      <w:pPr>
        <w:pStyle w:val="F21"/>
        <w:spacing w:lineRule="atLeast" w:line="380"/>
        <w:jc w:val="center"/>
        <w:rPr/>
      </w:pPr>
      <w:r>
        <w:rPr/>
        <w:t>《汽車引擎空轉</w:t>
      </w:r>
      <w:r>
        <w:rPr/>
        <w:t>(</w:t>
      </w:r>
      <w:r>
        <w:rPr/>
        <w:t>定額罰款</w:t>
      </w:r>
      <w:r>
        <w:rPr/>
        <w:t>)</w:t>
      </w:r>
      <w:r>
        <w:rPr/>
        <w:t>條例》按車輛分類的執法數據</w:t>
      </w:r>
    </w:p>
    <w:p>
      <w:pPr>
        <w:pStyle w:val="F21"/>
        <w:spacing w:lineRule="atLeast" w:line="380"/>
        <w:jc w:val="center"/>
        <w:rPr/>
      </w:pPr>
      <w:r>
        <w:rPr/>
        <w:t>(</w:t>
      </w:r>
      <w:r>
        <w:rPr/>
        <w:t>截至</w:t>
      </w:r>
      <w:r>
        <w:rPr/>
        <w:t>2013</w:t>
      </w:r>
      <w:r>
        <w:rPr/>
        <w:t>年</w:t>
      </w:r>
      <w:r>
        <w:rPr/>
        <w:t>11</w:t>
      </w:r>
      <w:r>
        <w:rPr/>
        <w:t>月底</w:t>
      </w:r>
      <w:r>
        <w:rPr/>
        <w:t>)</w:t>
      </w:r>
    </w:p>
    <w:p>
      <w:pPr>
        <w:pStyle w:val="F21"/>
        <w:spacing w:lineRule="atLeast" w:line="380"/>
        <w:rPr/>
      </w:pPr>
      <w:r>
        <w:rPr/>
      </w:r>
    </w:p>
    <w:tbl>
      <w:tblPr>
        <w:tblW w:w="9223" w:type="dxa"/>
        <w:jc w:val="left"/>
        <w:tblInd w:w="0" w:type="dxa"/>
        <w:tblCellMar>
          <w:top w:w="0" w:type="dxa"/>
          <w:left w:w="5" w:type="dxa"/>
          <w:bottom w:w="0" w:type="dxa"/>
          <w:right w:w="5" w:type="dxa"/>
        </w:tblCellMar>
        <w:tblLook w:val="01e0" w:noHBand="0" w:noVBand="0" w:firstColumn="1" w:lastRow="1" w:lastColumn="1" w:firstRow="1"/>
      </w:tblPr>
      <w:tblGrid>
        <w:gridCol w:w="1892"/>
        <w:gridCol w:w="3665"/>
        <w:gridCol w:w="3666"/>
      </w:tblGrid>
      <w:tr>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center"/>
              <w:rPr/>
            </w:pPr>
            <w:r>
              <w:rPr/>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center"/>
              <w:rPr>
                <w:i/>
                <w:i/>
              </w:rPr>
            </w:pPr>
            <w:r>
              <w:rPr>
                <w:i/>
              </w:rPr>
              <w:t>曾進行計時程序的</w:t>
            </w:r>
          </w:p>
          <w:p>
            <w:pPr>
              <w:pStyle w:val="F21"/>
              <w:tabs>
                <w:tab w:val="clear" w:pos="567"/>
              </w:tabs>
              <w:spacing w:lineRule="atLeast" w:line="380"/>
              <w:ind w:left="57" w:right="57" w:hanging="0"/>
              <w:jc w:val="center"/>
              <w:rPr>
                <w:i/>
                <w:i/>
              </w:rPr>
            </w:pPr>
            <w:r>
              <w:rPr>
                <w:i/>
              </w:rPr>
              <w:t>空轉引擎車輛數目</w:t>
            </w:r>
          </w:p>
        </w:tc>
        <w:tc>
          <w:tcPr>
            <w:tcW w:w="366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spacing w:lineRule="atLeast" w:line="380"/>
              <w:ind w:left="57" w:right="57" w:hanging="0"/>
              <w:jc w:val="center"/>
              <w:rPr>
                <w:i/>
                <w:i/>
              </w:rPr>
            </w:pPr>
            <w:r>
              <w:rPr>
                <w:i/>
              </w:rPr>
              <w:t>發出定額罰款通知書</w:t>
            </w:r>
          </w:p>
          <w:p>
            <w:pPr>
              <w:pStyle w:val="F21"/>
              <w:tabs>
                <w:tab w:val="clear" w:pos="567"/>
              </w:tabs>
              <w:spacing w:lineRule="atLeast" w:line="380"/>
              <w:ind w:left="57" w:right="57" w:hanging="0"/>
              <w:jc w:val="center"/>
              <w:rPr>
                <w:i/>
                <w:i/>
              </w:rPr>
            </w:pPr>
            <w:r>
              <w:rPr>
                <w:i/>
              </w:rPr>
              <w:t>數目</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私家車</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841</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22</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的士</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172</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4</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公共小巴</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184</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5</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輕型貨車</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598</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14</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中型貨車</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660</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6</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非專利巴士</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560</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35</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其他車輛</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55</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0</w:t>
            </w:r>
          </w:p>
        </w:tc>
      </w:tr>
      <w:tr>
        <w:trPr>
          <w:trHeight w:val="454" w:hRule="atLeast"/>
        </w:trPr>
        <w:tc>
          <w:tcPr>
            <w:tcW w:w="1892"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57" w:hanging="0"/>
              <w:jc w:val="left"/>
              <w:rPr/>
            </w:pPr>
            <w:r>
              <w:rPr/>
              <w:t>總數</w:t>
            </w:r>
          </w:p>
        </w:tc>
        <w:tc>
          <w:tcPr>
            <w:tcW w:w="3665"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595" w:hanging="0"/>
              <w:jc w:val="right"/>
              <w:rPr/>
            </w:pPr>
            <w:r>
              <w:rPr/>
              <w:t>3 070</w:t>
            </w:r>
          </w:p>
        </w:tc>
        <w:tc>
          <w:tcPr>
            <w:tcW w:w="36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spacing w:lineRule="atLeast" w:line="380"/>
              <w:ind w:left="57" w:right="1658" w:hanging="0"/>
              <w:jc w:val="right"/>
              <w:rPr/>
            </w:pPr>
            <w:r>
              <w:rPr/>
              <w:t>86</w:t>
            </w:r>
          </w:p>
        </w:tc>
      </w:tr>
    </w:tbl>
    <w:p>
      <w:pPr>
        <w:pStyle w:val="F21"/>
        <w:spacing w:lineRule="atLeast" w:line="380"/>
        <w:rPr>
          <w:szCs w:val="27"/>
        </w:rPr>
      </w:pPr>
      <w:r>
        <w:rPr>
          <w:szCs w:val="27"/>
        </w:rPr>
      </w:r>
    </w:p>
    <w:p>
      <w:pPr>
        <w:pStyle w:val="F21"/>
        <w:spacing w:lineRule="atLeast" w:line="380"/>
        <w:rPr/>
      </w:pPr>
      <w:r>
        <w:rPr/>
      </w:r>
    </w:p>
    <w:p>
      <w:pPr>
        <w:pStyle w:val="F21"/>
        <w:spacing w:lineRule="atLeast" w:line="380"/>
        <w:rPr/>
      </w:pPr>
      <w:r>
        <w:rPr>
          <w:rFonts w:ascii="華康中黑體" w:hAnsi="華康中黑體" w:cs="華康中黑體" w:eastAsia="華康中黑體"/>
          <w:b/>
          <w:szCs w:val="27"/>
        </w:rPr>
        <w:t>梁繼昌議員</w:t>
      </w:r>
      <w:r>
        <w:rPr/>
        <w:t>：</w:t>
      </w:r>
      <w:r>
        <w:rPr>
          <w:i/>
        </w:rPr>
        <w:t>政府在主體答覆第</w:t>
      </w:r>
      <w:r>
        <w:rPr>
          <w:i/>
        </w:rPr>
        <w:t>(</w:t>
      </w:r>
      <w:r>
        <w:rPr>
          <w:i/>
        </w:rPr>
        <w:t>二</w:t>
      </w:r>
      <w:r>
        <w:rPr>
          <w:i/>
        </w:rPr>
        <w:t>)</w:t>
      </w:r>
      <w:r>
        <w:rPr>
          <w:i/>
        </w:rPr>
        <w:t>部分指出，實施停車熄匙法例主要是避免汽車引擎空轉時對附近的行人和店鋪人員造成空氣污染，以及減少熱氣和噪音滋擾。其實，停車熄匙的措施是應用了環境科學上的“污染熱點</w:t>
      </w:r>
      <w:r>
        <w:rPr>
          <w:i/>
        </w:rPr>
        <w:t>(pollution hotspot)”</w:t>
      </w:r>
      <w:r>
        <w:rPr>
          <w:i/>
        </w:rPr>
        <w:t>的概念，所以，請局長直接答覆我的質詢，就是有否在一些停車熄匙的黑點，或因為汽車逗留太長時間而引起廢氣污染較嚴重的地方</w:t>
      </w:r>
      <w:r>
        <w:rPr>
          <w:i/>
        </w:rPr>
        <w:t>(</w:t>
      </w:r>
      <w:r>
        <w:rPr>
          <w:i/>
        </w:rPr>
        <w:t>例如小巴站</w:t>
      </w:r>
      <w:r>
        <w:rPr>
          <w:i/>
        </w:rPr>
        <w:t>)</w:t>
      </w:r>
      <w:r>
        <w:rPr>
          <w:i/>
        </w:rPr>
        <w:t>，再行監察空氣質素，以評估條例對局部地區的空氣質素的影響；如果沒有，將來會否做評估？我相信，如果司機和市民看到這措施能帶來成效，即使只是在一個</w:t>
      </w:r>
      <w:r>
        <w:rPr>
          <w:i/>
        </w:rPr>
        <w:t>pollution hotspot</w:t>
      </w:r>
      <w:r>
        <w:rPr>
          <w:i/>
        </w:rPr>
        <w:t>有進步，也一定會更支持停車熄匙的執法。</w:t>
      </w:r>
    </w:p>
    <w:p>
      <w:pPr>
        <w:pStyle w:val="F21"/>
        <w:spacing w:lineRule="atLeast" w:line="380"/>
        <w:rPr/>
      </w:pPr>
      <w:r>
        <w:rPr/>
      </w:r>
    </w:p>
    <w:p>
      <w:pPr>
        <w:pStyle w:val="F21"/>
        <w:spacing w:lineRule="atLeast" w:line="380"/>
        <w:rPr/>
      </w:pPr>
      <w:r>
        <w:rPr/>
      </w:r>
    </w:p>
    <w:p>
      <w:pPr>
        <w:pStyle w:val="F21"/>
        <w:spacing w:lineRule="atLeast" w:line="380"/>
        <w:rPr/>
      </w:pPr>
      <w:r>
        <w:rPr>
          <w:rFonts w:ascii="華康中黑體" w:hAnsi="華康中黑體" w:cs="華康中黑體" w:eastAsia="華康中黑體"/>
          <w:b/>
          <w:szCs w:val="27"/>
        </w:rPr>
        <w:t>環境局局長</w:t>
      </w:r>
      <w:r>
        <w:rPr/>
        <w:t>：主席，多謝梁議員的補充質詢。我在主體答覆中已提到，如果要改善整體的空氣質素，包括路邊空氣質素，我們主要須針對的是整體車輛的數目，以及車輛排放的污染程度，包括我們最近淘汰的老舊柴油車等。這些是整體及主要的做法，是根據我們的空氣藍圖逐步落實的。</w:t>
      </w:r>
    </w:p>
    <w:p>
      <w:pPr>
        <w:pStyle w:val="F21"/>
        <w:spacing w:lineRule="atLeast" w:line="380"/>
        <w:rPr/>
      </w:pPr>
      <w:r>
        <w:rPr/>
      </w:r>
    </w:p>
    <w:p>
      <w:pPr>
        <w:pStyle w:val="F21"/>
        <w:spacing w:lineRule="atLeast" w:line="400"/>
        <w:rPr/>
      </w:pPr>
      <w:r>
        <w:rPr/>
        <w:tab/>
      </w:r>
      <w:r>
        <w:rPr/>
        <w:t>至於梁議員提及的事情，即如果有個別車輛在一些地方因為停車不熄匙而對局部地區造成污染的情況，我認為有很多不同的環境因素影響條例在這方面的成效，因此我們在這方面並沒有特別進行研究。但是，根據一些在黑點附近的市民的反映，實施停車熄匙規定是絕對有助減少那些黑點地方所遭受的滋擾。</w:t>
      </w:r>
    </w:p>
    <w:p>
      <w:pPr>
        <w:pStyle w:val="F21"/>
        <w:spacing w:lineRule="atLeast" w:line="400"/>
        <w:rPr/>
      </w:pPr>
      <w:r>
        <w:rPr/>
      </w:r>
    </w:p>
    <w:p>
      <w:pPr>
        <w:pStyle w:val="F21"/>
        <w:spacing w:lineRule="atLeast" w:line="400"/>
        <w:rPr/>
      </w:pPr>
      <w:r>
        <w:rPr/>
      </w:r>
    </w:p>
    <w:p>
      <w:pPr>
        <w:pStyle w:val="F21"/>
        <w:spacing w:lineRule="atLeast" w:line="400"/>
        <w:rPr/>
      </w:pPr>
      <w:r>
        <w:rPr>
          <w:rFonts w:ascii="華康中黑體" w:hAnsi="華康中黑體" w:cs="華康中黑體" w:eastAsia="華康中黑體"/>
          <w:b/>
          <w:szCs w:val="27"/>
        </w:rPr>
        <w:t>梁繼昌議員</w:t>
      </w:r>
      <w:r>
        <w:rPr/>
        <w:t>：</w:t>
      </w:r>
      <w:r>
        <w:rPr>
          <w:i/>
        </w:rPr>
        <w:t>局長沒有答覆我的補充質詢，因為我想要的是一些有關</w:t>
      </w:r>
      <w:r>
        <w:rPr>
          <w:i/>
        </w:rPr>
        <w:t>hotspot</w:t>
      </w:r>
      <w:r>
        <w:rPr>
          <w:i/>
        </w:rPr>
        <w:t>的數據，讓局長所推行的停車熄匙措施能更有效；如果局長不會收集數據，亦沒有數據告知市民或公眾，市民又怎會支持停車熄匙這措施呢？</w:t>
      </w:r>
    </w:p>
    <w:p>
      <w:pPr>
        <w:pStyle w:val="F21"/>
        <w:spacing w:lineRule="atLeast" w:line="400"/>
        <w:rPr/>
      </w:pPr>
      <w:r>
        <w:rPr/>
      </w:r>
    </w:p>
    <w:p>
      <w:pPr>
        <w:pStyle w:val="F21"/>
        <w:spacing w:lineRule="atLeast" w:line="400"/>
        <w:rPr/>
      </w:pPr>
      <w:r>
        <w:rPr/>
      </w:r>
    </w:p>
    <w:p>
      <w:pPr>
        <w:pStyle w:val="F21"/>
        <w:snapToGrid w:val="false"/>
        <w:spacing w:lineRule="atLeast" w:line="400"/>
        <w:ind w:left="851" w:hanging="851"/>
        <w:rPr/>
      </w:pPr>
      <w:r>
        <w:rPr>
          <w:rFonts w:ascii="華康中黑體" w:hAnsi="華康中黑體" w:eastAsia="華康中黑體"/>
          <w:b/>
        </w:rPr>
        <w:t>主席</w:t>
      </w:r>
      <w:r>
        <w:rPr>
          <w:rFonts w:ascii="華康中黑體" w:hAnsi="華康中黑體"/>
        </w:rPr>
        <w:t>：</w:t>
      </w:r>
      <w:r>
        <w:rPr/>
        <w:t>局長，會否收集梁議員所說的數據呢？</w:t>
      </w:r>
    </w:p>
    <w:p>
      <w:pPr>
        <w:pStyle w:val="F21"/>
        <w:spacing w:lineRule="atLeast" w:line="400"/>
        <w:rPr/>
      </w:pPr>
      <w:r>
        <w:rPr/>
      </w:r>
    </w:p>
    <w:p>
      <w:pPr>
        <w:pStyle w:val="F21"/>
        <w:spacing w:lineRule="atLeast" w:line="400"/>
        <w:rPr/>
      </w:pPr>
      <w:r>
        <w:rPr/>
      </w:r>
    </w:p>
    <w:p>
      <w:pPr>
        <w:pStyle w:val="F21"/>
        <w:spacing w:lineRule="atLeast" w:line="400"/>
        <w:rPr/>
      </w:pPr>
      <w:r>
        <w:rPr>
          <w:rFonts w:ascii="華康中黑體" w:hAnsi="華康中黑體" w:cs="華康中黑體" w:eastAsia="華康中黑體"/>
          <w:b/>
          <w:szCs w:val="27"/>
        </w:rPr>
        <w:t>環境局局長</w:t>
      </w:r>
      <w:r>
        <w:rPr/>
        <w:t>：主席，基本上我們認為香港一些不同的環境因素都會影響議員提及的問題，例如有些街道較為狹窄，有些街道的通風則較佳等，因此是有很多不同的環境因素的。但整體而言，我們收到市民的反映是，透過宣傳教育和檢控，停車熄匙是有效的，而市民的反應也是正面的。</w:t>
      </w:r>
    </w:p>
    <w:p>
      <w:pPr>
        <w:pStyle w:val="F21"/>
        <w:spacing w:lineRule="atLeast" w:line="400"/>
        <w:rPr/>
      </w:pPr>
      <w:r>
        <w:rPr/>
      </w:r>
    </w:p>
    <w:p>
      <w:pPr>
        <w:pStyle w:val="F21"/>
        <w:spacing w:lineRule="atLeast" w:line="400"/>
        <w:rPr/>
      </w:pPr>
      <w:r>
        <w:rPr/>
      </w:r>
    </w:p>
    <w:p>
      <w:pPr>
        <w:pStyle w:val="F21"/>
        <w:spacing w:lineRule="atLeast" w:line="400"/>
        <w:rPr/>
      </w:pPr>
      <w:r>
        <w:rPr>
          <w:rFonts w:ascii="華康中黑體" w:hAnsi="華康中黑體" w:cs="華康中黑體" w:eastAsia="華康中黑體"/>
          <w:b/>
          <w:szCs w:val="27"/>
        </w:rPr>
        <w:t>陳家洛議員</w:t>
      </w:r>
      <w:r>
        <w:rPr/>
        <w:t>：</w:t>
      </w:r>
      <w:r>
        <w:rPr>
          <w:i/>
        </w:rPr>
        <w:t>局長在主體答覆中載列了曾進行計時程序的空轉引擎車輛數目，以及發出定額罰款通知書的數目</w:t>
      </w:r>
      <w:r>
        <w:rPr>
          <w:i/>
        </w:rPr>
        <w:t>(</w:t>
      </w:r>
      <w:r>
        <w:rPr>
          <w:i/>
        </w:rPr>
        <w:t>即附表二和附表三</w:t>
      </w:r>
      <w:r>
        <w:rPr>
          <w:i/>
        </w:rPr>
        <w:t>)</w:t>
      </w:r>
      <w:r>
        <w:rPr>
          <w:i/>
        </w:rPr>
        <w:t xml:space="preserve">，而局長亦在主體答覆中特別提到，當中並沒有政府車輛。不過，我亦希望提醒局長和議員，其實條例對很多政府車輛 </w:t>
      </w:r>
      <w:r>
        <w:rPr>
          <w:rFonts w:ascii="Symbol" w:hAnsi="Symbol" w:cs="Symbol" w:eastAsia="Symbol"/>
          <w:i/>
        </w:rPr>
        <w:t></w:t>
      </w:r>
      <w:r>
        <w:rPr>
          <w:i/>
        </w:rPr>
        <w:t xml:space="preserve"> 涉及</w:t>
      </w:r>
      <w:r>
        <w:rPr>
          <w:i/>
        </w:rPr>
        <w:t>10</w:t>
      </w:r>
      <w:r>
        <w:rPr>
          <w:i/>
        </w:rPr>
        <w:t xml:space="preserve">多個政府部門，以至解放軍駐港部隊的車輛 </w:t>
      </w:r>
      <w:r>
        <w:rPr>
          <w:rFonts w:ascii="Symbol" w:hAnsi="Symbol" w:cs="Symbol" w:eastAsia="Symbol"/>
          <w:i/>
        </w:rPr>
        <w:t></w:t>
      </w:r>
      <w:r>
        <w:rPr>
          <w:i/>
        </w:rPr>
        <w:t xml:space="preserve"> 都有所豁免。所以，我的補充質詢是想請教局長，根據政府的統計數字，政府車隊內有多少百分比的政府車輛獲得豁免呢？</w:t>
      </w:r>
    </w:p>
    <w:p>
      <w:pPr>
        <w:pStyle w:val="F21"/>
        <w:spacing w:lineRule="atLeast" w:line="400"/>
        <w:rPr/>
      </w:pPr>
      <w:r>
        <w:rPr/>
      </w:r>
    </w:p>
    <w:p>
      <w:pPr>
        <w:pStyle w:val="F21"/>
        <w:spacing w:lineRule="atLeast" w:line="400"/>
        <w:rPr/>
      </w:pPr>
      <w:r>
        <w:rPr/>
      </w:r>
    </w:p>
    <w:p>
      <w:pPr>
        <w:pStyle w:val="F21"/>
        <w:spacing w:lineRule="atLeast" w:line="390"/>
        <w:rPr/>
      </w:pPr>
      <w:r>
        <w:rPr>
          <w:rFonts w:ascii="華康中黑體" w:hAnsi="華康中黑體" w:cs="華康中黑體" w:eastAsia="華康中黑體"/>
          <w:b/>
          <w:szCs w:val="27"/>
        </w:rPr>
        <w:t>環境局局長</w:t>
      </w:r>
      <w:r>
        <w:rPr/>
        <w:t>：主席，多謝議員的補充質詢。基本上，獲得豁免的車輛主要是因為要照顧一些特殊的社會需要。提出豁免申請的，主要是向行動不便或智障人士提供服務的車輛，很多時都是一些與社會福利、醫療服務或流動診所等相關的機構的車輛提出豁免申請，很多豁免申請都是這類非牟利組織提出的，東華三院便是其中一個例子。</w:t>
      </w:r>
    </w:p>
    <w:p>
      <w:pPr>
        <w:pStyle w:val="F21"/>
        <w:spacing w:lineRule="atLeast" w:line="390"/>
        <w:rPr/>
      </w:pPr>
      <w:r>
        <w:rPr/>
      </w:r>
    </w:p>
    <w:p>
      <w:pPr>
        <w:pStyle w:val="F21"/>
        <w:spacing w:lineRule="atLeast" w:line="390"/>
        <w:rPr>
          <w:szCs w:val="27"/>
        </w:rPr>
      </w:pPr>
      <w:r>
        <w:rPr/>
        <w:tab/>
      </w:r>
      <w:r>
        <w:rPr/>
        <w:t>至於政府車輛例如救護車等，或會因應其實際工作的情況，而在運作上需要停車不熄匙。</w:t>
      </w:r>
      <w:r>
        <w:rPr>
          <w:szCs w:val="27"/>
        </w:rPr>
        <w:t>但是，我們的數據顯示，一些機構的車輛要申請豁免是有既定程序須依循的，而提出申請的主要是一些非政府組織的車輛，當中有</w:t>
      </w:r>
      <w:r>
        <w:rPr>
          <w:szCs w:val="27"/>
        </w:rPr>
        <w:t>13</w:t>
      </w:r>
      <w:r>
        <w:rPr>
          <w:szCs w:val="27"/>
        </w:rPr>
        <w:t>個機構合共</w:t>
      </w:r>
      <w:r>
        <w:rPr>
          <w:szCs w:val="27"/>
        </w:rPr>
        <w:t>263</w:t>
      </w:r>
      <w:r>
        <w:rPr>
          <w:szCs w:val="27"/>
        </w:rPr>
        <w:t>輛汽車獲得政府的豁免。</w:t>
      </w:r>
    </w:p>
    <w:p>
      <w:pPr>
        <w:pStyle w:val="F21"/>
        <w:spacing w:lineRule="atLeast" w:line="390"/>
        <w:rPr>
          <w:szCs w:val="27"/>
        </w:rPr>
      </w:pPr>
      <w:r>
        <w:rPr>
          <w:szCs w:val="27"/>
        </w:rPr>
      </w:r>
    </w:p>
    <w:p>
      <w:pPr>
        <w:pStyle w:val="F21"/>
        <w:spacing w:lineRule="atLeast" w:line="390"/>
        <w:rPr>
          <w:szCs w:val="27"/>
        </w:rPr>
      </w:pPr>
      <w:r>
        <w:rPr>
          <w:szCs w:val="27"/>
        </w:rPr>
      </w:r>
    </w:p>
    <w:p>
      <w:pPr>
        <w:pStyle w:val="F21"/>
        <w:spacing w:lineRule="atLeast" w:line="390"/>
        <w:rPr>
          <w:i/>
          <w:i/>
          <w:spacing w:val="22"/>
          <w:szCs w:val="27"/>
        </w:rPr>
      </w:pPr>
      <w:r>
        <w:rPr>
          <w:rFonts w:eastAsia="華康中黑體"/>
          <w:b/>
          <w:spacing w:val="22"/>
          <w:szCs w:val="27"/>
        </w:rPr>
        <w:t>范國威議員</w:t>
      </w:r>
      <w:r>
        <w:rPr>
          <w:spacing w:val="22"/>
          <w:szCs w:val="27"/>
        </w:rPr>
        <w:t>︰</w:t>
      </w:r>
      <w:r>
        <w:rPr>
          <w:i/>
          <w:spacing w:val="22"/>
          <w:szCs w:val="27"/>
        </w:rPr>
        <w:t>主席，局長剛才答覆主體質詢的第</w:t>
      </w:r>
      <w:r>
        <w:rPr>
          <w:i/>
          <w:spacing w:val="22"/>
          <w:szCs w:val="27"/>
        </w:rPr>
        <w:t>(</w:t>
      </w:r>
      <w:r>
        <w:rPr>
          <w:i/>
          <w:spacing w:val="22"/>
          <w:szCs w:val="27"/>
        </w:rPr>
        <w:t>二</w:t>
      </w:r>
      <w:r>
        <w:rPr>
          <w:i/>
          <w:spacing w:val="22"/>
          <w:szCs w:val="27"/>
        </w:rPr>
        <w:t>)</w:t>
      </w:r>
      <w:r>
        <w:rPr>
          <w:i/>
          <w:spacing w:val="22"/>
          <w:szCs w:val="27"/>
        </w:rPr>
        <w:t>部分時，指出當局在發現黑點時有甚麼可以做。然而，我看到局長的主體答覆所提到的只是獨步單方、“獨沽一味”，就是加強留意和繼續進行宣傳暨執法行動。主席，我非常關注為何部分黑點經過一段長時間仍不能根治或解決問題。我的補充質詢想問局長的是，有否特別觀察到附近周遭有何特別的情況導致這些黑點長期存在，例如有否校巴或接載自由行旅客的旅遊巴士等候乘客，從而可以找出一些對症下藥的方法呢？</w:t>
      </w:r>
    </w:p>
    <w:p>
      <w:pPr>
        <w:pStyle w:val="F21"/>
        <w:spacing w:lineRule="atLeast" w:line="390"/>
        <w:rPr>
          <w:i/>
          <w:i/>
          <w:szCs w:val="27"/>
        </w:rPr>
      </w:pPr>
      <w:r>
        <w:rPr>
          <w:i/>
          <w:szCs w:val="27"/>
        </w:rPr>
      </w:r>
    </w:p>
    <w:p>
      <w:pPr>
        <w:pStyle w:val="F21"/>
        <w:spacing w:lineRule="atLeast" w:line="390"/>
        <w:rPr>
          <w:i/>
          <w:i/>
          <w:szCs w:val="27"/>
        </w:rPr>
      </w:pPr>
      <w:r>
        <w:rPr>
          <w:i/>
          <w:szCs w:val="27"/>
        </w:rPr>
      </w:r>
    </w:p>
    <w:p>
      <w:pPr>
        <w:pStyle w:val="F21"/>
        <w:spacing w:lineRule="atLeast" w:line="390"/>
        <w:rPr>
          <w:spacing w:val="22"/>
          <w:szCs w:val="27"/>
        </w:rPr>
      </w:pPr>
      <w:r>
        <w:rPr>
          <w:rFonts w:eastAsia="華康中黑體"/>
          <w:b/>
          <w:spacing w:val="22"/>
          <w:szCs w:val="27"/>
        </w:rPr>
        <w:t>環境局局長</w:t>
      </w:r>
      <w:r>
        <w:rPr>
          <w:spacing w:val="22"/>
          <w:szCs w:val="27"/>
        </w:rPr>
        <w:t>︰主席，感謝范議員的補充質詢。就范議員的補充質詢，我手上未必有資料能對應他所問及的事宜。不過，我可以告訴大家，我們的做法是定期就這些黑點作檢討，所以這些黑點是在不同地方、不同時候出現，並沒有一個黑點是特別長期存在的；當然，有數個區是有較多的黑點。整體來說，從附表三可以看到，被計時的車輛數目相對比較多，涉及的車輛都是以私家車為主，當然亦有其他輕型貨車或一些非專利巴士，但綜觀數據，涉及的車輛仍是以私家車為主。</w:t>
      </w:r>
    </w:p>
    <w:p>
      <w:pPr>
        <w:pStyle w:val="F21"/>
        <w:spacing w:lineRule="atLeast" w:line="390"/>
        <w:rPr>
          <w:szCs w:val="27"/>
        </w:rPr>
      </w:pPr>
      <w:r>
        <w:rPr>
          <w:szCs w:val="27"/>
        </w:rPr>
      </w:r>
    </w:p>
    <w:p>
      <w:pPr>
        <w:pStyle w:val="F21"/>
        <w:spacing w:lineRule="atLeast" w:line="390"/>
        <w:rPr>
          <w:szCs w:val="27"/>
        </w:rPr>
      </w:pPr>
      <w:r>
        <w:rPr>
          <w:szCs w:val="27"/>
        </w:rPr>
      </w:r>
    </w:p>
    <w:p>
      <w:pPr>
        <w:pStyle w:val="F21"/>
        <w:spacing w:lineRule="atLeast" w:line="390"/>
        <w:rPr>
          <w:i/>
          <w:i/>
          <w:spacing w:val="22"/>
          <w:szCs w:val="27"/>
        </w:rPr>
      </w:pPr>
      <w:r>
        <w:rPr>
          <w:rFonts w:eastAsia="華康中黑體"/>
          <w:b/>
          <w:spacing w:val="22"/>
          <w:szCs w:val="27"/>
        </w:rPr>
        <w:t>胡志偉議員</w:t>
      </w:r>
      <w:r>
        <w:rPr>
          <w:spacing w:val="22"/>
          <w:szCs w:val="27"/>
        </w:rPr>
        <w:t>︰</w:t>
      </w:r>
      <w:r>
        <w:rPr>
          <w:i/>
          <w:spacing w:val="22"/>
          <w:szCs w:val="27"/>
        </w:rPr>
        <w:t>主席，實施停車熄匙的目的是希望能夠改善空氣質素。我想知道局方會否就私家車數目增加所招致的空氣污染情況作出一些研究和檢討，以及有否考慮制訂政策以控制私家車數目的增長。</w:t>
      </w:r>
      <w:r>
        <w:br w:type="page"/>
      </w:r>
    </w:p>
    <w:p>
      <w:pPr>
        <w:pStyle w:val="F21"/>
        <w:spacing w:lineRule="atLeast" w:line="380"/>
        <w:rPr>
          <w:spacing w:val="22"/>
          <w:szCs w:val="27"/>
        </w:rPr>
      </w:pPr>
      <w:r>
        <w:rPr>
          <w:rFonts w:eastAsia="華康中黑體"/>
          <w:b/>
          <w:spacing w:val="22"/>
          <w:szCs w:val="27"/>
        </w:rPr>
        <w:t>環境局局長</w:t>
      </w:r>
      <w:r>
        <w:rPr>
          <w:spacing w:val="22"/>
          <w:szCs w:val="27"/>
        </w:rPr>
        <w:t>︰主席，感謝胡議員的補充質詢。儘管從主體答覆</w:t>
      </w:r>
      <w:r>
        <w:rPr>
          <w:spacing w:val="22"/>
          <w:szCs w:val="27"/>
        </w:rPr>
        <w:t>(</w:t>
      </w:r>
      <w:r>
        <w:rPr>
          <w:spacing w:val="22"/>
          <w:szCs w:val="27"/>
        </w:rPr>
        <w:t>例如附表三</w:t>
      </w:r>
      <w:r>
        <w:rPr>
          <w:spacing w:val="22"/>
          <w:szCs w:val="27"/>
        </w:rPr>
        <w:t>)</w:t>
      </w:r>
      <w:r>
        <w:rPr>
          <w:spacing w:val="22"/>
          <w:szCs w:val="27"/>
        </w:rPr>
        <w:t>可看到，整體來說，私家車被計時的數量略為偏多，但看回香港車輛的比例，私家車違反這項條例的比例未必是偏高，違例車輛反而是以一些商業車輛為主。然而，我認為議員提出的是一項更廣闊的補充質詢，就是整體而言，在香港眾多排放廢氣的車輛中，私家車所佔的比例為何。近年私家車的整體數量無疑有上升的趨勢，但看回主要空氣污染排放物的數字，私家車並非最主要的排放源。最近的數據已經指出，主要是柴油商業車排出了各種主要排放物，包括粒子、氮氧化物等，所以淘汰老舊柴油車便成為主要的政策。雖然私家車的數量整體來說是多的，但其整體里數和排放的標準也有不同，所以並非現時影響空氣質素的最大源頭，我想議員需要明白這方面的背景。</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eastAsia="華康中黑體"/>
          <w:b/>
          <w:szCs w:val="27"/>
        </w:rPr>
        <w:t>胡志偉議員</w:t>
      </w:r>
      <w:r>
        <w:rPr>
          <w:szCs w:val="27"/>
        </w:rPr>
        <w:t>︰</w:t>
      </w:r>
      <w:r>
        <w:rPr>
          <w:i/>
          <w:szCs w:val="27"/>
        </w:rPr>
        <w:t>主席</w:t>
      </w:r>
      <w:r>
        <w:rPr>
          <w:i/>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pPr>
      <w:r>
        <w:rPr>
          <w:rFonts w:ascii="華康中黑體" w:hAnsi="華康中黑體" w:eastAsia="華康中黑體"/>
          <w:b/>
        </w:rPr>
        <w:t>主席</w:t>
      </w:r>
      <w:r>
        <w:rPr>
          <w:rFonts w:ascii="華康中黑體" w:hAnsi="華康中黑體"/>
        </w:rPr>
        <w:t>：</w:t>
      </w:r>
      <w:r>
        <w:rPr/>
        <w:t>你的補充質詢是否未獲答覆？</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eastAsia="華康中黑體"/>
          <w:b/>
          <w:szCs w:val="27"/>
        </w:rPr>
        <w:t>胡志偉議員</w:t>
      </w:r>
      <w:r>
        <w:rPr>
          <w:szCs w:val="27"/>
        </w:rPr>
        <w:t>︰</w:t>
      </w:r>
      <w:r>
        <w:rPr>
          <w:i/>
          <w:szCs w:val="27"/>
        </w:rPr>
        <w:t>我只想問局長有否進行一些研究以提供基本資料，說明例如私家車的增長對空氣質素有何影響等問題。我想問局長有否進行這方面的研究。</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pacing w:lineRule="atLeast" w:line="380"/>
        <w:rPr>
          <w:spacing w:val="22"/>
          <w:szCs w:val="27"/>
        </w:rPr>
      </w:pPr>
      <w:r>
        <w:rPr>
          <w:rFonts w:eastAsia="華康中黑體"/>
          <w:b/>
          <w:spacing w:val="22"/>
          <w:szCs w:val="27"/>
        </w:rPr>
        <w:t>環境局局長</w:t>
      </w:r>
      <w:r>
        <w:rPr>
          <w:spacing w:val="22"/>
          <w:szCs w:val="27"/>
        </w:rPr>
        <w:t>︰主席，感謝議員的跟進質詢。基本上，我們一直有定期收集香港各方面的污染數據，當中亦包括了各種車輛歷年的數目，以便我們可以作出相關的分析。不過，我想強調的是，如果針對香港的空氣污染</w:t>
      </w:r>
      <w:r>
        <w:rPr>
          <w:spacing w:val="22"/>
          <w:szCs w:val="27"/>
        </w:rPr>
        <w:t>(</w:t>
      </w:r>
      <w:r>
        <w:rPr>
          <w:spacing w:val="22"/>
          <w:szCs w:val="27"/>
        </w:rPr>
        <w:t>包括路邊空氣污染</w:t>
      </w:r>
      <w:r>
        <w:rPr>
          <w:spacing w:val="22"/>
          <w:szCs w:val="27"/>
        </w:rPr>
        <w:t>)</w:t>
      </w:r>
      <w:r>
        <w:rPr>
          <w:spacing w:val="22"/>
          <w:szCs w:val="27"/>
        </w:rPr>
        <w:t>問題而言，柴油商業車、巴士、小巴、的士在造成污染的因素中佔了極大的比例；相對來說，私家車當然可以有各方面的改善空間，但這絕對不是一個主要的因素。所以，如果說要進行詳細的分析，我們過去的數據也可以提供一些客觀的資料。不過，我想再強調的是，商業車才是路邊空氣污染的主要原因。</w:t>
      </w:r>
    </w:p>
    <w:p>
      <w:pPr>
        <w:pStyle w:val="F21"/>
        <w:spacing w:lineRule="atLeast" w:line="380"/>
        <w:rPr>
          <w:spacing w:val="22"/>
          <w:szCs w:val="27"/>
        </w:rPr>
      </w:pPr>
      <w:r>
        <w:rPr>
          <w:spacing w:val="22"/>
          <w:szCs w:val="27"/>
        </w:rPr>
      </w:r>
    </w:p>
    <w:p>
      <w:pPr>
        <w:pStyle w:val="F21"/>
        <w:spacing w:lineRule="atLeast" w:line="380"/>
        <w:rPr>
          <w:szCs w:val="27"/>
        </w:rPr>
      </w:pPr>
      <w:r>
        <w:rPr>
          <w:szCs w:val="27"/>
        </w:rPr>
      </w:r>
    </w:p>
    <w:p>
      <w:pPr>
        <w:pStyle w:val="F21"/>
        <w:spacing w:lineRule="atLeast" w:line="380"/>
        <w:rPr/>
      </w:pPr>
      <w:r>
        <w:rPr>
          <w:rFonts w:ascii="華康細明體" w:hAnsi="華康細明體" w:eastAsia="華康中黑體"/>
          <w:b/>
          <w:szCs w:val="27"/>
        </w:rPr>
        <w:t>謝偉俊</w:t>
      </w:r>
      <w:r>
        <w:rPr>
          <w:rFonts w:eastAsia="華康中黑體"/>
          <w:b/>
          <w:szCs w:val="27"/>
        </w:rPr>
        <w:t>議員</w:t>
      </w:r>
      <w:r>
        <w:rPr>
          <w:szCs w:val="27"/>
        </w:rPr>
        <w:t>︰</w:t>
      </w:r>
      <w:r>
        <w:rPr>
          <w:i/>
          <w:szCs w:val="27"/>
        </w:rPr>
        <w:t>主席，局長的主體答覆指出，為了配合條例的執法工作，警務處增設了</w:t>
      </w:r>
      <w:r>
        <w:rPr>
          <w:i/>
          <w:szCs w:val="27"/>
        </w:rPr>
        <w:t>18</w:t>
      </w:r>
      <w:r>
        <w:rPr>
          <w:i/>
          <w:szCs w:val="27"/>
        </w:rPr>
        <w:t>個交通督導員職位，同時還有不少其他的督導員或環境保護督察亦獲授權執法。然而，儘管條例迄今已實施了大約</w:t>
      </w:r>
      <w:r>
        <w:rPr>
          <w:i/>
          <w:szCs w:val="27"/>
        </w:rPr>
        <w:t>23</w:t>
      </w:r>
      <w:r>
        <w:rPr>
          <w:i/>
          <w:szCs w:val="27"/>
        </w:rPr>
        <w:t>至</w:t>
      </w:r>
      <w:r>
        <w:rPr>
          <w:i/>
          <w:szCs w:val="27"/>
        </w:rPr>
        <w:t>24</w:t>
      </w:r>
      <w:r>
        <w:rPr>
          <w:i/>
          <w:szCs w:val="27"/>
        </w:rPr>
        <w:t>個月，但所謂計時的程序每月平均只有大約</w:t>
      </w:r>
      <w:r>
        <w:rPr>
          <w:i/>
          <w:szCs w:val="27"/>
        </w:rPr>
        <w:t>133</w:t>
      </w:r>
      <w:r>
        <w:rPr>
          <w:i/>
          <w:szCs w:val="27"/>
        </w:rPr>
        <w:t>宗，而檢控則只有大約</w:t>
      </w:r>
      <w:r>
        <w:rPr>
          <w:i/>
          <w:szCs w:val="27"/>
        </w:rPr>
        <w:t>3.7</w:t>
      </w:r>
      <w:r>
        <w:rPr>
          <w:i/>
          <w:szCs w:val="27"/>
        </w:rPr>
        <w:t>宗。此外，按照局長的說法，這些行動對於改善整體的空氣質素，其實不會十分明顯。在這種情況下，整件事會否好像很“大龍鳳”，對改善香港的空氣質素其實沒有太大幫助，但在執法方面所動用的資源卻不少。看回主體答覆，在</w:t>
      </w:r>
      <w:r>
        <w:rPr>
          <w:i/>
          <w:szCs w:val="27"/>
        </w:rPr>
        <w:t>3</w:t>
      </w:r>
      <w:r>
        <w:rPr>
          <w:i/>
          <w:szCs w:val="27"/>
        </w:rPr>
        <w:t>個月內有兩次以上的投訴已經算是黑點。這只是小事而已，但也當作是一項成績。請問局長，當局在這方面的整套措施是否真的有點“雷聲大，雨點小”呢？</w:t>
      </w:r>
    </w:p>
    <w:p>
      <w:pPr>
        <w:pStyle w:val="F21"/>
        <w:spacing w:lineRule="atLeast" w:line="380"/>
        <w:rPr>
          <w:i/>
          <w:i/>
          <w:szCs w:val="27"/>
        </w:rPr>
      </w:pPr>
      <w:r>
        <w:rPr>
          <w:i/>
          <w:szCs w:val="27"/>
        </w:rPr>
      </w:r>
    </w:p>
    <w:p>
      <w:pPr>
        <w:pStyle w:val="F21"/>
        <w:spacing w:lineRule="atLeast" w:line="380"/>
        <w:rPr>
          <w:i/>
          <w:i/>
          <w:szCs w:val="27"/>
        </w:rPr>
      </w:pPr>
      <w:r>
        <w:rPr>
          <w:i/>
          <w:szCs w:val="27"/>
        </w:rPr>
      </w:r>
    </w:p>
    <w:p>
      <w:pPr>
        <w:pStyle w:val="F21"/>
        <w:spacing w:lineRule="atLeast" w:line="380"/>
        <w:rPr>
          <w:szCs w:val="27"/>
        </w:rPr>
      </w:pPr>
      <w:r>
        <w:rPr>
          <w:rFonts w:ascii="華康中黑體" w:hAnsi="華康中黑體" w:cs="華康中黑體" w:eastAsia="華康中黑體"/>
          <w:b/>
          <w:szCs w:val="27"/>
        </w:rPr>
        <w:t>環境局局長</w:t>
      </w:r>
      <w:r>
        <w:rPr>
          <w:szCs w:val="27"/>
        </w:rPr>
        <w:t>：主席，多謝謝議員的補充質詢。這項法例當年是為了回應社會的訴求而制定，而且法案當時都是經過議會詳細討論的。我想我可以這樣回答議員的質詢：如果停車不熄匙，很多時候，即使我們經過行人路，也會覺得是一種滋擾，包括在該地點所造成的空氣污染、噪音及熱力問題等，特別在夏天為然。這些都是在高密度的城市環境中，我們應該要處理的問題。</w:t>
      </w:r>
    </w:p>
    <w:p>
      <w:pPr>
        <w:pStyle w:val="F21"/>
        <w:spacing w:lineRule="atLeast" w:line="380"/>
        <w:rPr>
          <w:szCs w:val="27"/>
        </w:rPr>
      </w:pPr>
      <w:r>
        <w:rPr>
          <w:szCs w:val="27"/>
        </w:rPr>
      </w:r>
    </w:p>
    <w:p>
      <w:pPr>
        <w:pStyle w:val="F21"/>
        <w:spacing w:lineRule="atLeast" w:line="380"/>
        <w:rPr>
          <w:szCs w:val="27"/>
        </w:rPr>
      </w:pPr>
      <w:r>
        <w:rPr>
          <w:szCs w:val="27"/>
        </w:rPr>
        <w:tab/>
      </w:r>
      <w:r>
        <w:rPr>
          <w:szCs w:val="27"/>
        </w:rPr>
        <w:t>當然，我們的同事除了進行這方面的檢控工作外，還有其他工作要處理。但整體而言，對於這項推行了大約兩年的制度，我們認為能夠回應社會的訴求。大家可看回一些投訴數字，例如在</w:t>
      </w:r>
      <w:r>
        <w:rPr>
          <w:szCs w:val="27"/>
        </w:rPr>
        <w:t>2012</w:t>
      </w:r>
      <w:r>
        <w:rPr>
          <w:szCs w:val="27"/>
        </w:rPr>
        <w:t>年，整體的投訴數字是</w:t>
      </w:r>
      <w:r>
        <w:rPr>
          <w:szCs w:val="27"/>
        </w:rPr>
        <w:t>1 802</w:t>
      </w:r>
      <w:r>
        <w:rPr>
          <w:szCs w:val="27"/>
        </w:rPr>
        <w:t>宗，而截至今年</w:t>
      </w:r>
      <w:r>
        <w:rPr>
          <w:szCs w:val="27"/>
        </w:rPr>
        <w:t>11</w:t>
      </w:r>
      <w:r>
        <w:rPr>
          <w:szCs w:val="27"/>
        </w:rPr>
        <w:t>月底的數字則是大約</w:t>
      </w:r>
      <w:r>
        <w:rPr>
          <w:szCs w:val="27"/>
        </w:rPr>
        <w:t>1 000</w:t>
      </w:r>
      <w:r>
        <w:rPr>
          <w:szCs w:val="27"/>
        </w:rPr>
        <w:t>宗。換言之，投訴數字減少了四成。由此亦可看到，相關的違例個案數字有一個相當大比例的下降，有助改善香港整體的環境質素。在香港這種高密度的環境，路邊的車輛如果停車不熄匙的話，在某些季節，對行人以至行人路旁店鋪的從業員等都會造成各方面的環境滋擾。所以，由立例至現時所取得的成效，其實已實踐了當時的理念。</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i/>
          <w:i/>
          <w:szCs w:val="27"/>
        </w:rPr>
      </w:pPr>
      <w:r>
        <w:rPr>
          <w:rFonts w:ascii="華康中黑體" w:hAnsi="華康中黑體" w:eastAsia="華康中黑體"/>
          <w:b/>
          <w:szCs w:val="27"/>
        </w:rPr>
        <w:t>陳家洛議員</w:t>
      </w:r>
      <w:r>
        <w:rPr>
          <w:szCs w:val="27"/>
        </w:rPr>
        <w:t>：</w:t>
      </w:r>
      <w:r>
        <w:rPr>
          <w:i/>
          <w:szCs w:val="27"/>
        </w:rPr>
        <w:t>主席，局長剛才答覆我的補充質詢時提出了一項資料，就是有部分車輛因為需要提供某些服務而要向政府申請豁免。但是，局長似乎沒有聽清楚我的補充質詢，我想問的是，政府車隊中獲條例豁免的車輛所佔的百分比是多少？如果局長手邊沒有這個數字也不要緊，可以在會後補充。</w:t>
      </w:r>
      <w:r>
        <w:br w:type="page"/>
      </w:r>
    </w:p>
    <w:p>
      <w:pPr>
        <w:pStyle w:val="F21"/>
        <w:spacing w:lineRule="atLeast" w:line="370"/>
        <w:rPr>
          <w:szCs w:val="27"/>
        </w:rPr>
      </w:pPr>
      <w:r>
        <w:rPr>
          <w:rFonts w:ascii="華康中黑體" w:hAnsi="華康中黑體" w:cs="華康中黑體" w:eastAsia="華康中黑體"/>
          <w:b/>
          <w:szCs w:val="27"/>
        </w:rPr>
        <w:t>環境局局長</w:t>
      </w:r>
      <w:r>
        <w:rPr>
          <w:szCs w:val="27"/>
        </w:rPr>
        <w:t>：主席，多謝陳議員的補充質詢，我們可以跟進，稍後會補充資料。</w:t>
      </w:r>
      <w:r>
        <w:rPr>
          <w:szCs w:val="27"/>
        </w:rPr>
        <w:t>(</w:t>
      </w:r>
      <w:hyperlink w:anchor="app_II">
        <w:r>
          <w:rPr/>
          <w:t>附錄</w:t>
        </w:r>
        <w:r>
          <w:rPr/>
          <w:t>II</w:t>
        </w:r>
      </w:hyperlink>
      <w:r>
        <w:rPr>
          <w:szCs w:val="27"/>
        </w:rPr>
        <w:t>)</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pacing w:val="22"/>
          <w:szCs w:val="27"/>
        </w:rPr>
      </w:pPr>
      <w:r>
        <w:rPr>
          <w:rFonts w:ascii="華康中黑體" w:hAnsi="華康中黑體" w:eastAsia="華康中黑體"/>
          <w:b/>
          <w:spacing w:val="22"/>
          <w:szCs w:val="27"/>
        </w:rPr>
        <w:t>謝偉俊議員</w:t>
      </w:r>
      <w:r>
        <w:rPr>
          <w:spacing w:val="22"/>
          <w:szCs w:val="27"/>
        </w:rPr>
        <w:t>：</w:t>
      </w:r>
      <w:r>
        <w:rPr>
          <w:i/>
          <w:spacing w:val="22"/>
          <w:szCs w:val="27"/>
        </w:rPr>
        <w:t>主席，關注個別人士免受滋擾固然重要，但更重要的是，我們動用這麼多資源是希望可以改善空氣質素，造成立竿見影的效果。然而，看回今次的主體答覆，這方面的成效似乎真的未能彰顯。</w:t>
      </w:r>
    </w:p>
    <w:p>
      <w:pPr>
        <w:pStyle w:val="F21"/>
        <w:spacing w:lineRule="atLeast" w:line="370"/>
        <w:rPr>
          <w:i/>
          <w:i/>
          <w:szCs w:val="27"/>
        </w:rPr>
      </w:pPr>
      <w:r>
        <w:rPr>
          <w:i/>
          <w:szCs w:val="27"/>
        </w:rPr>
      </w:r>
    </w:p>
    <w:p>
      <w:pPr>
        <w:pStyle w:val="F21"/>
        <w:spacing w:lineRule="atLeast" w:line="370"/>
        <w:rPr>
          <w:i/>
          <w:i/>
          <w:szCs w:val="27"/>
        </w:rPr>
      </w:pPr>
      <w:r>
        <w:rPr>
          <w:i/>
          <w:szCs w:val="27"/>
        </w:rPr>
        <w:tab/>
      </w:r>
      <w:r>
        <w:rPr>
          <w:i/>
          <w:szCs w:val="27"/>
        </w:rPr>
        <w:t>請問局長，當局會否在適當的時候作出全面檢討，研究這項停車熄匙措施是否真的物有所值呢？</w:t>
      </w:r>
    </w:p>
    <w:p>
      <w:pPr>
        <w:pStyle w:val="F21"/>
        <w:spacing w:lineRule="atLeast" w:line="370"/>
        <w:rPr>
          <w:i/>
          <w:i/>
          <w:szCs w:val="27"/>
        </w:rPr>
      </w:pPr>
      <w:r>
        <w:rPr>
          <w:i/>
          <w:szCs w:val="27"/>
        </w:rPr>
      </w:r>
    </w:p>
    <w:p>
      <w:pPr>
        <w:pStyle w:val="F21"/>
        <w:spacing w:lineRule="atLeast" w:line="370"/>
        <w:rPr>
          <w:i/>
          <w:i/>
          <w:szCs w:val="27"/>
        </w:rPr>
      </w:pPr>
      <w:r>
        <w:rPr>
          <w:i/>
          <w:szCs w:val="27"/>
        </w:rPr>
      </w:r>
    </w:p>
    <w:p>
      <w:pPr>
        <w:pStyle w:val="F21"/>
        <w:spacing w:lineRule="atLeast" w:line="370"/>
        <w:rPr>
          <w:szCs w:val="27"/>
        </w:rPr>
      </w:pPr>
      <w:r>
        <w:rPr>
          <w:rFonts w:ascii="華康中黑體" w:hAnsi="華康中黑體" w:cs="華康中黑體" w:eastAsia="華康中黑體"/>
          <w:b/>
          <w:szCs w:val="27"/>
        </w:rPr>
        <w:t>環境局局長</w:t>
      </w:r>
      <w:r>
        <w:rPr>
          <w:szCs w:val="27"/>
        </w:rPr>
        <w:t>：主席，多謝謝議員的補充質詢。大家都關心香港的整體空氣質素，特別是路邊空氣的質素，所以我們在今年</w:t>
      </w:r>
      <w:r>
        <w:rPr>
          <w:szCs w:val="27"/>
        </w:rPr>
        <w:t>3</w:t>
      </w:r>
      <w:r>
        <w:rPr>
          <w:szCs w:val="27"/>
        </w:rPr>
        <w:t>月推出了整全的藍圖來對應這方面的問題，指出哪些是最有效及最重點的方法，包括淘汰老舊柴油車。</w:t>
      </w:r>
    </w:p>
    <w:p>
      <w:pPr>
        <w:pStyle w:val="F21"/>
        <w:spacing w:lineRule="atLeast" w:line="370"/>
        <w:rPr>
          <w:szCs w:val="27"/>
        </w:rPr>
      </w:pPr>
      <w:r>
        <w:rPr>
          <w:szCs w:val="27"/>
        </w:rPr>
      </w:r>
    </w:p>
    <w:p>
      <w:pPr>
        <w:pStyle w:val="F21"/>
        <w:spacing w:lineRule="atLeast" w:line="370"/>
        <w:rPr>
          <w:spacing w:val="22"/>
          <w:szCs w:val="27"/>
        </w:rPr>
      </w:pPr>
      <w:r>
        <w:rPr>
          <w:spacing w:val="22"/>
          <w:szCs w:val="27"/>
        </w:rPr>
        <w:tab/>
      </w:r>
      <w:r>
        <w:rPr>
          <w:spacing w:val="22"/>
          <w:szCs w:val="27"/>
        </w:rPr>
        <w:t>回應議員所提質詢，其實我剛才已經說過，這些停車不熄匙的車輛主要是對環境造成影響，除了影響空氣質素外，還在其所處的地點對附近及各方面造成滋擾，因而受到社會關注，而當局亦因此制定了這項法例。我明白議員的意思，我們現時每年都有跟進的數據，用以分析各方面的成效，並在適當的時候就各方面作出檢討。</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i/>
          <w:i/>
          <w:szCs w:val="27"/>
        </w:rPr>
      </w:pPr>
      <w:r>
        <w:rPr>
          <w:rFonts w:ascii="華康中黑體" w:hAnsi="華康中黑體" w:eastAsia="華康中黑體"/>
          <w:b/>
          <w:szCs w:val="27"/>
        </w:rPr>
        <w:t>謝偉俊議員</w:t>
      </w:r>
      <w:r>
        <w:rPr>
          <w:szCs w:val="27"/>
        </w:rPr>
        <w:t>：</w:t>
      </w:r>
      <w:r>
        <w:rPr>
          <w:i/>
          <w:szCs w:val="27"/>
        </w:rPr>
        <w:t>會否或甚麼時間</w:t>
      </w:r>
      <w:r>
        <w:rPr>
          <w:i/>
          <w:szCs w:val="27"/>
        </w:rPr>
        <w:t>......</w:t>
      </w:r>
      <w:r>
        <w:rPr>
          <w:i/>
          <w:szCs w:val="27"/>
        </w:rPr>
        <w:t>當局會否定期作出檢討，還是這樣便算？</w:t>
      </w:r>
    </w:p>
    <w:p>
      <w:pPr>
        <w:pStyle w:val="F21"/>
        <w:spacing w:lineRule="atLeast" w:line="370"/>
        <w:rPr>
          <w:i/>
          <w:i/>
          <w:szCs w:val="27"/>
        </w:rPr>
      </w:pPr>
      <w:r>
        <w:rPr>
          <w:i/>
          <w:szCs w:val="27"/>
        </w:rPr>
      </w:r>
    </w:p>
    <w:p>
      <w:pPr>
        <w:pStyle w:val="F21"/>
        <w:spacing w:lineRule="atLeast" w:line="370"/>
        <w:rPr>
          <w:i/>
          <w:i/>
          <w:szCs w:val="27"/>
        </w:rPr>
      </w:pPr>
      <w:r>
        <w:rPr>
          <w:i/>
          <w:szCs w:val="27"/>
        </w:rPr>
      </w:r>
    </w:p>
    <w:p>
      <w:pPr>
        <w:pStyle w:val="F21"/>
        <w:spacing w:lineRule="atLeast" w:line="370"/>
        <w:rPr>
          <w:spacing w:val="22"/>
          <w:szCs w:val="27"/>
        </w:rPr>
      </w:pPr>
      <w:r>
        <w:rPr>
          <w:rFonts w:ascii="華康中黑體" w:hAnsi="華康中黑體" w:eastAsia="華康中黑體"/>
          <w:b/>
          <w:spacing w:val="22"/>
          <w:szCs w:val="27"/>
        </w:rPr>
        <w:t>環境局局長</w:t>
      </w:r>
      <w:r>
        <w:rPr>
          <w:spacing w:val="22"/>
          <w:szCs w:val="27"/>
        </w:rPr>
        <w:t>：主席，多謝謝議員的補充質詢。這項法例迄今已實施了大約兩年，我們現正在搜集各方面的數據，而在現階段，我們認為法例仍然能取得其立法原意的成效。當然，我們在未來會作出檢討。</w:t>
      </w:r>
    </w:p>
    <w:p>
      <w:pPr>
        <w:pStyle w:val="F21"/>
        <w:spacing w:lineRule="atLeast" w:line="370"/>
        <w:rPr>
          <w:szCs w:val="27"/>
        </w:rPr>
      </w:pPr>
      <w:r>
        <w:rPr>
          <w:szCs w:val="27"/>
        </w:rPr>
      </w:r>
    </w:p>
    <w:p>
      <w:pPr>
        <w:pStyle w:val="F21"/>
        <w:spacing w:lineRule="atLeast" w:line="370"/>
        <w:rPr>
          <w:szCs w:val="27"/>
        </w:rPr>
      </w:pPr>
      <w:r>
        <w:rPr>
          <w:szCs w:val="27"/>
        </w:rPr>
      </w:r>
    </w:p>
    <w:p>
      <w:pPr>
        <w:pStyle w:val="F21"/>
        <w:snapToGrid w:val="false"/>
        <w:spacing w:lineRule="atLeast" w:line="370"/>
        <w:ind w:left="851" w:hanging="851"/>
        <w:rPr/>
      </w:pPr>
      <w:r>
        <w:rPr>
          <w:rFonts w:ascii="華康中黑體" w:hAnsi="華康中黑體" w:eastAsia="華康中黑體"/>
          <w:b/>
        </w:rPr>
        <w:t>主席</w:t>
      </w:r>
      <w:r>
        <w:rPr>
          <w:rFonts w:ascii="華康中黑體" w:hAnsi="華康中黑體"/>
        </w:rPr>
        <w:t>：</w:t>
      </w:r>
      <w:r>
        <w:rPr/>
        <w:t>口頭質詢到此為止。</w:t>
      </w:r>
    </w:p>
    <w:p>
      <w:pPr>
        <w:pStyle w:val="F21"/>
        <w:snapToGrid w:val="false"/>
        <w:spacing w:lineRule="exact" w:line="200"/>
        <w:rPr>
          <w:rFonts w:ascii="華康中黑體" w:hAnsi="華康中黑體" w:eastAsia="華康中黑體"/>
          <w:b/>
          <w:b/>
          <w:sz w:val="28"/>
          <w:szCs w:val="28"/>
        </w:rPr>
      </w:pPr>
      <w:r>
        <w:rPr>
          <w:rFonts w:eastAsia="華康中黑體" w:ascii="華康中黑體" w:hAnsi="華康中黑體"/>
          <w:b/>
          <w:sz w:val="28"/>
          <w:szCs w:val="28"/>
        </w:rPr>
      </w:r>
      <w:r>
        <w:br w:type="page"/>
      </w:r>
    </w:p>
    <w:p>
      <w:pPr>
        <w:pStyle w:val="F21"/>
        <w:rPr>
          <w:rFonts w:ascii="華康中黑體" w:hAnsi="華康中黑體" w:eastAsia="華康中黑體"/>
          <w:b/>
          <w:b/>
          <w:sz w:val="28"/>
          <w:szCs w:val="28"/>
        </w:rPr>
      </w:pPr>
      <w:bookmarkStart w:id="26" w:name="wrq"/>
      <w:r>
        <w:rPr>
          <w:rFonts w:ascii="華康中黑體" w:hAnsi="華康中黑體" w:eastAsia="華康中黑體"/>
          <w:b/>
          <w:sz w:val="28"/>
          <w:szCs w:val="28"/>
        </w:rPr>
        <w:t>議員質詢的書面答覆</w:t>
      </w:r>
    </w:p>
    <w:p>
      <w:pPr>
        <w:pStyle w:val="Normal"/>
        <w:rPr>
          <w:b/>
          <w:b/>
        </w:rPr>
      </w:pPr>
      <w:bookmarkStart w:id="27" w:name="wrq"/>
      <w:r>
        <w:rPr>
          <w:b/>
        </w:rPr>
        <w:t>WRITTEN ANSWERS TO QUESTIONS</w:t>
      </w:r>
      <w:bookmarkEnd w:id="27"/>
    </w:p>
    <w:p>
      <w:pPr>
        <w:pStyle w:val="F21"/>
        <w:rPr/>
      </w:pPr>
      <w:r>
        <w:rPr/>
      </w:r>
    </w:p>
    <w:p>
      <w:pPr>
        <w:pStyle w:val="F21"/>
        <w:rPr>
          <w:rFonts w:eastAsia="華康中黑體" w:cs="Times New Roman"/>
          <w:b/>
          <w:b/>
        </w:rPr>
      </w:pPr>
      <w:bookmarkStart w:id="28" w:name="wrq07"/>
      <w:r>
        <w:rPr>
          <w:rFonts w:cs="Times New Roman" w:eastAsia="華康中黑體"/>
          <w:b/>
        </w:rPr>
        <w:t>中小企的營商環境</w:t>
      </w:r>
    </w:p>
    <w:p>
      <w:pPr>
        <w:pStyle w:val="Normal"/>
        <w:rPr>
          <w:b/>
          <w:b/>
          <w:lang w:val="en-US"/>
        </w:rPr>
      </w:pPr>
      <w:r>
        <w:rPr>
          <w:b/>
        </w:rPr>
        <w:t>Business Environment of SME</w:t>
      </w:r>
      <w:r>
        <w:rPr>
          <w:b/>
          <w:lang w:val="en-US"/>
        </w:rPr>
        <w:t>s</w:t>
      </w:r>
      <w:bookmarkEnd w:id="28"/>
    </w:p>
    <w:p>
      <w:pPr>
        <w:pStyle w:val="F21"/>
        <w:rPr/>
      </w:pPr>
      <w:r>
        <w:rPr/>
      </w:r>
    </w:p>
    <w:p>
      <w:pPr>
        <w:pStyle w:val="F21"/>
        <w:rPr>
          <w:i/>
          <w:i/>
        </w:rPr>
      </w:pPr>
      <w:r>
        <w:rPr>
          <w:rFonts w:eastAsia="華康中黑體"/>
          <w:b/>
        </w:rPr>
        <w:t>7.</w:t>
      </w:r>
      <w:r>
        <w:rPr/>
        <w:tab/>
      </w:r>
      <w:r>
        <w:rPr>
          <w:rFonts w:eastAsia="華康中黑體"/>
          <w:b/>
        </w:rPr>
        <w:t>張宇人議員</w:t>
      </w:r>
      <w:r>
        <w:rPr/>
        <w:t>：</w:t>
      </w:r>
      <w:r>
        <w:rPr>
          <w:i/>
        </w:rPr>
        <w:t>主席，澳洲會計師公會在本年</w:t>
      </w:r>
      <w:r>
        <w:rPr>
          <w:i/>
        </w:rPr>
        <w:t>11</w:t>
      </w:r>
      <w:r>
        <w:rPr>
          <w:i/>
        </w:rPr>
        <w:t>月</w:t>
      </w:r>
      <w:r>
        <w:rPr>
          <w:i/>
        </w:rPr>
        <w:t>26</w:t>
      </w:r>
      <w:r>
        <w:rPr>
          <w:i/>
        </w:rPr>
        <w:t>日發表的《</w:t>
      </w:r>
      <w:r>
        <w:rPr>
          <w:i/>
        </w:rPr>
        <w:t>2013</w:t>
      </w:r>
      <w:r>
        <w:rPr>
          <w:i/>
        </w:rPr>
        <w:t>年亞太區小型企業調查》報告顯示，香港小型企業的經營信心較去年急劇下跌：香港企業對其業務在明年的信心得分是</w:t>
      </w:r>
      <w:r>
        <w:rPr>
          <w:i/>
        </w:rPr>
        <w:t>5</w:t>
      </w:r>
      <w:r>
        <w:rPr>
          <w:i/>
        </w:rPr>
        <w:t>年來首次出現負數，而在該調查所涵蓋的</w:t>
      </w:r>
      <w:r>
        <w:rPr>
          <w:i/>
        </w:rPr>
        <w:t>6</w:t>
      </w:r>
      <w:r>
        <w:rPr>
          <w:i/>
        </w:rPr>
        <w:t>個亞太區經濟體</w:t>
      </w:r>
      <w:r>
        <w:rPr>
          <w:i/>
        </w:rPr>
        <w:t>(</w:t>
      </w:r>
      <w:r>
        <w:rPr>
          <w:i/>
        </w:rPr>
        <w:t>即香港、澳洲、印尼、馬來西亞、新西蘭及新加坡</w:t>
      </w:r>
      <w:r>
        <w:rPr>
          <w:i/>
        </w:rPr>
        <w:t>)</w:t>
      </w:r>
      <w:r>
        <w:rPr>
          <w:i/>
        </w:rPr>
        <w:t>中，香港受訪企業對明年的本地經濟的信心最低。就香港的中小型企業</w:t>
      </w:r>
      <w:r>
        <w:rPr>
          <w:i/>
        </w:rPr>
        <w:t>(“</w:t>
      </w:r>
      <w:r>
        <w:rPr>
          <w:i/>
        </w:rPr>
        <w:t>中小企”</w:t>
      </w:r>
      <w:r>
        <w:rPr>
          <w:i/>
        </w:rPr>
        <w:t>)</w:t>
      </w:r>
      <w:r>
        <w:rPr>
          <w:i/>
        </w:rPr>
        <w:t>的營商環境，政府可否告知本會：</w:t>
      </w:r>
    </w:p>
    <w:p>
      <w:pPr>
        <w:pStyle w:val="F21"/>
        <w:rPr>
          <w:i/>
          <w:i/>
        </w:rPr>
      </w:pPr>
      <w:r>
        <w:rPr>
          <w:i/>
        </w:rPr>
      </w:r>
    </w:p>
    <w:p>
      <w:pPr>
        <w:pStyle w:val="F21"/>
        <w:ind w:left="1417" w:hanging="850"/>
        <w:rPr>
          <w:i/>
          <w:i/>
        </w:rPr>
      </w:pPr>
      <w:r>
        <w:rPr>
          <w:i/>
        </w:rPr>
        <w:t>(</w:t>
      </w:r>
      <w:r>
        <w:rPr>
          <w:i/>
        </w:rPr>
        <w:t>一</w:t>
      </w:r>
      <w:r>
        <w:rPr>
          <w:i/>
        </w:rPr>
        <w:t>)</w:t>
        <w:tab/>
      </w:r>
      <w:r>
        <w:rPr>
          <w:i/>
        </w:rPr>
        <w:t>有否評估上述報告是否對香港的經濟前景發出警號；如有評估，詳情為何；如否，原因為何；</w:t>
      </w:r>
    </w:p>
    <w:p>
      <w:pPr>
        <w:pStyle w:val="F21"/>
        <w:rPr>
          <w:i/>
          <w:i/>
        </w:rPr>
      </w:pPr>
      <w:r>
        <w:rPr>
          <w:i/>
        </w:rPr>
      </w:r>
    </w:p>
    <w:p>
      <w:pPr>
        <w:pStyle w:val="F21"/>
        <w:ind w:left="1417" w:hanging="850"/>
        <w:rPr>
          <w:i/>
          <w:i/>
        </w:rPr>
      </w:pPr>
      <w:r>
        <w:rPr>
          <w:i/>
        </w:rPr>
        <w:t>(</w:t>
      </w:r>
      <w:r>
        <w:rPr>
          <w:i/>
        </w:rPr>
        <w:t>二</w:t>
      </w:r>
      <w:r>
        <w:rPr>
          <w:i/>
        </w:rPr>
        <w:t>)</w:t>
        <w:tab/>
      </w:r>
      <w:r>
        <w:rPr>
          <w:i/>
        </w:rPr>
        <w:t>有否評估中小企的生存空間是否不斷縮窄，以致市民藉創業向上流動的機會日益減少；如評估結果顯示有此情況，當局有何解決方法；如沒有評估，原因為何；</w:t>
      </w:r>
    </w:p>
    <w:p>
      <w:pPr>
        <w:pStyle w:val="F21"/>
        <w:ind w:left="1417" w:hanging="850"/>
        <w:rPr>
          <w:i/>
          <w:i/>
        </w:rPr>
      </w:pPr>
      <w:r>
        <w:rPr>
          <w:i/>
        </w:rPr>
      </w:r>
    </w:p>
    <w:p>
      <w:pPr>
        <w:pStyle w:val="F21"/>
        <w:ind w:left="1417" w:hanging="850"/>
        <w:rPr>
          <w:i/>
          <w:i/>
        </w:rPr>
      </w:pPr>
      <w:r>
        <w:rPr>
          <w:i/>
        </w:rPr>
        <w:t>(</w:t>
      </w:r>
      <w:r>
        <w:rPr>
          <w:i/>
        </w:rPr>
        <w:t>三</w:t>
      </w:r>
      <w:r>
        <w:rPr>
          <w:i/>
        </w:rPr>
        <w:t>)</w:t>
        <w:tab/>
      </w:r>
      <w:r>
        <w:rPr>
          <w:i/>
        </w:rPr>
        <w:t>會否進行研究，跟進上述報告所反映的問題，包括評估本港中小企現時面對的經營困難、統計經營成本的各個組成部分的升幅，以及確定營商信心得分下跌的主要原因及其對香港經濟所產生的長遠影響等，以便提出具體的解決方案；如會，詳情為何；如否，原因為何；及</w:t>
      </w:r>
    </w:p>
    <w:p>
      <w:pPr>
        <w:pStyle w:val="F21"/>
        <w:rPr>
          <w:i/>
          <w:i/>
        </w:rPr>
      </w:pPr>
      <w:r>
        <w:rPr>
          <w:i/>
        </w:rPr>
      </w:r>
    </w:p>
    <w:p>
      <w:pPr>
        <w:pStyle w:val="F21"/>
        <w:ind w:left="1417" w:hanging="850"/>
        <w:rPr>
          <w:i/>
          <w:i/>
        </w:rPr>
      </w:pPr>
      <w:r>
        <w:rPr>
          <w:i/>
        </w:rPr>
        <w:t>(</w:t>
      </w:r>
      <w:r>
        <w:rPr>
          <w:i/>
        </w:rPr>
        <w:t>四</w:t>
      </w:r>
      <w:r>
        <w:rPr>
          <w:i/>
        </w:rPr>
        <w:t>)</w:t>
        <w:tab/>
      </w:r>
      <w:r>
        <w:rPr>
          <w:i/>
        </w:rPr>
        <w:t>會否向中小企提供稅務優惠、設立中小企專區或商場，或資助中小企租用辦公室或商鋪，以加強中小企的競爭能力；如會，詳情為何；如否，原因為何？</w:t>
      </w:r>
    </w:p>
    <w:p>
      <w:pPr>
        <w:pStyle w:val="F21"/>
        <w:rPr>
          <w:i/>
          <w:i/>
        </w:rPr>
      </w:pPr>
      <w:r>
        <w:rPr>
          <w:i/>
        </w:rPr>
      </w:r>
    </w:p>
    <w:p>
      <w:pPr>
        <w:pStyle w:val="F21"/>
        <w:rPr>
          <w:i/>
          <w:i/>
        </w:rPr>
      </w:pPr>
      <w:r>
        <w:rPr>
          <w:i/>
        </w:rPr>
      </w:r>
    </w:p>
    <w:p>
      <w:pPr>
        <w:pStyle w:val="F21"/>
        <w:rPr/>
      </w:pPr>
      <w:r>
        <w:rPr>
          <w:rFonts w:eastAsia="華康中黑體"/>
          <w:b/>
        </w:rPr>
        <w:t>商務及經濟發展局局長</w:t>
      </w:r>
      <w:r>
        <w:rPr/>
        <w:t>：主席，就議員的質詢，我現謹答覆如下：</w:t>
      </w:r>
    </w:p>
    <w:p>
      <w:pPr>
        <w:pStyle w:val="F21"/>
        <w:rPr/>
      </w:pPr>
      <w:r>
        <w:rPr/>
      </w:r>
    </w:p>
    <w:p>
      <w:pPr>
        <w:pStyle w:val="Style14"/>
        <w:rPr>
          <w:i w:val="false"/>
          <w:i w:val="false"/>
        </w:rPr>
      </w:pPr>
      <w:r>
        <w:rPr>
          <w:i w:val="false"/>
        </w:rPr>
        <w:t>(</w:t>
      </w:r>
      <w:r>
        <w:rPr>
          <w:i w:val="false"/>
        </w:rPr>
        <w:t>一</w:t>
      </w:r>
      <w:r>
        <w:rPr>
          <w:i w:val="false"/>
        </w:rPr>
        <w:t>)</w:t>
      </w:r>
      <w:r>
        <w:rPr>
          <w:i w:val="false"/>
        </w:rPr>
        <w:t>、</w:t>
      </w:r>
      <w:r>
        <w:rPr>
          <w:i w:val="false"/>
        </w:rPr>
        <w:t>(</w:t>
      </w:r>
      <w:r>
        <w:rPr>
          <w:i w:val="false"/>
        </w:rPr>
        <w:t>二</w:t>
      </w:r>
      <w:r>
        <w:rPr>
          <w:i w:val="false"/>
        </w:rPr>
        <w:t>)</w:t>
      </w:r>
      <w:r>
        <w:rPr>
          <w:i w:val="false"/>
        </w:rPr>
        <w:t>及</w:t>
      </w:r>
      <w:r>
        <w:rPr>
          <w:i w:val="false"/>
        </w:rPr>
        <w:t>(</w:t>
      </w:r>
      <w:r>
        <w:rPr>
          <w:i w:val="false"/>
        </w:rPr>
        <w:t>三</w:t>
      </w:r>
      <w:r>
        <w:rPr>
          <w:i w:val="false"/>
        </w:rPr>
        <w:t>)</w:t>
      </w:r>
    </w:p>
    <w:p>
      <w:pPr>
        <w:pStyle w:val="Style14"/>
        <w:rPr>
          <w:i w:val="false"/>
          <w:i w:val="false"/>
        </w:rPr>
      </w:pPr>
      <w:r>
        <w:rPr>
          <w:i w:val="false"/>
        </w:rPr>
      </w:r>
    </w:p>
    <w:p>
      <w:pPr>
        <w:pStyle w:val="Style14"/>
        <w:rPr>
          <w:i w:val="false"/>
          <w:i w:val="false"/>
        </w:rPr>
      </w:pPr>
      <w:r>
        <w:rPr>
          <w:i w:val="false"/>
        </w:rPr>
        <w:tab/>
      </w:r>
      <w:r>
        <w:rPr>
          <w:i w:val="false"/>
        </w:rPr>
        <w:t>政府一向密切留意本地企業的營商情況。澳洲會計師公會於</w:t>
      </w:r>
      <w:r>
        <w:rPr>
          <w:i w:val="false"/>
        </w:rPr>
        <w:t>2013</w:t>
      </w:r>
      <w:r>
        <w:rPr>
          <w:i w:val="false"/>
        </w:rPr>
        <w:t>年</w:t>
      </w:r>
      <w:r>
        <w:rPr>
          <w:i w:val="false"/>
        </w:rPr>
        <w:t>11</w:t>
      </w:r>
      <w:r>
        <w:rPr>
          <w:i w:val="false"/>
        </w:rPr>
        <w:t>月公布的《</w:t>
      </w:r>
      <w:r>
        <w:rPr>
          <w:i w:val="false"/>
        </w:rPr>
        <w:t>2013</w:t>
      </w:r>
      <w:r>
        <w:rPr>
          <w:i w:val="false"/>
        </w:rPr>
        <w:t>亞太區小型企業營商信心報告》指出，受訪的香港小型企業</w:t>
      </w:r>
      <w:r>
        <w:rPr>
          <w:rStyle w:val="FootnoteAnchor"/>
          <w:i w:val="false"/>
        </w:rPr>
        <w:footnoteReference w:customMarkFollows="1" w:id="2"/>
        <w:t>(1)</w:t>
      </w:r>
      <w:r>
        <w:rPr>
          <w:i w:val="false"/>
        </w:rPr>
        <w:t>對</w:t>
      </w:r>
      <w:r>
        <w:rPr>
          <w:i w:val="false"/>
        </w:rPr>
        <w:t>2014</w:t>
      </w:r>
      <w:r>
        <w:rPr>
          <w:i w:val="false"/>
        </w:rPr>
        <w:t>年經營信心較</w:t>
      </w:r>
      <w:r>
        <w:rPr>
          <w:i w:val="false"/>
        </w:rPr>
        <w:t>2013</w:t>
      </w:r>
      <w:r>
        <w:rPr>
          <w:i w:val="false"/>
        </w:rPr>
        <w:t>年下降，主要原因是對香港經濟前景感到憂慮，而成本上漲及競爭加劇亦可能影響企業經營。然而，該報告顯示對</w:t>
      </w:r>
      <w:r>
        <w:rPr>
          <w:i w:val="false"/>
        </w:rPr>
        <w:t>2014</w:t>
      </w:r>
      <w:r>
        <w:rPr>
          <w:i w:val="false"/>
        </w:rPr>
        <w:t>年業務前景樂觀的香港小型企業仍較悲觀的多。</w:t>
      </w:r>
    </w:p>
    <w:p>
      <w:pPr>
        <w:pStyle w:val="Style14"/>
        <w:rPr>
          <w:i w:val="false"/>
          <w:i w:val="false"/>
        </w:rPr>
      </w:pPr>
      <w:r>
        <w:rPr>
          <w:i w:val="false"/>
        </w:rPr>
      </w:r>
    </w:p>
    <w:p>
      <w:pPr>
        <w:pStyle w:val="Style14"/>
        <w:rPr>
          <w:i w:val="false"/>
          <w:i w:val="false"/>
        </w:rPr>
      </w:pPr>
      <w:r>
        <w:rPr>
          <w:i w:val="false"/>
        </w:rPr>
        <w:tab/>
      </w:r>
      <w:r>
        <w:rPr>
          <w:i w:val="false"/>
        </w:rPr>
        <w:t>政府一直致力為中小企</w:t>
      </w:r>
      <w:r>
        <w:rPr>
          <w:rStyle w:val="FootnoteAnchor"/>
          <w:i w:val="false"/>
        </w:rPr>
        <w:footnoteReference w:customMarkFollows="1" w:id="3"/>
        <w:t>(2)</w:t>
      </w:r>
      <w:r>
        <w:rPr>
          <w:i w:val="false"/>
        </w:rPr>
        <w:t>提供適切的支援。隨着香港經濟在全球金融海嘯後快速復蘇，現時本港中小企的數目及就業人數均高於金融海嘯前的水平。</w:t>
      </w:r>
      <w:r>
        <w:rPr>
          <w:i w:val="false"/>
        </w:rPr>
        <w:t>2013</w:t>
      </w:r>
      <w:r>
        <w:rPr>
          <w:i w:val="false"/>
        </w:rPr>
        <w:t>年</w:t>
      </w:r>
      <w:r>
        <w:rPr>
          <w:i w:val="false"/>
        </w:rPr>
        <w:t>6</w:t>
      </w:r>
      <w:r>
        <w:rPr>
          <w:i w:val="false"/>
        </w:rPr>
        <w:t>月，本港中小企數目及就業人數較</w:t>
      </w:r>
      <w:r>
        <w:rPr>
          <w:i w:val="false"/>
        </w:rPr>
        <w:t>2007</w:t>
      </w:r>
      <w:r>
        <w:rPr>
          <w:i w:val="false"/>
        </w:rPr>
        <w:t>年</w:t>
      </w:r>
      <w:r>
        <w:rPr>
          <w:i w:val="false"/>
        </w:rPr>
        <w:t>6</w:t>
      </w:r>
      <w:r>
        <w:rPr>
          <w:i w:val="false"/>
        </w:rPr>
        <w:t>月分別上升</w:t>
      </w:r>
      <w:r>
        <w:rPr>
          <w:i w:val="false"/>
        </w:rPr>
        <w:t>11%</w:t>
      </w:r>
      <w:r>
        <w:rPr>
          <w:i w:val="false"/>
        </w:rPr>
        <w:t>及</w:t>
      </w:r>
      <w:r>
        <w:rPr>
          <w:i w:val="false"/>
        </w:rPr>
        <w:t>5%</w:t>
      </w:r>
      <w:r>
        <w:rPr>
          <w:i w:val="false"/>
        </w:rPr>
        <w:t>。相對</w:t>
      </w:r>
      <w:r>
        <w:rPr>
          <w:i w:val="false"/>
        </w:rPr>
        <w:t>2012</w:t>
      </w:r>
      <w:r>
        <w:rPr>
          <w:i w:val="false"/>
        </w:rPr>
        <w:t>年</w:t>
      </w:r>
      <w:r>
        <w:rPr>
          <w:i w:val="false"/>
        </w:rPr>
        <w:t>6</w:t>
      </w:r>
      <w:r>
        <w:rPr>
          <w:i w:val="false"/>
        </w:rPr>
        <w:t>月，今年</w:t>
      </w:r>
      <w:r>
        <w:rPr>
          <w:i w:val="false"/>
        </w:rPr>
        <w:t>6</w:t>
      </w:r>
      <w:r>
        <w:rPr>
          <w:i w:val="false"/>
        </w:rPr>
        <w:t>月本港中小企數目及就業人數亦分別增加</w:t>
      </w:r>
      <w:r>
        <w:rPr>
          <w:i w:val="false"/>
        </w:rPr>
        <w:t>1.8%</w:t>
      </w:r>
      <w:r>
        <w:rPr>
          <w:i w:val="false"/>
        </w:rPr>
        <w:t>和</w:t>
      </w:r>
      <w:r>
        <w:rPr>
          <w:i w:val="false"/>
        </w:rPr>
        <w:t>0.6%</w:t>
      </w:r>
      <w:r>
        <w:rPr>
          <w:i w:val="false"/>
        </w:rPr>
        <w:t>，反映本港中小企的營商環境大致穩定，而中小企職位空缺數目同期亦上升</w:t>
      </w:r>
      <w:r>
        <w:rPr>
          <w:i w:val="false"/>
        </w:rPr>
        <w:t>10.6%</w:t>
      </w:r>
      <w:r>
        <w:rPr>
          <w:i w:val="false"/>
        </w:rPr>
        <w:t>，顯示本港中小企招聘意欲依然良好，對業務前景展望仍較正面。事實上，澳洲會計師公會的報告亦指出，超過三分之一受訪企業計劃於</w:t>
      </w:r>
      <w:r>
        <w:rPr>
          <w:i w:val="false"/>
        </w:rPr>
        <w:t>2014</w:t>
      </w:r>
      <w:r>
        <w:rPr>
          <w:i w:val="false"/>
        </w:rPr>
        <w:t>年增聘人手。</w:t>
      </w:r>
    </w:p>
    <w:p>
      <w:pPr>
        <w:pStyle w:val="Style14"/>
        <w:rPr>
          <w:i w:val="false"/>
          <w:i w:val="false"/>
        </w:rPr>
      </w:pPr>
      <w:r>
        <w:rPr>
          <w:i w:val="false"/>
        </w:rPr>
      </w:r>
    </w:p>
    <w:p>
      <w:pPr>
        <w:pStyle w:val="Style14"/>
        <w:rPr>
          <w:i w:val="false"/>
          <w:i w:val="false"/>
        </w:rPr>
      </w:pPr>
      <w:r>
        <w:rPr>
          <w:i w:val="false"/>
        </w:rPr>
        <w:tab/>
      </w:r>
      <w:r>
        <w:rPr>
          <w:i w:val="false"/>
        </w:rPr>
        <w:t>現時，政府統計處應經濟分析及方便營商處的委託，每月均會訪問約</w:t>
      </w:r>
      <w:r>
        <w:rPr>
          <w:i w:val="false"/>
        </w:rPr>
        <w:t>400</w:t>
      </w:r>
      <w:r>
        <w:rPr>
          <w:i w:val="false"/>
        </w:rPr>
        <w:t>家抽選為樣本的中小企，以更深入了解它們的營商情況，包括業務收益及僱用人數。根據最新的數字，雖然受訪中小企對短期展望仍抱較審慎態度，但受訪中小企在僱用人數方面的情況在近月仍然大致穩定。</w:t>
      </w:r>
    </w:p>
    <w:p>
      <w:pPr>
        <w:pStyle w:val="F21"/>
        <w:rPr/>
      </w:pPr>
      <w:r>
        <w:rPr/>
      </w:r>
    </w:p>
    <w:p>
      <w:pPr>
        <w:pStyle w:val="Style14"/>
        <w:rPr>
          <w:i w:val="false"/>
          <w:i w:val="false"/>
        </w:rPr>
      </w:pPr>
      <w:r>
        <w:rPr>
          <w:i w:val="false"/>
        </w:rPr>
        <w:tab/>
      </w:r>
      <w:r>
        <w:rPr>
          <w:i w:val="false"/>
        </w:rPr>
        <w:t>澳洲會計師公會的報告指，企業憂慮成本上漲可能會影響經營。本港的租金、工資等經營成本在近年有所上升，對本地企業尤其是中小企的營商環境構成一些壓力，但由於本地消費市道保持穩定，部分紓緩了成本上升的影響。根據政府統計處</w:t>
      </w:r>
      <w:r>
        <w:rPr>
          <w:i w:val="false"/>
          <w:szCs w:val="27"/>
        </w:rPr>
        <w:t>“</w:t>
      </w:r>
      <w:r>
        <w:rPr>
          <w:i w:val="false"/>
        </w:rPr>
        <w:t>經濟活動按年統計調查</w:t>
      </w:r>
      <w:r>
        <w:rPr>
          <w:i w:val="false"/>
          <w:szCs w:val="27"/>
        </w:rPr>
        <w:t>”</w:t>
      </w:r>
      <w:r>
        <w:rPr>
          <w:i w:val="false"/>
        </w:rPr>
        <w:t>的資料，本港中小企</w:t>
      </w:r>
      <w:r>
        <w:rPr>
          <w:i w:val="false"/>
        </w:rPr>
        <w:t>(</w:t>
      </w:r>
      <w:r>
        <w:rPr>
          <w:i w:val="false"/>
        </w:rPr>
        <w:t>只包括有聘用僱員的企業</w:t>
      </w:r>
      <w:r>
        <w:rPr>
          <w:i w:val="false"/>
        </w:rPr>
        <w:t>)</w:t>
      </w:r>
      <w:r>
        <w:rPr>
          <w:i w:val="false"/>
        </w:rPr>
        <w:t>的僱員薪酬和租金開支佔總經營開支的百分比在</w:t>
      </w:r>
      <w:r>
        <w:rPr>
          <w:i w:val="false"/>
        </w:rPr>
        <w:t>2009</w:t>
      </w:r>
      <w:r>
        <w:rPr>
          <w:i w:val="false"/>
        </w:rPr>
        <w:t>年至</w:t>
      </w:r>
      <w:r>
        <w:rPr>
          <w:i w:val="false"/>
        </w:rPr>
        <w:t>2011</w:t>
      </w:r>
      <w:r>
        <w:rPr>
          <w:i w:val="false"/>
        </w:rPr>
        <w:t>年期間分別維持在約</w:t>
      </w:r>
      <w:r>
        <w:rPr>
          <w:i w:val="false"/>
        </w:rPr>
        <w:t>35%</w:t>
      </w:r>
      <w:r>
        <w:rPr>
          <w:i w:val="false"/>
        </w:rPr>
        <w:t>至</w:t>
      </w:r>
      <w:r>
        <w:rPr>
          <w:i w:val="false"/>
        </w:rPr>
        <w:t>36%</w:t>
      </w:r>
      <w:r>
        <w:rPr>
          <w:i w:val="false"/>
        </w:rPr>
        <w:t>和</w:t>
      </w:r>
      <w:r>
        <w:rPr>
          <w:i w:val="false"/>
        </w:rPr>
        <w:t>8%</w:t>
      </w:r>
      <w:r>
        <w:rPr>
          <w:i w:val="false"/>
        </w:rPr>
        <w:t>的水平，而同期的整體盈利情況亦大致平穩</w:t>
      </w:r>
      <w:r>
        <w:rPr>
          <w:i w:val="false"/>
        </w:rPr>
        <w:t>(</w:t>
      </w:r>
      <w:r>
        <w:rPr>
          <w:i w:val="false"/>
        </w:rPr>
        <w:t>見附表</w:t>
      </w:r>
      <w:r>
        <w:rPr>
          <w:i w:val="false"/>
        </w:rPr>
        <w:t>)</w:t>
      </w:r>
      <w:r>
        <w:rPr>
          <w:i w:val="false"/>
        </w:rPr>
        <w:t>。</w:t>
      </w:r>
    </w:p>
    <w:p>
      <w:pPr>
        <w:pStyle w:val="Style14"/>
        <w:rPr>
          <w:i w:val="false"/>
          <w:i w:val="false"/>
        </w:rPr>
      </w:pPr>
      <w:r>
        <w:rPr>
          <w:i w:val="false"/>
        </w:rPr>
      </w:r>
    </w:p>
    <w:p>
      <w:pPr>
        <w:pStyle w:val="Style14"/>
        <w:rPr>
          <w:i w:val="false"/>
          <w:i w:val="false"/>
        </w:rPr>
      </w:pPr>
      <w:r>
        <w:rPr>
          <w:i w:val="false"/>
        </w:rPr>
        <w:tab/>
      </w:r>
      <w:r>
        <w:rPr>
          <w:i w:val="false"/>
        </w:rPr>
        <w:t>另一方面，今年</w:t>
      </w:r>
      <w:r>
        <w:rPr>
          <w:i w:val="false"/>
        </w:rPr>
        <w:t>2</w:t>
      </w:r>
      <w:r>
        <w:rPr>
          <w:i w:val="false"/>
        </w:rPr>
        <w:t>月底政府推出新一輪需求管理措施後，寫字樓及零售鋪位租金的升勢已趨緩和；兩者的升幅分別由今年第二季內的</w:t>
      </w:r>
      <w:r>
        <w:rPr>
          <w:i w:val="false"/>
        </w:rPr>
        <w:t>3%</w:t>
      </w:r>
      <w:r>
        <w:rPr>
          <w:i w:val="false"/>
        </w:rPr>
        <w:t>和</w:t>
      </w:r>
      <w:r>
        <w:rPr>
          <w:i w:val="false"/>
        </w:rPr>
        <w:t>4%</w:t>
      </w:r>
      <w:r>
        <w:rPr>
          <w:i w:val="false"/>
        </w:rPr>
        <w:t>收窄至第三季內的</w:t>
      </w:r>
      <w:r>
        <w:rPr>
          <w:i w:val="false"/>
        </w:rPr>
        <w:t>1%</w:t>
      </w:r>
      <w:r>
        <w:rPr>
          <w:i w:val="false"/>
        </w:rPr>
        <w:t>，</w:t>
      </w:r>
      <w:r>
        <w:rPr>
          <w:i w:val="false"/>
        </w:rPr>
        <w:t>10</w:t>
      </w:r>
      <w:r>
        <w:rPr>
          <w:i w:val="false"/>
        </w:rPr>
        <w:t>月份更按月下跌</w:t>
      </w:r>
      <w:r>
        <w:rPr>
          <w:i w:val="false"/>
        </w:rPr>
        <w:t>0.8%</w:t>
      </w:r>
      <w:r>
        <w:rPr>
          <w:i w:val="false"/>
        </w:rPr>
        <w:t>。為滿足本港長遠的經濟發展，政府會努力增加商用土地的供應。財政司司長在</w:t>
      </w:r>
      <w:r>
        <w:rPr>
          <w:i w:val="false"/>
        </w:rPr>
        <w:t>2013-2014</w:t>
      </w:r>
      <w:r>
        <w:rPr>
          <w:i w:val="false"/>
        </w:rPr>
        <w:t>財政預算案中概述一系列措施，包括在今個財政年度的賣地計劃中提供</w:t>
      </w:r>
      <w:r>
        <w:rPr>
          <w:i w:val="false"/>
        </w:rPr>
        <w:t>9</w:t>
      </w:r>
      <w:r>
        <w:rPr>
          <w:i w:val="false"/>
        </w:rPr>
        <w:t>幅商業／商貿用地，共提供約</w:t>
      </w:r>
      <w:r>
        <w:rPr>
          <w:i w:val="false"/>
        </w:rPr>
        <w:t>33</w:t>
      </w:r>
      <w:r>
        <w:rPr>
          <w:i w:val="false"/>
        </w:rPr>
        <w:t>萬平方米總樓面。政府亦會盡力增加各區的商用土地供應，以供不同的經濟活動進一步發展。</w:t>
      </w:r>
    </w:p>
    <w:p>
      <w:pPr>
        <w:pStyle w:val="Style14"/>
        <w:spacing w:lineRule="atLeast" w:line="340"/>
        <w:rPr>
          <w:i w:val="false"/>
          <w:i w:val="false"/>
        </w:rPr>
      </w:pPr>
      <w:r>
        <w:rPr>
          <w:i w:val="false"/>
        </w:rPr>
      </w:r>
    </w:p>
    <w:p>
      <w:pPr>
        <w:pStyle w:val="Style14"/>
        <w:spacing w:lineRule="atLeast" w:line="340"/>
        <w:rPr>
          <w:i w:val="false"/>
          <w:i w:val="false"/>
        </w:rPr>
      </w:pPr>
      <w:r>
        <w:rPr>
          <w:i w:val="false"/>
        </w:rPr>
        <w:t>(</w:t>
      </w:r>
      <w:r>
        <w:rPr>
          <w:i w:val="false"/>
        </w:rPr>
        <w:t>四</w:t>
      </w:r>
      <w:r>
        <w:rPr>
          <w:i w:val="false"/>
        </w:rPr>
        <w:t>)</w:t>
        <w:tab/>
      </w:r>
      <w:r>
        <w:rPr>
          <w:i w:val="false"/>
        </w:rPr>
        <w:t>政府一直為中小企提供多方面的支援。工業貿易署的</w:t>
      </w:r>
      <w:r>
        <w:rPr>
          <w:i w:val="false"/>
          <w:szCs w:val="27"/>
        </w:rPr>
        <w:t>“</w:t>
      </w:r>
      <w:r>
        <w:rPr>
          <w:i w:val="false"/>
        </w:rPr>
        <w:t>中小企業信貸保證計劃</w:t>
      </w:r>
      <w:r>
        <w:rPr>
          <w:i w:val="false"/>
          <w:szCs w:val="27"/>
        </w:rPr>
        <w:t>”</w:t>
      </w:r>
      <w:r>
        <w:rPr>
          <w:i w:val="false"/>
        </w:rPr>
        <w:t>，為符合資格的中小企提供五成信貸擔保，協助它們向參與的貸款機構取得貸款。中小企租用辦公室或商鋪的開支屬於企業業務運作所需的營運資金，符合計劃規定的貸款用途。截至</w:t>
      </w:r>
      <w:r>
        <w:rPr>
          <w:i w:val="false"/>
        </w:rPr>
        <w:t>2013</w:t>
      </w:r>
      <w:r>
        <w:rPr>
          <w:i w:val="false"/>
        </w:rPr>
        <w:t>年</w:t>
      </w:r>
      <w:r>
        <w:rPr>
          <w:i w:val="false"/>
        </w:rPr>
        <w:t>11</w:t>
      </w:r>
      <w:r>
        <w:rPr>
          <w:i w:val="false"/>
        </w:rPr>
        <w:t>月底，計劃已批出了超過</w:t>
      </w:r>
      <w:r>
        <w:rPr>
          <w:i w:val="false"/>
        </w:rPr>
        <w:t>27 300</w:t>
      </w:r>
      <w:r>
        <w:rPr>
          <w:i w:val="false"/>
        </w:rPr>
        <w:t>宗申請，涉及的信貸保證額約</w:t>
      </w:r>
      <w:r>
        <w:rPr>
          <w:i w:val="false"/>
        </w:rPr>
        <w:t>204</w:t>
      </w:r>
      <w:r>
        <w:rPr>
          <w:i w:val="false"/>
        </w:rPr>
        <w:t>億元。此外，該署亦透過其</w:t>
      </w:r>
      <w:r>
        <w:rPr>
          <w:i w:val="false"/>
          <w:szCs w:val="27"/>
        </w:rPr>
        <w:t>“</w:t>
      </w:r>
      <w:r>
        <w:rPr>
          <w:i w:val="false"/>
        </w:rPr>
        <w:t>中小企業發展支援基金</w:t>
      </w:r>
      <w:r>
        <w:rPr>
          <w:i w:val="false"/>
          <w:szCs w:val="27"/>
        </w:rPr>
        <w:t>”</w:t>
      </w:r>
      <w:r>
        <w:rPr>
          <w:i w:val="false"/>
        </w:rPr>
        <w:t>，資助非分配利潤組織推行有助提升香港整體或個別行業中小企競爭力的項目。截至</w:t>
      </w:r>
      <w:r>
        <w:rPr>
          <w:i w:val="false"/>
        </w:rPr>
        <w:t>2013</w:t>
      </w:r>
      <w:r>
        <w:rPr>
          <w:i w:val="false"/>
        </w:rPr>
        <w:t>年</w:t>
      </w:r>
      <w:r>
        <w:rPr>
          <w:i w:val="false"/>
        </w:rPr>
        <w:t>11</w:t>
      </w:r>
      <w:r>
        <w:rPr>
          <w:i w:val="false"/>
        </w:rPr>
        <w:t>月底，基金已批出</w:t>
      </w:r>
      <w:r>
        <w:rPr>
          <w:i w:val="false"/>
        </w:rPr>
        <w:t>223</w:t>
      </w:r>
      <w:r>
        <w:rPr>
          <w:i w:val="false"/>
        </w:rPr>
        <w:t>項申請，涉及資助約</w:t>
      </w:r>
      <w:r>
        <w:rPr>
          <w:i w:val="false"/>
        </w:rPr>
        <w:t>2</w:t>
      </w:r>
      <w:r>
        <w:rPr>
          <w:i w:val="false"/>
        </w:rPr>
        <w:t>億</w:t>
      </w:r>
      <w:r>
        <w:rPr>
          <w:i w:val="false"/>
        </w:rPr>
        <w:t>5,000</w:t>
      </w:r>
      <w:r>
        <w:rPr>
          <w:i w:val="false"/>
        </w:rPr>
        <w:t>萬元。</w:t>
      </w:r>
    </w:p>
    <w:p>
      <w:pPr>
        <w:pStyle w:val="Style14"/>
        <w:spacing w:lineRule="atLeast" w:line="340"/>
        <w:rPr>
          <w:i w:val="false"/>
          <w:i w:val="false"/>
        </w:rPr>
      </w:pPr>
      <w:r>
        <w:rPr>
          <w:i w:val="false"/>
        </w:rPr>
      </w:r>
    </w:p>
    <w:p>
      <w:pPr>
        <w:pStyle w:val="Style14"/>
        <w:spacing w:lineRule="atLeast" w:line="340"/>
        <w:rPr>
          <w:i w:val="false"/>
          <w:i w:val="false"/>
        </w:rPr>
      </w:pPr>
      <w:r>
        <w:rPr>
          <w:i w:val="false"/>
        </w:rPr>
        <w:tab/>
      </w:r>
      <w:r>
        <w:rPr>
          <w:i w:val="false"/>
        </w:rPr>
        <w:t>我們現時實施的利得稅單一稅率，已體現</w:t>
      </w:r>
      <w:r>
        <w:rPr>
          <w:i w:val="false"/>
          <w:szCs w:val="27"/>
        </w:rPr>
        <w:t>“</w:t>
      </w:r>
      <w:r>
        <w:rPr>
          <w:i w:val="false"/>
        </w:rPr>
        <w:t>盈利多，繳稅多</w:t>
      </w:r>
      <w:r>
        <w:rPr>
          <w:i w:val="false"/>
          <w:szCs w:val="27"/>
        </w:rPr>
        <w:t>”</w:t>
      </w:r>
      <w:r>
        <w:rPr>
          <w:i w:val="false"/>
        </w:rPr>
        <w:t>、</w:t>
      </w:r>
      <w:r>
        <w:rPr>
          <w:i w:val="false"/>
          <w:szCs w:val="27"/>
        </w:rPr>
        <w:t>“</w:t>
      </w:r>
      <w:r>
        <w:rPr>
          <w:i w:val="false"/>
        </w:rPr>
        <w:t>盈利少，繳稅少</w:t>
      </w:r>
      <w:r>
        <w:rPr>
          <w:i w:val="false"/>
          <w:szCs w:val="27"/>
        </w:rPr>
        <w:t>”</w:t>
      </w:r>
      <w:r>
        <w:rPr>
          <w:i w:val="false"/>
        </w:rPr>
        <w:t>的公平原則。若為特定企業提供稅務優惠，會偏離香港稅制的公平原則。事實上，在</w:t>
      </w:r>
      <w:r>
        <w:rPr>
          <w:i w:val="false"/>
        </w:rPr>
        <w:t>2011-2012</w:t>
      </w:r>
      <w:r>
        <w:rPr>
          <w:i w:val="false"/>
        </w:rPr>
        <w:t>課稅年度，無須繳稅的公司幾達九成，只有</w:t>
      </w:r>
      <w:r>
        <w:rPr>
          <w:i w:val="false"/>
        </w:rPr>
        <w:t>94 900</w:t>
      </w:r>
      <w:r>
        <w:rPr>
          <w:i w:val="false"/>
        </w:rPr>
        <w:t>家公司</w:t>
      </w:r>
      <w:r>
        <w:rPr>
          <w:i w:val="false"/>
        </w:rPr>
        <w:t>(</w:t>
      </w:r>
      <w:r>
        <w:rPr>
          <w:i w:val="false"/>
        </w:rPr>
        <w:t>佔註冊公司的</w:t>
      </w:r>
      <w:r>
        <w:rPr>
          <w:i w:val="false"/>
        </w:rPr>
        <w:t>11%)</w:t>
      </w:r>
      <w:r>
        <w:rPr>
          <w:i w:val="false"/>
        </w:rPr>
        <w:t>繳納利得稅。</w:t>
      </w:r>
    </w:p>
    <w:p>
      <w:pPr>
        <w:pStyle w:val="Style14"/>
        <w:spacing w:lineRule="atLeast" w:line="340"/>
        <w:rPr>
          <w:i w:val="false"/>
          <w:i w:val="false"/>
        </w:rPr>
      </w:pPr>
      <w:r>
        <w:rPr>
          <w:i w:val="false"/>
        </w:rPr>
      </w:r>
    </w:p>
    <w:p>
      <w:pPr>
        <w:pStyle w:val="Style14"/>
        <w:spacing w:lineRule="atLeast" w:line="340"/>
        <w:rPr>
          <w:i w:val="false"/>
          <w:i w:val="false"/>
        </w:rPr>
      </w:pPr>
      <w:r>
        <w:rPr>
          <w:i w:val="false"/>
        </w:rPr>
        <w:tab/>
      </w:r>
      <w:r>
        <w:rPr>
          <w:i w:val="false"/>
        </w:rPr>
        <w:t>我們會繼續密切留意經濟情況的轉變和業界的需要，不時檢討支援中小企的措施，以為業界提供適切的支援。</w:t>
      </w:r>
    </w:p>
    <w:p>
      <w:pPr>
        <w:pStyle w:val="F21"/>
        <w:spacing w:lineRule="atLeast" w:line="320"/>
        <w:rPr/>
      </w:pPr>
      <w:r>
        <w:rPr/>
      </w:r>
    </w:p>
    <w:p>
      <w:pPr>
        <w:pStyle w:val="F21"/>
        <w:spacing w:lineRule="atLeast" w:line="320"/>
        <w:rPr/>
      </w:pPr>
      <w:r>
        <w:rPr/>
      </w:r>
    </w:p>
    <w:p>
      <w:pPr>
        <w:pStyle w:val="F21"/>
        <w:spacing w:lineRule="atLeast" w:line="320"/>
        <w:jc w:val="right"/>
        <w:rPr/>
      </w:pPr>
      <w:r>
        <w:rPr/>
        <w:t>附表</w:t>
      </w:r>
    </w:p>
    <w:p>
      <w:pPr>
        <w:pStyle w:val="F21"/>
        <w:spacing w:lineRule="atLeast" w:line="320"/>
        <w:rPr/>
      </w:pPr>
      <w:r>
        <w:rPr/>
      </w:r>
    </w:p>
    <w:p>
      <w:pPr>
        <w:pStyle w:val="F21"/>
        <w:jc w:val="center"/>
        <w:rPr/>
      </w:pPr>
      <w:r>
        <w:rPr/>
        <w:t>香港中小企的經營開支及盈利</w:t>
      </w:r>
    </w:p>
    <w:p>
      <w:pPr>
        <w:pStyle w:val="F21"/>
        <w:spacing w:lineRule="atLeast" w:line="320"/>
        <w:rPr/>
      </w:pPr>
      <w:r>
        <w:rPr/>
      </w:r>
    </w:p>
    <w:tbl>
      <w:tblPr>
        <w:tblW w:w="9429" w:type="dxa"/>
        <w:jc w:val="left"/>
        <w:tblInd w:w="0" w:type="dxa"/>
        <w:tblCellMar>
          <w:top w:w="0" w:type="dxa"/>
          <w:left w:w="5" w:type="dxa"/>
          <w:bottom w:w="0" w:type="dxa"/>
          <w:right w:w="5" w:type="dxa"/>
        </w:tblCellMar>
        <w:tblLook w:val="01e0" w:noHBand="0" w:noVBand="0" w:firstColumn="1" w:lastRow="1" w:lastColumn="1" w:firstRow="1"/>
      </w:tblPr>
      <w:tblGrid>
        <w:gridCol w:w="5628"/>
        <w:gridCol w:w="1266"/>
        <w:gridCol w:w="1267"/>
        <w:gridCol w:w="1267"/>
      </w:tblGrid>
      <w:tr>
        <w:trPr/>
        <w:tc>
          <w:tcPr>
            <w:tcW w:w="5628"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rPr/>
            </w:pPr>
            <w:r>
              <w:rPr/>
            </w:r>
          </w:p>
        </w:tc>
        <w:tc>
          <w:tcPr>
            <w:tcW w:w="126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jc w:val="center"/>
              <w:rPr>
                <w:i/>
                <w:i/>
              </w:rPr>
            </w:pPr>
            <w:r>
              <w:rPr>
                <w:i/>
              </w:rPr>
              <w:t>2009</w:t>
            </w:r>
            <w:r>
              <w:rPr>
                <w:i/>
              </w:rPr>
              <w:t>年</w:t>
            </w:r>
          </w:p>
        </w:tc>
        <w:tc>
          <w:tcPr>
            <w:tcW w:w="126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jc w:val="center"/>
              <w:rPr>
                <w:i/>
                <w:i/>
              </w:rPr>
            </w:pPr>
            <w:r>
              <w:rPr>
                <w:i/>
              </w:rPr>
              <w:t>2010</w:t>
            </w:r>
            <w:r>
              <w:rPr>
                <w:i/>
              </w:rPr>
              <w:t>年</w:t>
            </w:r>
          </w:p>
        </w:tc>
        <w:tc>
          <w:tcPr>
            <w:tcW w:w="126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jc w:val="center"/>
              <w:rPr>
                <w:i/>
                <w:i/>
              </w:rPr>
            </w:pPr>
            <w:r>
              <w:rPr>
                <w:i/>
              </w:rPr>
              <w:t>2011</w:t>
            </w:r>
            <w:r>
              <w:rPr>
                <w:i/>
              </w:rPr>
              <w:t>年</w:t>
            </w:r>
          </w:p>
        </w:tc>
      </w:tr>
      <w:tr>
        <w:trPr/>
        <w:tc>
          <w:tcPr>
            <w:tcW w:w="5628"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rPr/>
            </w:pPr>
            <w:r>
              <w:rPr/>
              <w:t>僱員薪酬佔總經營開支的百分比</w:t>
            </w:r>
            <w:r>
              <w:rPr/>
              <w:t>(%)</w:t>
            </w:r>
          </w:p>
        </w:tc>
        <w:tc>
          <w:tcPr>
            <w:tcW w:w="126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27" w:hanging="0"/>
              <w:jc w:val="right"/>
              <w:rPr/>
            </w:pPr>
            <w:r>
              <w:rPr/>
              <w:t>35.9</w:t>
            </w:r>
          </w:p>
        </w:tc>
        <w:tc>
          <w:tcPr>
            <w:tcW w:w="1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31" w:hanging="0"/>
              <w:jc w:val="right"/>
              <w:rPr/>
            </w:pPr>
            <w:r>
              <w:rPr/>
              <w:t>35.4</w:t>
            </w:r>
          </w:p>
        </w:tc>
        <w:tc>
          <w:tcPr>
            <w:tcW w:w="1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13" w:hanging="0"/>
              <w:jc w:val="right"/>
              <w:rPr/>
            </w:pPr>
            <w:r>
              <w:rPr/>
              <w:t>35.1</w:t>
            </w:r>
          </w:p>
        </w:tc>
      </w:tr>
      <w:tr>
        <w:trPr/>
        <w:tc>
          <w:tcPr>
            <w:tcW w:w="5628"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rPr/>
            </w:pPr>
            <w:r>
              <w:rPr/>
              <w:t>租金、差餉及地租開支佔總經營開支的百分比</w:t>
            </w:r>
            <w:r>
              <w:rPr/>
              <w:t>(%)</w:t>
            </w:r>
          </w:p>
        </w:tc>
        <w:tc>
          <w:tcPr>
            <w:tcW w:w="126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27" w:hanging="0"/>
              <w:jc w:val="right"/>
              <w:rPr/>
            </w:pPr>
            <w:r>
              <w:rPr/>
              <w:t>8.1</w:t>
            </w:r>
          </w:p>
        </w:tc>
        <w:tc>
          <w:tcPr>
            <w:tcW w:w="1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31" w:hanging="0"/>
              <w:jc w:val="right"/>
              <w:rPr/>
            </w:pPr>
            <w:r>
              <w:rPr/>
              <w:t>7.7</w:t>
            </w:r>
          </w:p>
        </w:tc>
        <w:tc>
          <w:tcPr>
            <w:tcW w:w="1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13" w:hanging="0"/>
              <w:jc w:val="right"/>
              <w:rPr/>
            </w:pPr>
            <w:r>
              <w:rPr/>
              <w:t>8.4</w:t>
            </w:r>
          </w:p>
        </w:tc>
      </w:tr>
      <w:tr>
        <w:trPr/>
        <w:tc>
          <w:tcPr>
            <w:tcW w:w="5628"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clear" w:pos="567"/>
              </w:tabs>
              <w:rPr/>
            </w:pPr>
            <w:r>
              <w:rPr/>
              <w:t>整體稅前盈利率</w:t>
            </w:r>
            <w:r>
              <w:rPr/>
              <w:t>(%)</w:t>
            </w:r>
          </w:p>
        </w:tc>
        <w:tc>
          <w:tcPr>
            <w:tcW w:w="126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27" w:hanging="0"/>
              <w:jc w:val="right"/>
              <w:rPr/>
            </w:pPr>
            <w:r>
              <w:rPr/>
              <w:t>11.8</w:t>
            </w:r>
          </w:p>
        </w:tc>
        <w:tc>
          <w:tcPr>
            <w:tcW w:w="1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31" w:hanging="0"/>
              <w:jc w:val="right"/>
              <w:rPr/>
            </w:pPr>
            <w:r>
              <w:rPr/>
              <w:t>11.6</w:t>
            </w:r>
          </w:p>
        </w:tc>
        <w:tc>
          <w:tcPr>
            <w:tcW w:w="12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ind w:right="213" w:hanging="0"/>
              <w:jc w:val="right"/>
              <w:rPr/>
            </w:pPr>
            <w:r>
              <w:rPr/>
              <w:t>12.3</w:t>
            </w:r>
          </w:p>
        </w:tc>
      </w:tr>
    </w:tbl>
    <w:p>
      <w:pPr>
        <w:pStyle w:val="F21"/>
        <w:spacing w:lineRule="atLeast" w:line="240"/>
        <w:rPr>
          <w:szCs w:val="27"/>
        </w:rPr>
      </w:pPr>
      <w:r>
        <w:rPr>
          <w:szCs w:val="27"/>
        </w:rPr>
      </w:r>
    </w:p>
    <w:p>
      <w:pPr>
        <w:pStyle w:val="F21"/>
        <w:spacing w:lineRule="atLeast" w:line="390"/>
        <w:rPr/>
      </w:pPr>
      <w:bookmarkStart w:id="29" w:name="wrq08"/>
      <w:r>
        <w:rPr>
          <w:rFonts w:cs="Times New Roman" w:eastAsia="華康中黑體"/>
          <w:b/>
        </w:rPr>
        <w:t>公立醫院專科門診服務的輪候時間</w:t>
      </w:r>
      <w:r>
        <w:br w:type="page"/>
      </w:r>
    </w:p>
    <w:p>
      <w:pPr>
        <w:pStyle w:val="Normal"/>
        <w:spacing w:lineRule="atLeast" w:line="390"/>
        <w:rPr/>
      </w:pPr>
      <w:bookmarkStart w:id="30" w:name="wrq08"/>
      <w:r>
        <w:rPr>
          <w:b/>
        </w:rPr>
        <w:t>Waiting Time for Specialist Out-patient Services of Public Hospitals</w:t>
      </w:r>
      <w:bookmarkEnd w:id="30"/>
    </w:p>
    <w:p>
      <w:pPr>
        <w:pStyle w:val="F21"/>
        <w:spacing w:lineRule="atLeast" w:line="390"/>
        <w:rPr>
          <w:rFonts w:eastAsia="華康中黑體" w:cs="Times New Roman"/>
          <w:b/>
          <w:b/>
        </w:rPr>
      </w:pPr>
      <w:r>
        <w:rPr>
          <w:rFonts w:eastAsia="華康中黑體" w:cs="Times New Roman"/>
          <w:b/>
        </w:rPr>
      </w:r>
    </w:p>
    <w:p>
      <w:pPr>
        <w:pStyle w:val="F21"/>
        <w:spacing w:lineRule="atLeast" w:line="390"/>
        <w:rPr>
          <w:i/>
          <w:i/>
        </w:rPr>
      </w:pPr>
      <w:r>
        <w:rPr>
          <w:rFonts w:eastAsia="華康中黑體"/>
          <w:b/>
        </w:rPr>
        <w:t>8.</w:t>
      </w:r>
      <w:r>
        <w:rPr/>
        <w:tab/>
      </w:r>
      <w:r>
        <w:rPr>
          <w:rFonts w:eastAsia="華康中黑體"/>
          <w:b/>
        </w:rPr>
        <w:t>梁家騮議員</w:t>
      </w:r>
      <w:r>
        <w:rPr/>
        <w:t>：</w:t>
      </w:r>
      <w:r>
        <w:rPr>
          <w:i/>
        </w:rPr>
        <w:t>主席，關於醫院管理局</w:t>
      </w:r>
      <w:r>
        <w:rPr>
          <w:i/>
        </w:rPr>
        <w:t>(</w:t>
      </w:r>
      <w:r>
        <w:rPr>
          <w:i/>
          <w:szCs w:val="27"/>
        </w:rPr>
        <w:t>“</w:t>
      </w:r>
      <w:r>
        <w:rPr>
          <w:i/>
          <w:szCs w:val="27"/>
        </w:rPr>
        <w:t>醫管局”</w:t>
      </w:r>
      <w:r>
        <w:rPr>
          <w:i/>
        </w:rPr>
        <w:t>)</w:t>
      </w:r>
      <w:r>
        <w:rPr>
          <w:i/>
        </w:rPr>
        <w:t>轄下公立醫院在</w:t>
      </w:r>
      <w:r>
        <w:rPr>
          <w:i/>
        </w:rPr>
        <w:t>2008-2009</w:t>
      </w:r>
      <w:r>
        <w:rPr>
          <w:i/>
        </w:rPr>
        <w:t>至</w:t>
      </w:r>
      <w:r>
        <w:rPr>
          <w:i/>
        </w:rPr>
        <w:t>2012-2013</w:t>
      </w:r>
      <w:r>
        <w:rPr>
          <w:i/>
        </w:rPr>
        <w:t>年度提供的專科門診服務的輪候情況，政府是否知悉下列資料</w:t>
      </w:r>
      <w:r>
        <w:rPr>
          <w:i/>
        </w:rPr>
        <w:t>(</w:t>
      </w:r>
      <w:r>
        <w:rPr>
          <w:i/>
        </w:rPr>
        <w:t>以表列出</w:t>
      </w:r>
      <w:r>
        <w:rPr>
          <w:i/>
        </w:rPr>
        <w:t>)</w:t>
      </w:r>
      <w:r>
        <w:rPr>
          <w:i/>
        </w:rPr>
        <w:t>：</w:t>
      </w:r>
    </w:p>
    <w:p>
      <w:pPr>
        <w:pStyle w:val="F21"/>
        <w:spacing w:lineRule="atLeast" w:line="390"/>
        <w:rPr>
          <w:i/>
          <w:i/>
        </w:rPr>
      </w:pPr>
      <w:r>
        <w:rPr>
          <w:i/>
        </w:rPr>
      </w:r>
    </w:p>
    <w:p>
      <w:pPr>
        <w:pStyle w:val="F21"/>
        <w:spacing w:lineRule="atLeast" w:line="390"/>
        <w:ind w:left="1417" w:hanging="850"/>
        <w:rPr>
          <w:i/>
          <w:i/>
        </w:rPr>
      </w:pPr>
      <w:r>
        <w:rPr>
          <w:i/>
        </w:rPr>
        <w:t>(</w:t>
      </w:r>
      <w:r>
        <w:rPr>
          <w:i/>
        </w:rPr>
        <w:t>一</w:t>
      </w:r>
      <w:r>
        <w:rPr>
          <w:i/>
        </w:rPr>
        <w:t>)</w:t>
        <w:tab/>
      </w:r>
      <w:r>
        <w:rPr>
          <w:i/>
        </w:rPr>
        <w:t>按專科列出各醫院聯網轄下的有關專科門診分別的預約新症輪候時間的第</w:t>
      </w:r>
      <w:r>
        <w:rPr>
          <w:i/>
        </w:rPr>
        <w:t>10</w:t>
      </w:r>
      <w:r>
        <w:rPr>
          <w:i/>
        </w:rPr>
        <w:t>個、第</w:t>
      </w:r>
      <w:r>
        <w:rPr>
          <w:i/>
        </w:rPr>
        <w:t>25</w:t>
      </w:r>
      <w:r>
        <w:rPr>
          <w:i/>
        </w:rPr>
        <w:t>個、第</w:t>
      </w:r>
      <w:r>
        <w:rPr>
          <w:i/>
        </w:rPr>
        <w:t>50</w:t>
      </w:r>
      <w:r>
        <w:rPr>
          <w:i/>
        </w:rPr>
        <w:t>個、第</w:t>
      </w:r>
      <w:r>
        <w:rPr>
          <w:i/>
        </w:rPr>
        <w:t>75</w:t>
      </w:r>
      <w:r>
        <w:rPr>
          <w:i/>
        </w:rPr>
        <w:t>個及第</w:t>
      </w:r>
      <w:r>
        <w:rPr>
          <w:i/>
        </w:rPr>
        <w:t>90</w:t>
      </w:r>
      <w:r>
        <w:rPr>
          <w:i/>
        </w:rPr>
        <w:t>個百分值；</w:t>
      </w:r>
    </w:p>
    <w:p>
      <w:pPr>
        <w:pStyle w:val="F21"/>
        <w:spacing w:lineRule="atLeast" w:line="390"/>
        <w:ind w:left="1417" w:hanging="850"/>
        <w:rPr>
          <w:i/>
          <w:i/>
        </w:rPr>
      </w:pPr>
      <w:r>
        <w:rPr>
          <w:i/>
        </w:rPr>
      </w:r>
    </w:p>
    <w:p>
      <w:pPr>
        <w:pStyle w:val="F21"/>
        <w:spacing w:lineRule="atLeast" w:line="390"/>
        <w:ind w:left="1417" w:hanging="850"/>
        <w:rPr>
          <w:i/>
          <w:i/>
        </w:rPr>
      </w:pPr>
      <w:r>
        <w:rPr>
          <w:i/>
        </w:rPr>
        <w:t>(</w:t>
      </w:r>
      <w:r>
        <w:rPr>
          <w:i/>
        </w:rPr>
        <w:t>二</w:t>
      </w:r>
      <w:r>
        <w:rPr>
          <w:i/>
        </w:rPr>
        <w:t>)</w:t>
        <w:tab/>
      </w:r>
      <w:r>
        <w:rPr>
          <w:i/>
        </w:rPr>
        <w:t>按專科列出各公立醫院轄下的有關專科門診分別的預約新症輪候時間的第</w:t>
      </w:r>
      <w:r>
        <w:rPr>
          <w:i/>
        </w:rPr>
        <w:t>10</w:t>
      </w:r>
      <w:r>
        <w:rPr>
          <w:i/>
        </w:rPr>
        <w:t>個、第</w:t>
      </w:r>
      <w:r>
        <w:rPr>
          <w:i/>
        </w:rPr>
        <w:t>25</w:t>
      </w:r>
      <w:r>
        <w:rPr>
          <w:i/>
        </w:rPr>
        <w:t>個、第</w:t>
      </w:r>
      <w:r>
        <w:rPr>
          <w:i/>
        </w:rPr>
        <w:t>50</w:t>
      </w:r>
      <w:r>
        <w:rPr>
          <w:i/>
        </w:rPr>
        <w:t>個、第</w:t>
      </w:r>
      <w:r>
        <w:rPr>
          <w:i/>
        </w:rPr>
        <w:t>75</w:t>
      </w:r>
      <w:r>
        <w:rPr>
          <w:i/>
        </w:rPr>
        <w:t>個及第</w:t>
      </w:r>
      <w:r>
        <w:rPr>
          <w:i/>
        </w:rPr>
        <w:t>90</w:t>
      </w:r>
      <w:r>
        <w:rPr>
          <w:i/>
        </w:rPr>
        <w:t>個百分值；</w:t>
      </w:r>
    </w:p>
    <w:p>
      <w:pPr>
        <w:pStyle w:val="F21"/>
        <w:spacing w:lineRule="atLeast" w:line="390"/>
        <w:rPr>
          <w:i/>
          <w:i/>
        </w:rPr>
      </w:pPr>
      <w:r>
        <w:rPr>
          <w:i/>
        </w:rPr>
      </w:r>
    </w:p>
    <w:p>
      <w:pPr>
        <w:pStyle w:val="F21"/>
        <w:spacing w:lineRule="atLeast" w:line="390"/>
        <w:ind w:left="1417" w:hanging="850"/>
        <w:rPr>
          <w:i/>
          <w:i/>
        </w:rPr>
      </w:pPr>
      <w:r>
        <w:rPr>
          <w:i/>
        </w:rPr>
        <w:t>(</w:t>
      </w:r>
      <w:r>
        <w:rPr>
          <w:i/>
        </w:rPr>
        <w:t>三</w:t>
      </w:r>
      <w:r>
        <w:rPr>
          <w:i/>
        </w:rPr>
        <w:t>)</w:t>
        <w:tab/>
      </w:r>
      <w:r>
        <w:rPr>
          <w:i/>
        </w:rPr>
        <w:t>按專科列出各公立醫院轄下的有關專科門診的醫生分別平均每人每月處理的新症數目；</w:t>
      </w:r>
    </w:p>
    <w:p>
      <w:pPr>
        <w:pStyle w:val="F21"/>
        <w:spacing w:lineRule="atLeast" w:line="390"/>
        <w:ind w:left="1417" w:hanging="850"/>
        <w:rPr>
          <w:i/>
          <w:i/>
        </w:rPr>
      </w:pPr>
      <w:r>
        <w:rPr>
          <w:i/>
        </w:rPr>
      </w:r>
    </w:p>
    <w:p>
      <w:pPr>
        <w:pStyle w:val="F21"/>
        <w:spacing w:lineRule="atLeast" w:line="390"/>
        <w:ind w:left="1417" w:hanging="850"/>
        <w:rPr>
          <w:i/>
          <w:i/>
        </w:rPr>
      </w:pPr>
      <w:r>
        <w:rPr>
          <w:i/>
        </w:rPr>
        <w:t>(</w:t>
      </w:r>
      <w:r>
        <w:rPr>
          <w:i/>
        </w:rPr>
        <w:t>四</w:t>
      </w:r>
      <w:r>
        <w:rPr>
          <w:i/>
        </w:rPr>
        <w:t>)</w:t>
        <w:tab/>
      </w:r>
      <w:r>
        <w:rPr>
          <w:i/>
        </w:rPr>
        <w:t>按專科列出各公立醫院轄下的有關專科門診的醫生分別平均每人每月處理的舊症數目；及</w:t>
      </w:r>
    </w:p>
    <w:p>
      <w:pPr>
        <w:pStyle w:val="F21"/>
        <w:spacing w:lineRule="atLeast" w:line="390"/>
        <w:ind w:left="1417" w:hanging="850"/>
        <w:rPr>
          <w:i/>
          <w:i/>
        </w:rPr>
      </w:pPr>
      <w:r>
        <w:rPr>
          <w:i/>
        </w:rPr>
      </w:r>
    </w:p>
    <w:p>
      <w:pPr>
        <w:pStyle w:val="F21"/>
        <w:spacing w:lineRule="atLeast" w:line="390"/>
        <w:ind w:left="1417" w:hanging="850"/>
        <w:rPr>
          <w:i/>
          <w:i/>
        </w:rPr>
      </w:pPr>
      <w:r>
        <w:rPr>
          <w:i/>
        </w:rPr>
        <w:t>(</w:t>
      </w:r>
      <w:r>
        <w:rPr>
          <w:i/>
        </w:rPr>
        <w:t>五</w:t>
      </w:r>
      <w:r>
        <w:rPr>
          <w:i/>
        </w:rPr>
        <w:t>)</w:t>
        <w:tab/>
      </w:r>
      <w:r>
        <w:rPr>
          <w:i/>
        </w:rPr>
        <w:t>按醫學檢查的種類</w:t>
      </w:r>
      <w:r>
        <w:rPr>
          <w:i/>
        </w:rPr>
        <w:t>(</w:t>
      </w:r>
      <w:r>
        <w:rPr>
          <w:i/>
        </w:rPr>
        <w:t>即電腦掃描、超聲波掃描、乳房</w:t>
      </w:r>
      <w:r>
        <w:rPr>
          <w:i/>
        </w:rPr>
        <w:t>X</w:t>
      </w:r>
      <w:r>
        <w:rPr>
          <w:i/>
        </w:rPr>
        <w:t>光造影，以及磁力共振掃描</w:t>
      </w:r>
      <w:r>
        <w:rPr>
          <w:i/>
        </w:rPr>
        <w:t>)</w:t>
      </w:r>
      <w:r>
        <w:rPr>
          <w:i/>
        </w:rPr>
        <w:t>列出各公立醫院為病人進行有關的醫學檢查，分別的預約新症輪候時間的第</w:t>
      </w:r>
      <w:r>
        <w:rPr>
          <w:i/>
        </w:rPr>
        <w:t>10</w:t>
      </w:r>
      <w:r>
        <w:rPr>
          <w:i/>
        </w:rPr>
        <w:t>個、第</w:t>
      </w:r>
      <w:r>
        <w:rPr>
          <w:i/>
        </w:rPr>
        <w:t>25</w:t>
      </w:r>
      <w:r>
        <w:rPr>
          <w:i/>
        </w:rPr>
        <w:t>個、第</w:t>
      </w:r>
      <w:r>
        <w:rPr>
          <w:i/>
        </w:rPr>
        <w:t>50</w:t>
      </w:r>
      <w:r>
        <w:rPr>
          <w:i/>
        </w:rPr>
        <w:t>個、第</w:t>
      </w:r>
      <w:r>
        <w:rPr>
          <w:i/>
        </w:rPr>
        <w:t>75</w:t>
      </w:r>
      <w:r>
        <w:rPr>
          <w:i/>
        </w:rPr>
        <w:t>個及第</w:t>
      </w:r>
      <w:r>
        <w:rPr>
          <w:i/>
        </w:rPr>
        <w:t>90</w:t>
      </w:r>
      <w:r>
        <w:rPr>
          <w:i/>
        </w:rPr>
        <w:t>個百分值？</w:t>
      </w:r>
    </w:p>
    <w:p>
      <w:pPr>
        <w:pStyle w:val="F21"/>
        <w:spacing w:lineRule="atLeast" w:line="390"/>
        <w:rPr>
          <w:i/>
          <w:i/>
        </w:rPr>
      </w:pPr>
      <w:r>
        <w:rPr>
          <w:i/>
        </w:rPr>
      </w:r>
    </w:p>
    <w:p>
      <w:pPr>
        <w:pStyle w:val="F21"/>
        <w:spacing w:lineRule="atLeast" w:line="390"/>
        <w:rPr>
          <w:i/>
          <w:i/>
        </w:rPr>
      </w:pPr>
      <w:r>
        <w:rPr>
          <w:i/>
        </w:rPr>
      </w:r>
    </w:p>
    <w:p>
      <w:pPr>
        <w:pStyle w:val="F21"/>
        <w:spacing w:lineRule="atLeast" w:line="390"/>
        <w:rPr/>
      </w:pPr>
      <w:r>
        <w:rPr>
          <w:rFonts w:eastAsia="華康中黑體"/>
          <w:b/>
        </w:rPr>
        <w:t>食物及衞生局局長</w:t>
      </w:r>
      <w:r>
        <w:rPr/>
        <w:t>：主席，</w:t>
      </w:r>
    </w:p>
    <w:p>
      <w:pPr>
        <w:pStyle w:val="F21"/>
        <w:spacing w:lineRule="atLeast" w:line="390"/>
        <w:rPr/>
      </w:pPr>
      <w:r>
        <w:rPr/>
      </w:r>
    </w:p>
    <w:p>
      <w:pPr>
        <w:pStyle w:val="F21"/>
        <w:spacing w:lineRule="atLeast" w:line="390"/>
        <w:ind w:left="1055" w:hanging="775"/>
        <w:rPr/>
      </w:pPr>
      <w:r>
        <w:rPr/>
        <w:t>(</w:t>
      </w:r>
      <w:r>
        <w:rPr/>
        <w:t>一</w:t>
      </w:r>
      <w:r>
        <w:rPr/>
        <w:t>)</w:t>
      </w:r>
      <w:r>
        <w:rPr/>
        <w:t>及</w:t>
      </w:r>
      <w:r>
        <w:rPr/>
        <w:t>(</w:t>
      </w:r>
      <w:r>
        <w:rPr/>
        <w:t>二</w:t>
      </w:r>
      <w:r>
        <w:rPr/>
        <w:t>)</w:t>
      </w:r>
    </w:p>
    <w:p>
      <w:pPr>
        <w:pStyle w:val="F21"/>
        <w:spacing w:lineRule="atLeast" w:line="390"/>
        <w:ind w:left="1055" w:hanging="775"/>
        <w:rPr/>
      </w:pPr>
      <w:r>
        <w:rPr/>
      </w:r>
    </w:p>
    <w:p>
      <w:pPr>
        <w:pStyle w:val="F21"/>
        <w:spacing w:lineRule="atLeast" w:line="390"/>
        <w:ind w:left="1055" w:hanging="775"/>
        <w:rPr/>
      </w:pPr>
      <w:r>
        <w:rPr/>
        <w:tab/>
        <w:tab/>
      </w:r>
      <w:r>
        <w:rPr/>
        <w:t>醫管局就所有專科門診的新轉介個案實施分流制度，確保病情緊急而且有需要及早介入的病人會優先獲得治療。在目前的分流制度下，新轉介個案通常先由護士甄別，再經有關專科的專科醫生檢查，然後分為第一優先類別</w:t>
      </w:r>
      <w:r>
        <w:rPr/>
        <w:t>(</w:t>
      </w:r>
      <w:r>
        <w:rPr/>
        <w:t>緊急</w:t>
      </w:r>
      <w:r>
        <w:rPr/>
        <w:t>)</w:t>
      </w:r>
      <w:r>
        <w:rPr/>
        <w:t>、第二優先類別</w:t>
      </w:r>
      <w:r>
        <w:rPr/>
        <w:t>(</w:t>
      </w:r>
      <w:r>
        <w:rPr/>
        <w:t>半緊急</w:t>
      </w:r>
      <w:r>
        <w:rPr/>
        <w:t>)</w:t>
      </w:r>
      <w:r>
        <w:rPr/>
        <w:t>和例行個案。醫管局的目標，是把第一優先類別和第二優先類別的輪候時間中位數分別維持在兩星期和</w:t>
      </w:r>
      <w:r>
        <w:rPr/>
        <w:t>8</w:t>
      </w:r>
      <w:r>
        <w:rPr/>
        <w:t>星期之內。至今，醫管局一直能夠達到有關目標。此外，聯網內同一專科的診所會就服務提供互相作出協調，因此，專科門診服務的輪候時間按聯網匯報，而輪候時間在統計上一般以下四分位值</w:t>
      </w:r>
      <w:r>
        <w:rPr/>
        <w:t>(</w:t>
      </w:r>
      <w:r>
        <w:rPr/>
        <w:t>第</w:t>
      </w:r>
      <w:r>
        <w:rPr/>
        <w:t>25</w:t>
      </w:r>
      <w:r>
        <w:rPr/>
        <w:t>個百分值</w:t>
      </w:r>
      <w:r>
        <w:rPr/>
        <w:t>)</w:t>
      </w:r>
      <w:r>
        <w:rPr/>
        <w:t>、中位數</w:t>
      </w:r>
      <w:r>
        <w:rPr/>
        <w:t>(</w:t>
      </w:r>
      <w:r>
        <w:rPr/>
        <w:t>第</w:t>
      </w:r>
      <w:r>
        <w:rPr/>
        <w:t>50</w:t>
      </w:r>
      <w:r>
        <w:rPr/>
        <w:t>個百分值</w:t>
      </w:r>
      <w:r>
        <w:rPr/>
        <w:t>)</w:t>
      </w:r>
      <w:r>
        <w:rPr/>
        <w:t>、上四分位值</w:t>
      </w:r>
      <w:r>
        <w:rPr/>
        <w:t>(</w:t>
      </w:r>
      <w:r>
        <w:rPr/>
        <w:t>第</w:t>
      </w:r>
      <w:r>
        <w:rPr/>
        <w:t>75</w:t>
      </w:r>
      <w:r>
        <w:rPr/>
        <w:t>個百分值</w:t>
      </w:r>
      <w:r>
        <w:rPr/>
        <w:t>)</w:t>
      </w:r>
      <w:r>
        <w:rPr/>
        <w:t>和最長輪候時間</w:t>
      </w:r>
      <w:r>
        <w:rPr/>
        <w:t>(</w:t>
      </w:r>
      <w:r>
        <w:rPr/>
        <w:t>第</w:t>
      </w:r>
      <w:r>
        <w:rPr/>
        <w:t>90</w:t>
      </w:r>
      <w:r>
        <w:rPr/>
        <w:t>個百分值</w:t>
      </w:r>
      <w:r>
        <w:rPr/>
        <w:t>)</w:t>
      </w:r>
      <w:r>
        <w:rPr/>
        <w:t>列出，以涵蓋整體數據的分布。</w:t>
      </w:r>
    </w:p>
    <w:p>
      <w:pPr>
        <w:pStyle w:val="F21"/>
        <w:spacing w:lineRule="atLeast" w:line="390"/>
        <w:ind w:left="1055" w:hanging="775"/>
        <w:rPr/>
      </w:pPr>
      <w:r>
        <w:rPr/>
      </w:r>
    </w:p>
    <w:p>
      <w:pPr>
        <w:pStyle w:val="F21"/>
        <w:spacing w:lineRule="atLeast" w:line="390"/>
        <w:ind w:left="1055" w:hanging="775"/>
        <w:rPr/>
      </w:pPr>
      <w:r>
        <w:rPr/>
        <w:tab/>
        <w:tab/>
      </w:r>
      <w:r>
        <w:rPr/>
        <w:t>在</w:t>
      </w:r>
      <w:r>
        <w:rPr/>
        <w:t>2008-2009</w:t>
      </w:r>
      <w:r>
        <w:rPr/>
        <w:t>至</w:t>
      </w:r>
      <w:r>
        <w:rPr/>
        <w:t>2012-2013</w:t>
      </w:r>
      <w:r>
        <w:rPr/>
        <w:t>年度於各醫院聯網專科門診新症分流為第一優先類別、第二優先類別和例行類別的專科門診新症輪候時間的相關數據分布見附件一。</w:t>
      </w:r>
    </w:p>
    <w:p>
      <w:pPr>
        <w:pStyle w:val="F21"/>
        <w:spacing w:lineRule="atLeast" w:line="390"/>
        <w:ind w:left="1055" w:hanging="775"/>
        <w:rPr/>
      </w:pPr>
      <w:r>
        <w:rPr/>
      </w:r>
    </w:p>
    <w:p>
      <w:pPr>
        <w:pStyle w:val="F21"/>
        <w:spacing w:lineRule="atLeast" w:line="390"/>
        <w:ind w:left="1055" w:hanging="775"/>
        <w:rPr/>
      </w:pPr>
      <w:r>
        <w:rPr/>
        <w:t>(</w:t>
      </w:r>
      <w:r>
        <w:rPr/>
        <w:t>三</w:t>
      </w:r>
      <w:r>
        <w:rPr/>
        <w:t>)</w:t>
      </w:r>
      <w:r>
        <w:rPr/>
        <w:t>及</w:t>
      </w:r>
      <w:r>
        <w:rPr/>
        <w:t>(</w:t>
      </w:r>
      <w:r>
        <w:rPr/>
        <w:t>四</w:t>
      </w:r>
      <w:r>
        <w:rPr/>
        <w:t>)</w:t>
      </w:r>
    </w:p>
    <w:p>
      <w:pPr>
        <w:pStyle w:val="F21"/>
        <w:spacing w:lineRule="atLeast" w:line="390"/>
        <w:ind w:left="1055" w:hanging="775"/>
        <w:rPr/>
      </w:pPr>
      <w:r>
        <w:rPr/>
      </w:r>
    </w:p>
    <w:p>
      <w:pPr>
        <w:pStyle w:val="F21"/>
        <w:spacing w:lineRule="atLeast" w:line="390"/>
        <w:ind w:left="1055" w:hanging="775"/>
        <w:rPr/>
      </w:pPr>
      <w:r>
        <w:rPr/>
        <w:tab/>
        <w:tab/>
      </w:r>
      <w:r>
        <w:rPr/>
        <w:t>醫院聯網內的每名醫生須負責提供一系列全面的服務，包括住院、手術、門診、日間護理和外展服務。單一比較不同聯網專科門診醫生的每月診症數目意義不大。此外，由於醫護服務的模式、新症和舊症比例，以至每宗病例的複雜程度，均有不同，各專科和醫院聯網之間的數字亦因此有所差異。</w:t>
      </w:r>
    </w:p>
    <w:p>
      <w:pPr>
        <w:pStyle w:val="F21"/>
        <w:spacing w:lineRule="atLeast" w:line="390"/>
        <w:ind w:left="1055" w:hanging="775"/>
        <w:rPr/>
      </w:pPr>
      <w:r>
        <w:rPr/>
      </w:r>
    </w:p>
    <w:p>
      <w:pPr>
        <w:pStyle w:val="F21"/>
        <w:spacing w:lineRule="atLeast" w:line="390"/>
        <w:ind w:left="1055" w:hanging="775"/>
        <w:rPr/>
      </w:pPr>
      <w:r>
        <w:rPr/>
        <w:tab/>
        <w:tab/>
      </w:r>
      <w:r>
        <w:rPr/>
        <w:t>附件二列出</w:t>
      </w:r>
      <w:r>
        <w:rPr/>
        <w:t>2008-2009</w:t>
      </w:r>
      <w:r>
        <w:rPr/>
        <w:t>至</w:t>
      </w:r>
      <w:r>
        <w:rPr/>
        <w:t>2012-2013</w:t>
      </w:r>
      <w:r>
        <w:rPr/>
        <w:t>年度各醫院聯網內的主要專科醫生的數目。另附件三及附件四分別列出</w:t>
      </w:r>
      <w:r>
        <w:rPr/>
        <w:t>2008-2009</w:t>
      </w:r>
      <w:r>
        <w:rPr/>
        <w:t>至</w:t>
      </w:r>
      <w:r>
        <w:rPr/>
        <w:t>2012-2013</w:t>
      </w:r>
      <w:r>
        <w:rPr/>
        <w:t>年度各醫院聯網內的主要專科門診新症數目及舊症就診人次。</w:t>
      </w:r>
    </w:p>
    <w:p>
      <w:pPr>
        <w:pStyle w:val="F21"/>
        <w:spacing w:lineRule="atLeast" w:line="390"/>
        <w:ind w:left="1055" w:hanging="775"/>
        <w:rPr/>
      </w:pPr>
      <w:r>
        <w:rPr/>
      </w:r>
    </w:p>
    <w:p>
      <w:pPr>
        <w:pStyle w:val="F21"/>
        <w:spacing w:lineRule="atLeast" w:line="390"/>
        <w:ind w:left="1055" w:hanging="775"/>
        <w:rPr/>
      </w:pPr>
      <w:r>
        <w:rPr/>
        <w:t>(</w:t>
      </w:r>
      <w:r>
        <w:rPr/>
        <w:t>五</w:t>
      </w:r>
      <w:r>
        <w:rPr/>
        <w:t>)</w:t>
        <w:tab/>
      </w:r>
      <w:r>
        <w:rPr/>
        <w:t>醫管局以聯網統籌和提供電腦掃描、超聲波掃描、乳房</w:t>
      </w:r>
      <w:r>
        <w:rPr/>
        <w:t>X</w:t>
      </w:r>
      <w:r>
        <w:rPr/>
        <w:t>光造影及磁力共振掃描服務予住院、手術、門診和日間護理病人。在</w:t>
      </w:r>
      <w:r>
        <w:rPr/>
        <w:t>2010-2011</w:t>
      </w:r>
      <w:r>
        <w:rPr/>
        <w:t>年度至</w:t>
      </w:r>
      <w:r>
        <w:rPr/>
        <w:t>2012-2013</w:t>
      </w:r>
      <w:r>
        <w:rPr/>
        <w:t>年度</w:t>
      </w:r>
      <w:r>
        <w:rPr/>
        <w:t>(</w:t>
      </w:r>
      <w:r>
        <w:rPr/>
        <w:t>以</w:t>
      </w:r>
      <w:r>
        <w:rPr/>
        <w:t>7</w:t>
      </w:r>
      <w:r>
        <w:rPr/>
        <w:t>月</w:t>
      </w:r>
      <w:r>
        <w:rPr/>
        <w:t>1</w:t>
      </w:r>
      <w:r>
        <w:rPr/>
        <w:t>日至翌年</w:t>
      </w:r>
      <w:r>
        <w:rPr/>
        <w:t>6</w:t>
      </w:r>
      <w:r>
        <w:rPr/>
        <w:t>月</w:t>
      </w:r>
      <w:r>
        <w:rPr/>
        <w:t>30</w:t>
      </w:r>
      <w:r>
        <w:rPr/>
        <w:t>日計算</w:t>
      </w:r>
      <w:r>
        <w:rPr/>
        <w:t>)</w:t>
      </w:r>
      <w:r>
        <w:rPr>
          <w:rStyle w:val="FootnoteAnchor"/>
        </w:rPr>
        <w:footnoteReference w:customMarkFollows="1" w:id="4"/>
        <w:t>(1)</w:t>
      </w:r>
      <w:r>
        <w:rPr/>
        <w:t>，病人於各聯網已接受檢驗的輪候時間</w:t>
      </w:r>
      <w:r>
        <w:rPr/>
        <w:t>(</w:t>
      </w:r>
      <w:r>
        <w:rPr/>
        <w:t>包括新症及舊症</w:t>
      </w:r>
      <w:r>
        <w:rPr/>
        <w:t>)</w:t>
      </w:r>
      <w:r>
        <w:rPr/>
        <w:t>的下四分位值</w:t>
      </w:r>
      <w:r>
        <w:rPr/>
        <w:t>(</w:t>
      </w:r>
      <w:r>
        <w:rPr/>
        <w:t>第</w:t>
      </w:r>
      <w:r>
        <w:rPr/>
        <w:t>25</w:t>
      </w:r>
      <w:r>
        <w:rPr/>
        <w:t>個百分值</w:t>
      </w:r>
      <w:r>
        <w:rPr/>
        <w:t>)</w:t>
      </w:r>
      <w:r>
        <w:rPr/>
        <w:t>、中位數</w:t>
      </w:r>
      <w:r>
        <w:rPr/>
        <w:t>(</w:t>
      </w:r>
      <w:r>
        <w:rPr/>
        <w:t>第</w:t>
      </w:r>
      <w:r>
        <w:rPr/>
        <w:t>50</w:t>
      </w:r>
      <w:r>
        <w:rPr/>
        <w:t>個百分值</w:t>
      </w:r>
      <w:r>
        <w:rPr/>
        <w:t>)</w:t>
      </w:r>
      <w:r>
        <w:rPr/>
        <w:t>、上四分位值</w:t>
      </w:r>
      <w:r>
        <w:rPr/>
        <w:t>(</w:t>
      </w:r>
      <w:r>
        <w:rPr/>
        <w:t>第</w:t>
      </w:r>
      <w:r>
        <w:rPr/>
        <w:t>75</w:t>
      </w:r>
      <w:r>
        <w:rPr/>
        <w:t>個百分值</w:t>
      </w:r>
      <w:r>
        <w:rPr/>
        <w:t>)</w:t>
      </w:r>
      <w:r>
        <w:rPr/>
        <w:t>和最長輪候時間</w:t>
      </w:r>
      <w:r>
        <w:rPr/>
        <w:t>(</w:t>
      </w:r>
      <w:r>
        <w:rPr/>
        <w:t>第</w:t>
      </w:r>
      <w:r>
        <w:rPr/>
        <w:t>90</w:t>
      </w:r>
      <w:r>
        <w:rPr/>
        <w:t>個百分值</w:t>
      </w:r>
      <w:r>
        <w:rPr/>
        <w:t>)</w:t>
      </w:r>
      <w:r>
        <w:rPr/>
        <w:t>見附件五。</w:t>
      </w:r>
    </w:p>
    <w:p>
      <w:pPr>
        <w:pStyle w:val="F21"/>
        <w:spacing w:lineRule="auto" w:line="240"/>
        <w:rPr>
          <w:sz w:val="16"/>
          <w:szCs w:val="16"/>
        </w:rPr>
      </w:pPr>
      <w:r>
        <w:rPr>
          <w:sz w:val="16"/>
          <w:szCs w:val="16"/>
        </w:rPr>
      </w:r>
    </w:p>
    <w:p>
      <w:pPr>
        <w:pStyle w:val="F21"/>
        <w:snapToGrid w:val="false"/>
        <w:jc w:val="right"/>
        <w:rPr>
          <w:szCs w:val="27"/>
        </w:rPr>
      </w:pPr>
      <w:r>
        <w:rPr>
          <w:szCs w:val="27"/>
        </w:rPr>
        <w:t>附件一</w:t>
      </w:r>
      <w:r>
        <w:br w:type="page"/>
      </w:r>
    </w:p>
    <w:p>
      <w:pPr>
        <w:pStyle w:val="F21"/>
        <w:snapToGrid w:val="false"/>
        <w:rPr>
          <w:szCs w:val="27"/>
        </w:rPr>
      </w:pPr>
      <w:r>
        <w:rPr>
          <w:szCs w:val="27"/>
        </w:rPr>
      </w:r>
    </w:p>
    <w:p>
      <w:pPr>
        <w:pStyle w:val="F21"/>
        <w:snapToGrid w:val="false"/>
        <w:jc w:val="center"/>
        <w:rPr>
          <w:rFonts w:cs="Times New Roman"/>
          <w:szCs w:val="27"/>
        </w:rPr>
      </w:pPr>
      <w:r>
        <w:rPr>
          <w:rFonts w:cs="Times New Roman"/>
          <w:szCs w:val="27"/>
        </w:rPr>
        <w:t>在</w:t>
      </w:r>
      <w:r>
        <w:rPr>
          <w:rFonts w:cs="Times New Roman"/>
          <w:szCs w:val="27"/>
        </w:rPr>
        <w:t>2008-2009</w:t>
      </w:r>
      <w:r>
        <w:rPr>
          <w:rFonts w:cs="Times New Roman"/>
          <w:szCs w:val="27"/>
        </w:rPr>
        <w:t>年度至</w:t>
      </w:r>
      <w:r>
        <w:rPr>
          <w:rFonts w:cs="Times New Roman"/>
          <w:szCs w:val="27"/>
        </w:rPr>
        <w:t>2012-2013</w:t>
      </w:r>
      <w:r>
        <w:rPr>
          <w:rFonts w:cs="Times New Roman"/>
          <w:szCs w:val="27"/>
        </w:rPr>
        <w:t>年度於各醫院聯網專科門診新症分流為第一優先類別</w:t>
      </w:r>
      <w:r>
        <w:rPr>
          <w:rFonts w:cs="Times New Roman"/>
          <w:szCs w:val="27"/>
        </w:rPr>
        <w:t>(</w:t>
      </w:r>
      <w:r>
        <w:rPr>
          <w:rFonts w:cs="Times New Roman"/>
          <w:szCs w:val="27"/>
        </w:rPr>
        <w:t>緊急</w:t>
      </w:r>
      <w:r>
        <w:rPr>
          <w:rFonts w:cs="Times New Roman"/>
          <w:szCs w:val="27"/>
        </w:rPr>
        <w:t>)</w:t>
      </w:r>
      <w:r>
        <w:rPr>
          <w:rFonts w:cs="Times New Roman"/>
          <w:szCs w:val="27"/>
        </w:rPr>
        <w:t>、第二優先類別</w:t>
      </w:r>
      <w:r>
        <w:rPr>
          <w:rFonts w:cs="Times New Roman"/>
          <w:szCs w:val="27"/>
        </w:rPr>
        <w:t>(</w:t>
      </w:r>
      <w:r>
        <w:rPr>
          <w:rFonts w:cs="Times New Roman"/>
          <w:szCs w:val="27"/>
        </w:rPr>
        <w:t>次緊急</w:t>
      </w:r>
      <w:r>
        <w:rPr>
          <w:rFonts w:cs="Times New Roman"/>
          <w:szCs w:val="27"/>
        </w:rPr>
        <w:t>)</w:t>
      </w:r>
      <w:r>
        <w:rPr>
          <w:rFonts w:cs="Times New Roman"/>
          <w:szCs w:val="27"/>
        </w:rPr>
        <w:t>和例行類別的數目、各類別在專科門診新症總數中所佔的百分比，以及其輪候時間的下四分位值</w:t>
      </w:r>
      <w:r>
        <w:rPr>
          <w:rFonts w:cs="Times New Roman"/>
          <w:szCs w:val="27"/>
        </w:rPr>
        <w:t>(</w:t>
      </w:r>
      <w:r>
        <w:rPr>
          <w:rFonts w:cs="Times New Roman"/>
          <w:szCs w:val="27"/>
        </w:rPr>
        <w:t>第</w:t>
      </w:r>
      <w:r>
        <w:rPr>
          <w:rFonts w:cs="Times New Roman"/>
          <w:szCs w:val="27"/>
        </w:rPr>
        <w:t>25</w:t>
      </w:r>
      <w:r>
        <w:rPr>
          <w:rFonts w:cs="Times New Roman"/>
          <w:szCs w:val="27"/>
        </w:rPr>
        <w:t>個百分值</w:t>
      </w:r>
      <w:r>
        <w:rPr>
          <w:rFonts w:cs="Times New Roman"/>
          <w:szCs w:val="27"/>
        </w:rPr>
        <w:t>)</w:t>
      </w:r>
      <w:r>
        <w:rPr>
          <w:rFonts w:cs="Times New Roman"/>
          <w:szCs w:val="27"/>
        </w:rPr>
        <w:t>、中位數</w:t>
      </w:r>
      <w:r>
        <w:rPr>
          <w:rFonts w:cs="Times New Roman"/>
          <w:szCs w:val="27"/>
        </w:rPr>
        <w:t>(</w:t>
      </w:r>
      <w:r>
        <w:rPr>
          <w:rFonts w:cs="Times New Roman"/>
          <w:szCs w:val="27"/>
        </w:rPr>
        <w:t>第</w:t>
      </w:r>
      <w:r>
        <w:rPr>
          <w:rFonts w:cs="Times New Roman"/>
          <w:szCs w:val="27"/>
        </w:rPr>
        <w:t>50</w:t>
      </w:r>
      <w:r>
        <w:rPr>
          <w:rFonts w:cs="Times New Roman"/>
          <w:szCs w:val="27"/>
        </w:rPr>
        <w:t>個百分值</w:t>
      </w:r>
      <w:r>
        <w:rPr>
          <w:rFonts w:cs="Times New Roman"/>
          <w:szCs w:val="27"/>
        </w:rPr>
        <w:t>)</w:t>
      </w:r>
      <w:r>
        <w:rPr>
          <w:rFonts w:cs="Times New Roman"/>
          <w:szCs w:val="27"/>
        </w:rPr>
        <w:t>、上四分位值</w:t>
      </w:r>
      <w:r>
        <w:rPr>
          <w:rFonts w:cs="Times New Roman"/>
          <w:szCs w:val="27"/>
        </w:rPr>
        <w:t>(</w:t>
      </w:r>
      <w:r>
        <w:rPr>
          <w:rFonts w:cs="Times New Roman"/>
          <w:szCs w:val="27"/>
        </w:rPr>
        <w:t>第</w:t>
      </w:r>
      <w:r>
        <w:rPr>
          <w:rFonts w:cs="Times New Roman"/>
          <w:szCs w:val="27"/>
        </w:rPr>
        <w:t>75</w:t>
      </w:r>
      <w:r>
        <w:rPr>
          <w:rFonts w:cs="Times New Roman"/>
          <w:szCs w:val="27"/>
        </w:rPr>
        <w:t>個百分值</w:t>
      </w:r>
      <w:r>
        <w:rPr>
          <w:rFonts w:cs="Times New Roman"/>
          <w:szCs w:val="27"/>
        </w:rPr>
        <w:t>)</w:t>
      </w:r>
      <w:r>
        <w:rPr>
          <w:rFonts w:cs="Times New Roman"/>
          <w:szCs w:val="27"/>
        </w:rPr>
        <w:t>和最長輪候時間</w:t>
      </w:r>
      <w:r>
        <w:rPr>
          <w:rFonts w:cs="Times New Roman"/>
          <w:szCs w:val="27"/>
        </w:rPr>
        <w:t>(</w:t>
      </w:r>
      <w:r>
        <w:rPr>
          <w:rFonts w:cs="Times New Roman"/>
          <w:szCs w:val="27"/>
        </w:rPr>
        <w:t>第</w:t>
      </w:r>
      <w:r>
        <w:rPr>
          <w:rFonts w:cs="Times New Roman"/>
          <w:szCs w:val="27"/>
        </w:rPr>
        <w:t>90</w:t>
      </w:r>
      <w:r>
        <w:rPr>
          <w:rFonts w:cs="Times New Roman"/>
          <w:szCs w:val="27"/>
        </w:rPr>
        <w:t>個百分值</w:t>
      </w:r>
      <w:r>
        <w:rPr>
          <w:rFonts w:cs="Times New Roman"/>
          <w:szCs w:val="27"/>
        </w:rPr>
        <w:t>)</w:t>
      </w:r>
    </w:p>
    <w:p>
      <w:pPr>
        <w:pStyle w:val="F21"/>
        <w:snapToGrid w:val="false"/>
        <w:rPr/>
      </w:pPr>
      <w:r>
        <w:rPr/>
      </w:r>
    </w:p>
    <w:p>
      <w:pPr>
        <w:pStyle w:val="F21"/>
        <w:snapToGrid w:val="false"/>
        <w:rPr>
          <w:rFonts w:cs="Times New Roman"/>
          <w:szCs w:val="27"/>
        </w:rPr>
      </w:pPr>
      <w:r>
        <w:rPr>
          <w:rFonts w:cs="Times New Roman"/>
          <w:szCs w:val="27"/>
        </w:rPr>
        <w:t>2008-2009</w:t>
      </w:r>
      <w:r>
        <w:rPr>
          <w:rFonts w:cs="Times New Roman"/>
          <w:szCs w:val="27"/>
        </w:rPr>
        <w:t>年度</w:t>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571"/>
        <w:gridCol w:w="851"/>
        <w:gridCol w:w="425"/>
        <w:gridCol w:w="425"/>
        <w:gridCol w:w="306"/>
        <w:gridCol w:w="120"/>
        <w:gridCol w:w="322"/>
        <w:gridCol w:w="104"/>
        <w:gridCol w:w="340"/>
        <w:gridCol w:w="85"/>
        <w:gridCol w:w="357"/>
        <w:gridCol w:w="443"/>
        <w:gridCol w:w="444"/>
        <w:gridCol w:w="442"/>
        <w:gridCol w:w="443"/>
        <w:gridCol w:w="442"/>
        <w:gridCol w:w="443"/>
        <w:gridCol w:w="528"/>
        <w:gridCol w:w="425"/>
        <w:gridCol w:w="376"/>
        <w:gridCol w:w="443"/>
        <w:gridCol w:w="443"/>
        <w:gridCol w:w="440"/>
      </w:tblGrid>
      <w:tr>
        <w:trPr>
          <w:tblHeader w:val="true"/>
        </w:trPr>
        <w:tc>
          <w:tcPr>
            <w:tcW w:w="57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聯網</w:t>
            </w:r>
          </w:p>
        </w:tc>
        <w:tc>
          <w:tcPr>
            <w:tcW w:w="85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專科</w:t>
            </w:r>
          </w:p>
        </w:tc>
        <w:tc>
          <w:tcPr>
            <w:tcW w:w="2484" w:type="dxa"/>
            <w:gridSpan w:val="9"/>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第一優先類別</w:t>
            </w:r>
          </w:p>
        </w:tc>
        <w:tc>
          <w:tcPr>
            <w:tcW w:w="2657" w:type="dxa"/>
            <w:gridSpan w:val="6"/>
            <w:tcBorders/>
            <w:vAlign w:val="center"/>
          </w:tcPr>
          <w:p>
            <w:pPr>
              <w:pStyle w:val="F21"/>
              <w:snapToGrid w:val="false"/>
              <w:spacing w:lineRule="atLeast" w:line="240"/>
              <w:jc w:val="center"/>
              <w:rPr>
                <w:rFonts w:cs="Times New Roman"/>
                <w:i/>
                <w:i/>
                <w:spacing w:val="0"/>
                <w:sz w:val="18"/>
                <w:szCs w:val="18"/>
              </w:rPr>
            </w:pPr>
            <w:r>
              <w:rPr>
                <w:rFonts w:cs="Times New Roman"/>
                <w:i/>
                <w:spacing w:val="0"/>
                <w:sz w:val="18"/>
                <w:szCs w:val="18"/>
              </w:rPr>
              <w:t>第二優先類別</w:t>
            </w:r>
          </w:p>
        </w:tc>
        <w:tc>
          <w:tcPr>
            <w:tcW w:w="2655"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例行類別</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634" w:type="dxa"/>
            <w:gridSpan w:val="7"/>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44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4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70"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528"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02"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30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2" w:type="dxa"/>
            <w:gridSpan w:val="2"/>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4" w:type="dxa"/>
            <w:gridSpan w:val="2"/>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2" w:type="dxa"/>
            <w:gridSpan w:val="2"/>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37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0"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634" w:type="dxa"/>
            <w:gridSpan w:val="7"/>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70" w:type="dxa"/>
            <w:gridSpan w:val="4"/>
            <w:tcBorders/>
            <w:vAlign w:val="center"/>
          </w:tcPr>
          <w:p>
            <w:pPr>
              <w:pStyle w:val="F21"/>
              <w:snapToGrid w:val="false"/>
              <w:jc w:val="center"/>
              <w:rPr>
                <w:rFonts w:cs="Times New Roman"/>
                <w:i/>
                <w:i/>
                <w:spacing w:val="0"/>
                <w:sz w:val="18"/>
                <w:szCs w:val="18"/>
              </w:rPr>
            </w:pPr>
            <w:r>
              <w:rPr>
                <w:rFonts w:cs="Times New Roman"/>
                <w:i/>
                <w:spacing w:val="0"/>
                <w:sz w:val="18"/>
                <w:szCs w:val="18"/>
              </w:rPr>
              <w:t>百分值</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02"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港島東</w:t>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1 391</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18%</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2 588</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33%</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3 930</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50%</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20</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20</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20</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1 999</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19%</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3 504</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33%</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4 831</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45%</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10</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32</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44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1 301</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25%</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457</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9%</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3 428</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66%</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11</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15</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22</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5 142</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44%</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1 291</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11%</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5 051</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44%</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9</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19</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1 362</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17%</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2 171</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27%</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4 413</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54%</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12</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19</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32</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44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2 354</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64%</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957</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26%</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373</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10%</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11</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19</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22</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709</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17%</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565</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2 888</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68%</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17</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32</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44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1 747</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14%</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3 717</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30%</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6 950</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55%</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24</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38</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123</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港島西</w:t>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217</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4%</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922</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16%</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4 661</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80%</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13</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275</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3%</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625</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9</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8 169</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89%</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12</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712</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9%</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971</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5 450</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71%</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24</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44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2 652</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38%</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1 211</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10</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3 069</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44%</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51</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58</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76</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84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515</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6%</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1 673</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6 838</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76%</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16</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38</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55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403</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12%</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1 143</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33%</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1 924</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55%</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11</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17</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198</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7%</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436</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14%</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12</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2 406</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79%</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9</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43</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63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2 084</w:t>
            </w:r>
          </w:p>
        </w:tc>
        <w:tc>
          <w:tcPr>
            <w:tcW w:w="425"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16%</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2 259</w:t>
            </w:r>
          </w:p>
        </w:tc>
        <w:tc>
          <w:tcPr>
            <w:tcW w:w="444" w:type="dxa"/>
            <w:tcBorders/>
            <w:vAlign w:val="center"/>
          </w:tcPr>
          <w:p>
            <w:pPr>
              <w:pStyle w:val="F21"/>
              <w:tabs>
                <w:tab w:val="clear" w:pos="567"/>
              </w:tabs>
              <w:snapToGrid w:val="false"/>
              <w:spacing w:lineRule="atLeast" w:line="400"/>
              <w:ind w:right="28" w:hanging="0"/>
              <w:jc w:val="right"/>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9</w:t>
            </w:r>
          </w:p>
        </w:tc>
        <w:tc>
          <w:tcPr>
            <w:tcW w:w="528" w:type="dxa"/>
            <w:tcBorders/>
            <w:vAlign w:val="center"/>
          </w:tcPr>
          <w:p>
            <w:pPr>
              <w:pStyle w:val="F21"/>
              <w:tabs>
                <w:tab w:val="clear" w:pos="567"/>
              </w:tabs>
              <w:snapToGrid w:val="false"/>
              <w:spacing w:lineRule="atLeast" w:line="400"/>
              <w:jc w:val="right"/>
              <w:rPr>
                <w:rFonts w:cs="Times New Roman"/>
                <w:spacing w:val="0"/>
                <w:sz w:val="18"/>
                <w:szCs w:val="18"/>
              </w:rPr>
            </w:pPr>
            <w:r>
              <w:rPr>
                <w:rFonts w:cs="Times New Roman"/>
                <w:spacing w:val="0"/>
                <w:sz w:val="18"/>
                <w:szCs w:val="18"/>
              </w:rPr>
              <w:t>8 402</w:t>
            </w:r>
          </w:p>
        </w:tc>
        <w:tc>
          <w:tcPr>
            <w:tcW w:w="425" w:type="dxa"/>
            <w:tcBorders/>
            <w:vAlign w:val="center"/>
          </w:tcPr>
          <w:p>
            <w:pPr>
              <w:pStyle w:val="F21"/>
              <w:tabs>
                <w:tab w:val="clear" w:pos="567"/>
              </w:tabs>
              <w:snapToGrid w:val="false"/>
              <w:spacing w:lineRule="atLeast" w:line="400"/>
              <w:jc w:val="center"/>
              <w:rPr>
                <w:rFonts w:cs="Times New Roman"/>
                <w:spacing w:val="0"/>
                <w:sz w:val="18"/>
                <w:szCs w:val="18"/>
              </w:rPr>
            </w:pPr>
            <w:r>
              <w:rPr>
                <w:rFonts w:cs="Times New Roman"/>
                <w:spacing w:val="0"/>
                <w:sz w:val="18"/>
                <w:szCs w:val="18"/>
              </w:rPr>
              <w:t>65%</w:t>
            </w:r>
          </w:p>
        </w:tc>
        <w:tc>
          <w:tcPr>
            <w:tcW w:w="376"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17</w:t>
            </w:r>
          </w:p>
        </w:tc>
        <w:tc>
          <w:tcPr>
            <w:tcW w:w="443"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103</w:t>
            </w:r>
          </w:p>
        </w:tc>
        <w:tc>
          <w:tcPr>
            <w:tcW w:w="440" w:type="dxa"/>
            <w:tcBorders/>
            <w:vAlign w:val="center"/>
          </w:tcPr>
          <w:p>
            <w:pPr>
              <w:pStyle w:val="F21"/>
              <w:tabs>
                <w:tab w:val="clear" w:pos="567"/>
              </w:tabs>
              <w:snapToGrid w:val="false"/>
              <w:spacing w:lineRule="atLeast" w:line="400"/>
              <w:ind w:right="85" w:hanging="0"/>
              <w:jc w:val="right"/>
              <w:rPr>
                <w:rFonts w:cs="Times New Roman"/>
                <w:spacing w:val="0"/>
                <w:sz w:val="18"/>
                <w:szCs w:val="18"/>
              </w:rPr>
            </w:pPr>
            <w:r>
              <w:rPr>
                <w:rFonts w:cs="Times New Roman"/>
                <w:spacing w:val="0"/>
                <w:sz w:val="18"/>
                <w:szCs w:val="18"/>
              </w:rPr>
              <w:t>173</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九龍中</w:t>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1 720</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12%</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2 190</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10 497</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71%</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1 370</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13%</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1 155</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11%</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7 472</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72%</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20</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27</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351</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8%</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1 073</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24%</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2 577</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58%</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8 460</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39%</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4 150</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7 955</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36%</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30</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32</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32</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514</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8%</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703</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11%</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4 575</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71%</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18</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35</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75</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294</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15%</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812</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41%</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9</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785</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39%</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346</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12%</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923</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32%</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1 253</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44%</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25</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2 267</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15%</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2 478</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10 012</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66%</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21</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35</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44</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九龍東</w:t>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1 758</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23%</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1 884</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4 023</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52%</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27</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2 402</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15%</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5 397</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33%</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8 393</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51%</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56</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76</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1 553</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1 232</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4 562</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62%</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15</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48</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56</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4 513</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32%</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3 558</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6 187</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43%</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106</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111</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120</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4 102</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29%</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2 854</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20%</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6 976</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50%</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50</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79</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787</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22%</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773</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22%</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1 977</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56%</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38</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1 226</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23%</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1 614</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30%</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2 101</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39%</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27</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56</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1 858</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9%</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5 882</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28%</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13 188</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63%</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33</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91</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99</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104</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九龍西</w:t>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4 192</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29%</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3 288</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23%</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6 685</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46%</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79</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2 587</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5 864</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24%</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14 771</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60%</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25</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37</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44</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48</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710</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6%</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2 279</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18%</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9 232</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74%</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19</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28</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6 145</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36%</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3 259</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7 709</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45%</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37</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4 576</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24%</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4 092</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21%</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9 818</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51%</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58</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65</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67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1 628</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984</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12%</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3 486</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44%</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357</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4%</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1 519</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5 693</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65%</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33</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4 211</w:t>
            </w:r>
          </w:p>
        </w:tc>
        <w:tc>
          <w:tcPr>
            <w:tcW w:w="425"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11%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9 778</w:t>
            </w:r>
          </w:p>
        </w:tc>
        <w:tc>
          <w:tcPr>
            <w:tcW w:w="444" w:type="dxa"/>
            <w:tcBorders/>
            <w:vAlign w:val="center"/>
          </w:tcPr>
          <w:p>
            <w:pPr>
              <w:pStyle w:val="F21"/>
              <w:tabs>
                <w:tab w:val="clear" w:pos="567"/>
              </w:tabs>
              <w:snapToGrid w:val="false"/>
              <w:spacing w:lineRule="atLeast" w:line="370"/>
              <w:ind w:right="28" w:hanging="0"/>
              <w:jc w:val="right"/>
              <w:rPr>
                <w:rFonts w:cs="Times New Roman"/>
                <w:spacing w:val="0"/>
                <w:sz w:val="18"/>
                <w:szCs w:val="18"/>
              </w:rPr>
            </w:pPr>
            <w:r>
              <w:rPr>
                <w:rFonts w:cs="Times New Roman"/>
                <w:spacing w:val="0"/>
                <w:sz w:val="18"/>
                <w:szCs w:val="18"/>
              </w:rPr>
              <w:t>26%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22 849</w:t>
            </w:r>
          </w:p>
        </w:tc>
        <w:tc>
          <w:tcPr>
            <w:tcW w:w="42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61%</w:t>
            </w:r>
          </w:p>
        </w:tc>
        <w:tc>
          <w:tcPr>
            <w:tcW w:w="376"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16</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45</w:t>
            </w:r>
          </w:p>
        </w:tc>
        <w:tc>
          <w:tcPr>
            <w:tcW w:w="443"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96</w:t>
            </w:r>
          </w:p>
        </w:tc>
        <w:tc>
          <w:tcPr>
            <w:tcW w:w="440"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185</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新界東</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3 659</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26%</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2 704</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4 348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31%</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41</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63</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68</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1 462</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9%</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2 073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9 915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59%</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40</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74</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1 102</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925</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7 564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75%</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31</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6 709</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39%</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2 215</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7 300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43%</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32</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47</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5 001</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26%</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1 939</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10 372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54%</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57</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73</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426</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10%</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902</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2 428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59%</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35</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1 098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15%</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1 443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2 970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40%</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31</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68</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2 058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9%</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2 144</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14 198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62%</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26</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66</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98</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192</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新界西</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2 803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26%</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771</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5 759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53%</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89</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1 385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13%</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2 573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6 271</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61%</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38</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1 565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22%</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2 163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2 746</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39%</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6 102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37%</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3 367</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7 158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43%</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22</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32</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1 638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15%</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1 495</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7 547</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69%</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531</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1 767</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74%</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21</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22</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874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17%</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1 675</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2 524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48%</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46</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1 290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26"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25" w:type="dxa"/>
            <w:gridSpan w:val="2"/>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5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2 773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11</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16 169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77%</w:t>
            </w:r>
          </w:p>
        </w:tc>
        <w:tc>
          <w:tcPr>
            <w:tcW w:w="37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28</w:t>
            </w:r>
          </w:p>
        </w:tc>
        <w:tc>
          <w:tcPr>
            <w:tcW w:w="443"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30</w:t>
            </w:r>
          </w:p>
        </w:tc>
        <w:tc>
          <w:tcPr>
            <w:tcW w:w="440"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59</w:t>
            </w:r>
          </w:p>
        </w:tc>
      </w:tr>
    </w:tbl>
    <w:p>
      <w:pPr>
        <w:pStyle w:val="F21"/>
        <w:snapToGrid w:val="false"/>
        <w:rPr>
          <w:rFonts w:cs="Times New Roman"/>
          <w:sz w:val="20"/>
          <w:szCs w:val="20"/>
        </w:rPr>
      </w:pPr>
      <w:r>
        <w:rPr>
          <w:rFonts w:cs="Times New Roman"/>
          <w:sz w:val="20"/>
          <w:szCs w:val="20"/>
        </w:rPr>
      </w:r>
    </w:p>
    <w:p>
      <w:pPr>
        <w:pStyle w:val="F21"/>
        <w:snapToGrid w:val="false"/>
        <w:rPr>
          <w:rFonts w:cs="Times New Roman"/>
          <w:szCs w:val="27"/>
        </w:rPr>
      </w:pPr>
      <w:r>
        <w:rPr>
          <w:rFonts w:cs="Times New Roman"/>
          <w:szCs w:val="27"/>
        </w:rPr>
        <w:t>2009-2010</w:t>
      </w:r>
      <w:r>
        <w:rPr>
          <w:rFonts w:cs="Times New Roman"/>
          <w:szCs w:val="27"/>
        </w:rPr>
        <w:t>年度</w:t>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571"/>
        <w:gridCol w:w="851"/>
        <w:gridCol w:w="425"/>
        <w:gridCol w:w="425"/>
        <w:gridCol w:w="409"/>
        <w:gridCol w:w="408"/>
        <w:gridCol w:w="409"/>
        <w:gridCol w:w="408"/>
        <w:gridCol w:w="443"/>
        <w:gridCol w:w="444"/>
        <w:gridCol w:w="442"/>
        <w:gridCol w:w="443"/>
        <w:gridCol w:w="442"/>
        <w:gridCol w:w="443"/>
        <w:gridCol w:w="528"/>
        <w:gridCol w:w="425"/>
        <w:gridCol w:w="426"/>
        <w:gridCol w:w="426"/>
        <w:gridCol w:w="426"/>
        <w:gridCol w:w="424"/>
      </w:tblGrid>
      <w:tr>
        <w:trPr>
          <w:tblHeader w:val="true"/>
        </w:trPr>
        <w:tc>
          <w:tcPr>
            <w:tcW w:w="57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聯網</w:t>
            </w:r>
          </w:p>
        </w:tc>
        <w:tc>
          <w:tcPr>
            <w:tcW w:w="85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專科</w:t>
            </w:r>
          </w:p>
        </w:tc>
        <w:tc>
          <w:tcPr>
            <w:tcW w:w="2484"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第一優先類別</w:t>
            </w:r>
          </w:p>
        </w:tc>
        <w:tc>
          <w:tcPr>
            <w:tcW w:w="2657" w:type="dxa"/>
            <w:gridSpan w:val="6"/>
            <w:tcBorders/>
            <w:vAlign w:val="center"/>
          </w:tcPr>
          <w:p>
            <w:pPr>
              <w:pStyle w:val="F21"/>
              <w:snapToGrid w:val="false"/>
              <w:spacing w:lineRule="atLeast" w:line="240"/>
              <w:jc w:val="center"/>
              <w:rPr>
                <w:rFonts w:cs="Times New Roman"/>
                <w:i/>
                <w:i/>
                <w:spacing w:val="0"/>
                <w:sz w:val="18"/>
                <w:szCs w:val="18"/>
              </w:rPr>
            </w:pPr>
            <w:r>
              <w:rPr>
                <w:rFonts w:cs="Times New Roman"/>
                <w:i/>
                <w:spacing w:val="0"/>
                <w:sz w:val="18"/>
                <w:szCs w:val="18"/>
              </w:rPr>
              <w:t>第二優先類別</w:t>
            </w:r>
          </w:p>
        </w:tc>
        <w:tc>
          <w:tcPr>
            <w:tcW w:w="2655"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例行類別</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634"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44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4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70"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528"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02"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2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634"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70" w:type="dxa"/>
            <w:gridSpan w:val="4"/>
            <w:tcBorders/>
            <w:vAlign w:val="center"/>
          </w:tcPr>
          <w:p>
            <w:pPr>
              <w:pStyle w:val="F21"/>
              <w:snapToGrid w:val="false"/>
              <w:jc w:val="center"/>
              <w:rPr>
                <w:rFonts w:cs="Times New Roman"/>
                <w:i/>
                <w:i/>
                <w:spacing w:val="0"/>
                <w:sz w:val="18"/>
                <w:szCs w:val="18"/>
              </w:rPr>
            </w:pPr>
            <w:r>
              <w:rPr>
                <w:rFonts w:cs="Times New Roman"/>
                <w:i/>
                <w:spacing w:val="0"/>
                <w:sz w:val="18"/>
                <w:szCs w:val="18"/>
              </w:rPr>
              <w:t>百分值</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02"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港島東</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1 487</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19%</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2 778</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3 611</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2 388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3 837</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4 750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1 153</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23%</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346</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3 470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18</w:t>
            </w:r>
          </w:p>
        </w:tc>
      </w:tr>
      <w:tr>
        <w:trPr/>
        <w:tc>
          <w:tcPr>
            <w:tcW w:w="57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聯網</w:t>
            </w:r>
          </w:p>
        </w:tc>
        <w:tc>
          <w:tcPr>
            <w:tcW w:w="85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專科</w:t>
            </w:r>
          </w:p>
        </w:tc>
        <w:tc>
          <w:tcPr>
            <w:tcW w:w="2484"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第一優先類別</w:t>
            </w:r>
          </w:p>
        </w:tc>
        <w:tc>
          <w:tcPr>
            <w:tcW w:w="2657" w:type="dxa"/>
            <w:gridSpan w:val="6"/>
            <w:tcBorders/>
            <w:vAlign w:val="center"/>
          </w:tcPr>
          <w:p>
            <w:pPr>
              <w:pStyle w:val="F21"/>
              <w:snapToGrid w:val="false"/>
              <w:spacing w:lineRule="atLeast" w:line="240"/>
              <w:jc w:val="center"/>
              <w:rPr>
                <w:rFonts w:cs="Times New Roman"/>
                <w:i/>
                <w:i/>
                <w:spacing w:val="0"/>
                <w:sz w:val="18"/>
                <w:szCs w:val="18"/>
              </w:rPr>
            </w:pPr>
            <w:r>
              <w:rPr>
                <w:rFonts w:cs="Times New Roman"/>
                <w:i/>
                <w:spacing w:val="0"/>
                <w:sz w:val="18"/>
                <w:szCs w:val="18"/>
              </w:rPr>
              <w:t>第二優先類別</w:t>
            </w:r>
          </w:p>
        </w:tc>
        <w:tc>
          <w:tcPr>
            <w:tcW w:w="2655"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例行類別</w:t>
            </w:r>
          </w:p>
        </w:tc>
      </w:tr>
      <w:tr>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634"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44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4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70"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528"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02"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r>
      <w:tr>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2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r>
      <w:tr>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634"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70" w:type="dxa"/>
            <w:gridSpan w:val="4"/>
            <w:tcBorders/>
            <w:vAlign w:val="center"/>
          </w:tcPr>
          <w:p>
            <w:pPr>
              <w:pStyle w:val="F21"/>
              <w:snapToGrid w:val="false"/>
              <w:jc w:val="center"/>
              <w:rPr>
                <w:rFonts w:cs="Times New Roman"/>
                <w:i/>
                <w:i/>
                <w:spacing w:val="0"/>
                <w:sz w:val="18"/>
                <w:szCs w:val="18"/>
              </w:rPr>
            </w:pPr>
            <w:r>
              <w:rPr>
                <w:rFonts w:cs="Times New Roman"/>
                <w:i/>
                <w:spacing w:val="0"/>
                <w:sz w:val="18"/>
                <w:szCs w:val="18"/>
              </w:rPr>
              <w:t>百分值</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02"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5 442</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45%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1 366</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5 209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1 748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2 079</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4 105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1 191</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52%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872</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240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688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18%</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658</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2 460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&lt;1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1 977</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17%</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3 593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6 262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123</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港島西</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232</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762</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4 688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241</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801</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8 623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791</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760</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5 362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2 874</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40%</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1 113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3 244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388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1 410</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7 781</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32</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408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953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2 055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38</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268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8%</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660</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2 562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52</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1 904</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2 032</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8 513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52</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138</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九龍中</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 xml:space="preserve">1 422 </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10%</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1 909</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10 683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&lt;1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1 343</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13%</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 xml:space="preserve">1 092 </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7 240</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779</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17%</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1 674</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1 986</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8 198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35%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4 843</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9 801</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361</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6%</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621</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4 801</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51</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445</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25%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205</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1 115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472</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17%</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1 147</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41%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1 202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2 388</w:t>
            </w:r>
          </w:p>
        </w:tc>
        <w:tc>
          <w:tcPr>
            <w:tcW w:w="425"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16%</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2 510</w:t>
            </w:r>
          </w:p>
        </w:tc>
        <w:tc>
          <w:tcPr>
            <w:tcW w:w="444" w:type="dxa"/>
            <w:tcBorders/>
            <w:vAlign w:val="center"/>
          </w:tcPr>
          <w:p>
            <w:pPr>
              <w:pStyle w:val="F21"/>
              <w:tabs>
                <w:tab w:val="clear" w:pos="567"/>
              </w:tabs>
              <w:snapToGrid w:val="false"/>
              <w:ind w:right="28" w:hanging="0"/>
              <w:jc w:val="right"/>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9 759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30</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九龍東</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1 856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1 766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5 131</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2 423</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4 918</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9 147</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1 448</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20%</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822</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4 999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85</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4 842</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3 750</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5 688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150</w:t>
            </w:r>
          </w:p>
        </w:tc>
      </w:tr>
      <w:tr>
        <w:trPr/>
        <w:tc>
          <w:tcPr>
            <w:tcW w:w="57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聯網</w:t>
            </w:r>
          </w:p>
        </w:tc>
        <w:tc>
          <w:tcPr>
            <w:tcW w:w="85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專科</w:t>
            </w:r>
          </w:p>
        </w:tc>
        <w:tc>
          <w:tcPr>
            <w:tcW w:w="2484"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第一優先類別</w:t>
            </w:r>
          </w:p>
        </w:tc>
        <w:tc>
          <w:tcPr>
            <w:tcW w:w="2657" w:type="dxa"/>
            <w:gridSpan w:val="6"/>
            <w:tcBorders/>
            <w:vAlign w:val="center"/>
          </w:tcPr>
          <w:p>
            <w:pPr>
              <w:pStyle w:val="F21"/>
              <w:snapToGrid w:val="false"/>
              <w:spacing w:lineRule="atLeast" w:line="240"/>
              <w:jc w:val="center"/>
              <w:rPr>
                <w:rFonts w:cs="Times New Roman"/>
                <w:i/>
                <w:i/>
                <w:spacing w:val="0"/>
                <w:sz w:val="18"/>
                <w:szCs w:val="18"/>
              </w:rPr>
            </w:pPr>
            <w:r>
              <w:rPr>
                <w:rFonts w:cs="Times New Roman"/>
                <w:i/>
                <w:spacing w:val="0"/>
                <w:sz w:val="18"/>
                <w:szCs w:val="18"/>
              </w:rPr>
              <w:t>第二優先類別</w:t>
            </w:r>
          </w:p>
        </w:tc>
        <w:tc>
          <w:tcPr>
            <w:tcW w:w="2655"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例行類別</w:t>
            </w:r>
          </w:p>
        </w:tc>
      </w:tr>
      <w:tr>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634"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44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4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70"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528"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02"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r>
      <w:tr>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2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r>
      <w:tr>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634"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70" w:type="dxa"/>
            <w:gridSpan w:val="4"/>
            <w:tcBorders/>
            <w:vAlign w:val="center"/>
          </w:tcPr>
          <w:p>
            <w:pPr>
              <w:pStyle w:val="F21"/>
              <w:snapToGrid w:val="false"/>
              <w:jc w:val="center"/>
              <w:rPr>
                <w:rFonts w:cs="Times New Roman"/>
                <w:i/>
                <w:i/>
                <w:spacing w:val="0"/>
                <w:sz w:val="18"/>
                <w:szCs w:val="18"/>
              </w:rPr>
            </w:pPr>
            <w:r>
              <w:rPr>
                <w:rFonts w:cs="Times New Roman"/>
                <w:i/>
                <w:spacing w:val="0"/>
                <w:sz w:val="18"/>
                <w:szCs w:val="18"/>
              </w:rPr>
              <w:t>百分值</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02"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3 881</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27%</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2 676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7 603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844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619</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1 879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708</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1 889</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3 475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1 756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5 872</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13 223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111</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122</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九龍西</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4 050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28%</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3 045</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7 603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78</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3 459</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6 556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16 452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1 156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2 141</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8 878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5 887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4 143</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7 467</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18</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21</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5 028</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4 279</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9</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11 782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64</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2 845</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1 254</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2 605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610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1 260</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8 036</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&lt;1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40</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4 887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9 940</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28%</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20 629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90</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146</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新界東</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4 259</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30%</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2 668</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7 404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57</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2 807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2 816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10 189</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47</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1 370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1 411</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7 916</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29</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6 937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39%</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2 371</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8 564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52</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6 122</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33%</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2 293</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10 074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68</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607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732</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2 392</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38</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45</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1 506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19%</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1 736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4 443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43</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87</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2 402</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2 832</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14 957</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74%</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100</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新界西</w:t>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3 424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32%</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956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9%</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6 308</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94</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96</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1 720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2 302</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20%</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7 746</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41</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997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18%</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1 330</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3 265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58%</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39</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5 450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33%</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1 076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10 103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34</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38</w:t>
            </w:r>
          </w:p>
        </w:tc>
      </w:tr>
    </w:tbl>
    <w:p>
      <w:pPr>
        <w:pStyle w:val="Normal"/>
        <w:rPr/>
      </w:pPr>
      <w:r>
        <w:rPr/>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571"/>
        <w:gridCol w:w="851"/>
        <w:gridCol w:w="425"/>
        <w:gridCol w:w="425"/>
        <w:gridCol w:w="409"/>
        <w:gridCol w:w="408"/>
        <w:gridCol w:w="409"/>
        <w:gridCol w:w="408"/>
        <w:gridCol w:w="443"/>
        <w:gridCol w:w="444"/>
        <w:gridCol w:w="442"/>
        <w:gridCol w:w="443"/>
        <w:gridCol w:w="442"/>
        <w:gridCol w:w="443"/>
        <w:gridCol w:w="528"/>
        <w:gridCol w:w="425"/>
        <w:gridCol w:w="426"/>
        <w:gridCol w:w="426"/>
        <w:gridCol w:w="426"/>
        <w:gridCol w:w="424"/>
      </w:tblGrid>
      <w:tr>
        <w:trPr>
          <w:tblHeader w:val="true"/>
        </w:trPr>
        <w:tc>
          <w:tcPr>
            <w:tcW w:w="57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聯網</w:t>
            </w:r>
          </w:p>
        </w:tc>
        <w:tc>
          <w:tcPr>
            <w:tcW w:w="85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專科</w:t>
            </w:r>
          </w:p>
        </w:tc>
        <w:tc>
          <w:tcPr>
            <w:tcW w:w="2484"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第一優先類別</w:t>
            </w:r>
          </w:p>
        </w:tc>
        <w:tc>
          <w:tcPr>
            <w:tcW w:w="2657" w:type="dxa"/>
            <w:gridSpan w:val="6"/>
            <w:tcBorders/>
            <w:vAlign w:val="center"/>
          </w:tcPr>
          <w:p>
            <w:pPr>
              <w:pStyle w:val="F21"/>
              <w:snapToGrid w:val="false"/>
              <w:spacing w:lineRule="atLeast" w:line="240"/>
              <w:jc w:val="center"/>
              <w:rPr>
                <w:rFonts w:cs="Times New Roman"/>
                <w:i/>
                <w:i/>
                <w:spacing w:val="0"/>
                <w:sz w:val="18"/>
                <w:szCs w:val="18"/>
              </w:rPr>
            </w:pPr>
            <w:r>
              <w:rPr>
                <w:rFonts w:cs="Times New Roman"/>
                <w:i/>
                <w:spacing w:val="0"/>
                <w:sz w:val="18"/>
                <w:szCs w:val="18"/>
              </w:rPr>
              <w:t>第二優先類別</w:t>
            </w:r>
          </w:p>
        </w:tc>
        <w:tc>
          <w:tcPr>
            <w:tcW w:w="2655"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例行類別</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634"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44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4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70"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528"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25"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02"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0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0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2"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43"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26"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2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r>
      <w:tr>
        <w:trPr>
          <w:tblHeader w:val="true"/>
        </w:trPr>
        <w:tc>
          <w:tcPr>
            <w:tcW w:w="57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5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634"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70" w:type="dxa"/>
            <w:gridSpan w:val="4"/>
            <w:tcBorders/>
            <w:vAlign w:val="center"/>
          </w:tcPr>
          <w:p>
            <w:pPr>
              <w:pStyle w:val="F21"/>
              <w:snapToGrid w:val="false"/>
              <w:jc w:val="center"/>
              <w:rPr>
                <w:rFonts w:cs="Times New Roman"/>
                <w:i/>
                <w:i/>
                <w:spacing w:val="0"/>
                <w:sz w:val="18"/>
                <w:szCs w:val="18"/>
              </w:rPr>
            </w:pPr>
            <w:r>
              <w:rPr>
                <w:rFonts w:cs="Times New Roman"/>
                <w:i/>
                <w:spacing w:val="0"/>
                <w:sz w:val="18"/>
                <w:szCs w:val="18"/>
              </w:rPr>
              <w:t>百分值</w:t>
            </w:r>
          </w:p>
        </w:tc>
        <w:tc>
          <w:tcPr>
            <w:tcW w:w="528"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5"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02"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r>
      <w:tr>
        <w:trPr/>
        <w:tc>
          <w:tcPr>
            <w:tcW w:w="571"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1 823</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1 491</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7 916</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34</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82</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476</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1 643</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17</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22</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821</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1 779</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2 874</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32</w:t>
            </w:r>
          </w:p>
        </w:tc>
      </w:tr>
      <w:tr>
        <w:trPr/>
        <w:tc>
          <w:tcPr>
            <w:tcW w:w="571"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51"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1 428</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9"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2 415</w:t>
            </w:r>
          </w:p>
        </w:tc>
        <w:tc>
          <w:tcPr>
            <w:tcW w:w="44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13%</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42"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4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8"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14 605</w:t>
            </w:r>
          </w:p>
        </w:tc>
        <w:tc>
          <w:tcPr>
            <w:tcW w:w="42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79%</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26</w:t>
            </w:r>
          </w:p>
        </w:tc>
        <w:tc>
          <w:tcPr>
            <w:tcW w:w="426"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28</w:t>
            </w:r>
          </w:p>
        </w:tc>
        <w:tc>
          <w:tcPr>
            <w:tcW w:w="424"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30</w:t>
            </w:r>
          </w:p>
        </w:tc>
      </w:tr>
    </w:tbl>
    <w:p>
      <w:pPr>
        <w:pStyle w:val="F21"/>
        <w:snapToGrid w:val="false"/>
        <w:rPr>
          <w:rFonts w:cs="Times New Roman"/>
          <w:sz w:val="20"/>
          <w:szCs w:val="20"/>
        </w:rPr>
      </w:pPr>
      <w:r>
        <w:rPr>
          <w:rFonts w:cs="Times New Roman"/>
          <w:sz w:val="20"/>
          <w:szCs w:val="20"/>
        </w:rPr>
      </w:r>
    </w:p>
    <w:p>
      <w:pPr>
        <w:pStyle w:val="F21"/>
        <w:snapToGrid w:val="false"/>
        <w:rPr>
          <w:rFonts w:cs="Times New Roman"/>
          <w:szCs w:val="27"/>
        </w:rPr>
      </w:pPr>
      <w:r>
        <w:rPr>
          <w:rFonts w:cs="Times New Roman"/>
          <w:szCs w:val="27"/>
        </w:rPr>
        <w:t>2010-2011</w:t>
      </w:r>
      <w:r>
        <w:rPr>
          <w:rFonts w:cs="Times New Roman"/>
          <w:szCs w:val="27"/>
        </w:rPr>
        <w:t>年度</w:t>
      </w:r>
    </w:p>
    <w:tbl>
      <w:tblPr>
        <w:tblStyle w:val="a3"/>
        <w:tblW w:w="9225" w:type="dxa"/>
        <w:jc w:val="left"/>
        <w:tblInd w:w="0" w:type="dxa"/>
        <w:tblCellMar>
          <w:top w:w="0" w:type="dxa"/>
          <w:left w:w="108" w:type="dxa"/>
          <w:bottom w:w="0" w:type="dxa"/>
          <w:right w:w="108" w:type="dxa"/>
        </w:tblCellMar>
        <w:tblLook w:val="04a0" w:noHBand="0" w:noVBand="1" w:firstColumn="1" w:lastRow="0" w:lastColumn="0" w:firstRow="1"/>
      </w:tblPr>
      <w:tblGrid>
        <w:gridCol w:w="559"/>
        <w:gridCol w:w="833"/>
        <w:gridCol w:w="424"/>
        <w:gridCol w:w="437"/>
        <w:gridCol w:w="404"/>
        <w:gridCol w:w="404"/>
        <w:gridCol w:w="404"/>
        <w:gridCol w:w="405"/>
        <w:gridCol w:w="441"/>
        <w:gridCol w:w="443"/>
        <w:gridCol w:w="438"/>
        <w:gridCol w:w="438"/>
        <w:gridCol w:w="438"/>
        <w:gridCol w:w="438"/>
        <w:gridCol w:w="524"/>
        <w:gridCol w:w="437"/>
        <w:gridCol w:w="437"/>
        <w:gridCol w:w="439"/>
        <w:gridCol w:w="441"/>
        <w:gridCol w:w="438"/>
      </w:tblGrid>
      <w:tr>
        <w:trPr>
          <w:tblHeader w:val="true"/>
        </w:trPr>
        <w:tc>
          <w:tcPr>
            <w:tcW w:w="559"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聯網</w:t>
            </w:r>
          </w:p>
        </w:tc>
        <w:tc>
          <w:tcPr>
            <w:tcW w:w="83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專科</w:t>
            </w:r>
          </w:p>
        </w:tc>
        <w:tc>
          <w:tcPr>
            <w:tcW w:w="2478"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第一優先類別</w:t>
            </w:r>
          </w:p>
        </w:tc>
        <w:tc>
          <w:tcPr>
            <w:tcW w:w="2636" w:type="dxa"/>
            <w:gridSpan w:val="6"/>
            <w:tcBorders/>
            <w:vAlign w:val="center"/>
          </w:tcPr>
          <w:p>
            <w:pPr>
              <w:pStyle w:val="F21"/>
              <w:snapToGrid w:val="false"/>
              <w:spacing w:lineRule="atLeast" w:line="240"/>
              <w:jc w:val="center"/>
              <w:rPr>
                <w:rFonts w:cs="Times New Roman"/>
                <w:i/>
                <w:i/>
                <w:spacing w:val="0"/>
                <w:sz w:val="18"/>
                <w:szCs w:val="18"/>
              </w:rPr>
            </w:pPr>
            <w:r>
              <w:rPr>
                <w:rFonts w:cs="Times New Roman"/>
                <w:i/>
                <w:spacing w:val="0"/>
                <w:sz w:val="18"/>
                <w:szCs w:val="18"/>
              </w:rPr>
              <w:t>第二優先類別</w:t>
            </w:r>
          </w:p>
        </w:tc>
        <w:tc>
          <w:tcPr>
            <w:tcW w:w="2716" w:type="dxa"/>
            <w:gridSpan w:val="6"/>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例行類別</w:t>
            </w:r>
          </w:p>
        </w:tc>
      </w:tr>
      <w:tr>
        <w:trPr>
          <w:tblHeader w:val="true"/>
        </w:trPr>
        <w:tc>
          <w:tcPr>
            <w:tcW w:w="559"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3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37"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617"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441"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43"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52"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c>
          <w:tcPr>
            <w:tcW w:w="524"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新症數目</w:t>
            </w:r>
          </w:p>
        </w:tc>
        <w:tc>
          <w:tcPr>
            <w:tcW w:w="437" w:type="dxa"/>
            <w:vMerge w:val="restart"/>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佔新症總數百分比</w:t>
            </w:r>
          </w:p>
        </w:tc>
        <w:tc>
          <w:tcPr>
            <w:tcW w:w="1755" w:type="dxa"/>
            <w:gridSpan w:val="4"/>
            <w:tcBorders/>
            <w:vAlign w:val="center"/>
          </w:tcPr>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輪候時間</w:t>
            </w:r>
          </w:p>
          <w:p>
            <w:pPr>
              <w:pStyle w:val="F21"/>
              <w:tabs>
                <w:tab w:val="clear" w:pos="567"/>
              </w:tabs>
              <w:snapToGrid w:val="false"/>
              <w:spacing w:lineRule="atLeast" w:line="240"/>
              <w:jc w:val="center"/>
              <w:rPr>
                <w:rFonts w:cs="Times New Roman"/>
                <w:i/>
                <w:i/>
                <w:spacing w:val="0"/>
                <w:sz w:val="18"/>
                <w:szCs w:val="18"/>
              </w:rPr>
            </w:pPr>
            <w:r>
              <w:rPr>
                <w:rFonts w:cs="Times New Roman"/>
                <w:i/>
                <w:spacing w:val="0"/>
                <w:sz w:val="18"/>
                <w:szCs w:val="18"/>
              </w:rPr>
              <w:t>(</w:t>
            </w:r>
            <w:r>
              <w:rPr>
                <w:rFonts w:cs="Times New Roman"/>
                <w:i/>
                <w:spacing w:val="0"/>
                <w:sz w:val="18"/>
                <w:szCs w:val="18"/>
              </w:rPr>
              <w:t>星期</w:t>
            </w:r>
            <w:r>
              <w:rPr>
                <w:rFonts w:cs="Times New Roman"/>
                <w:i/>
                <w:spacing w:val="0"/>
                <w:sz w:val="18"/>
                <w:szCs w:val="18"/>
              </w:rPr>
              <w:t>)</w:t>
            </w:r>
          </w:p>
        </w:tc>
      </w:tr>
      <w:tr>
        <w:trPr>
          <w:tblHeader w:val="true"/>
        </w:trPr>
        <w:tc>
          <w:tcPr>
            <w:tcW w:w="559"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3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37"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0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0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04"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05"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44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3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3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3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3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c>
          <w:tcPr>
            <w:tcW w:w="52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37"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37"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25</w:t>
              <w:br/>
            </w:r>
            <w:r>
              <w:rPr>
                <w:rFonts w:cs="Times New Roman"/>
                <w:i/>
                <w:spacing w:val="0"/>
                <w:sz w:val="18"/>
                <w:szCs w:val="18"/>
              </w:rPr>
              <w:t>個</w:t>
            </w:r>
          </w:p>
        </w:tc>
        <w:tc>
          <w:tcPr>
            <w:tcW w:w="439"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50</w:t>
              <w:br/>
            </w:r>
            <w:r>
              <w:rPr>
                <w:rFonts w:cs="Times New Roman"/>
                <w:i/>
                <w:spacing w:val="0"/>
                <w:sz w:val="18"/>
                <w:szCs w:val="18"/>
              </w:rPr>
              <w:t>個</w:t>
            </w:r>
          </w:p>
        </w:tc>
        <w:tc>
          <w:tcPr>
            <w:tcW w:w="441"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75</w:t>
              <w:br/>
            </w:r>
            <w:r>
              <w:rPr>
                <w:rFonts w:cs="Times New Roman"/>
                <w:i/>
                <w:spacing w:val="0"/>
                <w:sz w:val="18"/>
                <w:szCs w:val="18"/>
              </w:rPr>
              <w:t>個</w:t>
            </w:r>
          </w:p>
        </w:tc>
        <w:tc>
          <w:tcPr>
            <w:tcW w:w="438" w:type="dxa"/>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第</w:t>
            </w:r>
            <w:r>
              <w:rPr>
                <w:rFonts w:cs="Times New Roman"/>
                <w:i/>
                <w:spacing w:val="0"/>
                <w:sz w:val="18"/>
                <w:szCs w:val="18"/>
              </w:rPr>
              <w:br/>
              <w:t>90</w:t>
              <w:br/>
            </w:r>
            <w:r>
              <w:rPr>
                <w:rFonts w:cs="Times New Roman"/>
                <w:i/>
                <w:spacing w:val="0"/>
                <w:sz w:val="18"/>
                <w:szCs w:val="18"/>
              </w:rPr>
              <w:t>個</w:t>
            </w:r>
          </w:p>
        </w:tc>
      </w:tr>
      <w:tr>
        <w:trPr>
          <w:tblHeader w:val="true"/>
        </w:trPr>
        <w:tc>
          <w:tcPr>
            <w:tcW w:w="559"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83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2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37"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617"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c>
          <w:tcPr>
            <w:tcW w:w="441"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43"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52" w:type="dxa"/>
            <w:gridSpan w:val="4"/>
            <w:tcBorders/>
            <w:vAlign w:val="center"/>
          </w:tcPr>
          <w:p>
            <w:pPr>
              <w:pStyle w:val="F21"/>
              <w:snapToGrid w:val="false"/>
              <w:jc w:val="center"/>
              <w:rPr>
                <w:rFonts w:cs="Times New Roman"/>
                <w:i/>
                <w:i/>
                <w:spacing w:val="0"/>
                <w:sz w:val="18"/>
                <w:szCs w:val="18"/>
              </w:rPr>
            </w:pPr>
            <w:r>
              <w:rPr>
                <w:rFonts w:cs="Times New Roman"/>
                <w:i/>
                <w:spacing w:val="0"/>
                <w:sz w:val="18"/>
                <w:szCs w:val="18"/>
              </w:rPr>
              <w:t>百分值</w:t>
            </w:r>
          </w:p>
        </w:tc>
        <w:tc>
          <w:tcPr>
            <w:tcW w:w="524"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437" w:type="dxa"/>
            <w:vMerge w:val="continue"/>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r>
          </w:p>
        </w:tc>
        <w:tc>
          <w:tcPr>
            <w:tcW w:w="1755" w:type="dxa"/>
            <w:gridSpan w:val="4"/>
            <w:tcBorders/>
            <w:vAlign w:val="center"/>
          </w:tcPr>
          <w:p>
            <w:pPr>
              <w:pStyle w:val="F21"/>
              <w:tabs>
                <w:tab w:val="clear" w:pos="567"/>
              </w:tabs>
              <w:snapToGrid w:val="false"/>
              <w:jc w:val="center"/>
              <w:rPr>
                <w:rFonts w:cs="Times New Roman"/>
                <w:i/>
                <w:i/>
                <w:spacing w:val="0"/>
                <w:sz w:val="18"/>
                <w:szCs w:val="18"/>
              </w:rPr>
            </w:pPr>
            <w:r>
              <w:rPr>
                <w:rFonts w:cs="Times New Roman"/>
                <w:i/>
                <w:spacing w:val="0"/>
                <w:sz w:val="18"/>
                <w:szCs w:val="18"/>
              </w:rPr>
              <w:t>百分值</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港島東</w:t>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1 626</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20%</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2 899</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3 566</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44%</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20</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20</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22</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27</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2 453</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3 825</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5 508</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47%</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5</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12</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34</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45</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1 314</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26%</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402</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8%</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3 391</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66%</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14</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16</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23</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5 370</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42%</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1 613</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5 920</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46%</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14</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18</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45</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1 902</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2 603</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29%</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4 515</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50%</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18</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28</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34</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264</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18%</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964</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65%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252</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17%</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7</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8</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9</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12</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695</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19%</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737</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20%</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2 242</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61%</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&lt;1</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15</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22</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2 071</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17%</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3 803</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6 033</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51%</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9</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13</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36</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117</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港島西</w:t>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388</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6%</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939</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4 780</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78%</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4</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8</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15</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416</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941</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9%</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9 137</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87%</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4</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19</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31</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1 076</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16%</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688</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11%</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4 100</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63%</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13</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20</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91</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3 581</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43%</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1 073</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3 735</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45%</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15</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52</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52</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52</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528</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6%</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1 159</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7 799</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82%</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6</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14</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22</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37</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449</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12%</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1 138</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31%</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2 039</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56%</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14</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17</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39</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56</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290</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7%</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707</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17%</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5</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3 039</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75%</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7</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25</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87</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1 776</w:t>
            </w:r>
          </w:p>
        </w:tc>
        <w:tc>
          <w:tcPr>
            <w:tcW w:w="437"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15%</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1 908</w:t>
            </w:r>
          </w:p>
        </w:tc>
        <w:tc>
          <w:tcPr>
            <w:tcW w:w="443"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16%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exact" w:line="300"/>
              <w:jc w:val="right"/>
              <w:rPr>
                <w:rFonts w:cs="Times New Roman"/>
                <w:spacing w:val="0"/>
                <w:sz w:val="18"/>
                <w:szCs w:val="18"/>
              </w:rPr>
            </w:pPr>
            <w:r>
              <w:rPr>
                <w:rFonts w:cs="Times New Roman"/>
                <w:spacing w:val="0"/>
                <w:sz w:val="18"/>
                <w:szCs w:val="18"/>
              </w:rPr>
              <w:t>8 318</w:t>
            </w:r>
          </w:p>
        </w:tc>
        <w:tc>
          <w:tcPr>
            <w:tcW w:w="437" w:type="dxa"/>
            <w:tcBorders/>
            <w:vAlign w:val="center"/>
          </w:tcPr>
          <w:p>
            <w:pPr>
              <w:pStyle w:val="F21"/>
              <w:tabs>
                <w:tab w:val="clear" w:pos="567"/>
              </w:tabs>
              <w:snapToGrid w:val="false"/>
              <w:spacing w:lineRule="exact" w:line="300"/>
              <w:jc w:val="center"/>
              <w:rPr>
                <w:rFonts w:cs="Times New Roman"/>
                <w:spacing w:val="0"/>
                <w:sz w:val="18"/>
                <w:szCs w:val="18"/>
              </w:rPr>
            </w:pPr>
            <w:r>
              <w:rPr>
                <w:rFonts w:cs="Times New Roman"/>
                <w:spacing w:val="0"/>
                <w:sz w:val="18"/>
                <w:szCs w:val="18"/>
              </w:rPr>
              <w:t>69%</w:t>
            </w:r>
          </w:p>
        </w:tc>
        <w:tc>
          <w:tcPr>
            <w:tcW w:w="437"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3</w:t>
            </w:r>
          </w:p>
        </w:tc>
        <w:tc>
          <w:tcPr>
            <w:tcW w:w="439"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13</w:t>
            </w:r>
          </w:p>
        </w:tc>
        <w:tc>
          <w:tcPr>
            <w:tcW w:w="441"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49</w:t>
            </w:r>
          </w:p>
        </w:tc>
        <w:tc>
          <w:tcPr>
            <w:tcW w:w="438" w:type="dxa"/>
            <w:tcBorders/>
            <w:vAlign w:val="center"/>
          </w:tcPr>
          <w:p>
            <w:pPr>
              <w:pStyle w:val="F21"/>
              <w:tabs>
                <w:tab w:val="clear" w:pos="567"/>
              </w:tabs>
              <w:snapToGrid w:val="false"/>
              <w:spacing w:lineRule="exact" w:line="300"/>
              <w:ind w:right="85" w:hanging="0"/>
              <w:jc w:val="right"/>
              <w:rPr>
                <w:rFonts w:cs="Times New Roman"/>
                <w:spacing w:val="0"/>
                <w:sz w:val="18"/>
                <w:szCs w:val="18"/>
              </w:rPr>
            </w:pPr>
            <w:r>
              <w:rPr>
                <w:rFonts w:cs="Times New Roman"/>
                <w:spacing w:val="0"/>
                <w:sz w:val="18"/>
                <w:szCs w:val="18"/>
              </w:rPr>
              <w:t>138</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九龍中</w:t>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1 430</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10%</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2 056</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10 680</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75%</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&lt;1</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1 377</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13%</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1 104</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7 729</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74%</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17</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43</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647</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14%</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1 436</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2 468</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54%</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19</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28</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9 196</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36%</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4 928</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19%</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10 157</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40%</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27</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37</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40</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41</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277</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661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5 645</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80%</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24</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43</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49</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468</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24%</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154</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1 348</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68%</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480</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17%</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1 036</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1 275</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46%</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22</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42</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2 555</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17%</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2 808</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9 986</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65%</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17</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20</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22</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34</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九龍東</w:t>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2 009</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19%</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2 250</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6 526</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60%</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23</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28</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45</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2 618</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15%</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4 914</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9 719</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56%</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25</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47</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54</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1 422</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19%</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999</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4 897</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67%</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15</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91</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111</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126</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5 407</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35%</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3 526</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6 708</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43%</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119</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152</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158</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3 953</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26%</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2 858</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19%</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10</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8 482</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55%</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30</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52</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84</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103</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1 012</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26%</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681</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2 263</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57%</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17</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24</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30</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484</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1 759</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3 925</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62%</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14</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34</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77</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1 645</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6 000</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13 502</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64%</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25</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88</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117</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127</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九龍西</w:t>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3 576</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24%</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3 415</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7 988</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53%</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13</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22</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55</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64</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3 494</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12%</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6 527</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18 096</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64%</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21</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36</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46</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52</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1 086</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9%</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2 149</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18%</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8 568</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72%</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22</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25</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5 902</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32%</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4 640</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7 837</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43%</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12</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20</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36</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4 583</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22%</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4 303</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14</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11 503</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56%</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38</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60</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77</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93</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3 009</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39%</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883</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3 634</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47%</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5</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11</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518</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5%</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1 037</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10%</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8 876</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85%</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&lt;1</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6</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17</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31</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4 668</w:t>
            </w:r>
          </w:p>
        </w:tc>
        <w:tc>
          <w:tcPr>
            <w:tcW w:w="437"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13%</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7 589</w:t>
            </w:r>
          </w:p>
        </w:tc>
        <w:tc>
          <w:tcPr>
            <w:tcW w:w="443"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22%</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spacing w:lineRule="atLeast" w:line="370"/>
              <w:jc w:val="right"/>
              <w:rPr>
                <w:rFonts w:cs="Times New Roman"/>
                <w:spacing w:val="0"/>
                <w:sz w:val="18"/>
                <w:szCs w:val="18"/>
              </w:rPr>
            </w:pPr>
            <w:r>
              <w:rPr>
                <w:rFonts w:cs="Times New Roman"/>
                <w:spacing w:val="0"/>
                <w:sz w:val="18"/>
                <w:szCs w:val="18"/>
              </w:rPr>
              <w:t>22 563</w:t>
            </w:r>
          </w:p>
        </w:tc>
        <w:tc>
          <w:tcPr>
            <w:tcW w:w="437" w:type="dxa"/>
            <w:tcBorders/>
            <w:vAlign w:val="center"/>
          </w:tcPr>
          <w:p>
            <w:pPr>
              <w:pStyle w:val="F21"/>
              <w:tabs>
                <w:tab w:val="clear" w:pos="567"/>
              </w:tabs>
              <w:snapToGrid w:val="false"/>
              <w:spacing w:lineRule="atLeast" w:line="370"/>
              <w:jc w:val="center"/>
              <w:rPr>
                <w:rFonts w:cs="Times New Roman"/>
                <w:spacing w:val="0"/>
                <w:sz w:val="18"/>
                <w:szCs w:val="18"/>
              </w:rPr>
            </w:pPr>
            <w:r>
              <w:rPr>
                <w:rFonts w:cs="Times New Roman"/>
                <w:spacing w:val="0"/>
                <w:sz w:val="18"/>
                <w:szCs w:val="18"/>
              </w:rPr>
              <w:t>65%</w:t>
            </w:r>
          </w:p>
        </w:tc>
        <w:tc>
          <w:tcPr>
            <w:tcW w:w="437"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8</w:t>
            </w:r>
          </w:p>
        </w:tc>
        <w:tc>
          <w:tcPr>
            <w:tcW w:w="439"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25</w:t>
            </w:r>
          </w:p>
        </w:tc>
        <w:tc>
          <w:tcPr>
            <w:tcW w:w="441"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94</w:t>
            </w:r>
          </w:p>
        </w:tc>
        <w:tc>
          <w:tcPr>
            <w:tcW w:w="438" w:type="dxa"/>
            <w:tcBorders/>
            <w:vAlign w:val="center"/>
          </w:tcPr>
          <w:p>
            <w:pPr>
              <w:pStyle w:val="F21"/>
              <w:tabs>
                <w:tab w:val="clear" w:pos="567"/>
              </w:tabs>
              <w:snapToGrid w:val="false"/>
              <w:spacing w:lineRule="atLeast" w:line="370"/>
              <w:ind w:right="85" w:hanging="0"/>
              <w:jc w:val="right"/>
              <w:rPr>
                <w:rFonts w:cs="Times New Roman"/>
                <w:spacing w:val="0"/>
                <w:sz w:val="18"/>
                <w:szCs w:val="18"/>
              </w:rPr>
            </w:pPr>
            <w:r>
              <w:rPr>
                <w:rFonts w:cs="Times New Roman"/>
                <w:spacing w:val="0"/>
                <w:sz w:val="18"/>
                <w:szCs w:val="18"/>
              </w:rPr>
              <w:t>103</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新界東</w:t>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4 250</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29%</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2 724</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18%</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7 770</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53%</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24</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45</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65</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73</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2 877</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2 943</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11 191</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65%</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36</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52</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70</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1 424</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952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7 820</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71%</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47</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76</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7 086</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36%</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2 935</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9 672</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49%</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47</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60</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67</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6 560</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33%</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2 326</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12%</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11 170</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56%</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63</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69</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89</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554</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572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3 192</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74%</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37</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1 414</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1 801</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5 036</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58%</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23</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53</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113</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2 674</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3 176</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14 077</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70%</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38</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55</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80</w:t>
            </w:r>
          </w:p>
        </w:tc>
      </w:tr>
      <w:tr>
        <w:trPr/>
        <w:tc>
          <w:tcPr>
            <w:tcW w:w="559" w:type="dxa"/>
            <w:vMerge w:val="restart"/>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新界西</w:t>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耳鼻喉科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3 355</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29%</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1 103</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7 056</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61%</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43</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57</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96</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內科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1 649</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2 579</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7 087</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63%</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7</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40</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45</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48</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婦科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1 055</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18%</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1 253</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3 527</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60%</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11</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15</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20</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40</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眼科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5 727</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32%</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1 578</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10 727</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59%</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39</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48</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矯形及創傷外科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1 779</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1 336</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8 982</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74%</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31</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34</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41</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兒童及青少年科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304</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380</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1 649</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71%</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14</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精神科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770</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1 742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3 105</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55%</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4</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9</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13</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16</w:t>
            </w:r>
          </w:p>
        </w:tc>
      </w:tr>
      <w:tr>
        <w:trPr/>
        <w:tc>
          <w:tcPr>
            <w:tcW w:w="559" w:type="dxa"/>
            <w:vMerge w:val="continue"/>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r>
          </w:p>
        </w:tc>
        <w:tc>
          <w:tcPr>
            <w:tcW w:w="833"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外科</w:t>
            </w:r>
          </w:p>
        </w:tc>
        <w:tc>
          <w:tcPr>
            <w:tcW w:w="4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1 373</w:t>
            </w:r>
          </w:p>
        </w:tc>
        <w:tc>
          <w:tcPr>
            <w:tcW w:w="437"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40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0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441"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2 162</w:t>
            </w:r>
          </w:p>
        </w:tc>
        <w:tc>
          <w:tcPr>
            <w:tcW w:w="44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3</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4</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6</w:t>
            </w:r>
          </w:p>
        </w:tc>
        <w:tc>
          <w:tcPr>
            <w:tcW w:w="438"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7</w:t>
            </w:r>
          </w:p>
        </w:tc>
        <w:tc>
          <w:tcPr>
            <w:tcW w:w="524"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16 141</w:t>
            </w:r>
          </w:p>
        </w:tc>
        <w:tc>
          <w:tcPr>
            <w:tcW w:w="437"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82%</w:t>
            </w:r>
          </w:p>
        </w:tc>
        <w:tc>
          <w:tcPr>
            <w:tcW w:w="437"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12</w:t>
            </w:r>
          </w:p>
        </w:tc>
        <w:tc>
          <w:tcPr>
            <w:tcW w:w="439"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25</w:t>
            </w:r>
          </w:p>
        </w:tc>
        <w:tc>
          <w:tcPr>
            <w:tcW w:w="441"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27</w:t>
            </w:r>
          </w:p>
        </w:tc>
        <w:tc>
          <w:tcPr>
            <w:tcW w:w="438" w:type="dxa"/>
            <w:tcBorders/>
            <w:vAlign w:val="center"/>
          </w:tcPr>
          <w:p>
            <w:pPr>
              <w:pStyle w:val="F21"/>
              <w:tabs>
                <w:tab w:val="clear" w:pos="567"/>
              </w:tabs>
              <w:snapToGrid w:val="false"/>
              <w:ind w:right="85" w:hanging="0"/>
              <w:jc w:val="right"/>
              <w:rPr>
                <w:rFonts w:cs="Times New Roman"/>
                <w:spacing w:val="0"/>
                <w:sz w:val="18"/>
                <w:szCs w:val="18"/>
              </w:rPr>
            </w:pPr>
            <w:r>
              <w:rPr>
                <w:rFonts w:cs="Times New Roman"/>
                <w:spacing w:val="0"/>
                <w:sz w:val="18"/>
                <w:szCs w:val="18"/>
              </w:rPr>
              <w:t>28</w:t>
            </w:r>
          </w:p>
        </w:tc>
      </w:tr>
    </w:tbl>
    <w:p>
      <w:pPr>
        <w:pStyle w:val="F21"/>
        <w:snapToGrid w:val="false"/>
        <w:rPr>
          <w:rFonts w:cs="Times New Roman"/>
          <w:sz w:val="20"/>
          <w:szCs w:val="20"/>
        </w:rPr>
      </w:pPr>
      <w:r>
        <w:rPr>
          <w:rFonts w:cs="Times New Roman"/>
          <w:sz w:val="20"/>
          <w:szCs w:val="20"/>
        </w:rPr>
      </w:r>
    </w:p>
    <w:p>
      <w:pPr>
        <w:pStyle w:val="F21"/>
        <w:snapToGrid w:val="false"/>
        <w:rPr>
          <w:rFonts w:cs="Times New Roman"/>
          <w:szCs w:val="27"/>
        </w:rPr>
      </w:pPr>
      <w:r>
        <w:rPr>
          <w:rFonts w:cs="Times New Roman"/>
          <w:szCs w:val="27"/>
        </w:rPr>
        <w:t>2011-2012</w:t>
      </w:r>
      <w:r>
        <w:rPr>
          <w:rFonts w:cs="Times New Roman"/>
          <w:szCs w:val="27"/>
        </w:rPr>
        <w:t>年度</w:t>
      </w:r>
    </w:p>
    <w:tbl>
      <w:tblPr>
        <w:tblStyle w:val="a3"/>
        <w:tblW w:w="9225" w:type="dxa"/>
        <w:jc w:val="left"/>
        <w:tblInd w:w="0" w:type="dxa"/>
        <w:tblCellMar>
          <w:top w:w="0" w:type="dxa"/>
          <w:left w:w="108" w:type="dxa"/>
          <w:bottom w:w="0" w:type="dxa"/>
          <w:right w:w="108" w:type="dxa"/>
        </w:tblCellMar>
        <w:tblLook w:val="04a0" w:noHBand="0" w:noVBand="1" w:firstColumn="1" w:lastRow="0" w:lastColumn="0" w:firstRow="1"/>
      </w:tblPr>
      <w:tblGrid>
        <w:gridCol w:w="571"/>
        <w:gridCol w:w="837"/>
        <w:gridCol w:w="440"/>
        <w:gridCol w:w="425"/>
        <w:gridCol w:w="384"/>
        <w:gridCol w:w="385"/>
        <w:gridCol w:w="385"/>
        <w:gridCol w:w="385"/>
        <w:gridCol w:w="533"/>
        <w:gridCol w:w="480"/>
        <w:gridCol w:w="425"/>
        <w:gridCol w:w="426"/>
        <w:gridCol w:w="425"/>
        <w:gridCol w:w="425"/>
        <w:gridCol w:w="710"/>
        <w:gridCol w:w="425"/>
        <w:gridCol w:w="390"/>
        <w:gridCol w:w="391"/>
        <w:gridCol w:w="391"/>
        <w:gridCol w:w="389"/>
      </w:tblGrid>
      <w:tr>
        <w:trPr/>
        <w:tc>
          <w:tcPr>
            <w:tcW w:w="571" w:type="dxa"/>
            <w:vMerge w:val="restart"/>
            <w:tcBorders/>
            <w:vAlign w:val="center"/>
          </w:tcPr>
          <w:p>
            <w:pPr>
              <w:pStyle w:val="Normal"/>
              <w:widowControl w:val="false"/>
              <w:snapToGrid w:val="false"/>
              <w:spacing w:lineRule="atLeast" w:line="240"/>
              <w:jc w:val="center"/>
              <w:rPr>
                <w:i/>
                <w:i/>
                <w:sz w:val="18"/>
                <w:szCs w:val="18"/>
              </w:rPr>
            </w:pPr>
            <w:r>
              <w:rPr>
                <w:i/>
                <w:sz w:val="18"/>
                <w:szCs w:val="18"/>
              </w:rPr>
              <w:t>聯網</w:t>
            </w:r>
          </w:p>
        </w:tc>
        <w:tc>
          <w:tcPr>
            <w:tcW w:w="837" w:type="dxa"/>
            <w:vMerge w:val="restart"/>
            <w:tcBorders/>
            <w:vAlign w:val="center"/>
          </w:tcPr>
          <w:p>
            <w:pPr>
              <w:pStyle w:val="Normal"/>
              <w:widowControl w:val="false"/>
              <w:snapToGrid w:val="false"/>
              <w:spacing w:lineRule="atLeast" w:line="240"/>
              <w:jc w:val="center"/>
              <w:rPr>
                <w:i/>
                <w:i/>
                <w:sz w:val="18"/>
                <w:szCs w:val="18"/>
              </w:rPr>
            </w:pPr>
            <w:r>
              <w:rPr>
                <w:i/>
                <w:sz w:val="18"/>
                <w:szCs w:val="18"/>
              </w:rPr>
              <w:t>專科</w:t>
            </w:r>
          </w:p>
        </w:tc>
        <w:tc>
          <w:tcPr>
            <w:tcW w:w="2404" w:type="dxa"/>
            <w:gridSpan w:val="6"/>
            <w:tcBorders/>
            <w:vAlign w:val="center"/>
          </w:tcPr>
          <w:p>
            <w:pPr>
              <w:pStyle w:val="Normal"/>
              <w:widowControl w:val="false"/>
              <w:snapToGrid w:val="false"/>
              <w:spacing w:lineRule="atLeast" w:line="240"/>
              <w:jc w:val="center"/>
              <w:rPr>
                <w:i/>
                <w:i/>
                <w:sz w:val="18"/>
                <w:szCs w:val="18"/>
              </w:rPr>
            </w:pPr>
            <w:r>
              <w:rPr>
                <w:i/>
                <w:sz w:val="18"/>
                <w:szCs w:val="18"/>
              </w:rPr>
              <w:t>第一優先類別</w:t>
            </w:r>
          </w:p>
        </w:tc>
        <w:tc>
          <w:tcPr>
            <w:tcW w:w="2714" w:type="dxa"/>
            <w:gridSpan w:val="6"/>
            <w:tcBorders/>
            <w:vAlign w:val="center"/>
          </w:tcPr>
          <w:p>
            <w:pPr>
              <w:pStyle w:val="Normal"/>
              <w:widowControl w:val="false"/>
              <w:tabs>
                <w:tab w:val="left" w:pos="567" w:leader="none"/>
                <w:tab w:val="left" w:pos="720" w:leader="none"/>
              </w:tabs>
              <w:snapToGrid w:val="false"/>
              <w:spacing w:lineRule="atLeast" w:line="240"/>
              <w:jc w:val="center"/>
              <w:rPr>
                <w:i/>
                <w:i/>
                <w:sz w:val="18"/>
                <w:szCs w:val="18"/>
              </w:rPr>
            </w:pPr>
            <w:r>
              <w:rPr>
                <w:i/>
                <w:sz w:val="18"/>
                <w:szCs w:val="18"/>
              </w:rPr>
              <w:t>第二優先類別</w:t>
            </w:r>
          </w:p>
        </w:tc>
        <w:tc>
          <w:tcPr>
            <w:tcW w:w="2696" w:type="dxa"/>
            <w:gridSpan w:val="6"/>
            <w:tcBorders/>
            <w:vAlign w:val="center"/>
          </w:tcPr>
          <w:p>
            <w:pPr>
              <w:pStyle w:val="Normal"/>
              <w:widowControl w:val="false"/>
              <w:snapToGrid w:val="false"/>
              <w:spacing w:lineRule="atLeast" w:line="240"/>
              <w:jc w:val="center"/>
              <w:rPr>
                <w:i/>
                <w:i/>
                <w:sz w:val="18"/>
                <w:szCs w:val="18"/>
              </w:rPr>
            </w:pPr>
            <w:r>
              <w:rPr>
                <w:i/>
                <w:sz w:val="18"/>
                <w:szCs w:val="18"/>
              </w:rPr>
              <w:t>例行類別</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新症數目</w:t>
            </w:r>
          </w:p>
        </w:tc>
        <w:tc>
          <w:tcPr>
            <w:tcW w:w="425"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539"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c>
          <w:tcPr>
            <w:tcW w:w="533"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新症數目</w:t>
            </w:r>
          </w:p>
        </w:tc>
        <w:tc>
          <w:tcPr>
            <w:tcW w:w="480"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701"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c>
          <w:tcPr>
            <w:tcW w:w="710"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w:t>
            </w:r>
            <w:r>
              <w:rPr>
                <w:i/>
                <w:sz w:val="18"/>
                <w:szCs w:val="18"/>
              </w:rPr>
              <w:br/>
            </w:r>
            <w:r>
              <w:rPr>
                <w:i/>
                <w:sz w:val="18"/>
                <w:szCs w:val="18"/>
              </w:rPr>
              <w:t>數目</w:t>
            </w:r>
          </w:p>
        </w:tc>
        <w:tc>
          <w:tcPr>
            <w:tcW w:w="425"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561"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384"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c>
          <w:tcPr>
            <w:tcW w:w="533"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8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426"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c>
          <w:tcPr>
            <w:tcW w:w="71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390"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391"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391"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389"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539" w:type="dxa"/>
            <w:gridSpan w:val="4"/>
            <w:tcBorders/>
            <w:vAlign w:val="center"/>
          </w:tcPr>
          <w:p>
            <w:pPr>
              <w:pStyle w:val="Normal"/>
              <w:widowControl w:val="false"/>
              <w:snapToGrid w:val="false"/>
              <w:spacing w:lineRule="atLeast" w:line="240"/>
              <w:jc w:val="center"/>
              <w:rPr>
                <w:i/>
                <w:i/>
                <w:sz w:val="18"/>
                <w:szCs w:val="18"/>
              </w:rPr>
            </w:pPr>
            <w:r>
              <w:rPr>
                <w:i/>
                <w:sz w:val="18"/>
                <w:szCs w:val="18"/>
              </w:rPr>
              <w:t>百分值</w:t>
            </w:r>
          </w:p>
        </w:tc>
        <w:tc>
          <w:tcPr>
            <w:tcW w:w="533"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8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701" w:type="dxa"/>
            <w:gridSpan w:val="4"/>
            <w:tcBorders/>
            <w:vAlign w:val="center"/>
          </w:tcPr>
          <w:p>
            <w:pPr>
              <w:pStyle w:val="Normal"/>
              <w:widowControl w:val="false"/>
              <w:tabs>
                <w:tab w:val="left" w:pos="567" w:leader="none"/>
                <w:tab w:val="left" w:pos="720" w:leader="none"/>
              </w:tabs>
              <w:snapToGrid w:val="false"/>
              <w:spacing w:lineRule="atLeast" w:line="240"/>
              <w:jc w:val="center"/>
              <w:rPr>
                <w:i/>
                <w:i/>
                <w:sz w:val="18"/>
                <w:szCs w:val="18"/>
              </w:rPr>
            </w:pPr>
            <w:r>
              <w:rPr>
                <w:i/>
                <w:sz w:val="18"/>
                <w:szCs w:val="18"/>
              </w:rPr>
              <w:t>百分值</w:t>
            </w:r>
          </w:p>
        </w:tc>
        <w:tc>
          <w:tcPr>
            <w:tcW w:w="71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561" w:type="dxa"/>
            <w:gridSpan w:val="4"/>
            <w:tcBorders/>
            <w:vAlign w:val="center"/>
          </w:tcPr>
          <w:p>
            <w:pPr>
              <w:pStyle w:val="Normal"/>
              <w:widowControl w:val="false"/>
              <w:snapToGrid w:val="false"/>
              <w:spacing w:lineRule="atLeast" w:line="240"/>
              <w:jc w:val="center"/>
              <w:rPr>
                <w:i/>
                <w:i/>
                <w:sz w:val="18"/>
                <w:szCs w:val="18"/>
              </w:rPr>
            </w:pPr>
            <w:r>
              <w:rPr>
                <w:i/>
                <w:sz w:val="18"/>
                <w:szCs w:val="18"/>
              </w:rPr>
              <w:t>百分值</w:t>
            </w:r>
          </w:p>
        </w:tc>
      </w:tr>
      <w:tr>
        <w:trPr/>
        <w:tc>
          <w:tcPr>
            <w:tcW w:w="571" w:type="dxa"/>
            <w:vMerge w:val="restart"/>
            <w:tcBorders/>
            <w:vAlign w:val="center"/>
          </w:tcPr>
          <w:p>
            <w:pPr>
              <w:pStyle w:val="Normal"/>
              <w:widowControl w:val="false"/>
              <w:snapToGrid w:val="false"/>
              <w:jc w:val="center"/>
              <w:rPr>
                <w:sz w:val="18"/>
                <w:szCs w:val="18"/>
              </w:rPr>
            </w:pPr>
            <w:r>
              <w:rPr>
                <w:sz w:val="18"/>
                <w:szCs w:val="18"/>
              </w:rPr>
              <w:t>港島東</w:t>
            </w:r>
          </w:p>
        </w:tc>
        <w:tc>
          <w:tcPr>
            <w:tcW w:w="837" w:type="dxa"/>
            <w:tcBorders/>
            <w:vAlign w:val="center"/>
          </w:tcPr>
          <w:p>
            <w:pPr>
              <w:pStyle w:val="Normal"/>
              <w:widowControl w:val="false"/>
              <w:snapToGrid w:val="false"/>
              <w:jc w:val="center"/>
              <w:rPr>
                <w:sz w:val="18"/>
                <w:szCs w:val="18"/>
              </w:rPr>
            </w:pPr>
            <w:r>
              <w:rPr>
                <w:sz w:val="18"/>
                <w:szCs w:val="18"/>
              </w:rPr>
              <w:t>耳鼻喉科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1 408</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18%</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2 561</w:t>
            </w:r>
          </w:p>
        </w:tc>
        <w:tc>
          <w:tcPr>
            <w:tcW w:w="480" w:type="dxa"/>
            <w:tcBorders/>
            <w:vAlign w:val="center"/>
          </w:tcPr>
          <w:p>
            <w:pPr>
              <w:pStyle w:val="Normal"/>
              <w:widowControl w:val="false"/>
              <w:snapToGrid w:val="false"/>
              <w:ind w:right="57" w:hanging="0"/>
              <w:jc w:val="right"/>
              <w:rPr>
                <w:sz w:val="18"/>
                <w:szCs w:val="18"/>
              </w:rPr>
            </w:pPr>
            <w:r>
              <w:rPr>
                <w:sz w:val="18"/>
                <w:szCs w:val="18"/>
              </w:rPr>
              <w:t>33%</w:t>
            </w:r>
          </w:p>
        </w:tc>
        <w:tc>
          <w:tcPr>
            <w:tcW w:w="425" w:type="dxa"/>
            <w:tcBorders/>
            <w:vAlign w:val="center"/>
          </w:tcPr>
          <w:p>
            <w:pPr>
              <w:pStyle w:val="Normal"/>
              <w:widowControl w:val="false"/>
              <w:snapToGrid w:val="false"/>
              <w:ind w:right="57" w:hanging="0"/>
              <w:jc w:val="right"/>
              <w:rPr>
                <w:sz w:val="18"/>
                <w:szCs w:val="18"/>
              </w:rPr>
            </w:pPr>
            <w:r>
              <w:rPr>
                <w:sz w:val="18"/>
                <w:szCs w:val="18"/>
              </w:rPr>
              <w:t>1</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3 743</w:t>
            </w:r>
          </w:p>
        </w:tc>
        <w:tc>
          <w:tcPr>
            <w:tcW w:w="425" w:type="dxa"/>
            <w:tcBorders/>
            <w:vAlign w:val="center"/>
          </w:tcPr>
          <w:p>
            <w:pPr>
              <w:pStyle w:val="Normal"/>
              <w:widowControl w:val="false"/>
              <w:snapToGrid w:val="false"/>
              <w:ind w:right="57" w:hanging="0"/>
              <w:jc w:val="right"/>
              <w:rPr>
                <w:sz w:val="18"/>
                <w:szCs w:val="18"/>
              </w:rPr>
            </w:pPr>
            <w:r>
              <w:rPr>
                <w:sz w:val="18"/>
                <w:szCs w:val="18"/>
              </w:rPr>
              <w:t>48%</w:t>
            </w:r>
          </w:p>
        </w:tc>
        <w:tc>
          <w:tcPr>
            <w:tcW w:w="390" w:type="dxa"/>
            <w:tcBorders/>
            <w:vAlign w:val="center"/>
          </w:tcPr>
          <w:p>
            <w:pPr>
              <w:pStyle w:val="Normal"/>
              <w:widowControl w:val="false"/>
              <w:snapToGrid w:val="false"/>
              <w:ind w:right="57" w:hanging="0"/>
              <w:jc w:val="right"/>
              <w:rPr>
                <w:sz w:val="18"/>
                <w:szCs w:val="18"/>
              </w:rPr>
            </w:pPr>
            <w:r>
              <w:rPr>
                <w:sz w:val="18"/>
                <w:szCs w:val="18"/>
              </w:rPr>
              <w:t>20</w:t>
            </w:r>
          </w:p>
        </w:tc>
        <w:tc>
          <w:tcPr>
            <w:tcW w:w="391" w:type="dxa"/>
            <w:tcBorders/>
            <w:vAlign w:val="center"/>
          </w:tcPr>
          <w:p>
            <w:pPr>
              <w:pStyle w:val="Normal"/>
              <w:widowControl w:val="false"/>
              <w:snapToGrid w:val="false"/>
              <w:ind w:right="57" w:hanging="0"/>
              <w:jc w:val="right"/>
              <w:rPr>
                <w:sz w:val="18"/>
                <w:szCs w:val="18"/>
              </w:rPr>
            </w:pPr>
            <w:r>
              <w:rPr>
                <w:sz w:val="18"/>
                <w:szCs w:val="18"/>
              </w:rPr>
              <w:t>21</w:t>
            </w:r>
          </w:p>
        </w:tc>
        <w:tc>
          <w:tcPr>
            <w:tcW w:w="391" w:type="dxa"/>
            <w:tcBorders/>
            <w:vAlign w:val="center"/>
          </w:tcPr>
          <w:p>
            <w:pPr>
              <w:pStyle w:val="Normal"/>
              <w:widowControl w:val="false"/>
              <w:snapToGrid w:val="false"/>
              <w:ind w:right="57" w:hanging="0"/>
              <w:jc w:val="right"/>
              <w:rPr>
                <w:sz w:val="18"/>
                <w:szCs w:val="18"/>
              </w:rPr>
            </w:pPr>
            <w:r>
              <w:rPr>
                <w:sz w:val="18"/>
                <w:szCs w:val="18"/>
              </w:rPr>
              <w:t>22</w:t>
            </w:r>
          </w:p>
        </w:tc>
        <w:tc>
          <w:tcPr>
            <w:tcW w:w="389" w:type="dxa"/>
            <w:tcBorders/>
            <w:vAlign w:val="center"/>
          </w:tcPr>
          <w:p>
            <w:pPr>
              <w:pStyle w:val="Normal"/>
              <w:widowControl w:val="false"/>
              <w:snapToGrid w:val="false"/>
              <w:ind w:right="57" w:hanging="0"/>
              <w:jc w:val="right"/>
              <w:rPr>
                <w:sz w:val="18"/>
                <w:szCs w:val="18"/>
              </w:rPr>
            </w:pPr>
            <w:r>
              <w:rPr>
                <w:sz w:val="18"/>
                <w:szCs w:val="18"/>
              </w:rPr>
              <w:t>34</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內科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2 351</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21%</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3 387</w:t>
            </w:r>
          </w:p>
        </w:tc>
        <w:tc>
          <w:tcPr>
            <w:tcW w:w="480" w:type="dxa"/>
            <w:tcBorders/>
            <w:vAlign w:val="center"/>
          </w:tcPr>
          <w:p>
            <w:pPr>
              <w:pStyle w:val="Normal"/>
              <w:widowControl w:val="false"/>
              <w:snapToGrid w:val="false"/>
              <w:ind w:right="57" w:hanging="0"/>
              <w:jc w:val="right"/>
              <w:rPr>
                <w:sz w:val="18"/>
                <w:szCs w:val="18"/>
              </w:rPr>
            </w:pPr>
            <w:r>
              <w:rPr>
                <w:sz w:val="18"/>
                <w:szCs w:val="18"/>
              </w:rPr>
              <w:t>30%</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5 608</w:t>
            </w:r>
          </w:p>
        </w:tc>
        <w:tc>
          <w:tcPr>
            <w:tcW w:w="425" w:type="dxa"/>
            <w:tcBorders/>
            <w:vAlign w:val="center"/>
          </w:tcPr>
          <w:p>
            <w:pPr>
              <w:pStyle w:val="Normal"/>
              <w:widowControl w:val="false"/>
              <w:snapToGrid w:val="false"/>
              <w:ind w:right="57" w:hanging="0"/>
              <w:jc w:val="right"/>
              <w:rPr>
                <w:sz w:val="18"/>
                <w:szCs w:val="18"/>
              </w:rPr>
            </w:pPr>
            <w:r>
              <w:rPr>
                <w:sz w:val="18"/>
                <w:szCs w:val="18"/>
              </w:rPr>
              <w:t>49%</w:t>
            </w:r>
          </w:p>
        </w:tc>
        <w:tc>
          <w:tcPr>
            <w:tcW w:w="390" w:type="dxa"/>
            <w:tcBorders/>
            <w:vAlign w:val="center"/>
          </w:tcPr>
          <w:p>
            <w:pPr>
              <w:pStyle w:val="Normal"/>
              <w:widowControl w:val="false"/>
              <w:snapToGrid w:val="false"/>
              <w:ind w:right="57" w:hanging="0"/>
              <w:jc w:val="right"/>
              <w:rPr>
                <w:sz w:val="18"/>
                <w:szCs w:val="18"/>
              </w:rPr>
            </w:pPr>
            <w:r>
              <w:rPr>
                <w:sz w:val="18"/>
                <w:szCs w:val="18"/>
              </w:rPr>
              <w:t>8</w:t>
            </w:r>
          </w:p>
        </w:tc>
        <w:tc>
          <w:tcPr>
            <w:tcW w:w="391" w:type="dxa"/>
            <w:tcBorders/>
            <w:vAlign w:val="center"/>
          </w:tcPr>
          <w:p>
            <w:pPr>
              <w:pStyle w:val="Normal"/>
              <w:widowControl w:val="false"/>
              <w:snapToGrid w:val="false"/>
              <w:ind w:right="57" w:hanging="0"/>
              <w:jc w:val="right"/>
              <w:rPr>
                <w:sz w:val="18"/>
                <w:szCs w:val="18"/>
              </w:rPr>
            </w:pPr>
            <w:r>
              <w:rPr>
                <w:sz w:val="18"/>
                <w:szCs w:val="18"/>
              </w:rPr>
              <w:t>14</w:t>
            </w:r>
          </w:p>
        </w:tc>
        <w:tc>
          <w:tcPr>
            <w:tcW w:w="391" w:type="dxa"/>
            <w:tcBorders/>
            <w:vAlign w:val="center"/>
          </w:tcPr>
          <w:p>
            <w:pPr>
              <w:pStyle w:val="Normal"/>
              <w:widowControl w:val="false"/>
              <w:snapToGrid w:val="false"/>
              <w:ind w:right="57" w:hanging="0"/>
              <w:jc w:val="right"/>
              <w:rPr>
                <w:sz w:val="18"/>
                <w:szCs w:val="18"/>
              </w:rPr>
            </w:pPr>
            <w:r>
              <w:rPr>
                <w:sz w:val="18"/>
                <w:szCs w:val="18"/>
              </w:rPr>
              <w:t>31</w:t>
            </w:r>
          </w:p>
        </w:tc>
        <w:tc>
          <w:tcPr>
            <w:tcW w:w="389" w:type="dxa"/>
            <w:tcBorders/>
            <w:vAlign w:val="center"/>
          </w:tcPr>
          <w:p>
            <w:pPr>
              <w:pStyle w:val="Normal"/>
              <w:widowControl w:val="false"/>
              <w:snapToGrid w:val="false"/>
              <w:ind w:right="57" w:hanging="0"/>
              <w:jc w:val="right"/>
              <w:rPr>
                <w:sz w:val="18"/>
                <w:szCs w:val="18"/>
              </w:rPr>
            </w:pPr>
            <w:r>
              <w:rPr>
                <w:sz w:val="18"/>
                <w:szCs w:val="18"/>
              </w:rPr>
              <w:t>52</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婦科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983</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19%</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794</w:t>
            </w:r>
          </w:p>
        </w:tc>
        <w:tc>
          <w:tcPr>
            <w:tcW w:w="480" w:type="dxa"/>
            <w:tcBorders/>
            <w:vAlign w:val="center"/>
          </w:tcPr>
          <w:p>
            <w:pPr>
              <w:pStyle w:val="Normal"/>
              <w:widowControl w:val="false"/>
              <w:snapToGrid w:val="false"/>
              <w:ind w:right="57" w:hanging="0"/>
              <w:jc w:val="right"/>
              <w:rPr>
                <w:sz w:val="18"/>
                <w:szCs w:val="18"/>
              </w:rPr>
            </w:pPr>
            <w:r>
              <w:rPr>
                <w:sz w:val="18"/>
                <w:szCs w:val="18"/>
              </w:rPr>
              <w:t>16%</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710" w:type="dxa"/>
            <w:tcBorders/>
            <w:vAlign w:val="center"/>
          </w:tcPr>
          <w:p>
            <w:pPr>
              <w:pStyle w:val="Normal"/>
              <w:widowControl w:val="false"/>
              <w:snapToGrid w:val="false"/>
              <w:ind w:right="85" w:hanging="0"/>
              <w:jc w:val="right"/>
              <w:rPr>
                <w:sz w:val="18"/>
                <w:szCs w:val="18"/>
              </w:rPr>
            </w:pPr>
            <w:r>
              <w:rPr>
                <w:sz w:val="18"/>
                <w:szCs w:val="18"/>
              </w:rPr>
              <w:t>3 338</w:t>
            </w:r>
          </w:p>
        </w:tc>
        <w:tc>
          <w:tcPr>
            <w:tcW w:w="425" w:type="dxa"/>
            <w:tcBorders/>
            <w:vAlign w:val="center"/>
          </w:tcPr>
          <w:p>
            <w:pPr>
              <w:pStyle w:val="Normal"/>
              <w:widowControl w:val="false"/>
              <w:snapToGrid w:val="false"/>
              <w:ind w:right="57" w:hanging="0"/>
              <w:jc w:val="right"/>
              <w:rPr>
                <w:sz w:val="18"/>
                <w:szCs w:val="18"/>
              </w:rPr>
            </w:pPr>
            <w:r>
              <w:rPr>
                <w:sz w:val="18"/>
                <w:szCs w:val="18"/>
              </w:rPr>
              <w:t>65%</w:t>
            </w:r>
          </w:p>
        </w:tc>
        <w:tc>
          <w:tcPr>
            <w:tcW w:w="390" w:type="dxa"/>
            <w:tcBorders/>
            <w:vAlign w:val="center"/>
          </w:tcPr>
          <w:p>
            <w:pPr>
              <w:pStyle w:val="Normal"/>
              <w:widowControl w:val="false"/>
              <w:snapToGrid w:val="false"/>
              <w:ind w:right="57" w:hanging="0"/>
              <w:jc w:val="right"/>
              <w:rPr>
                <w:sz w:val="18"/>
                <w:szCs w:val="18"/>
              </w:rPr>
            </w:pPr>
            <w:r>
              <w:rPr>
                <w:sz w:val="18"/>
                <w:szCs w:val="18"/>
              </w:rPr>
              <w:t>10</w:t>
            </w:r>
          </w:p>
        </w:tc>
        <w:tc>
          <w:tcPr>
            <w:tcW w:w="391" w:type="dxa"/>
            <w:tcBorders/>
            <w:vAlign w:val="center"/>
          </w:tcPr>
          <w:p>
            <w:pPr>
              <w:pStyle w:val="Normal"/>
              <w:widowControl w:val="false"/>
              <w:snapToGrid w:val="false"/>
              <w:ind w:right="57" w:hanging="0"/>
              <w:jc w:val="right"/>
              <w:rPr>
                <w:sz w:val="18"/>
                <w:szCs w:val="18"/>
              </w:rPr>
            </w:pPr>
            <w:r>
              <w:rPr>
                <w:sz w:val="18"/>
                <w:szCs w:val="18"/>
              </w:rPr>
              <w:t>13</w:t>
            </w:r>
          </w:p>
        </w:tc>
        <w:tc>
          <w:tcPr>
            <w:tcW w:w="391" w:type="dxa"/>
            <w:tcBorders/>
            <w:vAlign w:val="center"/>
          </w:tcPr>
          <w:p>
            <w:pPr>
              <w:pStyle w:val="Normal"/>
              <w:widowControl w:val="false"/>
              <w:snapToGrid w:val="false"/>
              <w:ind w:right="57" w:hanging="0"/>
              <w:jc w:val="right"/>
              <w:rPr>
                <w:sz w:val="18"/>
                <w:szCs w:val="18"/>
              </w:rPr>
            </w:pPr>
            <w:r>
              <w:rPr>
                <w:sz w:val="18"/>
                <w:szCs w:val="18"/>
              </w:rPr>
              <w:t>19</w:t>
            </w:r>
          </w:p>
        </w:tc>
        <w:tc>
          <w:tcPr>
            <w:tcW w:w="389" w:type="dxa"/>
            <w:tcBorders/>
            <w:vAlign w:val="center"/>
          </w:tcPr>
          <w:p>
            <w:pPr>
              <w:pStyle w:val="Normal"/>
              <w:widowControl w:val="false"/>
              <w:snapToGrid w:val="false"/>
              <w:ind w:right="57" w:hanging="0"/>
              <w:jc w:val="right"/>
              <w:rPr>
                <w:sz w:val="18"/>
                <w:szCs w:val="18"/>
              </w:rPr>
            </w:pPr>
            <w:r>
              <w:rPr>
                <w:sz w:val="18"/>
                <w:szCs w:val="18"/>
              </w:rPr>
              <w:t>23</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眼科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4 993</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43%</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1 635</w:t>
            </w:r>
          </w:p>
        </w:tc>
        <w:tc>
          <w:tcPr>
            <w:tcW w:w="480" w:type="dxa"/>
            <w:tcBorders/>
            <w:vAlign w:val="center"/>
          </w:tcPr>
          <w:p>
            <w:pPr>
              <w:pStyle w:val="Normal"/>
              <w:widowControl w:val="false"/>
              <w:snapToGrid w:val="false"/>
              <w:ind w:right="57" w:hanging="0"/>
              <w:jc w:val="right"/>
              <w:rPr>
                <w:sz w:val="18"/>
                <w:szCs w:val="18"/>
              </w:rPr>
            </w:pPr>
            <w:r>
              <w:rPr>
                <w:sz w:val="18"/>
                <w:szCs w:val="18"/>
              </w:rPr>
              <w:t>14%</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6"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4 957</w:t>
            </w:r>
          </w:p>
        </w:tc>
        <w:tc>
          <w:tcPr>
            <w:tcW w:w="425" w:type="dxa"/>
            <w:tcBorders/>
            <w:vAlign w:val="center"/>
          </w:tcPr>
          <w:p>
            <w:pPr>
              <w:pStyle w:val="Normal"/>
              <w:widowControl w:val="false"/>
              <w:snapToGrid w:val="false"/>
              <w:ind w:right="57" w:hanging="0"/>
              <w:jc w:val="right"/>
              <w:rPr>
                <w:sz w:val="18"/>
                <w:szCs w:val="18"/>
              </w:rPr>
            </w:pPr>
            <w:r>
              <w:rPr>
                <w:sz w:val="18"/>
                <w:szCs w:val="18"/>
              </w:rPr>
              <w:t>43%</w:t>
            </w:r>
          </w:p>
        </w:tc>
        <w:tc>
          <w:tcPr>
            <w:tcW w:w="390" w:type="dxa"/>
            <w:tcBorders/>
            <w:vAlign w:val="center"/>
          </w:tcPr>
          <w:p>
            <w:pPr>
              <w:pStyle w:val="Normal"/>
              <w:widowControl w:val="false"/>
              <w:snapToGrid w:val="false"/>
              <w:ind w:right="57" w:hanging="0"/>
              <w:jc w:val="right"/>
              <w:rPr>
                <w:sz w:val="18"/>
                <w:szCs w:val="18"/>
              </w:rPr>
            </w:pPr>
            <w:r>
              <w:rPr>
                <w:sz w:val="18"/>
                <w:szCs w:val="18"/>
              </w:rPr>
              <w:t>11</w:t>
            </w:r>
          </w:p>
        </w:tc>
        <w:tc>
          <w:tcPr>
            <w:tcW w:w="391" w:type="dxa"/>
            <w:tcBorders/>
            <w:vAlign w:val="center"/>
          </w:tcPr>
          <w:p>
            <w:pPr>
              <w:pStyle w:val="Normal"/>
              <w:widowControl w:val="false"/>
              <w:snapToGrid w:val="false"/>
              <w:ind w:right="57" w:hanging="0"/>
              <w:jc w:val="right"/>
              <w:rPr>
                <w:sz w:val="18"/>
                <w:szCs w:val="18"/>
              </w:rPr>
            </w:pPr>
            <w:r>
              <w:rPr>
                <w:sz w:val="18"/>
                <w:szCs w:val="18"/>
              </w:rPr>
              <w:t>26</w:t>
            </w:r>
          </w:p>
        </w:tc>
        <w:tc>
          <w:tcPr>
            <w:tcW w:w="391" w:type="dxa"/>
            <w:tcBorders/>
            <w:vAlign w:val="center"/>
          </w:tcPr>
          <w:p>
            <w:pPr>
              <w:pStyle w:val="Normal"/>
              <w:widowControl w:val="false"/>
              <w:snapToGrid w:val="false"/>
              <w:ind w:right="57" w:hanging="0"/>
              <w:jc w:val="right"/>
              <w:rPr>
                <w:sz w:val="18"/>
                <w:szCs w:val="18"/>
              </w:rPr>
            </w:pPr>
            <w:r>
              <w:rPr>
                <w:sz w:val="18"/>
                <w:szCs w:val="18"/>
              </w:rPr>
              <w:t>38</w:t>
            </w:r>
          </w:p>
        </w:tc>
        <w:tc>
          <w:tcPr>
            <w:tcW w:w="389" w:type="dxa"/>
            <w:tcBorders/>
            <w:vAlign w:val="center"/>
          </w:tcPr>
          <w:p>
            <w:pPr>
              <w:pStyle w:val="Normal"/>
              <w:widowControl w:val="false"/>
              <w:snapToGrid w:val="false"/>
              <w:ind w:right="57" w:hanging="0"/>
              <w:jc w:val="right"/>
              <w:rPr>
                <w:sz w:val="18"/>
                <w:szCs w:val="18"/>
              </w:rPr>
            </w:pPr>
            <w:r>
              <w:rPr>
                <w:sz w:val="18"/>
                <w:szCs w:val="18"/>
              </w:rPr>
              <w:t>52</w:t>
            </w:r>
          </w:p>
        </w:tc>
      </w:tr>
      <w:tr>
        <w:trPr/>
        <w:tc>
          <w:tcPr>
            <w:tcW w:w="571" w:type="dxa"/>
            <w:vMerge w:val="restart"/>
            <w:tcBorders/>
            <w:vAlign w:val="center"/>
          </w:tcPr>
          <w:p>
            <w:pPr>
              <w:pStyle w:val="Normal"/>
              <w:widowControl w:val="false"/>
              <w:snapToGrid w:val="false"/>
              <w:spacing w:lineRule="atLeast" w:line="240"/>
              <w:jc w:val="center"/>
              <w:rPr>
                <w:i/>
                <w:i/>
                <w:sz w:val="18"/>
                <w:szCs w:val="18"/>
              </w:rPr>
            </w:pPr>
            <w:r>
              <w:rPr>
                <w:i/>
                <w:sz w:val="18"/>
                <w:szCs w:val="18"/>
              </w:rPr>
              <w:t>聯網</w:t>
            </w:r>
          </w:p>
        </w:tc>
        <w:tc>
          <w:tcPr>
            <w:tcW w:w="837" w:type="dxa"/>
            <w:vMerge w:val="restart"/>
            <w:tcBorders/>
            <w:vAlign w:val="center"/>
          </w:tcPr>
          <w:p>
            <w:pPr>
              <w:pStyle w:val="Normal"/>
              <w:widowControl w:val="false"/>
              <w:snapToGrid w:val="false"/>
              <w:spacing w:lineRule="atLeast" w:line="240"/>
              <w:jc w:val="center"/>
              <w:rPr>
                <w:i/>
                <w:i/>
                <w:sz w:val="18"/>
                <w:szCs w:val="18"/>
              </w:rPr>
            </w:pPr>
            <w:r>
              <w:rPr>
                <w:i/>
                <w:sz w:val="18"/>
                <w:szCs w:val="18"/>
              </w:rPr>
              <w:t>專科</w:t>
            </w:r>
          </w:p>
        </w:tc>
        <w:tc>
          <w:tcPr>
            <w:tcW w:w="2404" w:type="dxa"/>
            <w:gridSpan w:val="6"/>
            <w:tcBorders/>
            <w:vAlign w:val="center"/>
          </w:tcPr>
          <w:p>
            <w:pPr>
              <w:pStyle w:val="Normal"/>
              <w:widowControl w:val="false"/>
              <w:snapToGrid w:val="false"/>
              <w:spacing w:lineRule="atLeast" w:line="240"/>
              <w:jc w:val="center"/>
              <w:rPr>
                <w:i/>
                <w:i/>
                <w:sz w:val="18"/>
                <w:szCs w:val="18"/>
              </w:rPr>
            </w:pPr>
            <w:r>
              <w:rPr>
                <w:i/>
                <w:sz w:val="18"/>
                <w:szCs w:val="18"/>
              </w:rPr>
              <w:t>第一優先類別</w:t>
            </w:r>
          </w:p>
        </w:tc>
        <w:tc>
          <w:tcPr>
            <w:tcW w:w="2714" w:type="dxa"/>
            <w:gridSpan w:val="6"/>
            <w:tcBorders/>
            <w:vAlign w:val="center"/>
          </w:tcPr>
          <w:p>
            <w:pPr>
              <w:pStyle w:val="Normal"/>
              <w:widowControl w:val="false"/>
              <w:tabs>
                <w:tab w:val="left" w:pos="567" w:leader="none"/>
                <w:tab w:val="left" w:pos="720" w:leader="none"/>
              </w:tabs>
              <w:snapToGrid w:val="false"/>
              <w:spacing w:lineRule="atLeast" w:line="240"/>
              <w:jc w:val="center"/>
              <w:rPr>
                <w:i/>
                <w:i/>
                <w:sz w:val="18"/>
                <w:szCs w:val="18"/>
              </w:rPr>
            </w:pPr>
            <w:r>
              <w:rPr>
                <w:i/>
                <w:sz w:val="18"/>
                <w:szCs w:val="18"/>
              </w:rPr>
              <w:t>第二優先類別</w:t>
            </w:r>
          </w:p>
        </w:tc>
        <w:tc>
          <w:tcPr>
            <w:tcW w:w="2696" w:type="dxa"/>
            <w:gridSpan w:val="6"/>
            <w:tcBorders/>
            <w:vAlign w:val="center"/>
          </w:tcPr>
          <w:p>
            <w:pPr>
              <w:pStyle w:val="Normal"/>
              <w:widowControl w:val="false"/>
              <w:snapToGrid w:val="false"/>
              <w:spacing w:lineRule="atLeast" w:line="240"/>
              <w:jc w:val="center"/>
              <w:rPr>
                <w:i/>
                <w:i/>
                <w:sz w:val="18"/>
                <w:szCs w:val="18"/>
              </w:rPr>
            </w:pPr>
            <w:r>
              <w:rPr>
                <w:i/>
                <w:sz w:val="18"/>
                <w:szCs w:val="18"/>
              </w:rPr>
              <w:t>例行類別</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新症數目</w:t>
            </w:r>
          </w:p>
        </w:tc>
        <w:tc>
          <w:tcPr>
            <w:tcW w:w="425"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539"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c>
          <w:tcPr>
            <w:tcW w:w="533"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新症數目</w:t>
            </w:r>
          </w:p>
        </w:tc>
        <w:tc>
          <w:tcPr>
            <w:tcW w:w="480"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701"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c>
          <w:tcPr>
            <w:tcW w:w="710"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w:t>
            </w:r>
            <w:r>
              <w:rPr>
                <w:i/>
                <w:sz w:val="18"/>
                <w:szCs w:val="18"/>
              </w:rPr>
              <w:br/>
            </w:r>
            <w:r>
              <w:rPr>
                <w:i/>
                <w:sz w:val="18"/>
                <w:szCs w:val="18"/>
              </w:rPr>
              <w:t>數目</w:t>
            </w:r>
          </w:p>
        </w:tc>
        <w:tc>
          <w:tcPr>
            <w:tcW w:w="425"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561"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384"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c>
          <w:tcPr>
            <w:tcW w:w="533"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8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426"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c>
          <w:tcPr>
            <w:tcW w:w="71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390"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391"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391"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389"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539" w:type="dxa"/>
            <w:gridSpan w:val="4"/>
            <w:tcBorders/>
            <w:vAlign w:val="center"/>
          </w:tcPr>
          <w:p>
            <w:pPr>
              <w:pStyle w:val="Normal"/>
              <w:widowControl w:val="false"/>
              <w:snapToGrid w:val="false"/>
              <w:spacing w:lineRule="atLeast" w:line="240"/>
              <w:jc w:val="center"/>
              <w:rPr>
                <w:i/>
                <w:i/>
                <w:sz w:val="18"/>
                <w:szCs w:val="18"/>
              </w:rPr>
            </w:pPr>
            <w:r>
              <w:rPr>
                <w:i/>
                <w:sz w:val="18"/>
                <w:szCs w:val="18"/>
              </w:rPr>
              <w:t>百分值</w:t>
            </w:r>
          </w:p>
        </w:tc>
        <w:tc>
          <w:tcPr>
            <w:tcW w:w="533"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8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701" w:type="dxa"/>
            <w:gridSpan w:val="4"/>
            <w:tcBorders/>
            <w:vAlign w:val="center"/>
          </w:tcPr>
          <w:p>
            <w:pPr>
              <w:pStyle w:val="Normal"/>
              <w:widowControl w:val="false"/>
              <w:tabs>
                <w:tab w:val="left" w:pos="567" w:leader="none"/>
                <w:tab w:val="left" w:pos="720" w:leader="none"/>
              </w:tabs>
              <w:snapToGrid w:val="false"/>
              <w:spacing w:lineRule="atLeast" w:line="240"/>
              <w:jc w:val="center"/>
              <w:rPr>
                <w:i/>
                <w:i/>
                <w:sz w:val="18"/>
                <w:szCs w:val="18"/>
              </w:rPr>
            </w:pPr>
            <w:r>
              <w:rPr>
                <w:i/>
                <w:sz w:val="18"/>
                <w:szCs w:val="18"/>
              </w:rPr>
              <w:t>百分值</w:t>
            </w:r>
          </w:p>
        </w:tc>
        <w:tc>
          <w:tcPr>
            <w:tcW w:w="71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561" w:type="dxa"/>
            <w:gridSpan w:val="4"/>
            <w:tcBorders/>
            <w:vAlign w:val="center"/>
          </w:tcPr>
          <w:p>
            <w:pPr>
              <w:pStyle w:val="Normal"/>
              <w:widowControl w:val="false"/>
              <w:snapToGrid w:val="false"/>
              <w:spacing w:lineRule="atLeast" w:line="240"/>
              <w:jc w:val="center"/>
              <w:rPr>
                <w:i/>
                <w:i/>
                <w:sz w:val="18"/>
                <w:szCs w:val="18"/>
              </w:rPr>
            </w:pPr>
            <w:r>
              <w:rPr>
                <w:i/>
                <w:sz w:val="18"/>
                <w:szCs w:val="18"/>
              </w:rPr>
              <w:t>百分值</w:t>
            </w:r>
          </w:p>
        </w:tc>
      </w:tr>
      <w:tr>
        <w:trPr/>
        <w:tc>
          <w:tcPr>
            <w:tcW w:w="571" w:type="dxa"/>
            <w:vMerge w:val="restart"/>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矯形及創傷外科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1 715</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19%</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2 388</w:t>
            </w:r>
          </w:p>
        </w:tc>
        <w:tc>
          <w:tcPr>
            <w:tcW w:w="480" w:type="dxa"/>
            <w:tcBorders/>
            <w:vAlign w:val="center"/>
          </w:tcPr>
          <w:p>
            <w:pPr>
              <w:pStyle w:val="Normal"/>
              <w:widowControl w:val="false"/>
              <w:snapToGrid w:val="false"/>
              <w:ind w:right="57" w:hanging="0"/>
              <w:jc w:val="right"/>
              <w:rPr>
                <w:sz w:val="18"/>
                <w:szCs w:val="18"/>
              </w:rPr>
            </w:pPr>
            <w:r>
              <w:rPr>
                <w:sz w:val="18"/>
                <w:szCs w:val="18"/>
              </w:rPr>
              <w:t>27%</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4 735</w:t>
            </w:r>
          </w:p>
        </w:tc>
        <w:tc>
          <w:tcPr>
            <w:tcW w:w="425" w:type="dxa"/>
            <w:tcBorders/>
            <w:vAlign w:val="center"/>
          </w:tcPr>
          <w:p>
            <w:pPr>
              <w:pStyle w:val="Normal"/>
              <w:widowControl w:val="false"/>
              <w:snapToGrid w:val="false"/>
              <w:ind w:right="57" w:hanging="0"/>
              <w:jc w:val="right"/>
              <w:rPr>
                <w:sz w:val="18"/>
                <w:szCs w:val="18"/>
              </w:rPr>
            </w:pPr>
            <w:r>
              <w:rPr>
                <w:sz w:val="18"/>
                <w:szCs w:val="18"/>
              </w:rPr>
              <w:t>54%</w:t>
            </w:r>
          </w:p>
        </w:tc>
        <w:tc>
          <w:tcPr>
            <w:tcW w:w="390" w:type="dxa"/>
            <w:tcBorders/>
            <w:vAlign w:val="center"/>
          </w:tcPr>
          <w:p>
            <w:pPr>
              <w:pStyle w:val="Normal"/>
              <w:widowControl w:val="false"/>
              <w:snapToGrid w:val="false"/>
              <w:ind w:right="57" w:hanging="0"/>
              <w:jc w:val="right"/>
              <w:rPr>
                <w:sz w:val="18"/>
                <w:szCs w:val="18"/>
              </w:rPr>
            </w:pPr>
            <w:r>
              <w:rPr>
                <w:sz w:val="18"/>
                <w:szCs w:val="18"/>
              </w:rPr>
              <w:t>11</w:t>
            </w:r>
          </w:p>
        </w:tc>
        <w:tc>
          <w:tcPr>
            <w:tcW w:w="391" w:type="dxa"/>
            <w:tcBorders/>
            <w:vAlign w:val="center"/>
          </w:tcPr>
          <w:p>
            <w:pPr>
              <w:pStyle w:val="Normal"/>
              <w:widowControl w:val="false"/>
              <w:snapToGrid w:val="false"/>
              <w:ind w:right="57" w:hanging="0"/>
              <w:jc w:val="right"/>
              <w:rPr>
                <w:sz w:val="18"/>
                <w:szCs w:val="18"/>
              </w:rPr>
            </w:pPr>
            <w:r>
              <w:rPr>
                <w:sz w:val="18"/>
                <w:szCs w:val="18"/>
              </w:rPr>
              <w:t>30</w:t>
            </w:r>
          </w:p>
        </w:tc>
        <w:tc>
          <w:tcPr>
            <w:tcW w:w="391" w:type="dxa"/>
            <w:tcBorders/>
            <w:vAlign w:val="center"/>
          </w:tcPr>
          <w:p>
            <w:pPr>
              <w:pStyle w:val="Normal"/>
              <w:widowControl w:val="false"/>
              <w:snapToGrid w:val="false"/>
              <w:ind w:right="57" w:hanging="0"/>
              <w:jc w:val="right"/>
              <w:rPr>
                <w:sz w:val="18"/>
                <w:szCs w:val="18"/>
              </w:rPr>
            </w:pPr>
            <w:r>
              <w:rPr>
                <w:sz w:val="18"/>
                <w:szCs w:val="18"/>
              </w:rPr>
              <w:t>41</w:t>
            </w:r>
          </w:p>
        </w:tc>
        <w:tc>
          <w:tcPr>
            <w:tcW w:w="389" w:type="dxa"/>
            <w:tcBorders/>
            <w:vAlign w:val="center"/>
          </w:tcPr>
          <w:p>
            <w:pPr>
              <w:pStyle w:val="Normal"/>
              <w:widowControl w:val="false"/>
              <w:snapToGrid w:val="false"/>
              <w:ind w:right="57" w:hanging="0"/>
              <w:jc w:val="right"/>
              <w:rPr>
                <w:sz w:val="18"/>
                <w:szCs w:val="18"/>
              </w:rPr>
            </w:pPr>
            <w:r>
              <w:rPr>
                <w:sz w:val="18"/>
                <w:szCs w:val="18"/>
              </w:rPr>
              <w:t>48</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兒童及青少年科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282</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21%</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852</w:t>
            </w:r>
          </w:p>
        </w:tc>
        <w:tc>
          <w:tcPr>
            <w:tcW w:w="480" w:type="dxa"/>
            <w:tcBorders/>
            <w:vAlign w:val="center"/>
          </w:tcPr>
          <w:p>
            <w:pPr>
              <w:pStyle w:val="Normal"/>
              <w:widowControl w:val="false"/>
              <w:snapToGrid w:val="false"/>
              <w:ind w:right="57" w:hanging="0"/>
              <w:jc w:val="right"/>
              <w:rPr>
                <w:sz w:val="18"/>
                <w:szCs w:val="18"/>
              </w:rPr>
            </w:pPr>
            <w:r>
              <w:rPr>
                <w:sz w:val="18"/>
                <w:szCs w:val="18"/>
              </w:rPr>
              <w:t>63%</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209</w:t>
            </w:r>
          </w:p>
        </w:tc>
        <w:tc>
          <w:tcPr>
            <w:tcW w:w="425" w:type="dxa"/>
            <w:tcBorders/>
            <w:vAlign w:val="center"/>
          </w:tcPr>
          <w:p>
            <w:pPr>
              <w:pStyle w:val="Normal"/>
              <w:widowControl w:val="false"/>
              <w:snapToGrid w:val="false"/>
              <w:ind w:right="57" w:hanging="0"/>
              <w:jc w:val="right"/>
              <w:rPr>
                <w:sz w:val="18"/>
                <w:szCs w:val="18"/>
              </w:rPr>
            </w:pPr>
            <w:r>
              <w:rPr>
                <w:sz w:val="18"/>
                <w:szCs w:val="18"/>
              </w:rPr>
              <w:t>16%</w:t>
            </w:r>
          </w:p>
        </w:tc>
        <w:tc>
          <w:tcPr>
            <w:tcW w:w="390" w:type="dxa"/>
            <w:tcBorders/>
            <w:vAlign w:val="center"/>
          </w:tcPr>
          <w:p>
            <w:pPr>
              <w:pStyle w:val="Normal"/>
              <w:widowControl w:val="false"/>
              <w:snapToGrid w:val="false"/>
              <w:ind w:right="57" w:hanging="0"/>
              <w:jc w:val="right"/>
              <w:rPr>
                <w:sz w:val="18"/>
                <w:szCs w:val="18"/>
              </w:rPr>
            </w:pPr>
            <w:r>
              <w:rPr>
                <w:sz w:val="18"/>
                <w:szCs w:val="18"/>
              </w:rPr>
              <w:t>6</w:t>
            </w:r>
          </w:p>
        </w:tc>
        <w:tc>
          <w:tcPr>
            <w:tcW w:w="391" w:type="dxa"/>
            <w:tcBorders/>
            <w:vAlign w:val="center"/>
          </w:tcPr>
          <w:p>
            <w:pPr>
              <w:pStyle w:val="Normal"/>
              <w:widowControl w:val="false"/>
              <w:snapToGrid w:val="false"/>
              <w:ind w:right="57" w:hanging="0"/>
              <w:jc w:val="right"/>
              <w:rPr>
                <w:sz w:val="18"/>
                <w:szCs w:val="18"/>
              </w:rPr>
            </w:pPr>
            <w:r>
              <w:rPr>
                <w:sz w:val="18"/>
                <w:szCs w:val="18"/>
              </w:rPr>
              <w:t>7</w:t>
            </w:r>
          </w:p>
        </w:tc>
        <w:tc>
          <w:tcPr>
            <w:tcW w:w="391" w:type="dxa"/>
            <w:tcBorders/>
            <w:vAlign w:val="center"/>
          </w:tcPr>
          <w:p>
            <w:pPr>
              <w:pStyle w:val="Normal"/>
              <w:widowControl w:val="false"/>
              <w:snapToGrid w:val="false"/>
              <w:ind w:right="57" w:hanging="0"/>
              <w:jc w:val="right"/>
              <w:rPr>
                <w:sz w:val="18"/>
                <w:szCs w:val="18"/>
              </w:rPr>
            </w:pPr>
            <w:r>
              <w:rPr>
                <w:sz w:val="18"/>
                <w:szCs w:val="18"/>
              </w:rPr>
              <w:t>8</w:t>
            </w:r>
          </w:p>
        </w:tc>
        <w:tc>
          <w:tcPr>
            <w:tcW w:w="389" w:type="dxa"/>
            <w:tcBorders/>
            <w:vAlign w:val="center"/>
          </w:tcPr>
          <w:p>
            <w:pPr>
              <w:pStyle w:val="Normal"/>
              <w:widowControl w:val="false"/>
              <w:snapToGrid w:val="false"/>
              <w:ind w:right="57" w:hanging="0"/>
              <w:jc w:val="right"/>
              <w:rPr>
                <w:sz w:val="18"/>
                <w:szCs w:val="18"/>
              </w:rPr>
            </w:pPr>
            <w:r>
              <w:rPr>
                <w:sz w:val="18"/>
                <w:szCs w:val="18"/>
              </w:rPr>
              <w:t>11</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精神科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587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622</w:t>
            </w:r>
          </w:p>
        </w:tc>
        <w:tc>
          <w:tcPr>
            <w:tcW w:w="480" w:type="dxa"/>
            <w:tcBorders/>
            <w:vAlign w:val="center"/>
          </w:tcPr>
          <w:p>
            <w:pPr>
              <w:pStyle w:val="Normal"/>
              <w:widowControl w:val="false"/>
              <w:snapToGrid w:val="false"/>
              <w:ind w:right="57" w:hanging="0"/>
              <w:jc w:val="right"/>
              <w:rPr>
                <w:sz w:val="18"/>
                <w:szCs w:val="18"/>
              </w:rPr>
            </w:pPr>
            <w:r>
              <w:rPr>
                <w:sz w:val="18"/>
                <w:szCs w:val="18"/>
              </w:rPr>
              <w:t>18%</w:t>
            </w:r>
          </w:p>
        </w:tc>
        <w:tc>
          <w:tcPr>
            <w:tcW w:w="425" w:type="dxa"/>
            <w:tcBorders/>
            <w:vAlign w:val="center"/>
          </w:tcPr>
          <w:p>
            <w:pPr>
              <w:pStyle w:val="Normal"/>
              <w:widowControl w:val="false"/>
              <w:snapToGrid w:val="false"/>
              <w:ind w:right="57" w:hanging="0"/>
              <w:jc w:val="right"/>
              <w:rPr>
                <w:sz w:val="18"/>
                <w:szCs w:val="18"/>
              </w:rPr>
            </w:pPr>
            <w:r>
              <w:rPr>
                <w:sz w:val="18"/>
                <w:szCs w:val="18"/>
              </w:rPr>
              <w:t>&lt;1</w:t>
            </w:r>
          </w:p>
        </w:tc>
        <w:tc>
          <w:tcPr>
            <w:tcW w:w="426" w:type="dxa"/>
            <w:tcBorders/>
            <w:vAlign w:val="center"/>
          </w:tcPr>
          <w:p>
            <w:pPr>
              <w:pStyle w:val="Normal"/>
              <w:widowControl w:val="false"/>
              <w:snapToGrid w:val="false"/>
              <w:ind w:right="57" w:hanging="0"/>
              <w:jc w:val="right"/>
              <w:rPr>
                <w:sz w:val="18"/>
                <w:szCs w:val="18"/>
              </w:rPr>
            </w:pPr>
            <w:r>
              <w:rPr>
                <w:sz w:val="18"/>
                <w:szCs w:val="18"/>
              </w:rPr>
              <w:t>2</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710" w:type="dxa"/>
            <w:tcBorders/>
            <w:vAlign w:val="center"/>
          </w:tcPr>
          <w:p>
            <w:pPr>
              <w:pStyle w:val="Normal"/>
              <w:widowControl w:val="false"/>
              <w:snapToGrid w:val="false"/>
              <w:ind w:right="85" w:hanging="0"/>
              <w:jc w:val="right"/>
              <w:rPr>
                <w:sz w:val="18"/>
                <w:szCs w:val="18"/>
              </w:rPr>
            </w:pPr>
            <w:r>
              <w:rPr>
                <w:sz w:val="18"/>
                <w:szCs w:val="18"/>
              </w:rPr>
              <w:t>2 196</w:t>
            </w:r>
          </w:p>
        </w:tc>
        <w:tc>
          <w:tcPr>
            <w:tcW w:w="425" w:type="dxa"/>
            <w:tcBorders/>
            <w:vAlign w:val="center"/>
          </w:tcPr>
          <w:p>
            <w:pPr>
              <w:pStyle w:val="Normal"/>
              <w:widowControl w:val="false"/>
              <w:snapToGrid w:val="false"/>
              <w:ind w:right="57" w:hanging="0"/>
              <w:jc w:val="right"/>
              <w:rPr>
                <w:sz w:val="18"/>
                <w:szCs w:val="18"/>
              </w:rPr>
            </w:pPr>
            <w:r>
              <w:rPr>
                <w:sz w:val="18"/>
                <w:szCs w:val="18"/>
              </w:rPr>
              <w:t>64%</w:t>
            </w:r>
          </w:p>
        </w:tc>
        <w:tc>
          <w:tcPr>
            <w:tcW w:w="390" w:type="dxa"/>
            <w:tcBorders/>
            <w:vAlign w:val="center"/>
          </w:tcPr>
          <w:p>
            <w:pPr>
              <w:pStyle w:val="Normal"/>
              <w:widowControl w:val="false"/>
              <w:snapToGrid w:val="false"/>
              <w:ind w:right="57" w:hanging="0"/>
              <w:jc w:val="right"/>
              <w:rPr>
                <w:sz w:val="18"/>
                <w:szCs w:val="18"/>
              </w:rPr>
            </w:pPr>
            <w:r>
              <w:rPr>
                <w:sz w:val="18"/>
                <w:szCs w:val="18"/>
              </w:rPr>
              <w:t>&lt;1</w:t>
            </w:r>
          </w:p>
        </w:tc>
        <w:tc>
          <w:tcPr>
            <w:tcW w:w="391" w:type="dxa"/>
            <w:tcBorders/>
            <w:vAlign w:val="center"/>
          </w:tcPr>
          <w:p>
            <w:pPr>
              <w:pStyle w:val="Normal"/>
              <w:widowControl w:val="false"/>
              <w:snapToGrid w:val="false"/>
              <w:ind w:right="57" w:hanging="0"/>
              <w:jc w:val="right"/>
              <w:rPr>
                <w:sz w:val="18"/>
                <w:szCs w:val="18"/>
              </w:rPr>
            </w:pPr>
            <w:r>
              <w:rPr>
                <w:sz w:val="18"/>
                <w:szCs w:val="18"/>
              </w:rPr>
              <w:t>3</w:t>
            </w:r>
          </w:p>
        </w:tc>
        <w:tc>
          <w:tcPr>
            <w:tcW w:w="391" w:type="dxa"/>
            <w:tcBorders/>
            <w:vAlign w:val="center"/>
          </w:tcPr>
          <w:p>
            <w:pPr>
              <w:pStyle w:val="Normal"/>
              <w:widowControl w:val="false"/>
              <w:snapToGrid w:val="false"/>
              <w:ind w:right="57" w:hanging="0"/>
              <w:jc w:val="right"/>
              <w:rPr>
                <w:sz w:val="18"/>
                <w:szCs w:val="18"/>
              </w:rPr>
            </w:pPr>
            <w:r>
              <w:rPr>
                <w:sz w:val="18"/>
                <w:szCs w:val="18"/>
              </w:rPr>
              <w:t>17</w:t>
            </w:r>
          </w:p>
        </w:tc>
        <w:tc>
          <w:tcPr>
            <w:tcW w:w="389" w:type="dxa"/>
            <w:tcBorders/>
            <w:vAlign w:val="center"/>
          </w:tcPr>
          <w:p>
            <w:pPr>
              <w:pStyle w:val="Normal"/>
              <w:widowControl w:val="false"/>
              <w:snapToGrid w:val="false"/>
              <w:ind w:right="57" w:hanging="0"/>
              <w:jc w:val="right"/>
              <w:rPr>
                <w:sz w:val="18"/>
                <w:szCs w:val="18"/>
              </w:rPr>
            </w:pPr>
            <w:r>
              <w:rPr>
                <w:sz w:val="18"/>
                <w:szCs w:val="18"/>
              </w:rPr>
              <w:t>21</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2 034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3 916</w:t>
            </w:r>
          </w:p>
        </w:tc>
        <w:tc>
          <w:tcPr>
            <w:tcW w:w="480" w:type="dxa"/>
            <w:tcBorders/>
            <w:vAlign w:val="center"/>
          </w:tcPr>
          <w:p>
            <w:pPr>
              <w:pStyle w:val="Normal"/>
              <w:widowControl w:val="false"/>
              <w:snapToGrid w:val="false"/>
              <w:ind w:right="57" w:hanging="0"/>
              <w:jc w:val="right"/>
              <w:rPr>
                <w:sz w:val="18"/>
                <w:szCs w:val="18"/>
              </w:rPr>
            </w:pPr>
            <w:r>
              <w:rPr>
                <w:sz w:val="18"/>
                <w:szCs w:val="18"/>
              </w:rPr>
              <w:t>32%</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6"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6 152</w:t>
            </w:r>
          </w:p>
        </w:tc>
        <w:tc>
          <w:tcPr>
            <w:tcW w:w="425" w:type="dxa"/>
            <w:tcBorders/>
            <w:vAlign w:val="center"/>
          </w:tcPr>
          <w:p>
            <w:pPr>
              <w:pStyle w:val="Normal"/>
              <w:widowControl w:val="false"/>
              <w:snapToGrid w:val="false"/>
              <w:ind w:right="57" w:hanging="0"/>
              <w:jc w:val="right"/>
              <w:rPr>
                <w:sz w:val="18"/>
                <w:szCs w:val="18"/>
              </w:rPr>
            </w:pPr>
            <w:r>
              <w:rPr>
                <w:sz w:val="18"/>
                <w:szCs w:val="18"/>
              </w:rPr>
              <w:t>51%</w:t>
            </w:r>
          </w:p>
        </w:tc>
        <w:tc>
          <w:tcPr>
            <w:tcW w:w="390" w:type="dxa"/>
            <w:tcBorders/>
            <w:vAlign w:val="center"/>
          </w:tcPr>
          <w:p>
            <w:pPr>
              <w:pStyle w:val="Normal"/>
              <w:widowControl w:val="false"/>
              <w:snapToGrid w:val="false"/>
              <w:ind w:right="57" w:hanging="0"/>
              <w:jc w:val="right"/>
              <w:rPr>
                <w:sz w:val="18"/>
                <w:szCs w:val="18"/>
              </w:rPr>
            </w:pPr>
            <w:r>
              <w:rPr>
                <w:sz w:val="18"/>
                <w:szCs w:val="18"/>
              </w:rPr>
              <w:t>9</w:t>
            </w:r>
          </w:p>
        </w:tc>
        <w:tc>
          <w:tcPr>
            <w:tcW w:w="391" w:type="dxa"/>
            <w:tcBorders/>
            <w:vAlign w:val="center"/>
          </w:tcPr>
          <w:p>
            <w:pPr>
              <w:pStyle w:val="Normal"/>
              <w:widowControl w:val="false"/>
              <w:snapToGrid w:val="false"/>
              <w:ind w:right="57" w:hanging="0"/>
              <w:jc w:val="right"/>
              <w:rPr>
                <w:sz w:val="18"/>
                <w:szCs w:val="18"/>
              </w:rPr>
            </w:pPr>
            <w:r>
              <w:rPr>
                <w:sz w:val="18"/>
                <w:szCs w:val="18"/>
              </w:rPr>
              <w:t>19</w:t>
            </w:r>
          </w:p>
        </w:tc>
        <w:tc>
          <w:tcPr>
            <w:tcW w:w="391" w:type="dxa"/>
            <w:tcBorders/>
            <w:vAlign w:val="center"/>
          </w:tcPr>
          <w:p>
            <w:pPr>
              <w:pStyle w:val="Normal"/>
              <w:widowControl w:val="false"/>
              <w:snapToGrid w:val="false"/>
              <w:ind w:right="57" w:hanging="0"/>
              <w:jc w:val="right"/>
              <w:rPr>
                <w:sz w:val="18"/>
                <w:szCs w:val="18"/>
              </w:rPr>
            </w:pPr>
            <w:r>
              <w:rPr>
                <w:sz w:val="18"/>
                <w:szCs w:val="18"/>
              </w:rPr>
              <w:t>42</w:t>
            </w:r>
          </w:p>
        </w:tc>
        <w:tc>
          <w:tcPr>
            <w:tcW w:w="389" w:type="dxa"/>
            <w:tcBorders/>
            <w:vAlign w:val="center"/>
          </w:tcPr>
          <w:p>
            <w:pPr>
              <w:pStyle w:val="Normal"/>
              <w:widowControl w:val="false"/>
              <w:snapToGrid w:val="false"/>
              <w:ind w:right="57" w:hanging="0"/>
              <w:jc w:val="right"/>
              <w:rPr>
                <w:sz w:val="18"/>
                <w:szCs w:val="18"/>
              </w:rPr>
            </w:pPr>
            <w:r>
              <w:rPr>
                <w:sz w:val="18"/>
                <w:szCs w:val="18"/>
              </w:rPr>
              <w:t>69</w:t>
            </w:r>
          </w:p>
        </w:tc>
      </w:tr>
      <w:tr>
        <w:trPr/>
        <w:tc>
          <w:tcPr>
            <w:tcW w:w="571" w:type="dxa"/>
            <w:vMerge w:val="restart"/>
            <w:tcBorders/>
            <w:vAlign w:val="center"/>
          </w:tcPr>
          <w:p>
            <w:pPr>
              <w:pStyle w:val="Normal"/>
              <w:widowControl w:val="false"/>
              <w:snapToGrid w:val="false"/>
              <w:jc w:val="center"/>
              <w:rPr>
                <w:sz w:val="18"/>
                <w:szCs w:val="18"/>
              </w:rPr>
            </w:pPr>
            <w:r>
              <w:rPr>
                <w:sz w:val="18"/>
                <w:szCs w:val="18"/>
              </w:rPr>
              <w:t>港島西</w:t>
            </w:r>
          </w:p>
        </w:tc>
        <w:tc>
          <w:tcPr>
            <w:tcW w:w="837" w:type="dxa"/>
            <w:tcBorders/>
            <w:vAlign w:val="center"/>
          </w:tcPr>
          <w:p>
            <w:pPr>
              <w:pStyle w:val="Normal"/>
              <w:widowControl w:val="false"/>
              <w:snapToGrid w:val="false"/>
              <w:jc w:val="center"/>
              <w:rPr>
                <w:sz w:val="18"/>
                <w:szCs w:val="18"/>
              </w:rPr>
            </w:pPr>
            <w:r>
              <w:rPr>
                <w:sz w:val="18"/>
                <w:szCs w:val="18"/>
              </w:rPr>
              <w:t>耳鼻喉科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497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1 543</w:t>
            </w:r>
          </w:p>
        </w:tc>
        <w:tc>
          <w:tcPr>
            <w:tcW w:w="480" w:type="dxa"/>
            <w:tcBorders/>
            <w:vAlign w:val="center"/>
          </w:tcPr>
          <w:p>
            <w:pPr>
              <w:pStyle w:val="Normal"/>
              <w:widowControl w:val="false"/>
              <w:snapToGrid w:val="false"/>
              <w:ind w:right="57" w:hanging="0"/>
              <w:jc w:val="right"/>
              <w:rPr>
                <w:sz w:val="18"/>
                <w:szCs w:val="18"/>
              </w:rPr>
            </w:pPr>
            <w:r>
              <w:rPr>
                <w:sz w:val="18"/>
                <w:szCs w:val="18"/>
              </w:rPr>
              <w:t>24%</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4 277</w:t>
            </w:r>
          </w:p>
        </w:tc>
        <w:tc>
          <w:tcPr>
            <w:tcW w:w="425" w:type="dxa"/>
            <w:tcBorders/>
            <w:vAlign w:val="center"/>
          </w:tcPr>
          <w:p>
            <w:pPr>
              <w:pStyle w:val="Normal"/>
              <w:widowControl w:val="false"/>
              <w:snapToGrid w:val="false"/>
              <w:ind w:right="57" w:hanging="0"/>
              <w:jc w:val="right"/>
              <w:rPr>
                <w:sz w:val="18"/>
                <w:szCs w:val="18"/>
              </w:rPr>
            </w:pPr>
            <w:r>
              <w:rPr>
                <w:sz w:val="18"/>
                <w:szCs w:val="18"/>
              </w:rPr>
              <w:t>68%</w:t>
            </w:r>
          </w:p>
        </w:tc>
        <w:tc>
          <w:tcPr>
            <w:tcW w:w="390" w:type="dxa"/>
            <w:tcBorders/>
            <w:vAlign w:val="center"/>
          </w:tcPr>
          <w:p>
            <w:pPr>
              <w:pStyle w:val="Normal"/>
              <w:widowControl w:val="false"/>
              <w:snapToGrid w:val="false"/>
              <w:ind w:right="57" w:hanging="0"/>
              <w:jc w:val="right"/>
              <w:rPr>
                <w:sz w:val="18"/>
                <w:szCs w:val="18"/>
              </w:rPr>
            </w:pPr>
            <w:r>
              <w:rPr>
                <w:sz w:val="18"/>
                <w:szCs w:val="18"/>
              </w:rPr>
              <w:t>5</w:t>
            </w:r>
          </w:p>
        </w:tc>
        <w:tc>
          <w:tcPr>
            <w:tcW w:w="391" w:type="dxa"/>
            <w:tcBorders/>
            <w:vAlign w:val="center"/>
          </w:tcPr>
          <w:p>
            <w:pPr>
              <w:pStyle w:val="Normal"/>
              <w:widowControl w:val="false"/>
              <w:snapToGrid w:val="false"/>
              <w:ind w:right="57" w:hanging="0"/>
              <w:jc w:val="right"/>
              <w:rPr>
                <w:sz w:val="18"/>
                <w:szCs w:val="18"/>
              </w:rPr>
            </w:pPr>
            <w:r>
              <w:rPr>
                <w:sz w:val="18"/>
                <w:szCs w:val="18"/>
              </w:rPr>
              <w:t>14</w:t>
            </w:r>
          </w:p>
        </w:tc>
        <w:tc>
          <w:tcPr>
            <w:tcW w:w="391" w:type="dxa"/>
            <w:tcBorders/>
            <w:vAlign w:val="center"/>
          </w:tcPr>
          <w:p>
            <w:pPr>
              <w:pStyle w:val="Normal"/>
              <w:widowControl w:val="false"/>
              <w:snapToGrid w:val="false"/>
              <w:ind w:right="57" w:hanging="0"/>
              <w:jc w:val="right"/>
              <w:rPr>
                <w:sz w:val="18"/>
                <w:szCs w:val="18"/>
              </w:rPr>
            </w:pPr>
            <w:r>
              <w:rPr>
                <w:sz w:val="18"/>
                <w:szCs w:val="18"/>
              </w:rPr>
              <w:t>24</w:t>
            </w:r>
          </w:p>
        </w:tc>
        <w:tc>
          <w:tcPr>
            <w:tcW w:w="389" w:type="dxa"/>
            <w:tcBorders/>
            <w:vAlign w:val="center"/>
          </w:tcPr>
          <w:p>
            <w:pPr>
              <w:pStyle w:val="Normal"/>
              <w:widowControl w:val="false"/>
              <w:snapToGrid w:val="false"/>
              <w:ind w:right="57" w:hanging="0"/>
              <w:jc w:val="right"/>
              <w:rPr>
                <w:sz w:val="18"/>
                <w:szCs w:val="18"/>
              </w:rPr>
            </w:pPr>
            <w:r>
              <w:rPr>
                <w:sz w:val="18"/>
                <w:szCs w:val="18"/>
              </w:rPr>
              <w:t>30</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內科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1 227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11%</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1 400</w:t>
            </w:r>
          </w:p>
        </w:tc>
        <w:tc>
          <w:tcPr>
            <w:tcW w:w="480" w:type="dxa"/>
            <w:tcBorders/>
            <w:vAlign w:val="center"/>
          </w:tcPr>
          <w:p>
            <w:pPr>
              <w:pStyle w:val="Normal"/>
              <w:widowControl w:val="false"/>
              <w:snapToGrid w:val="false"/>
              <w:ind w:right="57" w:hanging="0"/>
              <w:jc w:val="right"/>
              <w:rPr>
                <w:sz w:val="18"/>
                <w:szCs w:val="18"/>
              </w:rPr>
            </w:pPr>
            <w:r>
              <w:rPr>
                <w:sz w:val="18"/>
                <w:szCs w:val="18"/>
              </w:rPr>
              <w:t>12%</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6" w:type="dxa"/>
            <w:tcBorders/>
            <w:vAlign w:val="center"/>
          </w:tcPr>
          <w:p>
            <w:pPr>
              <w:pStyle w:val="Normal"/>
              <w:widowControl w:val="false"/>
              <w:snapToGrid w:val="false"/>
              <w:ind w:right="57" w:hanging="0"/>
              <w:jc w:val="right"/>
              <w:rPr>
                <w:sz w:val="18"/>
                <w:szCs w:val="18"/>
              </w:rPr>
            </w:pPr>
            <w:r>
              <w:rPr>
                <w:sz w:val="18"/>
                <w:szCs w:val="18"/>
              </w:rPr>
              <w:t>3</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710" w:type="dxa"/>
            <w:tcBorders/>
            <w:vAlign w:val="center"/>
          </w:tcPr>
          <w:p>
            <w:pPr>
              <w:pStyle w:val="Normal"/>
              <w:widowControl w:val="false"/>
              <w:snapToGrid w:val="false"/>
              <w:ind w:right="85" w:hanging="0"/>
              <w:jc w:val="right"/>
              <w:rPr>
                <w:sz w:val="18"/>
                <w:szCs w:val="18"/>
              </w:rPr>
            </w:pPr>
            <w:r>
              <w:rPr>
                <w:sz w:val="18"/>
                <w:szCs w:val="18"/>
              </w:rPr>
              <w:t>8 637</w:t>
            </w:r>
          </w:p>
        </w:tc>
        <w:tc>
          <w:tcPr>
            <w:tcW w:w="425" w:type="dxa"/>
            <w:tcBorders/>
            <w:vAlign w:val="center"/>
          </w:tcPr>
          <w:p>
            <w:pPr>
              <w:pStyle w:val="Normal"/>
              <w:widowControl w:val="false"/>
              <w:snapToGrid w:val="false"/>
              <w:ind w:right="57" w:hanging="0"/>
              <w:jc w:val="right"/>
              <w:rPr>
                <w:sz w:val="18"/>
                <w:szCs w:val="18"/>
              </w:rPr>
            </w:pPr>
            <w:r>
              <w:rPr>
                <w:sz w:val="18"/>
                <w:szCs w:val="18"/>
              </w:rPr>
              <w:t>77%</w:t>
            </w:r>
          </w:p>
        </w:tc>
        <w:tc>
          <w:tcPr>
            <w:tcW w:w="390" w:type="dxa"/>
            <w:tcBorders/>
            <w:vAlign w:val="center"/>
          </w:tcPr>
          <w:p>
            <w:pPr>
              <w:pStyle w:val="Normal"/>
              <w:widowControl w:val="false"/>
              <w:snapToGrid w:val="false"/>
              <w:ind w:right="57" w:hanging="0"/>
              <w:jc w:val="right"/>
              <w:rPr>
                <w:sz w:val="18"/>
                <w:szCs w:val="18"/>
              </w:rPr>
            </w:pPr>
            <w:r>
              <w:rPr>
                <w:sz w:val="18"/>
                <w:szCs w:val="18"/>
              </w:rPr>
              <w:t>10</w:t>
            </w:r>
          </w:p>
        </w:tc>
        <w:tc>
          <w:tcPr>
            <w:tcW w:w="391" w:type="dxa"/>
            <w:tcBorders/>
            <w:vAlign w:val="center"/>
          </w:tcPr>
          <w:p>
            <w:pPr>
              <w:pStyle w:val="Normal"/>
              <w:widowControl w:val="false"/>
              <w:snapToGrid w:val="false"/>
              <w:ind w:right="57" w:hanging="0"/>
              <w:jc w:val="right"/>
              <w:rPr>
                <w:sz w:val="18"/>
                <w:szCs w:val="18"/>
              </w:rPr>
            </w:pPr>
            <w:r>
              <w:rPr>
                <w:sz w:val="18"/>
                <w:szCs w:val="18"/>
              </w:rPr>
              <w:t>18</w:t>
            </w:r>
          </w:p>
        </w:tc>
        <w:tc>
          <w:tcPr>
            <w:tcW w:w="391" w:type="dxa"/>
            <w:tcBorders/>
            <w:vAlign w:val="center"/>
          </w:tcPr>
          <w:p>
            <w:pPr>
              <w:pStyle w:val="Normal"/>
              <w:widowControl w:val="false"/>
              <w:snapToGrid w:val="false"/>
              <w:ind w:right="57" w:hanging="0"/>
              <w:jc w:val="right"/>
              <w:rPr>
                <w:sz w:val="18"/>
                <w:szCs w:val="18"/>
              </w:rPr>
            </w:pPr>
            <w:r>
              <w:rPr>
                <w:sz w:val="18"/>
                <w:szCs w:val="18"/>
              </w:rPr>
              <w:t>25</w:t>
            </w:r>
          </w:p>
        </w:tc>
        <w:tc>
          <w:tcPr>
            <w:tcW w:w="389" w:type="dxa"/>
            <w:tcBorders/>
            <w:vAlign w:val="center"/>
          </w:tcPr>
          <w:p>
            <w:pPr>
              <w:pStyle w:val="Normal"/>
              <w:widowControl w:val="false"/>
              <w:snapToGrid w:val="false"/>
              <w:ind w:right="57" w:hanging="0"/>
              <w:jc w:val="right"/>
              <w:rPr>
                <w:sz w:val="18"/>
                <w:szCs w:val="18"/>
              </w:rPr>
            </w:pPr>
            <w:r>
              <w:rPr>
                <w:sz w:val="18"/>
                <w:szCs w:val="18"/>
              </w:rPr>
              <w:t>34</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婦科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1 186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847</w:t>
            </w:r>
          </w:p>
        </w:tc>
        <w:tc>
          <w:tcPr>
            <w:tcW w:w="480" w:type="dxa"/>
            <w:tcBorders/>
            <w:vAlign w:val="center"/>
          </w:tcPr>
          <w:p>
            <w:pPr>
              <w:pStyle w:val="Normal"/>
              <w:widowControl w:val="false"/>
              <w:snapToGrid w:val="false"/>
              <w:ind w:right="57" w:hanging="0"/>
              <w:jc w:val="right"/>
              <w:rPr>
                <w:sz w:val="18"/>
                <w:szCs w:val="18"/>
              </w:rPr>
            </w:pPr>
            <w:r>
              <w:rPr>
                <w:sz w:val="18"/>
                <w:szCs w:val="18"/>
              </w:rPr>
              <w:t>12%</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710" w:type="dxa"/>
            <w:tcBorders/>
            <w:vAlign w:val="center"/>
          </w:tcPr>
          <w:p>
            <w:pPr>
              <w:pStyle w:val="Normal"/>
              <w:widowControl w:val="false"/>
              <w:snapToGrid w:val="false"/>
              <w:ind w:right="85" w:hanging="0"/>
              <w:jc w:val="right"/>
              <w:rPr>
                <w:sz w:val="18"/>
                <w:szCs w:val="18"/>
              </w:rPr>
            </w:pPr>
            <w:r>
              <w:rPr>
                <w:sz w:val="18"/>
                <w:szCs w:val="18"/>
              </w:rPr>
              <w:t>4 034</w:t>
            </w:r>
          </w:p>
        </w:tc>
        <w:tc>
          <w:tcPr>
            <w:tcW w:w="425" w:type="dxa"/>
            <w:tcBorders/>
            <w:vAlign w:val="center"/>
          </w:tcPr>
          <w:p>
            <w:pPr>
              <w:pStyle w:val="Normal"/>
              <w:widowControl w:val="false"/>
              <w:snapToGrid w:val="false"/>
              <w:ind w:right="57" w:hanging="0"/>
              <w:jc w:val="right"/>
              <w:rPr>
                <w:sz w:val="18"/>
                <w:szCs w:val="18"/>
              </w:rPr>
            </w:pPr>
            <w:r>
              <w:rPr>
                <w:sz w:val="18"/>
                <w:szCs w:val="18"/>
              </w:rPr>
              <w:t>59%</w:t>
            </w:r>
          </w:p>
        </w:tc>
        <w:tc>
          <w:tcPr>
            <w:tcW w:w="390" w:type="dxa"/>
            <w:tcBorders/>
            <w:vAlign w:val="center"/>
          </w:tcPr>
          <w:p>
            <w:pPr>
              <w:pStyle w:val="Normal"/>
              <w:widowControl w:val="false"/>
              <w:snapToGrid w:val="false"/>
              <w:ind w:right="57" w:hanging="0"/>
              <w:jc w:val="right"/>
              <w:rPr>
                <w:sz w:val="18"/>
                <w:szCs w:val="18"/>
              </w:rPr>
            </w:pPr>
            <w:r>
              <w:rPr>
                <w:sz w:val="18"/>
                <w:szCs w:val="18"/>
              </w:rPr>
              <w:t>9</w:t>
            </w:r>
          </w:p>
        </w:tc>
        <w:tc>
          <w:tcPr>
            <w:tcW w:w="391" w:type="dxa"/>
            <w:tcBorders/>
            <w:vAlign w:val="center"/>
          </w:tcPr>
          <w:p>
            <w:pPr>
              <w:pStyle w:val="Normal"/>
              <w:widowControl w:val="false"/>
              <w:snapToGrid w:val="false"/>
              <w:ind w:right="57" w:hanging="0"/>
              <w:jc w:val="right"/>
              <w:rPr>
                <w:sz w:val="18"/>
                <w:szCs w:val="18"/>
              </w:rPr>
            </w:pPr>
            <w:r>
              <w:rPr>
                <w:sz w:val="18"/>
                <w:szCs w:val="18"/>
              </w:rPr>
              <w:t>13</w:t>
            </w:r>
          </w:p>
        </w:tc>
        <w:tc>
          <w:tcPr>
            <w:tcW w:w="391" w:type="dxa"/>
            <w:tcBorders/>
            <w:vAlign w:val="center"/>
          </w:tcPr>
          <w:p>
            <w:pPr>
              <w:pStyle w:val="Normal"/>
              <w:widowControl w:val="false"/>
              <w:snapToGrid w:val="false"/>
              <w:ind w:right="57" w:hanging="0"/>
              <w:jc w:val="right"/>
              <w:rPr>
                <w:sz w:val="18"/>
                <w:szCs w:val="18"/>
              </w:rPr>
            </w:pPr>
            <w:r>
              <w:rPr>
                <w:sz w:val="18"/>
                <w:szCs w:val="18"/>
              </w:rPr>
              <w:t>15</w:t>
            </w:r>
          </w:p>
        </w:tc>
        <w:tc>
          <w:tcPr>
            <w:tcW w:w="389" w:type="dxa"/>
            <w:tcBorders/>
            <w:vAlign w:val="center"/>
          </w:tcPr>
          <w:p>
            <w:pPr>
              <w:pStyle w:val="Normal"/>
              <w:widowControl w:val="false"/>
              <w:snapToGrid w:val="false"/>
              <w:ind w:right="57" w:hanging="0"/>
              <w:jc w:val="right"/>
              <w:rPr>
                <w:sz w:val="18"/>
                <w:szCs w:val="18"/>
              </w:rPr>
            </w:pPr>
            <w:r>
              <w:rPr>
                <w:sz w:val="18"/>
                <w:szCs w:val="18"/>
              </w:rPr>
              <w:t>28</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眼科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3 596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33%</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1 185</w:t>
            </w:r>
          </w:p>
        </w:tc>
        <w:tc>
          <w:tcPr>
            <w:tcW w:w="480" w:type="dxa"/>
            <w:tcBorders/>
            <w:vAlign w:val="center"/>
          </w:tcPr>
          <w:p>
            <w:pPr>
              <w:pStyle w:val="Normal"/>
              <w:widowControl w:val="false"/>
              <w:snapToGrid w:val="false"/>
              <w:ind w:right="57" w:hanging="0"/>
              <w:jc w:val="right"/>
              <w:rPr>
                <w:sz w:val="18"/>
                <w:szCs w:val="18"/>
              </w:rPr>
            </w:pPr>
            <w:r>
              <w:rPr>
                <w:sz w:val="18"/>
                <w:szCs w:val="18"/>
              </w:rPr>
              <w:t>11%</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710" w:type="dxa"/>
            <w:tcBorders/>
            <w:vAlign w:val="center"/>
          </w:tcPr>
          <w:p>
            <w:pPr>
              <w:pStyle w:val="Normal"/>
              <w:widowControl w:val="false"/>
              <w:snapToGrid w:val="false"/>
              <w:ind w:right="85" w:hanging="0"/>
              <w:jc w:val="right"/>
              <w:rPr>
                <w:sz w:val="18"/>
                <w:szCs w:val="18"/>
              </w:rPr>
            </w:pPr>
            <w:r>
              <w:rPr>
                <w:sz w:val="18"/>
                <w:szCs w:val="18"/>
              </w:rPr>
              <w:t>6 023</w:t>
            </w:r>
          </w:p>
        </w:tc>
        <w:tc>
          <w:tcPr>
            <w:tcW w:w="425" w:type="dxa"/>
            <w:tcBorders/>
            <w:vAlign w:val="center"/>
          </w:tcPr>
          <w:p>
            <w:pPr>
              <w:pStyle w:val="Normal"/>
              <w:widowControl w:val="false"/>
              <w:snapToGrid w:val="false"/>
              <w:ind w:right="57" w:hanging="0"/>
              <w:jc w:val="right"/>
              <w:rPr>
                <w:sz w:val="18"/>
                <w:szCs w:val="18"/>
              </w:rPr>
            </w:pPr>
            <w:r>
              <w:rPr>
                <w:sz w:val="18"/>
                <w:szCs w:val="18"/>
              </w:rPr>
              <w:t>56%</w:t>
            </w:r>
          </w:p>
        </w:tc>
        <w:tc>
          <w:tcPr>
            <w:tcW w:w="390" w:type="dxa"/>
            <w:tcBorders/>
            <w:vAlign w:val="center"/>
          </w:tcPr>
          <w:p>
            <w:pPr>
              <w:pStyle w:val="Normal"/>
              <w:widowControl w:val="false"/>
              <w:snapToGrid w:val="false"/>
              <w:ind w:right="57" w:hanging="0"/>
              <w:jc w:val="right"/>
              <w:rPr>
                <w:sz w:val="18"/>
                <w:szCs w:val="18"/>
              </w:rPr>
            </w:pPr>
            <w:r>
              <w:rPr>
                <w:sz w:val="18"/>
                <w:szCs w:val="18"/>
              </w:rPr>
              <w:t>10</w:t>
            </w:r>
          </w:p>
        </w:tc>
        <w:tc>
          <w:tcPr>
            <w:tcW w:w="391" w:type="dxa"/>
            <w:tcBorders/>
            <w:vAlign w:val="center"/>
          </w:tcPr>
          <w:p>
            <w:pPr>
              <w:pStyle w:val="Normal"/>
              <w:widowControl w:val="false"/>
              <w:snapToGrid w:val="false"/>
              <w:ind w:right="57" w:hanging="0"/>
              <w:jc w:val="right"/>
              <w:rPr>
                <w:sz w:val="18"/>
                <w:szCs w:val="18"/>
              </w:rPr>
            </w:pPr>
            <w:r>
              <w:rPr>
                <w:sz w:val="18"/>
                <w:szCs w:val="18"/>
              </w:rPr>
              <w:t>14</w:t>
            </w:r>
          </w:p>
        </w:tc>
        <w:tc>
          <w:tcPr>
            <w:tcW w:w="391" w:type="dxa"/>
            <w:tcBorders/>
            <w:vAlign w:val="center"/>
          </w:tcPr>
          <w:p>
            <w:pPr>
              <w:pStyle w:val="Normal"/>
              <w:widowControl w:val="false"/>
              <w:snapToGrid w:val="false"/>
              <w:ind w:right="57" w:hanging="0"/>
              <w:jc w:val="right"/>
              <w:rPr>
                <w:sz w:val="18"/>
                <w:szCs w:val="18"/>
              </w:rPr>
            </w:pPr>
            <w:r>
              <w:rPr>
                <w:sz w:val="18"/>
                <w:szCs w:val="18"/>
              </w:rPr>
              <w:t>16</w:t>
            </w:r>
          </w:p>
        </w:tc>
        <w:tc>
          <w:tcPr>
            <w:tcW w:w="389" w:type="dxa"/>
            <w:tcBorders/>
            <w:vAlign w:val="center"/>
          </w:tcPr>
          <w:p>
            <w:pPr>
              <w:pStyle w:val="Normal"/>
              <w:widowControl w:val="false"/>
              <w:snapToGrid w:val="false"/>
              <w:ind w:right="57" w:hanging="0"/>
              <w:jc w:val="right"/>
              <w:rPr>
                <w:sz w:val="18"/>
                <w:szCs w:val="18"/>
              </w:rPr>
            </w:pPr>
            <w:r>
              <w:rPr>
                <w:sz w:val="18"/>
                <w:szCs w:val="18"/>
              </w:rPr>
              <w:t>18</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矯形及創傷外科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703</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1 456</w:t>
            </w:r>
          </w:p>
        </w:tc>
        <w:tc>
          <w:tcPr>
            <w:tcW w:w="480" w:type="dxa"/>
            <w:tcBorders/>
            <w:vAlign w:val="center"/>
          </w:tcPr>
          <w:p>
            <w:pPr>
              <w:pStyle w:val="Normal"/>
              <w:widowControl w:val="false"/>
              <w:snapToGrid w:val="false"/>
              <w:ind w:right="57" w:hanging="0"/>
              <w:jc w:val="right"/>
              <w:rPr>
                <w:sz w:val="18"/>
                <w:szCs w:val="18"/>
              </w:rPr>
            </w:pPr>
            <w:r>
              <w:rPr>
                <w:sz w:val="18"/>
                <w:szCs w:val="18"/>
              </w:rPr>
              <w:t>15%</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6" w:type="dxa"/>
            <w:tcBorders/>
            <w:vAlign w:val="center"/>
          </w:tcPr>
          <w:p>
            <w:pPr>
              <w:pStyle w:val="Normal"/>
              <w:widowControl w:val="false"/>
              <w:snapToGrid w:val="false"/>
              <w:ind w:right="57" w:hanging="0"/>
              <w:jc w:val="right"/>
              <w:rPr>
                <w:sz w:val="18"/>
                <w:szCs w:val="18"/>
              </w:rPr>
            </w:pPr>
            <w:r>
              <w:rPr>
                <w:sz w:val="18"/>
                <w:szCs w:val="18"/>
              </w:rPr>
              <w:t>3</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710" w:type="dxa"/>
            <w:tcBorders/>
            <w:vAlign w:val="center"/>
          </w:tcPr>
          <w:p>
            <w:pPr>
              <w:pStyle w:val="Normal"/>
              <w:widowControl w:val="false"/>
              <w:snapToGrid w:val="false"/>
              <w:ind w:right="85" w:hanging="0"/>
              <w:jc w:val="right"/>
              <w:rPr>
                <w:sz w:val="18"/>
                <w:szCs w:val="18"/>
              </w:rPr>
            </w:pPr>
            <w:r>
              <w:rPr>
                <w:sz w:val="18"/>
                <w:szCs w:val="18"/>
              </w:rPr>
              <w:t>7 523</w:t>
            </w:r>
          </w:p>
        </w:tc>
        <w:tc>
          <w:tcPr>
            <w:tcW w:w="425" w:type="dxa"/>
            <w:tcBorders/>
            <w:vAlign w:val="center"/>
          </w:tcPr>
          <w:p>
            <w:pPr>
              <w:pStyle w:val="Normal"/>
              <w:widowControl w:val="false"/>
              <w:snapToGrid w:val="false"/>
              <w:ind w:right="57" w:hanging="0"/>
              <w:jc w:val="right"/>
              <w:rPr>
                <w:sz w:val="18"/>
                <w:szCs w:val="18"/>
              </w:rPr>
            </w:pPr>
            <w:r>
              <w:rPr>
                <w:sz w:val="18"/>
                <w:szCs w:val="18"/>
              </w:rPr>
              <w:t>78%</w:t>
            </w:r>
          </w:p>
        </w:tc>
        <w:tc>
          <w:tcPr>
            <w:tcW w:w="390" w:type="dxa"/>
            <w:tcBorders/>
            <w:vAlign w:val="center"/>
          </w:tcPr>
          <w:p>
            <w:pPr>
              <w:pStyle w:val="Normal"/>
              <w:widowControl w:val="false"/>
              <w:snapToGrid w:val="false"/>
              <w:ind w:right="57" w:hanging="0"/>
              <w:jc w:val="right"/>
              <w:rPr>
                <w:sz w:val="18"/>
                <w:szCs w:val="18"/>
              </w:rPr>
            </w:pPr>
            <w:r>
              <w:rPr>
                <w:sz w:val="18"/>
                <w:szCs w:val="18"/>
              </w:rPr>
              <w:t>7</w:t>
            </w:r>
          </w:p>
        </w:tc>
        <w:tc>
          <w:tcPr>
            <w:tcW w:w="391" w:type="dxa"/>
            <w:tcBorders/>
            <w:vAlign w:val="center"/>
          </w:tcPr>
          <w:p>
            <w:pPr>
              <w:pStyle w:val="Normal"/>
              <w:widowControl w:val="false"/>
              <w:snapToGrid w:val="false"/>
              <w:ind w:right="57" w:hanging="0"/>
              <w:jc w:val="right"/>
              <w:rPr>
                <w:sz w:val="18"/>
                <w:szCs w:val="18"/>
              </w:rPr>
            </w:pPr>
            <w:r>
              <w:rPr>
                <w:sz w:val="18"/>
                <w:szCs w:val="18"/>
              </w:rPr>
              <w:t>15</w:t>
            </w:r>
          </w:p>
        </w:tc>
        <w:tc>
          <w:tcPr>
            <w:tcW w:w="391" w:type="dxa"/>
            <w:tcBorders/>
            <w:vAlign w:val="center"/>
          </w:tcPr>
          <w:p>
            <w:pPr>
              <w:pStyle w:val="Normal"/>
              <w:widowControl w:val="false"/>
              <w:snapToGrid w:val="false"/>
              <w:ind w:right="57" w:hanging="0"/>
              <w:jc w:val="right"/>
              <w:rPr>
                <w:sz w:val="18"/>
                <w:szCs w:val="18"/>
              </w:rPr>
            </w:pPr>
            <w:r>
              <w:rPr>
                <w:sz w:val="18"/>
                <w:szCs w:val="18"/>
              </w:rPr>
              <w:t>22</w:t>
            </w:r>
          </w:p>
        </w:tc>
        <w:tc>
          <w:tcPr>
            <w:tcW w:w="389" w:type="dxa"/>
            <w:tcBorders/>
            <w:vAlign w:val="center"/>
          </w:tcPr>
          <w:p>
            <w:pPr>
              <w:pStyle w:val="Normal"/>
              <w:widowControl w:val="false"/>
              <w:snapToGrid w:val="false"/>
              <w:ind w:right="57" w:hanging="0"/>
              <w:jc w:val="right"/>
              <w:rPr>
                <w:sz w:val="18"/>
                <w:szCs w:val="18"/>
              </w:rPr>
            </w:pPr>
            <w:r>
              <w:rPr>
                <w:sz w:val="18"/>
                <w:szCs w:val="18"/>
              </w:rPr>
              <w:t>39</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兒童及青少年科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447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12%</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1 168</w:t>
            </w:r>
          </w:p>
        </w:tc>
        <w:tc>
          <w:tcPr>
            <w:tcW w:w="480" w:type="dxa"/>
            <w:tcBorders/>
            <w:vAlign w:val="center"/>
          </w:tcPr>
          <w:p>
            <w:pPr>
              <w:pStyle w:val="Normal"/>
              <w:widowControl w:val="false"/>
              <w:snapToGrid w:val="false"/>
              <w:ind w:right="57" w:hanging="0"/>
              <w:jc w:val="right"/>
              <w:rPr>
                <w:sz w:val="18"/>
                <w:szCs w:val="18"/>
              </w:rPr>
            </w:pPr>
            <w:r>
              <w:rPr>
                <w:sz w:val="18"/>
                <w:szCs w:val="18"/>
              </w:rPr>
              <w:t>33%</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1 957</w:t>
            </w:r>
          </w:p>
        </w:tc>
        <w:tc>
          <w:tcPr>
            <w:tcW w:w="425" w:type="dxa"/>
            <w:tcBorders/>
            <w:vAlign w:val="center"/>
          </w:tcPr>
          <w:p>
            <w:pPr>
              <w:pStyle w:val="Normal"/>
              <w:widowControl w:val="false"/>
              <w:snapToGrid w:val="false"/>
              <w:ind w:right="57" w:hanging="0"/>
              <w:jc w:val="right"/>
              <w:rPr>
                <w:sz w:val="18"/>
                <w:szCs w:val="18"/>
              </w:rPr>
            </w:pPr>
            <w:r>
              <w:rPr>
                <w:sz w:val="18"/>
                <w:szCs w:val="18"/>
              </w:rPr>
              <w:t>55%</w:t>
            </w:r>
          </w:p>
        </w:tc>
        <w:tc>
          <w:tcPr>
            <w:tcW w:w="390" w:type="dxa"/>
            <w:tcBorders/>
            <w:vAlign w:val="center"/>
          </w:tcPr>
          <w:p>
            <w:pPr>
              <w:pStyle w:val="Normal"/>
              <w:widowControl w:val="false"/>
              <w:snapToGrid w:val="false"/>
              <w:ind w:right="57" w:hanging="0"/>
              <w:jc w:val="right"/>
              <w:rPr>
                <w:sz w:val="18"/>
                <w:szCs w:val="18"/>
              </w:rPr>
            </w:pPr>
            <w:r>
              <w:rPr>
                <w:sz w:val="18"/>
                <w:szCs w:val="18"/>
              </w:rPr>
              <w:t>6</w:t>
            </w:r>
          </w:p>
        </w:tc>
        <w:tc>
          <w:tcPr>
            <w:tcW w:w="391" w:type="dxa"/>
            <w:tcBorders/>
            <w:vAlign w:val="center"/>
          </w:tcPr>
          <w:p>
            <w:pPr>
              <w:pStyle w:val="Normal"/>
              <w:widowControl w:val="false"/>
              <w:snapToGrid w:val="false"/>
              <w:ind w:right="57" w:hanging="0"/>
              <w:jc w:val="right"/>
              <w:rPr>
                <w:sz w:val="18"/>
                <w:szCs w:val="18"/>
              </w:rPr>
            </w:pPr>
            <w:r>
              <w:rPr>
                <w:sz w:val="18"/>
                <w:szCs w:val="18"/>
              </w:rPr>
              <w:t>18</w:t>
            </w:r>
          </w:p>
        </w:tc>
        <w:tc>
          <w:tcPr>
            <w:tcW w:w="391" w:type="dxa"/>
            <w:tcBorders/>
            <w:vAlign w:val="center"/>
          </w:tcPr>
          <w:p>
            <w:pPr>
              <w:pStyle w:val="Normal"/>
              <w:widowControl w:val="false"/>
              <w:snapToGrid w:val="false"/>
              <w:ind w:right="57" w:hanging="0"/>
              <w:jc w:val="right"/>
              <w:rPr>
                <w:sz w:val="18"/>
                <w:szCs w:val="18"/>
              </w:rPr>
            </w:pPr>
            <w:r>
              <w:rPr>
                <w:sz w:val="18"/>
                <w:szCs w:val="18"/>
              </w:rPr>
              <w:t>20</w:t>
            </w:r>
          </w:p>
        </w:tc>
        <w:tc>
          <w:tcPr>
            <w:tcW w:w="389" w:type="dxa"/>
            <w:tcBorders/>
            <w:vAlign w:val="center"/>
          </w:tcPr>
          <w:p>
            <w:pPr>
              <w:pStyle w:val="Normal"/>
              <w:widowControl w:val="false"/>
              <w:snapToGrid w:val="false"/>
              <w:ind w:right="57" w:hanging="0"/>
              <w:jc w:val="right"/>
              <w:rPr>
                <w:sz w:val="18"/>
                <w:szCs w:val="18"/>
              </w:rPr>
            </w:pPr>
            <w:r>
              <w:rPr>
                <w:sz w:val="18"/>
                <w:szCs w:val="18"/>
              </w:rPr>
              <w:t>39</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精神科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194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448</w:t>
            </w:r>
          </w:p>
        </w:tc>
        <w:tc>
          <w:tcPr>
            <w:tcW w:w="480" w:type="dxa"/>
            <w:tcBorders/>
            <w:vAlign w:val="center"/>
          </w:tcPr>
          <w:p>
            <w:pPr>
              <w:pStyle w:val="Normal"/>
              <w:widowControl w:val="false"/>
              <w:snapToGrid w:val="false"/>
              <w:ind w:right="57" w:hanging="0"/>
              <w:jc w:val="right"/>
              <w:rPr>
                <w:sz w:val="18"/>
                <w:szCs w:val="18"/>
              </w:rPr>
            </w:pPr>
            <w:r>
              <w:rPr>
                <w:sz w:val="18"/>
                <w:szCs w:val="18"/>
              </w:rPr>
              <w:t>11%</w:t>
            </w:r>
          </w:p>
        </w:tc>
        <w:tc>
          <w:tcPr>
            <w:tcW w:w="425" w:type="dxa"/>
            <w:tcBorders/>
            <w:vAlign w:val="center"/>
          </w:tcPr>
          <w:p>
            <w:pPr>
              <w:pStyle w:val="Normal"/>
              <w:widowControl w:val="false"/>
              <w:snapToGrid w:val="false"/>
              <w:ind w:right="57" w:hanging="0"/>
              <w:jc w:val="right"/>
              <w:rPr>
                <w:sz w:val="18"/>
                <w:szCs w:val="18"/>
              </w:rPr>
            </w:pPr>
            <w:r>
              <w:rPr>
                <w:sz w:val="18"/>
                <w:szCs w:val="18"/>
              </w:rPr>
              <w:t>1</w:t>
            </w:r>
          </w:p>
        </w:tc>
        <w:tc>
          <w:tcPr>
            <w:tcW w:w="426" w:type="dxa"/>
            <w:tcBorders/>
            <w:vAlign w:val="center"/>
          </w:tcPr>
          <w:p>
            <w:pPr>
              <w:pStyle w:val="Normal"/>
              <w:widowControl w:val="false"/>
              <w:snapToGrid w:val="false"/>
              <w:ind w:right="57" w:hanging="0"/>
              <w:jc w:val="right"/>
              <w:rPr>
                <w:sz w:val="18"/>
                <w:szCs w:val="18"/>
              </w:rPr>
            </w:pPr>
            <w:r>
              <w:rPr>
                <w:sz w:val="18"/>
                <w:szCs w:val="18"/>
              </w:rPr>
              <w:t>2</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710" w:type="dxa"/>
            <w:tcBorders/>
            <w:vAlign w:val="center"/>
          </w:tcPr>
          <w:p>
            <w:pPr>
              <w:pStyle w:val="Normal"/>
              <w:widowControl w:val="false"/>
              <w:snapToGrid w:val="false"/>
              <w:ind w:right="85" w:hanging="0"/>
              <w:jc w:val="right"/>
              <w:rPr>
                <w:sz w:val="18"/>
                <w:szCs w:val="18"/>
              </w:rPr>
            </w:pPr>
            <w:r>
              <w:rPr>
                <w:sz w:val="18"/>
                <w:szCs w:val="18"/>
              </w:rPr>
              <w:t>3 278</w:t>
            </w:r>
          </w:p>
        </w:tc>
        <w:tc>
          <w:tcPr>
            <w:tcW w:w="425" w:type="dxa"/>
            <w:tcBorders/>
            <w:vAlign w:val="center"/>
          </w:tcPr>
          <w:p>
            <w:pPr>
              <w:pStyle w:val="Normal"/>
              <w:widowControl w:val="false"/>
              <w:snapToGrid w:val="false"/>
              <w:ind w:right="57" w:hanging="0"/>
              <w:jc w:val="right"/>
              <w:rPr>
                <w:sz w:val="18"/>
                <w:szCs w:val="18"/>
              </w:rPr>
            </w:pPr>
            <w:r>
              <w:rPr>
                <w:sz w:val="18"/>
                <w:szCs w:val="18"/>
              </w:rPr>
              <w:t>83%</w:t>
            </w:r>
          </w:p>
        </w:tc>
        <w:tc>
          <w:tcPr>
            <w:tcW w:w="390" w:type="dxa"/>
            <w:tcBorders/>
            <w:vAlign w:val="center"/>
          </w:tcPr>
          <w:p>
            <w:pPr>
              <w:pStyle w:val="Normal"/>
              <w:widowControl w:val="false"/>
              <w:snapToGrid w:val="false"/>
              <w:ind w:right="57" w:hanging="0"/>
              <w:jc w:val="right"/>
              <w:rPr>
                <w:sz w:val="18"/>
                <w:szCs w:val="18"/>
              </w:rPr>
            </w:pPr>
            <w:r>
              <w:rPr>
                <w:sz w:val="18"/>
                <w:szCs w:val="18"/>
              </w:rPr>
              <w:t>2</w:t>
            </w:r>
          </w:p>
        </w:tc>
        <w:tc>
          <w:tcPr>
            <w:tcW w:w="391" w:type="dxa"/>
            <w:tcBorders/>
            <w:vAlign w:val="center"/>
          </w:tcPr>
          <w:p>
            <w:pPr>
              <w:pStyle w:val="Normal"/>
              <w:widowControl w:val="false"/>
              <w:snapToGrid w:val="false"/>
              <w:ind w:right="57" w:hanging="0"/>
              <w:jc w:val="right"/>
              <w:rPr>
                <w:sz w:val="18"/>
                <w:szCs w:val="18"/>
              </w:rPr>
            </w:pPr>
            <w:r>
              <w:rPr>
                <w:sz w:val="18"/>
                <w:szCs w:val="18"/>
              </w:rPr>
              <w:t>5</w:t>
            </w:r>
          </w:p>
        </w:tc>
        <w:tc>
          <w:tcPr>
            <w:tcW w:w="391" w:type="dxa"/>
            <w:tcBorders/>
            <w:vAlign w:val="center"/>
          </w:tcPr>
          <w:p>
            <w:pPr>
              <w:pStyle w:val="Normal"/>
              <w:widowControl w:val="false"/>
              <w:snapToGrid w:val="false"/>
              <w:ind w:right="57" w:hanging="0"/>
              <w:jc w:val="right"/>
              <w:rPr>
                <w:sz w:val="18"/>
                <w:szCs w:val="18"/>
              </w:rPr>
            </w:pPr>
            <w:r>
              <w:rPr>
                <w:sz w:val="18"/>
                <w:szCs w:val="18"/>
              </w:rPr>
              <w:t>24</w:t>
            </w:r>
          </w:p>
        </w:tc>
        <w:tc>
          <w:tcPr>
            <w:tcW w:w="389" w:type="dxa"/>
            <w:tcBorders/>
            <w:vAlign w:val="center"/>
          </w:tcPr>
          <w:p>
            <w:pPr>
              <w:pStyle w:val="Normal"/>
              <w:widowControl w:val="false"/>
              <w:snapToGrid w:val="false"/>
              <w:ind w:right="57" w:hanging="0"/>
              <w:jc w:val="right"/>
              <w:rPr>
                <w:sz w:val="18"/>
                <w:szCs w:val="18"/>
              </w:rPr>
            </w:pPr>
            <w:r>
              <w:rPr>
                <w:sz w:val="18"/>
                <w:szCs w:val="18"/>
              </w:rPr>
              <w:t>69</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2 084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2 046</w:t>
            </w:r>
          </w:p>
        </w:tc>
        <w:tc>
          <w:tcPr>
            <w:tcW w:w="480" w:type="dxa"/>
            <w:tcBorders/>
            <w:vAlign w:val="center"/>
          </w:tcPr>
          <w:p>
            <w:pPr>
              <w:pStyle w:val="Normal"/>
              <w:widowControl w:val="false"/>
              <w:snapToGrid w:val="false"/>
              <w:ind w:right="57" w:hanging="0"/>
              <w:jc w:val="right"/>
              <w:rPr>
                <w:sz w:val="18"/>
                <w:szCs w:val="18"/>
              </w:rPr>
            </w:pPr>
            <w:r>
              <w:rPr>
                <w:sz w:val="18"/>
                <w:szCs w:val="18"/>
              </w:rPr>
              <w:t>16%</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8 596</w:t>
            </w:r>
          </w:p>
        </w:tc>
        <w:tc>
          <w:tcPr>
            <w:tcW w:w="425" w:type="dxa"/>
            <w:tcBorders/>
            <w:vAlign w:val="center"/>
          </w:tcPr>
          <w:p>
            <w:pPr>
              <w:pStyle w:val="Normal"/>
              <w:widowControl w:val="false"/>
              <w:snapToGrid w:val="false"/>
              <w:ind w:right="57" w:hanging="0"/>
              <w:jc w:val="right"/>
              <w:rPr>
                <w:sz w:val="18"/>
                <w:szCs w:val="18"/>
              </w:rPr>
            </w:pPr>
            <w:r>
              <w:rPr>
                <w:sz w:val="18"/>
                <w:szCs w:val="18"/>
              </w:rPr>
              <w:t>67%</w:t>
            </w:r>
          </w:p>
        </w:tc>
        <w:tc>
          <w:tcPr>
            <w:tcW w:w="390" w:type="dxa"/>
            <w:tcBorders/>
            <w:vAlign w:val="center"/>
          </w:tcPr>
          <w:p>
            <w:pPr>
              <w:pStyle w:val="Normal"/>
              <w:widowControl w:val="false"/>
              <w:snapToGrid w:val="false"/>
              <w:ind w:right="57" w:hanging="0"/>
              <w:jc w:val="right"/>
              <w:rPr>
                <w:sz w:val="18"/>
                <w:szCs w:val="18"/>
              </w:rPr>
            </w:pPr>
            <w:r>
              <w:rPr>
                <w:sz w:val="18"/>
                <w:szCs w:val="18"/>
              </w:rPr>
              <w:t>6</w:t>
            </w:r>
          </w:p>
        </w:tc>
        <w:tc>
          <w:tcPr>
            <w:tcW w:w="391" w:type="dxa"/>
            <w:tcBorders/>
            <w:vAlign w:val="center"/>
          </w:tcPr>
          <w:p>
            <w:pPr>
              <w:pStyle w:val="Normal"/>
              <w:widowControl w:val="false"/>
              <w:snapToGrid w:val="false"/>
              <w:ind w:right="57" w:hanging="0"/>
              <w:jc w:val="right"/>
              <w:rPr>
                <w:sz w:val="18"/>
                <w:szCs w:val="18"/>
              </w:rPr>
            </w:pPr>
            <w:r>
              <w:rPr>
                <w:sz w:val="18"/>
                <w:szCs w:val="18"/>
              </w:rPr>
              <w:t>16</w:t>
            </w:r>
          </w:p>
        </w:tc>
        <w:tc>
          <w:tcPr>
            <w:tcW w:w="391" w:type="dxa"/>
            <w:tcBorders/>
            <w:vAlign w:val="center"/>
          </w:tcPr>
          <w:p>
            <w:pPr>
              <w:pStyle w:val="Normal"/>
              <w:widowControl w:val="false"/>
              <w:snapToGrid w:val="false"/>
              <w:ind w:right="57" w:hanging="0"/>
              <w:jc w:val="right"/>
              <w:rPr>
                <w:sz w:val="18"/>
                <w:szCs w:val="18"/>
              </w:rPr>
            </w:pPr>
            <w:r>
              <w:rPr>
                <w:sz w:val="18"/>
                <w:szCs w:val="18"/>
              </w:rPr>
              <w:t>33</w:t>
            </w:r>
          </w:p>
        </w:tc>
        <w:tc>
          <w:tcPr>
            <w:tcW w:w="389" w:type="dxa"/>
            <w:tcBorders/>
            <w:vAlign w:val="center"/>
          </w:tcPr>
          <w:p>
            <w:pPr>
              <w:pStyle w:val="Normal"/>
              <w:widowControl w:val="false"/>
              <w:snapToGrid w:val="false"/>
              <w:ind w:right="57" w:hanging="0"/>
              <w:jc w:val="right"/>
              <w:rPr>
                <w:sz w:val="18"/>
                <w:szCs w:val="18"/>
              </w:rPr>
            </w:pPr>
            <w:r>
              <w:rPr>
                <w:sz w:val="18"/>
                <w:szCs w:val="18"/>
              </w:rPr>
              <w:t>80</w:t>
            </w:r>
          </w:p>
        </w:tc>
      </w:tr>
      <w:tr>
        <w:trPr/>
        <w:tc>
          <w:tcPr>
            <w:tcW w:w="571" w:type="dxa"/>
            <w:vMerge w:val="restart"/>
            <w:tcBorders/>
            <w:vAlign w:val="center"/>
          </w:tcPr>
          <w:p>
            <w:pPr>
              <w:pStyle w:val="Normal"/>
              <w:widowControl w:val="false"/>
              <w:snapToGrid w:val="false"/>
              <w:jc w:val="center"/>
              <w:rPr>
                <w:sz w:val="18"/>
                <w:szCs w:val="18"/>
              </w:rPr>
            </w:pPr>
            <w:r>
              <w:rPr>
                <w:sz w:val="18"/>
                <w:szCs w:val="18"/>
              </w:rPr>
              <w:t>九龍中</w:t>
            </w:r>
          </w:p>
        </w:tc>
        <w:tc>
          <w:tcPr>
            <w:tcW w:w="837" w:type="dxa"/>
            <w:tcBorders/>
            <w:vAlign w:val="center"/>
          </w:tcPr>
          <w:p>
            <w:pPr>
              <w:pStyle w:val="Normal"/>
              <w:widowControl w:val="false"/>
              <w:snapToGrid w:val="false"/>
              <w:jc w:val="center"/>
              <w:rPr>
                <w:sz w:val="18"/>
                <w:szCs w:val="18"/>
              </w:rPr>
            </w:pPr>
            <w:r>
              <w:rPr>
                <w:sz w:val="18"/>
                <w:szCs w:val="18"/>
              </w:rPr>
              <w:t>耳鼻喉科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1 244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9%</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1 905</w:t>
            </w:r>
          </w:p>
        </w:tc>
        <w:tc>
          <w:tcPr>
            <w:tcW w:w="480" w:type="dxa"/>
            <w:tcBorders/>
            <w:vAlign w:val="center"/>
          </w:tcPr>
          <w:p>
            <w:pPr>
              <w:pStyle w:val="Normal"/>
              <w:widowControl w:val="false"/>
              <w:snapToGrid w:val="false"/>
              <w:ind w:right="57" w:hanging="0"/>
              <w:jc w:val="right"/>
              <w:rPr>
                <w:sz w:val="18"/>
                <w:szCs w:val="18"/>
              </w:rPr>
            </w:pPr>
            <w:r>
              <w:rPr>
                <w:sz w:val="18"/>
                <w:szCs w:val="18"/>
              </w:rPr>
              <w:t>14%</w:t>
            </w:r>
          </w:p>
        </w:tc>
        <w:tc>
          <w:tcPr>
            <w:tcW w:w="425" w:type="dxa"/>
            <w:tcBorders/>
            <w:vAlign w:val="center"/>
          </w:tcPr>
          <w:p>
            <w:pPr>
              <w:pStyle w:val="Normal"/>
              <w:widowControl w:val="false"/>
              <w:snapToGrid w:val="false"/>
              <w:ind w:right="57" w:hanging="0"/>
              <w:jc w:val="right"/>
              <w:rPr>
                <w:sz w:val="18"/>
                <w:szCs w:val="18"/>
              </w:rPr>
            </w:pPr>
            <w:r>
              <w:rPr>
                <w:sz w:val="18"/>
                <w:szCs w:val="18"/>
              </w:rPr>
              <w:t>&lt;1</w:t>
            </w:r>
          </w:p>
        </w:tc>
        <w:tc>
          <w:tcPr>
            <w:tcW w:w="426" w:type="dxa"/>
            <w:tcBorders/>
            <w:vAlign w:val="center"/>
          </w:tcPr>
          <w:p>
            <w:pPr>
              <w:pStyle w:val="Normal"/>
              <w:widowControl w:val="false"/>
              <w:snapToGrid w:val="false"/>
              <w:ind w:right="57" w:hanging="0"/>
              <w:jc w:val="right"/>
              <w:rPr>
                <w:sz w:val="18"/>
                <w:szCs w:val="18"/>
              </w:rPr>
            </w:pPr>
            <w:r>
              <w:rPr>
                <w:sz w:val="18"/>
                <w:szCs w:val="18"/>
              </w:rPr>
              <w:t>1</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10 912</w:t>
            </w:r>
          </w:p>
        </w:tc>
        <w:tc>
          <w:tcPr>
            <w:tcW w:w="425" w:type="dxa"/>
            <w:tcBorders/>
            <w:vAlign w:val="center"/>
          </w:tcPr>
          <w:p>
            <w:pPr>
              <w:pStyle w:val="Normal"/>
              <w:widowControl w:val="false"/>
              <w:snapToGrid w:val="false"/>
              <w:ind w:right="57" w:hanging="0"/>
              <w:jc w:val="right"/>
              <w:rPr>
                <w:sz w:val="18"/>
                <w:szCs w:val="18"/>
              </w:rPr>
            </w:pPr>
            <w:r>
              <w:rPr>
                <w:sz w:val="18"/>
                <w:szCs w:val="18"/>
              </w:rPr>
              <w:t>78%</w:t>
            </w:r>
          </w:p>
        </w:tc>
        <w:tc>
          <w:tcPr>
            <w:tcW w:w="390" w:type="dxa"/>
            <w:tcBorders/>
            <w:vAlign w:val="center"/>
          </w:tcPr>
          <w:p>
            <w:pPr>
              <w:pStyle w:val="Normal"/>
              <w:widowControl w:val="false"/>
              <w:snapToGrid w:val="false"/>
              <w:ind w:right="57" w:hanging="0"/>
              <w:jc w:val="right"/>
              <w:rPr>
                <w:sz w:val="18"/>
                <w:szCs w:val="18"/>
              </w:rPr>
            </w:pPr>
            <w:r>
              <w:rPr>
                <w:sz w:val="18"/>
                <w:szCs w:val="18"/>
              </w:rPr>
              <w:t>1</w:t>
            </w:r>
          </w:p>
        </w:tc>
        <w:tc>
          <w:tcPr>
            <w:tcW w:w="391" w:type="dxa"/>
            <w:tcBorders/>
            <w:vAlign w:val="center"/>
          </w:tcPr>
          <w:p>
            <w:pPr>
              <w:pStyle w:val="Normal"/>
              <w:widowControl w:val="false"/>
              <w:snapToGrid w:val="false"/>
              <w:ind w:right="57" w:hanging="0"/>
              <w:jc w:val="right"/>
              <w:rPr>
                <w:sz w:val="18"/>
                <w:szCs w:val="18"/>
              </w:rPr>
            </w:pPr>
            <w:r>
              <w:rPr>
                <w:sz w:val="18"/>
                <w:szCs w:val="18"/>
              </w:rPr>
              <w:t>3</w:t>
            </w:r>
          </w:p>
        </w:tc>
        <w:tc>
          <w:tcPr>
            <w:tcW w:w="391" w:type="dxa"/>
            <w:tcBorders/>
            <w:vAlign w:val="center"/>
          </w:tcPr>
          <w:p>
            <w:pPr>
              <w:pStyle w:val="Normal"/>
              <w:widowControl w:val="false"/>
              <w:snapToGrid w:val="false"/>
              <w:ind w:right="57" w:hanging="0"/>
              <w:jc w:val="right"/>
              <w:rPr>
                <w:sz w:val="18"/>
                <w:szCs w:val="18"/>
              </w:rPr>
            </w:pPr>
            <w:r>
              <w:rPr>
                <w:sz w:val="18"/>
                <w:szCs w:val="18"/>
              </w:rPr>
              <w:t>9</w:t>
            </w:r>
          </w:p>
        </w:tc>
        <w:tc>
          <w:tcPr>
            <w:tcW w:w="389" w:type="dxa"/>
            <w:tcBorders/>
            <w:vAlign w:val="center"/>
          </w:tcPr>
          <w:p>
            <w:pPr>
              <w:pStyle w:val="Normal"/>
              <w:widowControl w:val="false"/>
              <w:snapToGrid w:val="false"/>
              <w:ind w:right="57" w:hanging="0"/>
              <w:jc w:val="right"/>
              <w:rPr>
                <w:sz w:val="18"/>
                <w:szCs w:val="18"/>
              </w:rPr>
            </w:pPr>
            <w:r>
              <w:rPr>
                <w:sz w:val="18"/>
                <w:szCs w:val="18"/>
              </w:rPr>
              <w:t>11</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內科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1 609</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14%</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1 344</w:t>
            </w:r>
          </w:p>
        </w:tc>
        <w:tc>
          <w:tcPr>
            <w:tcW w:w="480" w:type="dxa"/>
            <w:tcBorders/>
            <w:vAlign w:val="center"/>
          </w:tcPr>
          <w:p>
            <w:pPr>
              <w:pStyle w:val="Normal"/>
              <w:widowControl w:val="false"/>
              <w:snapToGrid w:val="false"/>
              <w:ind w:right="57" w:hanging="0"/>
              <w:jc w:val="right"/>
              <w:rPr>
                <w:sz w:val="18"/>
                <w:szCs w:val="18"/>
              </w:rPr>
            </w:pPr>
            <w:r>
              <w:rPr>
                <w:sz w:val="18"/>
                <w:szCs w:val="18"/>
              </w:rPr>
              <w:t>11%</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8 728</w:t>
            </w:r>
          </w:p>
        </w:tc>
        <w:tc>
          <w:tcPr>
            <w:tcW w:w="425" w:type="dxa"/>
            <w:tcBorders/>
            <w:vAlign w:val="center"/>
          </w:tcPr>
          <w:p>
            <w:pPr>
              <w:pStyle w:val="Normal"/>
              <w:widowControl w:val="false"/>
              <w:snapToGrid w:val="false"/>
              <w:ind w:right="57" w:hanging="0"/>
              <w:jc w:val="right"/>
              <w:rPr>
                <w:sz w:val="18"/>
                <w:szCs w:val="18"/>
              </w:rPr>
            </w:pPr>
            <w:r>
              <w:rPr>
                <w:sz w:val="18"/>
                <w:szCs w:val="18"/>
              </w:rPr>
              <w:t>74%</w:t>
            </w:r>
          </w:p>
        </w:tc>
        <w:tc>
          <w:tcPr>
            <w:tcW w:w="390" w:type="dxa"/>
            <w:tcBorders/>
            <w:vAlign w:val="center"/>
          </w:tcPr>
          <w:p>
            <w:pPr>
              <w:pStyle w:val="Normal"/>
              <w:widowControl w:val="false"/>
              <w:snapToGrid w:val="false"/>
              <w:ind w:right="57" w:hanging="0"/>
              <w:jc w:val="right"/>
              <w:rPr>
                <w:sz w:val="18"/>
                <w:szCs w:val="18"/>
              </w:rPr>
            </w:pPr>
            <w:r>
              <w:rPr>
                <w:sz w:val="18"/>
                <w:szCs w:val="18"/>
              </w:rPr>
              <w:t>12</w:t>
            </w:r>
          </w:p>
        </w:tc>
        <w:tc>
          <w:tcPr>
            <w:tcW w:w="391" w:type="dxa"/>
            <w:tcBorders/>
            <w:vAlign w:val="center"/>
          </w:tcPr>
          <w:p>
            <w:pPr>
              <w:pStyle w:val="Normal"/>
              <w:widowControl w:val="false"/>
              <w:snapToGrid w:val="false"/>
              <w:ind w:right="57" w:hanging="0"/>
              <w:jc w:val="right"/>
              <w:rPr>
                <w:sz w:val="18"/>
                <w:szCs w:val="18"/>
              </w:rPr>
            </w:pPr>
            <w:r>
              <w:rPr>
                <w:sz w:val="18"/>
                <w:szCs w:val="18"/>
              </w:rPr>
              <w:t>17</w:t>
            </w:r>
          </w:p>
        </w:tc>
        <w:tc>
          <w:tcPr>
            <w:tcW w:w="391" w:type="dxa"/>
            <w:tcBorders/>
            <w:vAlign w:val="center"/>
          </w:tcPr>
          <w:p>
            <w:pPr>
              <w:pStyle w:val="Normal"/>
              <w:widowControl w:val="false"/>
              <w:snapToGrid w:val="false"/>
              <w:ind w:right="57" w:hanging="0"/>
              <w:jc w:val="right"/>
              <w:rPr>
                <w:sz w:val="18"/>
                <w:szCs w:val="18"/>
              </w:rPr>
            </w:pPr>
            <w:r>
              <w:rPr>
                <w:sz w:val="18"/>
                <w:szCs w:val="18"/>
              </w:rPr>
              <w:t>25</w:t>
            </w:r>
          </w:p>
        </w:tc>
        <w:tc>
          <w:tcPr>
            <w:tcW w:w="389" w:type="dxa"/>
            <w:tcBorders/>
            <w:vAlign w:val="center"/>
          </w:tcPr>
          <w:p>
            <w:pPr>
              <w:pStyle w:val="Normal"/>
              <w:widowControl w:val="false"/>
              <w:snapToGrid w:val="false"/>
              <w:ind w:right="57" w:hanging="0"/>
              <w:jc w:val="right"/>
              <w:rPr>
                <w:sz w:val="18"/>
                <w:szCs w:val="18"/>
              </w:rPr>
            </w:pPr>
            <w:r>
              <w:rPr>
                <w:sz w:val="18"/>
                <w:szCs w:val="18"/>
              </w:rPr>
              <w:t>50</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婦科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556</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12%</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1 686</w:t>
            </w:r>
          </w:p>
        </w:tc>
        <w:tc>
          <w:tcPr>
            <w:tcW w:w="480" w:type="dxa"/>
            <w:tcBorders/>
            <w:vAlign w:val="center"/>
          </w:tcPr>
          <w:p>
            <w:pPr>
              <w:pStyle w:val="Normal"/>
              <w:widowControl w:val="false"/>
              <w:snapToGrid w:val="false"/>
              <w:ind w:right="57" w:hanging="0"/>
              <w:jc w:val="right"/>
              <w:rPr>
                <w:sz w:val="18"/>
                <w:szCs w:val="18"/>
              </w:rPr>
            </w:pPr>
            <w:r>
              <w:rPr>
                <w:sz w:val="18"/>
                <w:szCs w:val="18"/>
              </w:rPr>
              <w:t>35%</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2 557</w:t>
            </w:r>
          </w:p>
        </w:tc>
        <w:tc>
          <w:tcPr>
            <w:tcW w:w="425" w:type="dxa"/>
            <w:tcBorders/>
            <w:vAlign w:val="center"/>
          </w:tcPr>
          <w:p>
            <w:pPr>
              <w:pStyle w:val="Normal"/>
              <w:widowControl w:val="false"/>
              <w:snapToGrid w:val="false"/>
              <w:ind w:right="57" w:hanging="0"/>
              <w:jc w:val="right"/>
              <w:rPr>
                <w:sz w:val="18"/>
                <w:szCs w:val="18"/>
              </w:rPr>
            </w:pPr>
            <w:r>
              <w:rPr>
                <w:sz w:val="18"/>
                <w:szCs w:val="18"/>
              </w:rPr>
              <w:t>53%</w:t>
            </w:r>
          </w:p>
        </w:tc>
        <w:tc>
          <w:tcPr>
            <w:tcW w:w="390" w:type="dxa"/>
            <w:tcBorders/>
            <w:vAlign w:val="center"/>
          </w:tcPr>
          <w:p>
            <w:pPr>
              <w:pStyle w:val="Normal"/>
              <w:widowControl w:val="false"/>
              <w:snapToGrid w:val="false"/>
              <w:ind w:right="57" w:hanging="0"/>
              <w:jc w:val="right"/>
              <w:rPr>
                <w:sz w:val="18"/>
                <w:szCs w:val="18"/>
              </w:rPr>
            </w:pPr>
            <w:r>
              <w:rPr>
                <w:sz w:val="18"/>
                <w:szCs w:val="18"/>
              </w:rPr>
              <w:t>11</w:t>
            </w:r>
          </w:p>
        </w:tc>
        <w:tc>
          <w:tcPr>
            <w:tcW w:w="391" w:type="dxa"/>
            <w:tcBorders/>
            <w:vAlign w:val="center"/>
          </w:tcPr>
          <w:p>
            <w:pPr>
              <w:pStyle w:val="Normal"/>
              <w:widowControl w:val="false"/>
              <w:snapToGrid w:val="false"/>
              <w:ind w:right="57" w:hanging="0"/>
              <w:jc w:val="right"/>
              <w:rPr>
                <w:sz w:val="18"/>
                <w:szCs w:val="18"/>
              </w:rPr>
            </w:pPr>
            <w:r>
              <w:rPr>
                <w:sz w:val="18"/>
                <w:szCs w:val="18"/>
              </w:rPr>
              <w:t>21</w:t>
            </w:r>
          </w:p>
        </w:tc>
        <w:tc>
          <w:tcPr>
            <w:tcW w:w="391" w:type="dxa"/>
            <w:tcBorders/>
            <w:vAlign w:val="center"/>
          </w:tcPr>
          <w:p>
            <w:pPr>
              <w:pStyle w:val="Normal"/>
              <w:widowControl w:val="false"/>
              <w:snapToGrid w:val="false"/>
              <w:ind w:right="57" w:hanging="0"/>
              <w:jc w:val="right"/>
              <w:rPr>
                <w:sz w:val="18"/>
                <w:szCs w:val="18"/>
              </w:rPr>
            </w:pPr>
            <w:r>
              <w:rPr>
                <w:sz w:val="18"/>
                <w:szCs w:val="18"/>
              </w:rPr>
              <w:t>26</w:t>
            </w:r>
          </w:p>
        </w:tc>
        <w:tc>
          <w:tcPr>
            <w:tcW w:w="389" w:type="dxa"/>
            <w:tcBorders/>
            <w:vAlign w:val="center"/>
          </w:tcPr>
          <w:p>
            <w:pPr>
              <w:pStyle w:val="Normal"/>
              <w:widowControl w:val="false"/>
              <w:snapToGrid w:val="false"/>
              <w:ind w:right="57" w:hanging="0"/>
              <w:jc w:val="right"/>
              <w:rPr>
                <w:sz w:val="18"/>
                <w:szCs w:val="18"/>
              </w:rPr>
            </w:pPr>
            <w:r>
              <w:rPr>
                <w:sz w:val="18"/>
                <w:szCs w:val="18"/>
              </w:rPr>
              <w:t>34</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眼科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8 360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34%</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5 363</w:t>
            </w:r>
          </w:p>
        </w:tc>
        <w:tc>
          <w:tcPr>
            <w:tcW w:w="480" w:type="dxa"/>
            <w:tcBorders/>
            <w:vAlign w:val="center"/>
          </w:tcPr>
          <w:p>
            <w:pPr>
              <w:pStyle w:val="Normal"/>
              <w:widowControl w:val="false"/>
              <w:snapToGrid w:val="false"/>
              <w:ind w:right="57" w:hanging="0"/>
              <w:jc w:val="right"/>
              <w:rPr>
                <w:sz w:val="18"/>
                <w:szCs w:val="18"/>
              </w:rPr>
            </w:pPr>
            <w:r>
              <w:rPr>
                <w:sz w:val="18"/>
                <w:szCs w:val="18"/>
              </w:rPr>
              <w:t>22%</w:t>
            </w:r>
          </w:p>
        </w:tc>
        <w:tc>
          <w:tcPr>
            <w:tcW w:w="425" w:type="dxa"/>
            <w:tcBorders/>
            <w:vAlign w:val="center"/>
          </w:tcPr>
          <w:p>
            <w:pPr>
              <w:pStyle w:val="Normal"/>
              <w:widowControl w:val="false"/>
              <w:snapToGrid w:val="false"/>
              <w:ind w:right="57" w:hanging="0"/>
              <w:jc w:val="right"/>
              <w:rPr>
                <w:sz w:val="18"/>
                <w:szCs w:val="18"/>
              </w:rPr>
            </w:pPr>
            <w:r>
              <w:rPr>
                <w:sz w:val="18"/>
                <w:szCs w:val="18"/>
              </w:rPr>
              <w:t>1</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9 376</w:t>
            </w:r>
          </w:p>
        </w:tc>
        <w:tc>
          <w:tcPr>
            <w:tcW w:w="425" w:type="dxa"/>
            <w:tcBorders/>
            <w:vAlign w:val="center"/>
          </w:tcPr>
          <w:p>
            <w:pPr>
              <w:pStyle w:val="Normal"/>
              <w:widowControl w:val="false"/>
              <w:snapToGrid w:val="false"/>
              <w:ind w:right="57" w:hanging="0"/>
              <w:jc w:val="right"/>
              <w:rPr>
                <w:sz w:val="18"/>
                <w:szCs w:val="18"/>
              </w:rPr>
            </w:pPr>
            <w:r>
              <w:rPr>
                <w:sz w:val="18"/>
                <w:szCs w:val="18"/>
              </w:rPr>
              <w:t>38%</w:t>
            </w:r>
          </w:p>
        </w:tc>
        <w:tc>
          <w:tcPr>
            <w:tcW w:w="390" w:type="dxa"/>
            <w:tcBorders/>
            <w:vAlign w:val="center"/>
          </w:tcPr>
          <w:p>
            <w:pPr>
              <w:pStyle w:val="Normal"/>
              <w:widowControl w:val="false"/>
              <w:snapToGrid w:val="false"/>
              <w:ind w:right="57" w:hanging="0"/>
              <w:jc w:val="right"/>
              <w:rPr>
                <w:sz w:val="18"/>
                <w:szCs w:val="18"/>
              </w:rPr>
            </w:pPr>
            <w:r>
              <w:rPr>
                <w:sz w:val="18"/>
                <w:szCs w:val="18"/>
              </w:rPr>
              <w:t>40</w:t>
            </w:r>
          </w:p>
        </w:tc>
        <w:tc>
          <w:tcPr>
            <w:tcW w:w="391" w:type="dxa"/>
            <w:tcBorders/>
            <w:vAlign w:val="center"/>
          </w:tcPr>
          <w:p>
            <w:pPr>
              <w:pStyle w:val="Normal"/>
              <w:widowControl w:val="false"/>
              <w:snapToGrid w:val="false"/>
              <w:ind w:right="57" w:hanging="0"/>
              <w:jc w:val="right"/>
              <w:rPr>
                <w:sz w:val="18"/>
                <w:szCs w:val="18"/>
              </w:rPr>
            </w:pPr>
            <w:r>
              <w:rPr>
                <w:sz w:val="18"/>
                <w:szCs w:val="18"/>
              </w:rPr>
              <w:t>44</w:t>
            </w:r>
          </w:p>
        </w:tc>
        <w:tc>
          <w:tcPr>
            <w:tcW w:w="391" w:type="dxa"/>
            <w:tcBorders/>
            <w:vAlign w:val="center"/>
          </w:tcPr>
          <w:p>
            <w:pPr>
              <w:pStyle w:val="Normal"/>
              <w:widowControl w:val="false"/>
              <w:snapToGrid w:val="false"/>
              <w:ind w:right="57" w:hanging="0"/>
              <w:jc w:val="right"/>
              <w:rPr>
                <w:sz w:val="18"/>
                <w:szCs w:val="18"/>
              </w:rPr>
            </w:pPr>
            <w:r>
              <w:rPr>
                <w:sz w:val="18"/>
                <w:szCs w:val="18"/>
              </w:rPr>
              <w:t>45</w:t>
            </w:r>
          </w:p>
        </w:tc>
        <w:tc>
          <w:tcPr>
            <w:tcW w:w="389" w:type="dxa"/>
            <w:tcBorders/>
            <w:vAlign w:val="center"/>
          </w:tcPr>
          <w:p>
            <w:pPr>
              <w:pStyle w:val="Normal"/>
              <w:widowControl w:val="false"/>
              <w:snapToGrid w:val="false"/>
              <w:ind w:right="57" w:hanging="0"/>
              <w:jc w:val="right"/>
              <w:rPr>
                <w:sz w:val="18"/>
                <w:szCs w:val="18"/>
              </w:rPr>
            </w:pPr>
            <w:r>
              <w:rPr>
                <w:sz w:val="18"/>
                <w:szCs w:val="18"/>
              </w:rPr>
              <w:t>46</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矯形及創傷外科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777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10%</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751</w:t>
            </w:r>
          </w:p>
        </w:tc>
        <w:tc>
          <w:tcPr>
            <w:tcW w:w="480" w:type="dxa"/>
            <w:tcBorders/>
            <w:vAlign w:val="center"/>
          </w:tcPr>
          <w:p>
            <w:pPr>
              <w:pStyle w:val="Normal"/>
              <w:widowControl w:val="false"/>
              <w:snapToGrid w:val="false"/>
              <w:ind w:right="57" w:hanging="0"/>
              <w:jc w:val="right"/>
              <w:rPr>
                <w:sz w:val="18"/>
                <w:szCs w:val="18"/>
              </w:rPr>
            </w:pPr>
            <w:r>
              <w:rPr>
                <w:sz w:val="18"/>
                <w:szCs w:val="18"/>
              </w:rPr>
              <w:t>10%</w:t>
            </w:r>
          </w:p>
        </w:tc>
        <w:tc>
          <w:tcPr>
            <w:tcW w:w="425" w:type="dxa"/>
            <w:tcBorders/>
            <w:vAlign w:val="center"/>
          </w:tcPr>
          <w:p>
            <w:pPr>
              <w:pStyle w:val="Normal"/>
              <w:widowControl w:val="false"/>
              <w:snapToGrid w:val="false"/>
              <w:ind w:right="57" w:hanging="0"/>
              <w:jc w:val="right"/>
              <w:rPr>
                <w:sz w:val="18"/>
                <w:szCs w:val="18"/>
              </w:rPr>
            </w:pPr>
            <w:r>
              <w:rPr>
                <w:sz w:val="18"/>
                <w:szCs w:val="18"/>
              </w:rPr>
              <w:t>3</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6 301</w:t>
            </w:r>
          </w:p>
        </w:tc>
        <w:tc>
          <w:tcPr>
            <w:tcW w:w="425" w:type="dxa"/>
            <w:tcBorders/>
            <w:vAlign w:val="center"/>
          </w:tcPr>
          <w:p>
            <w:pPr>
              <w:pStyle w:val="Normal"/>
              <w:widowControl w:val="false"/>
              <w:snapToGrid w:val="false"/>
              <w:ind w:right="57" w:hanging="0"/>
              <w:jc w:val="right"/>
              <w:rPr>
                <w:sz w:val="18"/>
                <w:szCs w:val="18"/>
              </w:rPr>
            </w:pPr>
            <w:r>
              <w:rPr>
                <w:sz w:val="18"/>
                <w:szCs w:val="18"/>
              </w:rPr>
              <w:t>80%</w:t>
            </w:r>
          </w:p>
        </w:tc>
        <w:tc>
          <w:tcPr>
            <w:tcW w:w="390" w:type="dxa"/>
            <w:tcBorders/>
            <w:vAlign w:val="center"/>
          </w:tcPr>
          <w:p>
            <w:pPr>
              <w:pStyle w:val="Normal"/>
              <w:widowControl w:val="false"/>
              <w:snapToGrid w:val="false"/>
              <w:ind w:right="57" w:hanging="0"/>
              <w:jc w:val="right"/>
              <w:rPr>
                <w:sz w:val="18"/>
                <w:szCs w:val="18"/>
              </w:rPr>
            </w:pPr>
            <w:r>
              <w:rPr>
                <w:sz w:val="18"/>
                <w:szCs w:val="18"/>
              </w:rPr>
              <w:t>15</w:t>
            </w:r>
          </w:p>
        </w:tc>
        <w:tc>
          <w:tcPr>
            <w:tcW w:w="391" w:type="dxa"/>
            <w:tcBorders/>
            <w:vAlign w:val="center"/>
          </w:tcPr>
          <w:p>
            <w:pPr>
              <w:pStyle w:val="Normal"/>
              <w:widowControl w:val="false"/>
              <w:snapToGrid w:val="false"/>
              <w:ind w:right="57" w:hanging="0"/>
              <w:jc w:val="right"/>
              <w:rPr>
                <w:sz w:val="18"/>
                <w:szCs w:val="18"/>
              </w:rPr>
            </w:pPr>
            <w:r>
              <w:rPr>
                <w:sz w:val="18"/>
                <w:szCs w:val="18"/>
              </w:rPr>
              <w:t>24</w:t>
            </w:r>
          </w:p>
        </w:tc>
        <w:tc>
          <w:tcPr>
            <w:tcW w:w="391" w:type="dxa"/>
            <w:tcBorders/>
            <w:vAlign w:val="center"/>
          </w:tcPr>
          <w:p>
            <w:pPr>
              <w:pStyle w:val="Normal"/>
              <w:widowControl w:val="false"/>
              <w:snapToGrid w:val="false"/>
              <w:ind w:right="57" w:hanging="0"/>
              <w:jc w:val="right"/>
              <w:rPr>
                <w:sz w:val="18"/>
                <w:szCs w:val="18"/>
              </w:rPr>
            </w:pPr>
            <w:r>
              <w:rPr>
                <w:sz w:val="18"/>
                <w:szCs w:val="18"/>
              </w:rPr>
              <w:t>45</w:t>
            </w:r>
          </w:p>
        </w:tc>
        <w:tc>
          <w:tcPr>
            <w:tcW w:w="389" w:type="dxa"/>
            <w:tcBorders/>
            <w:vAlign w:val="center"/>
          </w:tcPr>
          <w:p>
            <w:pPr>
              <w:pStyle w:val="Normal"/>
              <w:widowControl w:val="false"/>
              <w:snapToGrid w:val="false"/>
              <w:ind w:right="57" w:hanging="0"/>
              <w:jc w:val="right"/>
              <w:rPr>
                <w:sz w:val="18"/>
                <w:szCs w:val="18"/>
              </w:rPr>
            </w:pPr>
            <w:r>
              <w:rPr>
                <w:sz w:val="18"/>
                <w:szCs w:val="18"/>
              </w:rPr>
              <w:t>52</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兒童及青少年科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374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20%</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233</w:t>
            </w:r>
          </w:p>
        </w:tc>
        <w:tc>
          <w:tcPr>
            <w:tcW w:w="480" w:type="dxa"/>
            <w:tcBorders/>
            <w:vAlign w:val="center"/>
          </w:tcPr>
          <w:p>
            <w:pPr>
              <w:pStyle w:val="Normal"/>
              <w:widowControl w:val="false"/>
              <w:snapToGrid w:val="false"/>
              <w:ind w:right="57" w:hanging="0"/>
              <w:jc w:val="right"/>
              <w:rPr>
                <w:sz w:val="18"/>
                <w:szCs w:val="18"/>
              </w:rPr>
            </w:pPr>
            <w:r>
              <w:rPr>
                <w:sz w:val="18"/>
                <w:szCs w:val="18"/>
              </w:rPr>
              <w:t>12%</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6" w:type="dxa"/>
            <w:tcBorders/>
            <w:vAlign w:val="center"/>
          </w:tcPr>
          <w:p>
            <w:pPr>
              <w:pStyle w:val="Normal"/>
              <w:widowControl w:val="false"/>
              <w:snapToGrid w:val="false"/>
              <w:ind w:right="57" w:hanging="0"/>
              <w:jc w:val="right"/>
              <w:rPr>
                <w:sz w:val="18"/>
                <w:szCs w:val="18"/>
              </w:rPr>
            </w:pPr>
            <w:r>
              <w:rPr>
                <w:sz w:val="18"/>
                <w:szCs w:val="18"/>
              </w:rPr>
              <w:t>3</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710" w:type="dxa"/>
            <w:tcBorders/>
            <w:vAlign w:val="center"/>
          </w:tcPr>
          <w:p>
            <w:pPr>
              <w:pStyle w:val="Normal"/>
              <w:widowControl w:val="false"/>
              <w:snapToGrid w:val="false"/>
              <w:ind w:right="85" w:hanging="0"/>
              <w:jc w:val="right"/>
              <w:rPr>
                <w:sz w:val="18"/>
                <w:szCs w:val="18"/>
              </w:rPr>
            </w:pPr>
            <w:r>
              <w:rPr>
                <w:sz w:val="18"/>
                <w:szCs w:val="18"/>
              </w:rPr>
              <w:t>1 301</w:t>
            </w:r>
          </w:p>
        </w:tc>
        <w:tc>
          <w:tcPr>
            <w:tcW w:w="425" w:type="dxa"/>
            <w:tcBorders/>
            <w:vAlign w:val="center"/>
          </w:tcPr>
          <w:p>
            <w:pPr>
              <w:pStyle w:val="Normal"/>
              <w:widowControl w:val="false"/>
              <w:snapToGrid w:val="false"/>
              <w:ind w:right="57" w:hanging="0"/>
              <w:jc w:val="right"/>
              <w:rPr>
                <w:sz w:val="18"/>
                <w:szCs w:val="18"/>
              </w:rPr>
            </w:pPr>
            <w:r>
              <w:rPr>
                <w:sz w:val="18"/>
                <w:szCs w:val="18"/>
              </w:rPr>
              <w:t>68%</w:t>
            </w:r>
          </w:p>
        </w:tc>
        <w:tc>
          <w:tcPr>
            <w:tcW w:w="390" w:type="dxa"/>
            <w:tcBorders/>
            <w:vAlign w:val="center"/>
          </w:tcPr>
          <w:p>
            <w:pPr>
              <w:pStyle w:val="Normal"/>
              <w:widowControl w:val="false"/>
              <w:snapToGrid w:val="false"/>
              <w:ind w:right="57" w:hanging="0"/>
              <w:jc w:val="right"/>
              <w:rPr>
                <w:sz w:val="18"/>
                <w:szCs w:val="18"/>
              </w:rPr>
            </w:pPr>
            <w:r>
              <w:rPr>
                <w:sz w:val="18"/>
                <w:szCs w:val="18"/>
              </w:rPr>
              <w:t>4</w:t>
            </w:r>
          </w:p>
        </w:tc>
        <w:tc>
          <w:tcPr>
            <w:tcW w:w="391" w:type="dxa"/>
            <w:tcBorders/>
            <w:vAlign w:val="center"/>
          </w:tcPr>
          <w:p>
            <w:pPr>
              <w:pStyle w:val="Normal"/>
              <w:widowControl w:val="false"/>
              <w:snapToGrid w:val="false"/>
              <w:ind w:right="57" w:hanging="0"/>
              <w:jc w:val="right"/>
              <w:rPr>
                <w:sz w:val="18"/>
                <w:szCs w:val="18"/>
              </w:rPr>
            </w:pPr>
            <w:r>
              <w:rPr>
                <w:sz w:val="18"/>
                <w:szCs w:val="18"/>
              </w:rPr>
              <w:t>8</w:t>
            </w:r>
          </w:p>
        </w:tc>
        <w:tc>
          <w:tcPr>
            <w:tcW w:w="391" w:type="dxa"/>
            <w:tcBorders/>
            <w:vAlign w:val="center"/>
          </w:tcPr>
          <w:p>
            <w:pPr>
              <w:pStyle w:val="Normal"/>
              <w:widowControl w:val="false"/>
              <w:snapToGrid w:val="false"/>
              <w:ind w:right="57" w:hanging="0"/>
              <w:jc w:val="right"/>
              <w:rPr>
                <w:sz w:val="18"/>
                <w:szCs w:val="18"/>
              </w:rPr>
            </w:pPr>
            <w:r>
              <w:rPr>
                <w:sz w:val="18"/>
                <w:szCs w:val="18"/>
              </w:rPr>
              <w:t>11</w:t>
            </w:r>
          </w:p>
        </w:tc>
        <w:tc>
          <w:tcPr>
            <w:tcW w:w="389" w:type="dxa"/>
            <w:tcBorders/>
            <w:vAlign w:val="center"/>
          </w:tcPr>
          <w:p>
            <w:pPr>
              <w:pStyle w:val="Normal"/>
              <w:widowControl w:val="false"/>
              <w:snapToGrid w:val="false"/>
              <w:ind w:right="57" w:hanging="0"/>
              <w:jc w:val="right"/>
              <w:rPr>
                <w:sz w:val="18"/>
                <w:szCs w:val="18"/>
              </w:rPr>
            </w:pPr>
            <w:r>
              <w:rPr>
                <w:sz w:val="18"/>
                <w:szCs w:val="18"/>
              </w:rPr>
              <w:t>12</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精神科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452</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15%</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1 061</w:t>
            </w:r>
          </w:p>
        </w:tc>
        <w:tc>
          <w:tcPr>
            <w:tcW w:w="480" w:type="dxa"/>
            <w:tcBorders/>
            <w:vAlign w:val="center"/>
          </w:tcPr>
          <w:p>
            <w:pPr>
              <w:pStyle w:val="Normal"/>
              <w:widowControl w:val="false"/>
              <w:snapToGrid w:val="false"/>
              <w:ind w:right="57" w:hanging="0"/>
              <w:jc w:val="right"/>
              <w:rPr>
                <w:sz w:val="18"/>
                <w:szCs w:val="18"/>
              </w:rPr>
            </w:pPr>
            <w:r>
              <w:rPr>
                <w:sz w:val="18"/>
                <w:szCs w:val="18"/>
              </w:rPr>
              <w:t>34%</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6" w:type="dxa"/>
            <w:tcBorders/>
            <w:vAlign w:val="center"/>
          </w:tcPr>
          <w:p>
            <w:pPr>
              <w:pStyle w:val="Normal"/>
              <w:widowControl w:val="false"/>
              <w:snapToGrid w:val="false"/>
              <w:ind w:right="57" w:hanging="0"/>
              <w:jc w:val="right"/>
              <w:rPr>
                <w:sz w:val="18"/>
                <w:szCs w:val="18"/>
              </w:rPr>
            </w:pPr>
            <w:r>
              <w:rPr>
                <w:sz w:val="18"/>
                <w:szCs w:val="18"/>
              </w:rPr>
              <w:t>4</w:t>
            </w:r>
          </w:p>
        </w:tc>
        <w:tc>
          <w:tcPr>
            <w:tcW w:w="425"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1 589</w:t>
            </w:r>
          </w:p>
        </w:tc>
        <w:tc>
          <w:tcPr>
            <w:tcW w:w="425" w:type="dxa"/>
            <w:tcBorders/>
            <w:vAlign w:val="center"/>
          </w:tcPr>
          <w:p>
            <w:pPr>
              <w:pStyle w:val="Normal"/>
              <w:widowControl w:val="false"/>
              <w:snapToGrid w:val="false"/>
              <w:ind w:right="57" w:hanging="0"/>
              <w:jc w:val="right"/>
              <w:rPr>
                <w:sz w:val="18"/>
                <w:szCs w:val="18"/>
              </w:rPr>
            </w:pPr>
            <w:r>
              <w:rPr>
                <w:sz w:val="18"/>
                <w:szCs w:val="18"/>
              </w:rPr>
              <w:t>51%</w:t>
            </w:r>
          </w:p>
        </w:tc>
        <w:tc>
          <w:tcPr>
            <w:tcW w:w="390" w:type="dxa"/>
            <w:tcBorders/>
            <w:vAlign w:val="center"/>
          </w:tcPr>
          <w:p>
            <w:pPr>
              <w:pStyle w:val="Normal"/>
              <w:widowControl w:val="false"/>
              <w:snapToGrid w:val="false"/>
              <w:ind w:right="57" w:hanging="0"/>
              <w:jc w:val="right"/>
              <w:rPr>
                <w:sz w:val="18"/>
                <w:szCs w:val="18"/>
              </w:rPr>
            </w:pPr>
            <w:r>
              <w:rPr>
                <w:sz w:val="18"/>
                <w:szCs w:val="18"/>
              </w:rPr>
              <w:t>4</w:t>
            </w:r>
          </w:p>
        </w:tc>
        <w:tc>
          <w:tcPr>
            <w:tcW w:w="391" w:type="dxa"/>
            <w:tcBorders/>
            <w:vAlign w:val="center"/>
          </w:tcPr>
          <w:p>
            <w:pPr>
              <w:pStyle w:val="Normal"/>
              <w:widowControl w:val="false"/>
              <w:snapToGrid w:val="false"/>
              <w:ind w:right="57" w:hanging="0"/>
              <w:jc w:val="right"/>
              <w:rPr>
                <w:sz w:val="18"/>
                <w:szCs w:val="18"/>
              </w:rPr>
            </w:pPr>
            <w:r>
              <w:rPr>
                <w:sz w:val="18"/>
                <w:szCs w:val="18"/>
              </w:rPr>
              <w:t>9</w:t>
            </w:r>
          </w:p>
        </w:tc>
        <w:tc>
          <w:tcPr>
            <w:tcW w:w="391" w:type="dxa"/>
            <w:tcBorders/>
            <w:vAlign w:val="center"/>
          </w:tcPr>
          <w:p>
            <w:pPr>
              <w:pStyle w:val="Normal"/>
              <w:widowControl w:val="false"/>
              <w:snapToGrid w:val="false"/>
              <w:ind w:right="57" w:hanging="0"/>
              <w:jc w:val="right"/>
              <w:rPr>
                <w:sz w:val="18"/>
                <w:szCs w:val="18"/>
              </w:rPr>
            </w:pPr>
            <w:r>
              <w:rPr>
                <w:sz w:val="18"/>
                <w:szCs w:val="18"/>
              </w:rPr>
              <w:t>16</w:t>
            </w:r>
          </w:p>
        </w:tc>
        <w:tc>
          <w:tcPr>
            <w:tcW w:w="389" w:type="dxa"/>
            <w:tcBorders/>
            <w:vAlign w:val="center"/>
          </w:tcPr>
          <w:p>
            <w:pPr>
              <w:pStyle w:val="Normal"/>
              <w:widowControl w:val="false"/>
              <w:snapToGrid w:val="false"/>
              <w:ind w:right="57" w:hanging="0"/>
              <w:jc w:val="right"/>
              <w:rPr>
                <w:sz w:val="18"/>
                <w:szCs w:val="18"/>
              </w:rPr>
            </w:pPr>
            <w:r>
              <w:rPr>
                <w:sz w:val="18"/>
                <w:szCs w:val="18"/>
              </w:rPr>
              <w:t>78</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2 790</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17%</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2 829</w:t>
            </w:r>
          </w:p>
        </w:tc>
        <w:tc>
          <w:tcPr>
            <w:tcW w:w="480" w:type="dxa"/>
            <w:tcBorders/>
            <w:vAlign w:val="center"/>
          </w:tcPr>
          <w:p>
            <w:pPr>
              <w:pStyle w:val="Normal"/>
              <w:widowControl w:val="false"/>
              <w:snapToGrid w:val="false"/>
              <w:ind w:right="57" w:hanging="0"/>
              <w:jc w:val="right"/>
              <w:rPr>
                <w:sz w:val="18"/>
                <w:szCs w:val="18"/>
              </w:rPr>
            </w:pPr>
            <w:r>
              <w:rPr>
                <w:sz w:val="18"/>
                <w:szCs w:val="18"/>
              </w:rPr>
              <w:t>17%</w:t>
            </w:r>
          </w:p>
        </w:tc>
        <w:tc>
          <w:tcPr>
            <w:tcW w:w="425" w:type="dxa"/>
            <w:tcBorders/>
            <w:vAlign w:val="center"/>
          </w:tcPr>
          <w:p>
            <w:pPr>
              <w:pStyle w:val="Normal"/>
              <w:widowControl w:val="false"/>
              <w:snapToGrid w:val="false"/>
              <w:ind w:right="57" w:hanging="0"/>
              <w:jc w:val="right"/>
              <w:rPr>
                <w:sz w:val="18"/>
                <w:szCs w:val="18"/>
              </w:rPr>
            </w:pPr>
            <w:r>
              <w:rPr>
                <w:sz w:val="18"/>
                <w:szCs w:val="18"/>
              </w:rPr>
              <w:t>2</w:t>
            </w:r>
          </w:p>
        </w:tc>
        <w:tc>
          <w:tcPr>
            <w:tcW w:w="426" w:type="dxa"/>
            <w:tcBorders/>
            <w:vAlign w:val="center"/>
          </w:tcPr>
          <w:p>
            <w:pPr>
              <w:pStyle w:val="Normal"/>
              <w:widowControl w:val="false"/>
              <w:snapToGrid w:val="false"/>
              <w:ind w:right="57" w:hanging="0"/>
              <w:jc w:val="right"/>
              <w:rPr>
                <w:sz w:val="18"/>
                <w:szCs w:val="18"/>
              </w:rPr>
            </w:pPr>
            <w:r>
              <w:rPr>
                <w:sz w:val="18"/>
                <w:szCs w:val="18"/>
              </w:rPr>
              <w:t>3</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11 134</w:t>
            </w:r>
          </w:p>
        </w:tc>
        <w:tc>
          <w:tcPr>
            <w:tcW w:w="425" w:type="dxa"/>
            <w:tcBorders/>
            <w:vAlign w:val="center"/>
          </w:tcPr>
          <w:p>
            <w:pPr>
              <w:pStyle w:val="Normal"/>
              <w:widowControl w:val="false"/>
              <w:snapToGrid w:val="false"/>
              <w:ind w:right="57" w:hanging="0"/>
              <w:jc w:val="right"/>
              <w:rPr>
                <w:sz w:val="18"/>
                <w:szCs w:val="18"/>
              </w:rPr>
            </w:pPr>
            <w:r>
              <w:rPr>
                <w:sz w:val="18"/>
                <w:szCs w:val="18"/>
              </w:rPr>
              <w:t>66%</w:t>
            </w:r>
          </w:p>
        </w:tc>
        <w:tc>
          <w:tcPr>
            <w:tcW w:w="390" w:type="dxa"/>
            <w:tcBorders/>
            <w:vAlign w:val="center"/>
          </w:tcPr>
          <w:p>
            <w:pPr>
              <w:pStyle w:val="Normal"/>
              <w:widowControl w:val="false"/>
              <w:snapToGrid w:val="false"/>
              <w:ind w:right="57" w:hanging="0"/>
              <w:jc w:val="right"/>
              <w:rPr>
                <w:sz w:val="18"/>
                <w:szCs w:val="18"/>
              </w:rPr>
            </w:pPr>
            <w:r>
              <w:rPr>
                <w:sz w:val="18"/>
                <w:szCs w:val="18"/>
              </w:rPr>
              <w:t>15</w:t>
            </w:r>
          </w:p>
        </w:tc>
        <w:tc>
          <w:tcPr>
            <w:tcW w:w="391" w:type="dxa"/>
            <w:tcBorders/>
            <w:vAlign w:val="center"/>
          </w:tcPr>
          <w:p>
            <w:pPr>
              <w:pStyle w:val="Normal"/>
              <w:widowControl w:val="false"/>
              <w:snapToGrid w:val="false"/>
              <w:ind w:right="57" w:hanging="0"/>
              <w:jc w:val="right"/>
              <w:rPr>
                <w:sz w:val="18"/>
                <w:szCs w:val="18"/>
              </w:rPr>
            </w:pPr>
            <w:r>
              <w:rPr>
                <w:sz w:val="18"/>
                <w:szCs w:val="18"/>
              </w:rPr>
              <w:t>17</w:t>
            </w:r>
          </w:p>
        </w:tc>
        <w:tc>
          <w:tcPr>
            <w:tcW w:w="391" w:type="dxa"/>
            <w:tcBorders/>
            <w:vAlign w:val="center"/>
          </w:tcPr>
          <w:p>
            <w:pPr>
              <w:pStyle w:val="Normal"/>
              <w:widowControl w:val="false"/>
              <w:snapToGrid w:val="false"/>
              <w:ind w:right="57" w:hanging="0"/>
              <w:jc w:val="right"/>
              <w:rPr>
                <w:sz w:val="18"/>
                <w:szCs w:val="18"/>
              </w:rPr>
            </w:pPr>
            <w:r>
              <w:rPr>
                <w:sz w:val="18"/>
                <w:szCs w:val="18"/>
              </w:rPr>
              <w:t>28</w:t>
            </w:r>
          </w:p>
        </w:tc>
        <w:tc>
          <w:tcPr>
            <w:tcW w:w="389" w:type="dxa"/>
            <w:tcBorders/>
            <w:vAlign w:val="center"/>
          </w:tcPr>
          <w:p>
            <w:pPr>
              <w:pStyle w:val="Normal"/>
              <w:widowControl w:val="false"/>
              <w:snapToGrid w:val="false"/>
              <w:ind w:right="57" w:hanging="0"/>
              <w:jc w:val="right"/>
              <w:rPr>
                <w:sz w:val="18"/>
                <w:szCs w:val="18"/>
              </w:rPr>
            </w:pPr>
            <w:r>
              <w:rPr>
                <w:sz w:val="18"/>
                <w:szCs w:val="18"/>
              </w:rPr>
              <w:t>52</w:t>
            </w:r>
          </w:p>
        </w:tc>
      </w:tr>
      <w:tr>
        <w:trPr/>
        <w:tc>
          <w:tcPr>
            <w:tcW w:w="571" w:type="dxa"/>
            <w:vMerge w:val="restart"/>
            <w:tcBorders/>
            <w:vAlign w:val="center"/>
          </w:tcPr>
          <w:p>
            <w:pPr>
              <w:pStyle w:val="Normal"/>
              <w:widowControl w:val="false"/>
              <w:snapToGrid w:val="false"/>
              <w:jc w:val="center"/>
              <w:rPr>
                <w:sz w:val="18"/>
                <w:szCs w:val="18"/>
              </w:rPr>
            </w:pPr>
            <w:r>
              <w:rPr>
                <w:sz w:val="18"/>
                <w:szCs w:val="18"/>
              </w:rPr>
              <w:t>九龍東</w:t>
            </w:r>
          </w:p>
        </w:tc>
        <w:tc>
          <w:tcPr>
            <w:tcW w:w="837" w:type="dxa"/>
            <w:tcBorders/>
            <w:vAlign w:val="center"/>
          </w:tcPr>
          <w:p>
            <w:pPr>
              <w:pStyle w:val="Normal"/>
              <w:widowControl w:val="false"/>
              <w:snapToGrid w:val="false"/>
              <w:jc w:val="center"/>
              <w:rPr>
                <w:sz w:val="18"/>
                <w:szCs w:val="18"/>
              </w:rPr>
            </w:pPr>
            <w:r>
              <w:rPr>
                <w:sz w:val="18"/>
                <w:szCs w:val="18"/>
              </w:rPr>
              <w:t>耳鼻喉科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1 755</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16%</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2 490</w:t>
            </w:r>
          </w:p>
        </w:tc>
        <w:tc>
          <w:tcPr>
            <w:tcW w:w="480" w:type="dxa"/>
            <w:tcBorders/>
            <w:vAlign w:val="center"/>
          </w:tcPr>
          <w:p>
            <w:pPr>
              <w:pStyle w:val="Normal"/>
              <w:widowControl w:val="false"/>
              <w:snapToGrid w:val="false"/>
              <w:ind w:right="57" w:hanging="0"/>
              <w:jc w:val="right"/>
              <w:rPr>
                <w:sz w:val="18"/>
                <w:szCs w:val="18"/>
              </w:rPr>
            </w:pPr>
            <w:r>
              <w:rPr>
                <w:sz w:val="18"/>
                <w:szCs w:val="18"/>
              </w:rPr>
              <w:t>23%</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6"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710" w:type="dxa"/>
            <w:tcBorders/>
            <w:vAlign w:val="center"/>
          </w:tcPr>
          <w:p>
            <w:pPr>
              <w:pStyle w:val="Normal"/>
              <w:widowControl w:val="false"/>
              <w:snapToGrid w:val="false"/>
              <w:ind w:right="85" w:hanging="0"/>
              <w:jc w:val="right"/>
              <w:rPr>
                <w:sz w:val="18"/>
                <w:szCs w:val="18"/>
              </w:rPr>
            </w:pPr>
            <w:r>
              <w:rPr>
                <w:sz w:val="18"/>
                <w:szCs w:val="18"/>
              </w:rPr>
              <w:t>6 390</w:t>
            </w:r>
          </w:p>
        </w:tc>
        <w:tc>
          <w:tcPr>
            <w:tcW w:w="425" w:type="dxa"/>
            <w:tcBorders/>
            <w:vAlign w:val="center"/>
          </w:tcPr>
          <w:p>
            <w:pPr>
              <w:pStyle w:val="Normal"/>
              <w:widowControl w:val="false"/>
              <w:snapToGrid w:val="false"/>
              <w:ind w:right="57" w:hanging="0"/>
              <w:jc w:val="right"/>
              <w:rPr>
                <w:sz w:val="18"/>
                <w:szCs w:val="18"/>
              </w:rPr>
            </w:pPr>
            <w:r>
              <w:rPr>
                <w:sz w:val="18"/>
                <w:szCs w:val="18"/>
              </w:rPr>
              <w:t>60%</w:t>
            </w:r>
          </w:p>
        </w:tc>
        <w:tc>
          <w:tcPr>
            <w:tcW w:w="390" w:type="dxa"/>
            <w:tcBorders/>
            <w:vAlign w:val="center"/>
          </w:tcPr>
          <w:p>
            <w:pPr>
              <w:pStyle w:val="Normal"/>
              <w:widowControl w:val="false"/>
              <w:snapToGrid w:val="false"/>
              <w:ind w:right="57" w:hanging="0"/>
              <w:jc w:val="right"/>
              <w:rPr>
                <w:sz w:val="18"/>
                <w:szCs w:val="18"/>
              </w:rPr>
            </w:pPr>
            <w:r>
              <w:rPr>
                <w:sz w:val="18"/>
                <w:szCs w:val="18"/>
              </w:rPr>
              <w:t>29</w:t>
            </w:r>
          </w:p>
        </w:tc>
        <w:tc>
          <w:tcPr>
            <w:tcW w:w="391" w:type="dxa"/>
            <w:tcBorders/>
            <w:vAlign w:val="center"/>
          </w:tcPr>
          <w:p>
            <w:pPr>
              <w:pStyle w:val="Normal"/>
              <w:widowControl w:val="false"/>
              <w:snapToGrid w:val="false"/>
              <w:ind w:right="57" w:hanging="0"/>
              <w:jc w:val="right"/>
              <w:rPr>
                <w:sz w:val="18"/>
                <w:szCs w:val="18"/>
              </w:rPr>
            </w:pPr>
            <w:r>
              <w:rPr>
                <w:sz w:val="18"/>
                <w:szCs w:val="18"/>
              </w:rPr>
              <w:t>33</w:t>
            </w:r>
          </w:p>
        </w:tc>
        <w:tc>
          <w:tcPr>
            <w:tcW w:w="391" w:type="dxa"/>
            <w:tcBorders/>
            <w:vAlign w:val="center"/>
          </w:tcPr>
          <w:p>
            <w:pPr>
              <w:pStyle w:val="Normal"/>
              <w:widowControl w:val="false"/>
              <w:snapToGrid w:val="false"/>
              <w:ind w:right="57" w:hanging="0"/>
              <w:jc w:val="right"/>
              <w:rPr>
                <w:sz w:val="18"/>
                <w:szCs w:val="18"/>
              </w:rPr>
            </w:pPr>
            <w:r>
              <w:rPr>
                <w:sz w:val="18"/>
                <w:szCs w:val="18"/>
              </w:rPr>
              <w:t>87</w:t>
            </w:r>
          </w:p>
        </w:tc>
        <w:tc>
          <w:tcPr>
            <w:tcW w:w="389" w:type="dxa"/>
            <w:tcBorders/>
            <w:vAlign w:val="center"/>
          </w:tcPr>
          <w:p>
            <w:pPr>
              <w:pStyle w:val="Normal"/>
              <w:widowControl w:val="false"/>
              <w:snapToGrid w:val="false"/>
              <w:ind w:right="57" w:hanging="0"/>
              <w:jc w:val="right"/>
              <w:rPr>
                <w:sz w:val="18"/>
                <w:szCs w:val="18"/>
              </w:rPr>
            </w:pPr>
            <w:r>
              <w:rPr>
                <w:sz w:val="18"/>
                <w:szCs w:val="18"/>
              </w:rPr>
              <w:t>125</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內科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2 344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13%</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5 467</w:t>
            </w:r>
          </w:p>
        </w:tc>
        <w:tc>
          <w:tcPr>
            <w:tcW w:w="480" w:type="dxa"/>
            <w:tcBorders/>
            <w:vAlign w:val="center"/>
          </w:tcPr>
          <w:p>
            <w:pPr>
              <w:pStyle w:val="Normal"/>
              <w:widowControl w:val="false"/>
              <w:snapToGrid w:val="false"/>
              <w:ind w:right="57" w:hanging="0"/>
              <w:jc w:val="right"/>
              <w:rPr>
                <w:sz w:val="18"/>
                <w:szCs w:val="18"/>
              </w:rPr>
            </w:pPr>
            <w:r>
              <w:rPr>
                <w:sz w:val="18"/>
                <w:szCs w:val="18"/>
              </w:rPr>
              <w:t>30%</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6"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10 314</w:t>
            </w:r>
          </w:p>
        </w:tc>
        <w:tc>
          <w:tcPr>
            <w:tcW w:w="425" w:type="dxa"/>
            <w:tcBorders/>
            <w:vAlign w:val="center"/>
          </w:tcPr>
          <w:p>
            <w:pPr>
              <w:pStyle w:val="Normal"/>
              <w:widowControl w:val="false"/>
              <w:snapToGrid w:val="false"/>
              <w:ind w:right="57" w:hanging="0"/>
              <w:jc w:val="right"/>
              <w:rPr>
                <w:sz w:val="18"/>
                <w:szCs w:val="18"/>
              </w:rPr>
            </w:pPr>
            <w:r>
              <w:rPr>
                <w:sz w:val="18"/>
                <w:szCs w:val="18"/>
              </w:rPr>
              <w:t>57%</w:t>
            </w:r>
          </w:p>
        </w:tc>
        <w:tc>
          <w:tcPr>
            <w:tcW w:w="390" w:type="dxa"/>
            <w:tcBorders/>
            <w:vAlign w:val="center"/>
          </w:tcPr>
          <w:p>
            <w:pPr>
              <w:pStyle w:val="Normal"/>
              <w:widowControl w:val="false"/>
              <w:snapToGrid w:val="false"/>
              <w:ind w:right="57" w:hanging="0"/>
              <w:jc w:val="right"/>
              <w:rPr>
                <w:sz w:val="18"/>
                <w:szCs w:val="18"/>
              </w:rPr>
            </w:pPr>
            <w:r>
              <w:rPr>
                <w:sz w:val="18"/>
                <w:szCs w:val="18"/>
              </w:rPr>
              <w:t>13</w:t>
            </w:r>
          </w:p>
        </w:tc>
        <w:tc>
          <w:tcPr>
            <w:tcW w:w="391" w:type="dxa"/>
            <w:tcBorders/>
            <w:vAlign w:val="center"/>
          </w:tcPr>
          <w:p>
            <w:pPr>
              <w:pStyle w:val="Normal"/>
              <w:widowControl w:val="false"/>
              <w:snapToGrid w:val="false"/>
              <w:ind w:right="57" w:hanging="0"/>
              <w:jc w:val="right"/>
              <w:rPr>
                <w:sz w:val="18"/>
                <w:szCs w:val="18"/>
              </w:rPr>
            </w:pPr>
            <w:r>
              <w:rPr>
                <w:sz w:val="18"/>
                <w:szCs w:val="18"/>
              </w:rPr>
              <w:t>34</w:t>
            </w:r>
          </w:p>
        </w:tc>
        <w:tc>
          <w:tcPr>
            <w:tcW w:w="391" w:type="dxa"/>
            <w:tcBorders/>
            <w:vAlign w:val="center"/>
          </w:tcPr>
          <w:p>
            <w:pPr>
              <w:pStyle w:val="Normal"/>
              <w:widowControl w:val="false"/>
              <w:snapToGrid w:val="false"/>
              <w:ind w:right="57" w:hanging="0"/>
              <w:jc w:val="right"/>
              <w:rPr>
                <w:sz w:val="18"/>
                <w:szCs w:val="18"/>
              </w:rPr>
            </w:pPr>
            <w:r>
              <w:rPr>
                <w:sz w:val="18"/>
                <w:szCs w:val="18"/>
              </w:rPr>
              <w:t>45</w:t>
            </w:r>
          </w:p>
        </w:tc>
        <w:tc>
          <w:tcPr>
            <w:tcW w:w="389" w:type="dxa"/>
            <w:tcBorders/>
            <w:vAlign w:val="center"/>
          </w:tcPr>
          <w:p>
            <w:pPr>
              <w:pStyle w:val="Normal"/>
              <w:widowControl w:val="false"/>
              <w:snapToGrid w:val="false"/>
              <w:ind w:right="57" w:hanging="0"/>
              <w:jc w:val="right"/>
              <w:rPr>
                <w:sz w:val="18"/>
                <w:szCs w:val="18"/>
              </w:rPr>
            </w:pPr>
            <w:r>
              <w:rPr>
                <w:sz w:val="18"/>
                <w:szCs w:val="18"/>
              </w:rPr>
              <w:t>52</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婦科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1 454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19%</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1 082</w:t>
            </w:r>
          </w:p>
        </w:tc>
        <w:tc>
          <w:tcPr>
            <w:tcW w:w="480" w:type="dxa"/>
            <w:tcBorders/>
            <w:vAlign w:val="center"/>
          </w:tcPr>
          <w:p>
            <w:pPr>
              <w:pStyle w:val="Normal"/>
              <w:widowControl w:val="false"/>
              <w:snapToGrid w:val="false"/>
              <w:ind w:right="57" w:hanging="0"/>
              <w:jc w:val="right"/>
              <w:rPr>
                <w:sz w:val="18"/>
                <w:szCs w:val="18"/>
              </w:rPr>
            </w:pPr>
            <w:r>
              <w:rPr>
                <w:sz w:val="18"/>
                <w:szCs w:val="18"/>
              </w:rPr>
              <w:t>14%</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6" w:type="dxa"/>
            <w:tcBorders/>
            <w:vAlign w:val="center"/>
          </w:tcPr>
          <w:p>
            <w:pPr>
              <w:pStyle w:val="Normal"/>
              <w:widowControl w:val="false"/>
              <w:snapToGrid w:val="false"/>
              <w:ind w:right="57" w:hanging="0"/>
              <w:jc w:val="right"/>
              <w:rPr>
                <w:sz w:val="18"/>
                <w:szCs w:val="18"/>
              </w:rPr>
            </w:pPr>
            <w:r>
              <w:rPr>
                <w:sz w:val="18"/>
                <w:szCs w:val="18"/>
              </w:rPr>
              <w:t>6</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5 140</w:t>
            </w:r>
          </w:p>
        </w:tc>
        <w:tc>
          <w:tcPr>
            <w:tcW w:w="425" w:type="dxa"/>
            <w:tcBorders/>
            <w:vAlign w:val="center"/>
          </w:tcPr>
          <w:p>
            <w:pPr>
              <w:pStyle w:val="Normal"/>
              <w:widowControl w:val="false"/>
              <w:snapToGrid w:val="false"/>
              <w:ind w:right="57" w:hanging="0"/>
              <w:jc w:val="right"/>
              <w:rPr>
                <w:sz w:val="18"/>
                <w:szCs w:val="18"/>
              </w:rPr>
            </w:pPr>
            <w:r>
              <w:rPr>
                <w:sz w:val="18"/>
                <w:szCs w:val="18"/>
              </w:rPr>
              <w:t>67%</w:t>
            </w:r>
          </w:p>
        </w:tc>
        <w:tc>
          <w:tcPr>
            <w:tcW w:w="390" w:type="dxa"/>
            <w:tcBorders/>
            <w:vAlign w:val="center"/>
          </w:tcPr>
          <w:p>
            <w:pPr>
              <w:pStyle w:val="Normal"/>
              <w:widowControl w:val="false"/>
              <w:snapToGrid w:val="false"/>
              <w:ind w:right="57" w:hanging="0"/>
              <w:jc w:val="right"/>
              <w:rPr>
                <w:sz w:val="18"/>
                <w:szCs w:val="18"/>
              </w:rPr>
            </w:pPr>
            <w:r>
              <w:rPr>
                <w:sz w:val="18"/>
                <w:szCs w:val="18"/>
              </w:rPr>
              <w:t>15</w:t>
            </w:r>
          </w:p>
        </w:tc>
        <w:tc>
          <w:tcPr>
            <w:tcW w:w="391" w:type="dxa"/>
            <w:tcBorders/>
            <w:vAlign w:val="center"/>
          </w:tcPr>
          <w:p>
            <w:pPr>
              <w:pStyle w:val="Normal"/>
              <w:widowControl w:val="false"/>
              <w:snapToGrid w:val="false"/>
              <w:ind w:right="57" w:hanging="0"/>
              <w:jc w:val="right"/>
              <w:rPr>
                <w:sz w:val="18"/>
                <w:szCs w:val="18"/>
              </w:rPr>
            </w:pPr>
            <w:r>
              <w:rPr>
                <w:sz w:val="18"/>
                <w:szCs w:val="18"/>
              </w:rPr>
              <w:t>66</w:t>
            </w:r>
          </w:p>
        </w:tc>
        <w:tc>
          <w:tcPr>
            <w:tcW w:w="391" w:type="dxa"/>
            <w:tcBorders/>
            <w:vAlign w:val="center"/>
          </w:tcPr>
          <w:p>
            <w:pPr>
              <w:pStyle w:val="Normal"/>
              <w:widowControl w:val="false"/>
              <w:snapToGrid w:val="false"/>
              <w:ind w:right="57" w:hanging="0"/>
              <w:jc w:val="right"/>
              <w:rPr>
                <w:sz w:val="18"/>
                <w:szCs w:val="18"/>
              </w:rPr>
            </w:pPr>
            <w:r>
              <w:rPr>
                <w:sz w:val="18"/>
                <w:szCs w:val="18"/>
              </w:rPr>
              <w:t>141</w:t>
            </w:r>
          </w:p>
        </w:tc>
        <w:tc>
          <w:tcPr>
            <w:tcW w:w="389" w:type="dxa"/>
            <w:tcBorders/>
            <w:vAlign w:val="center"/>
          </w:tcPr>
          <w:p>
            <w:pPr>
              <w:pStyle w:val="Normal"/>
              <w:widowControl w:val="false"/>
              <w:snapToGrid w:val="false"/>
              <w:ind w:right="57" w:hanging="0"/>
              <w:jc w:val="right"/>
              <w:rPr>
                <w:sz w:val="18"/>
                <w:szCs w:val="18"/>
              </w:rPr>
            </w:pPr>
            <w:r>
              <w:rPr>
                <w:sz w:val="18"/>
                <w:szCs w:val="18"/>
              </w:rPr>
              <w:t>148</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眼科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5 124</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30%</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2 924</w:t>
            </w:r>
          </w:p>
        </w:tc>
        <w:tc>
          <w:tcPr>
            <w:tcW w:w="480" w:type="dxa"/>
            <w:tcBorders/>
            <w:vAlign w:val="center"/>
          </w:tcPr>
          <w:p>
            <w:pPr>
              <w:pStyle w:val="Normal"/>
              <w:widowControl w:val="false"/>
              <w:snapToGrid w:val="false"/>
              <w:ind w:right="57" w:hanging="0"/>
              <w:jc w:val="right"/>
              <w:rPr>
                <w:sz w:val="18"/>
                <w:szCs w:val="18"/>
              </w:rPr>
            </w:pPr>
            <w:r>
              <w:rPr>
                <w:sz w:val="18"/>
                <w:szCs w:val="18"/>
              </w:rPr>
              <w:t>17%</w:t>
            </w:r>
          </w:p>
        </w:tc>
        <w:tc>
          <w:tcPr>
            <w:tcW w:w="425" w:type="dxa"/>
            <w:tcBorders/>
            <w:vAlign w:val="center"/>
          </w:tcPr>
          <w:p>
            <w:pPr>
              <w:pStyle w:val="Normal"/>
              <w:widowControl w:val="false"/>
              <w:snapToGrid w:val="false"/>
              <w:ind w:right="57" w:hanging="0"/>
              <w:jc w:val="right"/>
              <w:rPr>
                <w:sz w:val="18"/>
                <w:szCs w:val="18"/>
              </w:rPr>
            </w:pPr>
            <w:r>
              <w:rPr>
                <w:sz w:val="18"/>
                <w:szCs w:val="18"/>
              </w:rPr>
              <w:t>4</w:t>
            </w:r>
          </w:p>
        </w:tc>
        <w:tc>
          <w:tcPr>
            <w:tcW w:w="426"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8 965</w:t>
            </w:r>
          </w:p>
        </w:tc>
        <w:tc>
          <w:tcPr>
            <w:tcW w:w="425" w:type="dxa"/>
            <w:tcBorders/>
            <w:vAlign w:val="center"/>
          </w:tcPr>
          <w:p>
            <w:pPr>
              <w:pStyle w:val="Normal"/>
              <w:widowControl w:val="false"/>
              <w:snapToGrid w:val="false"/>
              <w:ind w:right="57" w:hanging="0"/>
              <w:jc w:val="right"/>
              <w:rPr>
                <w:sz w:val="18"/>
                <w:szCs w:val="18"/>
              </w:rPr>
            </w:pPr>
            <w:r>
              <w:rPr>
                <w:sz w:val="18"/>
                <w:szCs w:val="18"/>
              </w:rPr>
              <w:t>53%</w:t>
            </w:r>
          </w:p>
        </w:tc>
        <w:tc>
          <w:tcPr>
            <w:tcW w:w="390" w:type="dxa"/>
            <w:tcBorders/>
            <w:vAlign w:val="center"/>
          </w:tcPr>
          <w:p>
            <w:pPr>
              <w:pStyle w:val="Normal"/>
              <w:widowControl w:val="false"/>
              <w:snapToGrid w:val="false"/>
              <w:ind w:right="57" w:hanging="0"/>
              <w:jc w:val="right"/>
              <w:rPr>
                <w:sz w:val="18"/>
                <w:szCs w:val="18"/>
              </w:rPr>
            </w:pPr>
            <w:r>
              <w:rPr>
                <w:sz w:val="18"/>
                <w:szCs w:val="18"/>
              </w:rPr>
              <w:t>11</w:t>
            </w:r>
          </w:p>
        </w:tc>
        <w:tc>
          <w:tcPr>
            <w:tcW w:w="391" w:type="dxa"/>
            <w:tcBorders/>
            <w:vAlign w:val="center"/>
          </w:tcPr>
          <w:p>
            <w:pPr>
              <w:pStyle w:val="Normal"/>
              <w:widowControl w:val="false"/>
              <w:snapToGrid w:val="false"/>
              <w:ind w:right="57" w:hanging="0"/>
              <w:jc w:val="right"/>
              <w:rPr>
                <w:sz w:val="18"/>
                <w:szCs w:val="18"/>
              </w:rPr>
            </w:pPr>
            <w:r>
              <w:rPr>
                <w:sz w:val="18"/>
                <w:szCs w:val="18"/>
              </w:rPr>
              <w:t>25</w:t>
            </w:r>
          </w:p>
        </w:tc>
        <w:tc>
          <w:tcPr>
            <w:tcW w:w="391" w:type="dxa"/>
            <w:tcBorders/>
            <w:vAlign w:val="center"/>
          </w:tcPr>
          <w:p>
            <w:pPr>
              <w:pStyle w:val="Normal"/>
              <w:widowControl w:val="false"/>
              <w:snapToGrid w:val="false"/>
              <w:ind w:right="57" w:hanging="0"/>
              <w:jc w:val="right"/>
              <w:rPr>
                <w:sz w:val="18"/>
                <w:szCs w:val="18"/>
              </w:rPr>
            </w:pPr>
            <w:r>
              <w:rPr>
                <w:sz w:val="18"/>
                <w:szCs w:val="18"/>
              </w:rPr>
              <w:t>73</w:t>
            </w:r>
          </w:p>
        </w:tc>
        <w:tc>
          <w:tcPr>
            <w:tcW w:w="389" w:type="dxa"/>
            <w:tcBorders/>
            <w:vAlign w:val="center"/>
          </w:tcPr>
          <w:p>
            <w:pPr>
              <w:pStyle w:val="Normal"/>
              <w:widowControl w:val="false"/>
              <w:snapToGrid w:val="false"/>
              <w:ind w:right="57" w:hanging="0"/>
              <w:jc w:val="right"/>
              <w:rPr>
                <w:sz w:val="18"/>
                <w:szCs w:val="18"/>
              </w:rPr>
            </w:pPr>
            <w:r>
              <w:rPr>
                <w:sz w:val="18"/>
                <w:szCs w:val="18"/>
              </w:rPr>
              <w:t>97</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jc w:val="center"/>
              <w:rPr>
                <w:sz w:val="18"/>
                <w:szCs w:val="18"/>
              </w:rPr>
            </w:pPr>
            <w:r>
              <w:rPr>
                <w:sz w:val="18"/>
                <w:szCs w:val="18"/>
              </w:rPr>
              <w:t>矯形及創傷外科</w:t>
            </w:r>
          </w:p>
        </w:tc>
        <w:tc>
          <w:tcPr>
            <w:tcW w:w="440"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3 787</w:t>
            </w:r>
          </w:p>
        </w:tc>
        <w:tc>
          <w:tcPr>
            <w:tcW w:w="425"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25%</w:t>
            </w:r>
          </w:p>
        </w:tc>
        <w:tc>
          <w:tcPr>
            <w:tcW w:w="384"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jc w:val="right"/>
              <w:rPr>
                <w:rFonts w:cs="Times New Roman"/>
                <w:spacing w:val="0"/>
                <w:sz w:val="18"/>
                <w:szCs w:val="18"/>
              </w:rPr>
            </w:pPr>
            <w:r>
              <w:rPr>
                <w:rFonts w:cs="Times New Roman"/>
                <w:spacing w:val="0"/>
                <w:sz w:val="18"/>
                <w:szCs w:val="18"/>
              </w:rPr>
              <w:t>3 256</w:t>
            </w:r>
          </w:p>
        </w:tc>
        <w:tc>
          <w:tcPr>
            <w:tcW w:w="480" w:type="dxa"/>
            <w:tcBorders/>
            <w:vAlign w:val="center"/>
          </w:tcPr>
          <w:p>
            <w:pPr>
              <w:pStyle w:val="Normal"/>
              <w:widowControl w:val="false"/>
              <w:snapToGrid w:val="false"/>
              <w:ind w:right="57" w:hanging="0"/>
              <w:jc w:val="right"/>
              <w:rPr>
                <w:sz w:val="18"/>
                <w:szCs w:val="18"/>
              </w:rPr>
            </w:pPr>
            <w:r>
              <w:rPr>
                <w:sz w:val="18"/>
                <w:szCs w:val="18"/>
              </w:rPr>
              <w:t>21%</w:t>
            </w:r>
          </w:p>
        </w:tc>
        <w:tc>
          <w:tcPr>
            <w:tcW w:w="425" w:type="dxa"/>
            <w:tcBorders/>
            <w:vAlign w:val="center"/>
          </w:tcPr>
          <w:p>
            <w:pPr>
              <w:pStyle w:val="Normal"/>
              <w:widowControl w:val="false"/>
              <w:snapToGrid w:val="false"/>
              <w:ind w:right="57" w:hanging="0"/>
              <w:jc w:val="right"/>
              <w:rPr>
                <w:sz w:val="18"/>
                <w:szCs w:val="18"/>
              </w:rPr>
            </w:pPr>
            <w:r>
              <w:rPr>
                <w:sz w:val="18"/>
                <w:szCs w:val="18"/>
              </w:rPr>
              <w:t>5</w:t>
            </w:r>
          </w:p>
        </w:tc>
        <w:tc>
          <w:tcPr>
            <w:tcW w:w="426"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7</w:t>
            </w:r>
          </w:p>
        </w:tc>
        <w:tc>
          <w:tcPr>
            <w:tcW w:w="425" w:type="dxa"/>
            <w:tcBorders/>
            <w:vAlign w:val="center"/>
          </w:tcPr>
          <w:p>
            <w:pPr>
              <w:pStyle w:val="Normal"/>
              <w:widowControl w:val="false"/>
              <w:snapToGrid w:val="false"/>
              <w:ind w:right="57" w:hanging="0"/>
              <w:jc w:val="right"/>
              <w:rPr>
                <w:sz w:val="18"/>
                <w:szCs w:val="18"/>
              </w:rPr>
            </w:pPr>
            <w:r>
              <w:rPr>
                <w:sz w:val="18"/>
                <w:szCs w:val="18"/>
              </w:rPr>
              <w:t>8</w:t>
            </w:r>
          </w:p>
        </w:tc>
        <w:tc>
          <w:tcPr>
            <w:tcW w:w="710" w:type="dxa"/>
            <w:tcBorders/>
            <w:vAlign w:val="center"/>
          </w:tcPr>
          <w:p>
            <w:pPr>
              <w:pStyle w:val="Normal"/>
              <w:widowControl w:val="false"/>
              <w:snapToGrid w:val="false"/>
              <w:ind w:right="85" w:hanging="0"/>
              <w:jc w:val="right"/>
              <w:rPr>
                <w:sz w:val="18"/>
                <w:szCs w:val="18"/>
              </w:rPr>
            </w:pPr>
            <w:r>
              <w:rPr>
                <w:sz w:val="18"/>
                <w:szCs w:val="18"/>
              </w:rPr>
              <w:t>8 343</w:t>
            </w:r>
          </w:p>
        </w:tc>
        <w:tc>
          <w:tcPr>
            <w:tcW w:w="425" w:type="dxa"/>
            <w:tcBorders/>
            <w:vAlign w:val="center"/>
          </w:tcPr>
          <w:p>
            <w:pPr>
              <w:pStyle w:val="Normal"/>
              <w:widowControl w:val="false"/>
              <w:snapToGrid w:val="false"/>
              <w:ind w:right="57" w:hanging="0"/>
              <w:jc w:val="right"/>
              <w:rPr>
                <w:sz w:val="18"/>
                <w:szCs w:val="18"/>
              </w:rPr>
            </w:pPr>
            <w:r>
              <w:rPr>
                <w:sz w:val="18"/>
                <w:szCs w:val="18"/>
              </w:rPr>
              <w:t>54%</w:t>
            </w:r>
          </w:p>
        </w:tc>
        <w:tc>
          <w:tcPr>
            <w:tcW w:w="390" w:type="dxa"/>
            <w:tcBorders/>
            <w:vAlign w:val="center"/>
          </w:tcPr>
          <w:p>
            <w:pPr>
              <w:pStyle w:val="Normal"/>
              <w:widowControl w:val="false"/>
              <w:snapToGrid w:val="false"/>
              <w:ind w:right="57" w:hanging="0"/>
              <w:jc w:val="right"/>
              <w:rPr>
                <w:sz w:val="18"/>
                <w:szCs w:val="18"/>
              </w:rPr>
            </w:pPr>
            <w:r>
              <w:rPr>
                <w:sz w:val="18"/>
                <w:szCs w:val="18"/>
              </w:rPr>
              <w:t>88</w:t>
            </w:r>
          </w:p>
        </w:tc>
        <w:tc>
          <w:tcPr>
            <w:tcW w:w="391" w:type="dxa"/>
            <w:tcBorders/>
            <w:vAlign w:val="center"/>
          </w:tcPr>
          <w:p>
            <w:pPr>
              <w:pStyle w:val="Normal"/>
              <w:widowControl w:val="false"/>
              <w:snapToGrid w:val="false"/>
              <w:ind w:right="57" w:hanging="0"/>
              <w:jc w:val="right"/>
              <w:rPr>
                <w:sz w:val="18"/>
                <w:szCs w:val="18"/>
              </w:rPr>
            </w:pPr>
            <w:r>
              <w:rPr>
                <w:sz w:val="18"/>
                <w:szCs w:val="18"/>
              </w:rPr>
              <w:t>103</w:t>
            </w:r>
          </w:p>
        </w:tc>
        <w:tc>
          <w:tcPr>
            <w:tcW w:w="391" w:type="dxa"/>
            <w:tcBorders/>
            <w:vAlign w:val="center"/>
          </w:tcPr>
          <w:p>
            <w:pPr>
              <w:pStyle w:val="Normal"/>
              <w:widowControl w:val="false"/>
              <w:snapToGrid w:val="false"/>
              <w:ind w:right="57" w:hanging="0"/>
              <w:jc w:val="right"/>
              <w:rPr>
                <w:sz w:val="18"/>
                <w:szCs w:val="18"/>
              </w:rPr>
            </w:pPr>
            <w:r>
              <w:rPr>
                <w:sz w:val="18"/>
                <w:szCs w:val="18"/>
              </w:rPr>
              <w:t>111</w:t>
            </w:r>
          </w:p>
        </w:tc>
        <w:tc>
          <w:tcPr>
            <w:tcW w:w="389" w:type="dxa"/>
            <w:tcBorders/>
            <w:vAlign w:val="center"/>
          </w:tcPr>
          <w:p>
            <w:pPr>
              <w:pStyle w:val="Normal"/>
              <w:widowControl w:val="false"/>
              <w:snapToGrid w:val="false"/>
              <w:ind w:right="57" w:hanging="0"/>
              <w:jc w:val="right"/>
              <w:rPr>
                <w:sz w:val="18"/>
                <w:szCs w:val="18"/>
              </w:rPr>
            </w:pPr>
            <w:r>
              <w:rPr>
                <w:sz w:val="18"/>
                <w:szCs w:val="18"/>
              </w:rPr>
              <w:t>124</w:t>
            </w:r>
          </w:p>
        </w:tc>
      </w:tr>
      <w:tr>
        <w:trPr/>
        <w:tc>
          <w:tcPr>
            <w:tcW w:w="571" w:type="dxa"/>
            <w:vMerge w:val="restart"/>
            <w:tcBorders/>
            <w:vAlign w:val="center"/>
          </w:tcPr>
          <w:p>
            <w:pPr>
              <w:pStyle w:val="Normal"/>
              <w:widowControl w:val="false"/>
              <w:snapToGrid w:val="false"/>
              <w:spacing w:lineRule="atLeast" w:line="240"/>
              <w:jc w:val="center"/>
              <w:rPr>
                <w:i/>
                <w:i/>
                <w:sz w:val="18"/>
                <w:szCs w:val="18"/>
              </w:rPr>
            </w:pPr>
            <w:r>
              <w:rPr>
                <w:i/>
                <w:sz w:val="18"/>
                <w:szCs w:val="18"/>
              </w:rPr>
              <w:t>聯網</w:t>
            </w:r>
          </w:p>
        </w:tc>
        <w:tc>
          <w:tcPr>
            <w:tcW w:w="837" w:type="dxa"/>
            <w:vMerge w:val="restart"/>
            <w:tcBorders/>
            <w:vAlign w:val="center"/>
          </w:tcPr>
          <w:p>
            <w:pPr>
              <w:pStyle w:val="Normal"/>
              <w:widowControl w:val="false"/>
              <w:snapToGrid w:val="false"/>
              <w:spacing w:lineRule="atLeast" w:line="240"/>
              <w:jc w:val="center"/>
              <w:rPr>
                <w:i/>
                <w:i/>
                <w:sz w:val="18"/>
                <w:szCs w:val="18"/>
              </w:rPr>
            </w:pPr>
            <w:r>
              <w:rPr>
                <w:i/>
                <w:sz w:val="18"/>
                <w:szCs w:val="18"/>
              </w:rPr>
              <w:t>專科</w:t>
            </w:r>
          </w:p>
        </w:tc>
        <w:tc>
          <w:tcPr>
            <w:tcW w:w="2404" w:type="dxa"/>
            <w:gridSpan w:val="6"/>
            <w:tcBorders/>
            <w:vAlign w:val="center"/>
          </w:tcPr>
          <w:p>
            <w:pPr>
              <w:pStyle w:val="Normal"/>
              <w:widowControl w:val="false"/>
              <w:snapToGrid w:val="false"/>
              <w:spacing w:lineRule="atLeast" w:line="240"/>
              <w:jc w:val="center"/>
              <w:rPr>
                <w:i/>
                <w:i/>
                <w:sz w:val="18"/>
                <w:szCs w:val="18"/>
              </w:rPr>
            </w:pPr>
            <w:r>
              <w:rPr>
                <w:i/>
                <w:sz w:val="18"/>
                <w:szCs w:val="18"/>
              </w:rPr>
              <w:t>第一優先類別</w:t>
            </w:r>
          </w:p>
        </w:tc>
        <w:tc>
          <w:tcPr>
            <w:tcW w:w="2714" w:type="dxa"/>
            <w:gridSpan w:val="6"/>
            <w:tcBorders/>
            <w:vAlign w:val="center"/>
          </w:tcPr>
          <w:p>
            <w:pPr>
              <w:pStyle w:val="Normal"/>
              <w:widowControl w:val="false"/>
              <w:tabs>
                <w:tab w:val="left" w:pos="567" w:leader="none"/>
                <w:tab w:val="left" w:pos="720" w:leader="none"/>
              </w:tabs>
              <w:snapToGrid w:val="false"/>
              <w:spacing w:lineRule="atLeast" w:line="240"/>
              <w:jc w:val="center"/>
              <w:rPr>
                <w:i/>
                <w:i/>
                <w:sz w:val="18"/>
                <w:szCs w:val="18"/>
              </w:rPr>
            </w:pPr>
            <w:r>
              <w:rPr>
                <w:i/>
                <w:sz w:val="18"/>
                <w:szCs w:val="18"/>
              </w:rPr>
              <w:t>第二優先類別</w:t>
            </w:r>
          </w:p>
        </w:tc>
        <w:tc>
          <w:tcPr>
            <w:tcW w:w="2696" w:type="dxa"/>
            <w:gridSpan w:val="6"/>
            <w:tcBorders/>
            <w:vAlign w:val="center"/>
          </w:tcPr>
          <w:p>
            <w:pPr>
              <w:pStyle w:val="Normal"/>
              <w:widowControl w:val="false"/>
              <w:snapToGrid w:val="false"/>
              <w:spacing w:lineRule="atLeast" w:line="240"/>
              <w:jc w:val="center"/>
              <w:rPr>
                <w:i/>
                <w:i/>
                <w:sz w:val="18"/>
                <w:szCs w:val="18"/>
              </w:rPr>
            </w:pPr>
            <w:r>
              <w:rPr>
                <w:i/>
                <w:sz w:val="18"/>
                <w:szCs w:val="18"/>
              </w:rPr>
              <w:t>例行類別</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新症數目</w:t>
            </w:r>
          </w:p>
        </w:tc>
        <w:tc>
          <w:tcPr>
            <w:tcW w:w="425"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539"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c>
          <w:tcPr>
            <w:tcW w:w="533"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新症數目</w:t>
            </w:r>
          </w:p>
        </w:tc>
        <w:tc>
          <w:tcPr>
            <w:tcW w:w="480"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701"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c>
          <w:tcPr>
            <w:tcW w:w="710" w:type="dxa"/>
            <w:vMerge w:val="restart"/>
            <w:tcBorders/>
            <w:vAlign w:val="center"/>
          </w:tcPr>
          <w:p>
            <w:pPr>
              <w:pStyle w:val="Normal"/>
              <w:widowControl w:val="false"/>
              <w:snapToGrid w:val="false"/>
              <w:spacing w:lineRule="atLeast" w:line="240"/>
              <w:jc w:val="center"/>
              <w:rPr>
                <w:i/>
                <w:i/>
                <w:sz w:val="18"/>
                <w:szCs w:val="18"/>
              </w:rPr>
            </w:pPr>
            <w:r>
              <w:rPr>
                <w:i/>
                <w:sz w:val="18"/>
                <w:szCs w:val="18"/>
              </w:rPr>
              <w:t>新症</w:t>
            </w:r>
            <w:r>
              <w:rPr>
                <w:i/>
                <w:sz w:val="18"/>
                <w:szCs w:val="18"/>
              </w:rPr>
              <w:br/>
            </w:r>
            <w:r>
              <w:rPr>
                <w:i/>
                <w:sz w:val="18"/>
                <w:szCs w:val="18"/>
              </w:rPr>
              <w:t>數目</w:t>
            </w:r>
          </w:p>
        </w:tc>
        <w:tc>
          <w:tcPr>
            <w:tcW w:w="425" w:type="dxa"/>
            <w:vMerge w:val="restart"/>
            <w:tcBorders/>
            <w:vAlign w:val="center"/>
          </w:tcPr>
          <w:p>
            <w:pPr>
              <w:pStyle w:val="Normal"/>
              <w:widowControl w:val="false"/>
              <w:snapToGrid w:val="false"/>
              <w:spacing w:lineRule="atLeast" w:line="240"/>
              <w:jc w:val="center"/>
              <w:rPr>
                <w:i/>
                <w:i/>
                <w:sz w:val="18"/>
                <w:szCs w:val="18"/>
              </w:rPr>
            </w:pPr>
            <w:r>
              <w:rPr>
                <w:i/>
                <w:sz w:val="18"/>
                <w:szCs w:val="18"/>
              </w:rPr>
              <w:t>佔新症總數百分比</w:t>
            </w:r>
          </w:p>
        </w:tc>
        <w:tc>
          <w:tcPr>
            <w:tcW w:w="1561" w:type="dxa"/>
            <w:gridSpan w:val="4"/>
            <w:tcBorders/>
            <w:vAlign w:val="center"/>
          </w:tcPr>
          <w:p>
            <w:pPr>
              <w:pStyle w:val="Normal"/>
              <w:widowControl w:val="false"/>
              <w:snapToGrid w:val="false"/>
              <w:spacing w:lineRule="atLeast" w:line="240"/>
              <w:jc w:val="center"/>
              <w:rPr>
                <w:i/>
                <w:i/>
                <w:sz w:val="18"/>
                <w:szCs w:val="18"/>
              </w:rPr>
            </w:pPr>
            <w:r>
              <w:rPr>
                <w:i/>
                <w:sz w:val="18"/>
                <w:szCs w:val="18"/>
              </w:rPr>
              <w:t>輪候時間</w:t>
            </w:r>
          </w:p>
          <w:p>
            <w:pPr>
              <w:pStyle w:val="Normal"/>
              <w:widowControl w:val="false"/>
              <w:snapToGrid w:val="false"/>
              <w:spacing w:lineRule="atLeast" w:line="240"/>
              <w:jc w:val="center"/>
              <w:rPr>
                <w:i/>
                <w:i/>
                <w:sz w:val="18"/>
                <w:szCs w:val="18"/>
              </w:rPr>
            </w:pPr>
            <w:r>
              <w:rPr>
                <w:i/>
                <w:sz w:val="18"/>
                <w:szCs w:val="18"/>
              </w:rPr>
              <w:t>(</w:t>
            </w:r>
            <w:r>
              <w:rPr>
                <w:i/>
                <w:sz w:val="18"/>
                <w:szCs w:val="18"/>
              </w:rPr>
              <w:t>星期</w:t>
            </w:r>
            <w:r>
              <w:rPr>
                <w:i/>
                <w:sz w:val="18"/>
                <w:szCs w:val="18"/>
              </w:rPr>
              <w:t>)</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384"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38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c>
          <w:tcPr>
            <w:tcW w:w="533"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8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426"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425"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c>
          <w:tcPr>
            <w:tcW w:w="71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390"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25</w:t>
              <w:br/>
            </w:r>
            <w:r>
              <w:rPr>
                <w:i/>
                <w:sz w:val="18"/>
                <w:szCs w:val="18"/>
              </w:rPr>
              <w:t>個</w:t>
            </w:r>
          </w:p>
        </w:tc>
        <w:tc>
          <w:tcPr>
            <w:tcW w:w="391"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50</w:t>
              <w:br/>
            </w:r>
            <w:r>
              <w:rPr>
                <w:i/>
                <w:sz w:val="18"/>
                <w:szCs w:val="18"/>
              </w:rPr>
              <w:t>個</w:t>
            </w:r>
          </w:p>
        </w:tc>
        <w:tc>
          <w:tcPr>
            <w:tcW w:w="391"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75</w:t>
              <w:br/>
            </w:r>
            <w:r>
              <w:rPr>
                <w:i/>
                <w:sz w:val="18"/>
                <w:szCs w:val="18"/>
              </w:rPr>
              <w:t>個</w:t>
            </w:r>
          </w:p>
        </w:tc>
        <w:tc>
          <w:tcPr>
            <w:tcW w:w="389" w:type="dxa"/>
            <w:tcBorders/>
            <w:vAlign w:val="center"/>
          </w:tcPr>
          <w:p>
            <w:pPr>
              <w:pStyle w:val="Normal"/>
              <w:widowControl w:val="false"/>
              <w:snapToGrid w:val="false"/>
              <w:spacing w:lineRule="atLeast" w:line="240"/>
              <w:jc w:val="center"/>
              <w:rPr>
                <w:i/>
                <w:i/>
                <w:sz w:val="18"/>
                <w:szCs w:val="18"/>
              </w:rPr>
            </w:pPr>
            <w:r>
              <w:rPr>
                <w:i/>
                <w:sz w:val="18"/>
                <w:szCs w:val="18"/>
              </w:rPr>
              <w:t>第</w:t>
            </w:r>
            <w:r>
              <w:rPr>
                <w:i/>
                <w:sz w:val="18"/>
                <w:szCs w:val="18"/>
              </w:rPr>
              <w:br/>
              <w:t>90</w:t>
              <w:br/>
            </w:r>
            <w:r>
              <w:rPr>
                <w:i/>
                <w:sz w:val="18"/>
                <w:szCs w:val="18"/>
              </w:rPr>
              <w:t>個</w:t>
            </w:r>
          </w:p>
        </w:tc>
      </w:tr>
      <w:tr>
        <w:trPr/>
        <w:tc>
          <w:tcPr>
            <w:tcW w:w="571"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837"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4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539" w:type="dxa"/>
            <w:gridSpan w:val="4"/>
            <w:tcBorders/>
            <w:vAlign w:val="center"/>
          </w:tcPr>
          <w:p>
            <w:pPr>
              <w:pStyle w:val="Normal"/>
              <w:widowControl w:val="false"/>
              <w:snapToGrid w:val="false"/>
              <w:spacing w:lineRule="atLeast" w:line="240"/>
              <w:jc w:val="center"/>
              <w:rPr>
                <w:i/>
                <w:i/>
                <w:sz w:val="18"/>
                <w:szCs w:val="18"/>
              </w:rPr>
            </w:pPr>
            <w:r>
              <w:rPr>
                <w:i/>
                <w:sz w:val="18"/>
                <w:szCs w:val="18"/>
              </w:rPr>
              <w:t>百分值</w:t>
            </w:r>
          </w:p>
        </w:tc>
        <w:tc>
          <w:tcPr>
            <w:tcW w:w="533"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8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701" w:type="dxa"/>
            <w:gridSpan w:val="4"/>
            <w:tcBorders/>
            <w:vAlign w:val="center"/>
          </w:tcPr>
          <w:p>
            <w:pPr>
              <w:pStyle w:val="Normal"/>
              <w:widowControl w:val="false"/>
              <w:tabs>
                <w:tab w:val="left" w:pos="567" w:leader="none"/>
                <w:tab w:val="left" w:pos="720" w:leader="none"/>
              </w:tabs>
              <w:snapToGrid w:val="false"/>
              <w:spacing w:lineRule="atLeast" w:line="240"/>
              <w:jc w:val="center"/>
              <w:rPr>
                <w:i/>
                <w:i/>
                <w:sz w:val="18"/>
                <w:szCs w:val="18"/>
              </w:rPr>
            </w:pPr>
            <w:r>
              <w:rPr>
                <w:i/>
                <w:sz w:val="18"/>
                <w:szCs w:val="18"/>
              </w:rPr>
              <w:t>百分值</w:t>
            </w:r>
          </w:p>
        </w:tc>
        <w:tc>
          <w:tcPr>
            <w:tcW w:w="710"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425" w:type="dxa"/>
            <w:vMerge w:val="continue"/>
            <w:tcBorders/>
            <w:vAlign w:val="center"/>
          </w:tcPr>
          <w:p>
            <w:pPr>
              <w:pStyle w:val="Normal"/>
              <w:widowControl w:val="false"/>
              <w:snapToGrid w:val="false"/>
              <w:spacing w:lineRule="atLeast" w:line="240"/>
              <w:jc w:val="center"/>
              <w:rPr>
                <w:i/>
                <w:i/>
                <w:sz w:val="18"/>
                <w:szCs w:val="18"/>
              </w:rPr>
            </w:pPr>
            <w:r>
              <w:rPr>
                <w:i/>
                <w:sz w:val="18"/>
                <w:szCs w:val="18"/>
              </w:rPr>
            </w:r>
          </w:p>
        </w:tc>
        <w:tc>
          <w:tcPr>
            <w:tcW w:w="1561" w:type="dxa"/>
            <w:gridSpan w:val="4"/>
            <w:tcBorders/>
            <w:vAlign w:val="center"/>
          </w:tcPr>
          <w:p>
            <w:pPr>
              <w:pStyle w:val="Normal"/>
              <w:widowControl w:val="false"/>
              <w:snapToGrid w:val="false"/>
              <w:spacing w:lineRule="atLeast" w:line="240"/>
              <w:jc w:val="center"/>
              <w:rPr>
                <w:i/>
                <w:i/>
                <w:sz w:val="18"/>
                <w:szCs w:val="18"/>
              </w:rPr>
            </w:pPr>
            <w:r>
              <w:rPr>
                <w:i/>
                <w:sz w:val="18"/>
                <w:szCs w:val="18"/>
              </w:rPr>
              <w:t>百分值</w:t>
            </w:r>
          </w:p>
        </w:tc>
      </w:tr>
      <w:tr>
        <w:trPr/>
        <w:tc>
          <w:tcPr>
            <w:tcW w:w="571" w:type="dxa"/>
            <w:vMerge w:val="restart"/>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兒童及青少年科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1 262</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29%</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796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18%</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2 293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53%</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15</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31</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32</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精神科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650</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9%</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1 753</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4 536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63%</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16</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44</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66</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1 460</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7%</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6 493</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29%</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14 358</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64%</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28</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98</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125</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135</w:t>
            </w:r>
          </w:p>
        </w:tc>
      </w:tr>
      <w:tr>
        <w:trPr/>
        <w:tc>
          <w:tcPr>
            <w:tcW w:w="571" w:type="dxa"/>
            <w:vMerge w:val="restart"/>
            <w:tcBorders/>
            <w:vAlign w:val="center"/>
          </w:tcPr>
          <w:p>
            <w:pPr>
              <w:pStyle w:val="Normal"/>
              <w:widowControl w:val="false"/>
              <w:snapToGrid w:val="false"/>
              <w:jc w:val="center"/>
              <w:rPr>
                <w:sz w:val="18"/>
                <w:szCs w:val="18"/>
              </w:rPr>
            </w:pPr>
            <w:r>
              <w:rPr>
                <w:sz w:val="18"/>
                <w:szCs w:val="18"/>
              </w:rPr>
              <w:t>九龍西</w:t>
            </w:r>
          </w:p>
        </w:tc>
        <w:tc>
          <w:tcPr>
            <w:tcW w:w="837" w:type="dxa"/>
            <w:tcBorders/>
            <w:vAlign w:val="center"/>
          </w:tcPr>
          <w:p>
            <w:pPr>
              <w:pStyle w:val="Normal"/>
              <w:widowControl w:val="false"/>
              <w:snapToGrid w:val="false"/>
              <w:spacing w:lineRule="atLeast" w:line="340"/>
              <w:jc w:val="center"/>
              <w:rPr>
                <w:sz w:val="18"/>
                <w:szCs w:val="18"/>
              </w:rPr>
            </w:pPr>
            <w:r>
              <w:rPr>
                <w:sz w:val="18"/>
                <w:szCs w:val="18"/>
              </w:rPr>
              <w:t>耳鼻喉科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3 831</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24%</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4 116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7 841</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50%</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36</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59</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內科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3 227</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11%</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6 414</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19 219</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66%</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20</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35</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53</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61</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婦科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1 070</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9%</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2 366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19%</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8 902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72%</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25</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36</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眼科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5 923</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31%</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6 043</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32%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7 046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37%</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33</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39</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矯形及創傷外科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4 313</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22%</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4 266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11 063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56%</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32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53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90</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103</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兒童及青少年科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2 663</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36%</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830</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11%</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3 685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50%</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精神科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495</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1 070</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9%</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10 631</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87%</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21</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33</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4 736</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13%</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7 816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22 542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64%</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9</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25</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88</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111</w:t>
            </w:r>
          </w:p>
        </w:tc>
      </w:tr>
      <w:tr>
        <w:trPr/>
        <w:tc>
          <w:tcPr>
            <w:tcW w:w="571" w:type="dxa"/>
            <w:vMerge w:val="restart"/>
            <w:tcBorders/>
            <w:vAlign w:val="center"/>
          </w:tcPr>
          <w:p>
            <w:pPr>
              <w:pStyle w:val="Normal"/>
              <w:widowControl w:val="false"/>
              <w:snapToGrid w:val="false"/>
              <w:jc w:val="center"/>
              <w:rPr>
                <w:sz w:val="18"/>
                <w:szCs w:val="18"/>
              </w:rPr>
            </w:pPr>
            <w:r>
              <w:rPr>
                <w:sz w:val="18"/>
                <w:szCs w:val="18"/>
              </w:rPr>
              <w:t>新界東</w:t>
            </w:r>
          </w:p>
        </w:tc>
        <w:tc>
          <w:tcPr>
            <w:tcW w:w="837" w:type="dxa"/>
            <w:tcBorders/>
            <w:vAlign w:val="center"/>
          </w:tcPr>
          <w:p>
            <w:pPr>
              <w:pStyle w:val="Normal"/>
              <w:widowControl w:val="false"/>
              <w:snapToGrid w:val="false"/>
              <w:spacing w:lineRule="atLeast" w:line="340"/>
              <w:jc w:val="center"/>
              <w:rPr>
                <w:sz w:val="18"/>
                <w:szCs w:val="18"/>
              </w:rPr>
            </w:pPr>
            <w:r>
              <w:rPr>
                <w:sz w:val="18"/>
                <w:szCs w:val="18"/>
              </w:rPr>
              <w:t>耳鼻喉科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3 807</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28%</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2 657</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20%</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7 041</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52%</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25</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54</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68</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81</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內科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2 995</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16%</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2 770</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12 493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67%</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32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40</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59</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70</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婦科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1 259</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11%</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878</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7 612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69%</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24</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39</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58</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105</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眼科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6 785</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34%</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2 766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10 205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52%</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78</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101</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115</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矯形及創傷外科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6 071</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30%</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2 406</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12 056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59%</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69</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81</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99</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兒童及青少年科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560</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13%</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760</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3 076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70%</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29</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34</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精神科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1 345</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14%</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1 971</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21%</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5 727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61%</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31</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60</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100</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2 648</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12%</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3 633</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15 703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71%</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59</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79</w:t>
            </w:r>
          </w:p>
        </w:tc>
      </w:tr>
      <w:tr>
        <w:trPr/>
        <w:tc>
          <w:tcPr>
            <w:tcW w:w="571" w:type="dxa"/>
            <w:vMerge w:val="restart"/>
            <w:tcBorders/>
            <w:vAlign w:val="center"/>
          </w:tcPr>
          <w:p>
            <w:pPr>
              <w:pStyle w:val="Normal"/>
              <w:widowControl w:val="false"/>
              <w:snapToGrid w:val="false"/>
              <w:jc w:val="center"/>
              <w:rPr>
                <w:sz w:val="18"/>
                <w:szCs w:val="18"/>
              </w:rPr>
            </w:pPr>
            <w:r>
              <w:rPr>
                <w:sz w:val="18"/>
                <w:szCs w:val="18"/>
              </w:rPr>
              <w:t>新界西</w:t>
            </w:r>
          </w:p>
        </w:tc>
        <w:tc>
          <w:tcPr>
            <w:tcW w:w="837" w:type="dxa"/>
            <w:tcBorders/>
            <w:vAlign w:val="center"/>
          </w:tcPr>
          <w:p>
            <w:pPr>
              <w:pStyle w:val="Normal"/>
              <w:widowControl w:val="false"/>
              <w:snapToGrid w:val="false"/>
              <w:spacing w:lineRule="atLeast" w:line="340"/>
              <w:jc w:val="center"/>
              <w:rPr>
                <w:sz w:val="18"/>
                <w:szCs w:val="18"/>
              </w:rPr>
            </w:pPr>
            <w:r>
              <w:rPr>
                <w:sz w:val="18"/>
                <w:szCs w:val="18"/>
              </w:rPr>
              <w:t>耳鼻喉科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2 945</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25%</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1 531</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7 417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62%</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26</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48</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52</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內科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1 554</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15%</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2 587</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6 545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61%</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14</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41</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46</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50</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婦科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1 053</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16%</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3</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642</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9</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4 707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74%</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11</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23</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40</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眼科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5 617</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31%</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2 290</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10 310</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57%</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43</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46</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矯形及創傷外科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1 541</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12%</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1 208</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9%</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10 171</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79%</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35</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49</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55</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兒童及青少年科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152</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6%</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3</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484</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20%</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1 794</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74%</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14</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15</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精神科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712</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11%</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1 593</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25%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3 970</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63%</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19</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31</w:t>
            </w:r>
          </w:p>
        </w:tc>
      </w:tr>
      <w:tr>
        <w:trPr/>
        <w:tc>
          <w:tcPr>
            <w:tcW w:w="571" w:type="dxa"/>
            <w:vMerge w:val="continue"/>
            <w:tcBorders/>
            <w:vAlign w:val="center"/>
          </w:tcPr>
          <w:p>
            <w:pPr>
              <w:pStyle w:val="Normal"/>
              <w:widowControl w:val="false"/>
              <w:snapToGrid w:val="false"/>
              <w:jc w:val="center"/>
              <w:rPr>
                <w:sz w:val="18"/>
                <w:szCs w:val="18"/>
              </w:rPr>
            </w:pPr>
            <w:r>
              <w:rPr>
                <w:sz w:val="18"/>
                <w:szCs w:val="18"/>
              </w:rPr>
            </w:r>
          </w:p>
        </w:tc>
        <w:tc>
          <w:tcPr>
            <w:tcW w:w="837" w:type="dxa"/>
            <w:tcBorders/>
            <w:vAlign w:val="center"/>
          </w:tcPr>
          <w:p>
            <w:pPr>
              <w:pStyle w:val="Normal"/>
              <w:widowControl w:val="false"/>
              <w:snapToGrid w:val="false"/>
              <w:spacing w:lineRule="atLeast" w:line="340"/>
              <w:jc w:val="center"/>
              <w:rPr>
                <w:sz w:val="18"/>
                <w:szCs w:val="18"/>
              </w:rPr>
            </w:pPr>
            <w:r>
              <w:rPr>
                <w:sz w:val="18"/>
                <w:szCs w:val="18"/>
              </w:rPr>
              <w:t>外科</w:t>
            </w:r>
          </w:p>
        </w:tc>
        <w:tc>
          <w:tcPr>
            <w:tcW w:w="440"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1 432</w:t>
            </w:r>
          </w:p>
        </w:tc>
        <w:tc>
          <w:tcPr>
            <w:tcW w:w="425"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7%</w:t>
            </w:r>
          </w:p>
        </w:tc>
        <w:tc>
          <w:tcPr>
            <w:tcW w:w="384"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&lt;1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1</w:t>
            </w:r>
          </w:p>
        </w:tc>
        <w:tc>
          <w:tcPr>
            <w:tcW w:w="385" w:type="dxa"/>
            <w:tcBorders/>
            <w:vAlign w:val="center"/>
          </w:tcPr>
          <w:p>
            <w:pPr>
              <w:pStyle w:val="F21"/>
              <w:tabs>
                <w:tab w:val="clear" w:pos="567"/>
              </w:tabs>
              <w:snapToGrid w:val="false"/>
              <w:spacing w:lineRule="atLeast" w:line="340"/>
              <w:jc w:val="center"/>
              <w:rPr>
                <w:rFonts w:cs="Times New Roman"/>
                <w:spacing w:val="0"/>
                <w:sz w:val="18"/>
                <w:szCs w:val="18"/>
              </w:rPr>
            </w:pPr>
            <w:r>
              <w:rPr>
                <w:rFonts w:cs="Times New Roman"/>
                <w:spacing w:val="0"/>
                <w:sz w:val="18"/>
                <w:szCs w:val="18"/>
              </w:rPr>
              <w:t>2</w:t>
            </w:r>
          </w:p>
        </w:tc>
        <w:tc>
          <w:tcPr>
            <w:tcW w:w="533" w:type="dxa"/>
            <w:tcBorders/>
            <w:vAlign w:val="center"/>
          </w:tcPr>
          <w:p>
            <w:pPr>
              <w:pStyle w:val="F21"/>
              <w:tabs>
                <w:tab w:val="clear" w:pos="567"/>
              </w:tabs>
              <w:snapToGrid w:val="false"/>
              <w:spacing w:lineRule="atLeast" w:line="340"/>
              <w:jc w:val="right"/>
              <w:rPr>
                <w:rFonts w:cs="Times New Roman"/>
                <w:spacing w:val="0"/>
                <w:sz w:val="18"/>
                <w:szCs w:val="18"/>
              </w:rPr>
            </w:pPr>
            <w:r>
              <w:rPr>
                <w:rFonts w:cs="Times New Roman"/>
                <w:spacing w:val="0"/>
                <w:sz w:val="18"/>
                <w:szCs w:val="18"/>
              </w:rPr>
              <w:t>2 121</w:t>
            </w:r>
          </w:p>
        </w:tc>
        <w:tc>
          <w:tcPr>
            <w:tcW w:w="480"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426"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710" w:type="dxa"/>
            <w:tcBorders/>
            <w:vAlign w:val="center"/>
          </w:tcPr>
          <w:p>
            <w:pPr>
              <w:pStyle w:val="Normal"/>
              <w:widowControl w:val="false"/>
              <w:snapToGrid w:val="false"/>
              <w:spacing w:lineRule="atLeast" w:line="340"/>
              <w:ind w:right="85" w:hanging="0"/>
              <w:jc w:val="right"/>
              <w:rPr>
                <w:sz w:val="18"/>
                <w:szCs w:val="18"/>
              </w:rPr>
            </w:pPr>
            <w:r>
              <w:rPr>
                <w:sz w:val="18"/>
                <w:szCs w:val="18"/>
              </w:rPr>
              <w:t>16 797</w:t>
            </w:r>
          </w:p>
        </w:tc>
        <w:tc>
          <w:tcPr>
            <w:tcW w:w="425" w:type="dxa"/>
            <w:tcBorders/>
            <w:vAlign w:val="center"/>
          </w:tcPr>
          <w:p>
            <w:pPr>
              <w:pStyle w:val="Normal"/>
              <w:widowControl w:val="false"/>
              <w:snapToGrid w:val="false"/>
              <w:spacing w:lineRule="atLeast" w:line="340"/>
              <w:ind w:right="57" w:hanging="0"/>
              <w:jc w:val="right"/>
              <w:rPr>
                <w:sz w:val="18"/>
                <w:szCs w:val="18"/>
              </w:rPr>
            </w:pPr>
            <w:r>
              <w:rPr>
                <w:sz w:val="18"/>
                <w:szCs w:val="18"/>
              </w:rPr>
              <w:t>82%</w:t>
            </w:r>
          </w:p>
        </w:tc>
        <w:tc>
          <w:tcPr>
            <w:tcW w:w="390"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27</w:t>
            </w:r>
          </w:p>
        </w:tc>
        <w:tc>
          <w:tcPr>
            <w:tcW w:w="391" w:type="dxa"/>
            <w:tcBorders/>
            <w:vAlign w:val="center"/>
          </w:tcPr>
          <w:p>
            <w:pPr>
              <w:pStyle w:val="Normal"/>
              <w:widowControl w:val="false"/>
              <w:snapToGrid w:val="false"/>
              <w:spacing w:lineRule="atLeast" w:line="340"/>
              <w:ind w:right="57" w:hanging="0"/>
              <w:jc w:val="right"/>
              <w:rPr>
                <w:sz w:val="18"/>
                <w:szCs w:val="18"/>
              </w:rPr>
            </w:pPr>
            <w:r>
              <w:rPr>
                <w:sz w:val="18"/>
                <w:szCs w:val="18"/>
              </w:rPr>
              <w:t>33</w:t>
            </w:r>
          </w:p>
        </w:tc>
        <w:tc>
          <w:tcPr>
            <w:tcW w:w="389" w:type="dxa"/>
            <w:tcBorders/>
            <w:vAlign w:val="center"/>
          </w:tcPr>
          <w:p>
            <w:pPr>
              <w:pStyle w:val="Normal"/>
              <w:widowControl w:val="false"/>
              <w:snapToGrid w:val="false"/>
              <w:spacing w:lineRule="atLeast" w:line="340"/>
              <w:ind w:right="57" w:hanging="0"/>
              <w:jc w:val="right"/>
              <w:rPr>
                <w:sz w:val="18"/>
                <w:szCs w:val="18"/>
              </w:rPr>
            </w:pPr>
            <w:r>
              <w:rPr>
                <w:sz w:val="18"/>
                <w:szCs w:val="18"/>
              </w:rPr>
              <w:t>35</w:t>
            </w:r>
          </w:p>
        </w:tc>
      </w:tr>
    </w:tbl>
    <w:p>
      <w:pPr>
        <w:pStyle w:val="Normal"/>
        <w:rPr>
          <w:spacing w:val="20"/>
          <w:sz w:val="27"/>
          <w:szCs w:val="27"/>
        </w:rPr>
      </w:pPr>
      <w:r>
        <w:rPr>
          <w:spacing w:val="20"/>
          <w:sz w:val="27"/>
          <w:szCs w:val="27"/>
        </w:rPr>
        <w:t>2012-2013</w:t>
      </w:r>
      <w:r>
        <w:rPr>
          <w:spacing w:val="20"/>
          <w:sz w:val="27"/>
          <w:szCs w:val="27"/>
        </w:rPr>
        <w:t>年度</w:t>
      </w:r>
      <w:r>
        <w:br w:type="page"/>
      </w:r>
    </w:p>
    <w:tbl>
      <w:tblPr>
        <w:tblStyle w:val="a3"/>
        <w:tblW w:w="9219" w:type="dxa"/>
        <w:jc w:val="center"/>
        <w:tblInd w:w="0" w:type="dxa"/>
        <w:tblCellMar>
          <w:top w:w="0" w:type="dxa"/>
          <w:left w:w="108" w:type="dxa"/>
          <w:bottom w:w="0" w:type="dxa"/>
          <w:right w:w="108" w:type="dxa"/>
        </w:tblCellMar>
        <w:tblLook w:val="04a0" w:noHBand="0" w:noVBand="1" w:firstColumn="1" w:lastRow="0" w:lastColumn="0" w:firstRow="1"/>
      </w:tblPr>
      <w:tblGrid>
        <w:gridCol w:w="576"/>
        <w:gridCol w:w="1023"/>
        <w:gridCol w:w="487"/>
        <w:gridCol w:w="430"/>
        <w:gridCol w:w="380"/>
        <w:gridCol w:w="379"/>
        <w:gridCol w:w="379"/>
        <w:gridCol w:w="380"/>
        <w:gridCol w:w="537"/>
        <w:gridCol w:w="475"/>
        <w:gridCol w:w="380"/>
        <w:gridCol w:w="379"/>
        <w:gridCol w:w="378"/>
        <w:gridCol w:w="379"/>
        <w:gridCol w:w="620"/>
        <w:gridCol w:w="452"/>
        <w:gridCol w:w="451"/>
        <w:gridCol w:w="379"/>
        <w:gridCol w:w="380"/>
        <w:gridCol w:w="372"/>
      </w:tblGrid>
      <w:tr>
        <w:trPr>
          <w:tblHeader w:val="true"/>
          <w:trHeight w:val="360" w:hRule="atLeast"/>
          <w:cantSplit w:val="true"/>
        </w:trPr>
        <w:tc>
          <w:tcPr>
            <w:tcW w:w="576" w:type="dxa"/>
            <w:vMerge w:val="restart"/>
            <w:tcBorders/>
            <w:vAlign w:val="center"/>
          </w:tcPr>
          <w:p>
            <w:pPr>
              <w:pStyle w:val="Normal"/>
              <w:pageBreakBefore/>
              <w:widowControl w:val="false"/>
              <w:snapToGrid w:val="false"/>
              <w:jc w:val="center"/>
              <w:rPr>
                <w:i/>
                <w:i/>
                <w:sz w:val="19"/>
                <w:szCs w:val="19"/>
              </w:rPr>
            </w:pPr>
            <w:r>
              <w:rPr>
                <w:i/>
                <w:sz w:val="19"/>
                <w:szCs w:val="19"/>
              </w:rPr>
              <w:t>聯網</w:t>
            </w:r>
          </w:p>
        </w:tc>
        <w:tc>
          <w:tcPr>
            <w:tcW w:w="1023" w:type="dxa"/>
            <w:vMerge w:val="restart"/>
            <w:tcBorders/>
            <w:vAlign w:val="center"/>
          </w:tcPr>
          <w:p>
            <w:pPr>
              <w:pStyle w:val="Normal"/>
              <w:widowControl w:val="false"/>
              <w:snapToGrid w:val="false"/>
              <w:jc w:val="center"/>
              <w:rPr>
                <w:i/>
                <w:i/>
                <w:sz w:val="19"/>
                <w:szCs w:val="19"/>
              </w:rPr>
            </w:pPr>
            <w:r>
              <w:rPr>
                <w:i/>
                <w:sz w:val="19"/>
                <w:szCs w:val="19"/>
              </w:rPr>
              <w:t>專科</w:t>
            </w:r>
          </w:p>
        </w:tc>
        <w:tc>
          <w:tcPr>
            <w:tcW w:w="2435" w:type="dxa"/>
            <w:gridSpan w:val="6"/>
            <w:tcBorders/>
            <w:vAlign w:val="center"/>
          </w:tcPr>
          <w:p>
            <w:pPr>
              <w:pStyle w:val="Normal"/>
              <w:widowControl w:val="false"/>
              <w:snapToGrid w:val="false"/>
              <w:jc w:val="center"/>
              <w:rPr>
                <w:i/>
                <w:i/>
                <w:sz w:val="19"/>
                <w:szCs w:val="19"/>
              </w:rPr>
            </w:pPr>
            <w:r>
              <w:rPr>
                <w:i/>
                <w:sz w:val="19"/>
                <w:szCs w:val="19"/>
              </w:rPr>
              <w:t>第一優先類別</w:t>
            </w:r>
          </w:p>
        </w:tc>
        <w:tc>
          <w:tcPr>
            <w:tcW w:w="2528" w:type="dxa"/>
            <w:gridSpan w:val="6"/>
            <w:tcBorders/>
            <w:vAlign w:val="center"/>
          </w:tcPr>
          <w:p>
            <w:pPr>
              <w:pStyle w:val="Normal"/>
              <w:widowControl w:val="false"/>
              <w:snapToGrid w:val="false"/>
              <w:jc w:val="center"/>
              <w:rPr>
                <w:i/>
                <w:i/>
                <w:sz w:val="19"/>
                <w:szCs w:val="19"/>
              </w:rPr>
            </w:pPr>
            <w:r>
              <w:rPr>
                <w:i/>
                <w:sz w:val="19"/>
                <w:szCs w:val="19"/>
              </w:rPr>
              <w:t>第二優先類別</w:t>
            </w:r>
          </w:p>
        </w:tc>
        <w:tc>
          <w:tcPr>
            <w:tcW w:w="2654" w:type="dxa"/>
            <w:gridSpan w:val="6"/>
            <w:tcBorders/>
            <w:vAlign w:val="center"/>
          </w:tcPr>
          <w:p>
            <w:pPr>
              <w:pStyle w:val="Normal"/>
              <w:widowControl w:val="false"/>
              <w:snapToGrid w:val="false"/>
              <w:jc w:val="center"/>
              <w:rPr>
                <w:i/>
                <w:i/>
                <w:sz w:val="19"/>
                <w:szCs w:val="19"/>
              </w:rPr>
            </w:pPr>
            <w:r>
              <w:rPr>
                <w:i/>
                <w:sz w:val="19"/>
                <w:szCs w:val="19"/>
              </w:rPr>
              <w:t>例行類別</w:t>
            </w:r>
          </w:p>
        </w:tc>
      </w:tr>
      <w:tr>
        <w:trPr>
          <w:tblHeader w:val="true"/>
          <w:cantSplit w:val="true"/>
        </w:trPr>
        <w:tc>
          <w:tcPr>
            <w:tcW w:w="576" w:type="dxa"/>
            <w:vMerge w:val="continue"/>
            <w:tcBorders/>
            <w:vAlign w:val="center"/>
          </w:tcPr>
          <w:p>
            <w:pPr>
              <w:pStyle w:val="Normal"/>
              <w:widowControl w:val="false"/>
              <w:spacing w:lineRule="auto" w:line="240"/>
              <w:jc w:val="both"/>
              <w:rPr>
                <w:i/>
                <w:i/>
                <w:sz w:val="19"/>
                <w:szCs w:val="19"/>
              </w:rPr>
            </w:pPr>
            <w:r>
              <w:rPr>
                <w:i/>
                <w:sz w:val="19"/>
                <w:szCs w:val="19"/>
              </w:rPr>
            </w:r>
          </w:p>
        </w:tc>
        <w:tc>
          <w:tcPr>
            <w:tcW w:w="1023" w:type="dxa"/>
            <w:vMerge w:val="continue"/>
            <w:tcBorders/>
            <w:vAlign w:val="center"/>
          </w:tcPr>
          <w:p>
            <w:pPr>
              <w:pStyle w:val="Normal"/>
              <w:widowControl w:val="false"/>
              <w:spacing w:lineRule="auto" w:line="240"/>
              <w:jc w:val="center"/>
              <w:rPr>
                <w:i/>
                <w:i/>
                <w:sz w:val="19"/>
                <w:szCs w:val="19"/>
              </w:rPr>
            </w:pPr>
            <w:r>
              <w:rPr>
                <w:i/>
                <w:sz w:val="19"/>
                <w:szCs w:val="19"/>
              </w:rPr>
            </w:r>
          </w:p>
        </w:tc>
        <w:tc>
          <w:tcPr>
            <w:tcW w:w="487" w:type="dxa"/>
            <w:vMerge w:val="restart"/>
            <w:tcBorders/>
            <w:vAlign w:val="center"/>
          </w:tcPr>
          <w:p>
            <w:pPr>
              <w:pStyle w:val="Normal"/>
              <w:widowControl w:val="false"/>
              <w:snapToGrid w:val="false"/>
              <w:jc w:val="center"/>
              <w:rPr>
                <w:i/>
                <w:i/>
                <w:sz w:val="19"/>
                <w:szCs w:val="19"/>
              </w:rPr>
            </w:pPr>
            <w:r>
              <w:rPr>
                <w:i/>
                <w:sz w:val="19"/>
                <w:szCs w:val="19"/>
              </w:rPr>
              <w:t>新症數目</w:t>
            </w:r>
          </w:p>
        </w:tc>
        <w:tc>
          <w:tcPr>
            <w:tcW w:w="430" w:type="dxa"/>
            <w:vMerge w:val="restart"/>
            <w:tcBorders/>
            <w:vAlign w:val="center"/>
          </w:tcPr>
          <w:p>
            <w:pPr>
              <w:pStyle w:val="Normal"/>
              <w:widowControl w:val="false"/>
              <w:snapToGrid w:val="false"/>
              <w:jc w:val="center"/>
              <w:rPr>
                <w:i/>
                <w:i/>
                <w:sz w:val="19"/>
                <w:szCs w:val="19"/>
              </w:rPr>
            </w:pPr>
            <w:r>
              <w:rPr>
                <w:i/>
                <w:sz w:val="19"/>
                <w:szCs w:val="19"/>
              </w:rPr>
              <w:t>佔新症總數百分比</w:t>
            </w:r>
          </w:p>
        </w:tc>
        <w:tc>
          <w:tcPr>
            <w:tcW w:w="1518" w:type="dxa"/>
            <w:gridSpan w:val="4"/>
            <w:tcBorders/>
            <w:vAlign w:val="center"/>
          </w:tcPr>
          <w:p>
            <w:pPr>
              <w:pStyle w:val="Normal"/>
              <w:widowControl w:val="false"/>
              <w:snapToGrid w:val="false"/>
              <w:jc w:val="center"/>
              <w:rPr>
                <w:i/>
                <w:i/>
                <w:sz w:val="19"/>
                <w:szCs w:val="19"/>
              </w:rPr>
            </w:pPr>
            <w:r>
              <w:rPr>
                <w:i/>
                <w:sz w:val="19"/>
                <w:szCs w:val="19"/>
              </w:rPr>
              <w:t>輪候時間</w:t>
            </w:r>
            <w:r>
              <w:rPr>
                <w:i/>
                <w:sz w:val="19"/>
                <w:szCs w:val="19"/>
              </w:rPr>
              <w:t>(</w:t>
            </w:r>
            <w:r>
              <w:rPr>
                <w:i/>
                <w:sz w:val="19"/>
                <w:szCs w:val="19"/>
              </w:rPr>
              <w:t>星期</w:t>
            </w:r>
            <w:r>
              <w:rPr>
                <w:i/>
                <w:sz w:val="19"/>
                <w:szCs w:val="19"/>
              </w:rPr>
              <w:t>)</w:t>
            </w:r>
          </w:p>
        </w:tc>
        <w:tc>
          <w:tcPr>
            <w:tcW w:w="537" w:type="dxa"/>
            <w:vMerge w:val="restart"/>
            <w:tcBorders/>
            <w:vAlign w:val="center"/>
          </w:tcPr>
          <w:p>
            <w:pPr>
              <w:pStyle w:val="Normal"/>
              <w:widowControl w:val="false"/>
              <w:snapToGrid w:val="false"/>
              <w:jc w:val="center"/>
              <w:rPr>
                <w:i/>
                <w:i/>
                <w:sz w:val="19"/>
                <w:szCs w:val="19"/>
              </w:rPr>
            </w:pPr>
            <w:r>
              <w:rPr>
                <w:i/>
                <w:sz w:val="19"/>
                <w:szCs w:val="19"/>
              </w:rPr>
              <w:t>新症數目</w:t>
            </w:r>
          </w:p>
        </w:tc>
        <w:tc>
          <w:tcPr>
            <w:tcW w:w="475" w:type="dxa"/>
            <w:vMerge w:val="restart"/>
            <w:tcBorders/>
            <w:vAlign w:val="center"/>
          </w:tcPr>
          <w:p>
            <w:pPr>
              <w:pStyle w:val="Normal"/>
              <w:widowControl w:val="false"/>
              <w:snapToGrid w:val="false"/>
              <w:jc w:val="center"/>
              <w:rPr>
                <w:i/>
                <w:i/>
                <w:sz w:val="19"/>
                <w:szCs w:val="19"/>
              </w:rPr>
            </w:pPr>
            <w:r>
              <w:rPr>
                <w:i/>
                <w:sz w:val="19"/>
                <w:szCs w:val="19"/>
              </w:rPr>
              <w:t>佔新症總數百分比</w:t>
            </w:r>
          </w:p>
        </w:tc>
        <w:tc>
          <w:tcPr>
            <w:tcW w:w="1516" w:type="dxa"/>
            <w:gridSpan w:val="4"/>
            <w:tcBorders/>
            <w:vAlign w:val="center"/>
          </w:tcPr>
          <w:p>
            <w:pPr>
              <w:pStyle w:val="Normal"/>
              <w:widowControl w:val="false"/>
              <w:snapToGrid w:val="false"/>
              <w:jc w:val="center"/>
              <w:rPr>
                <w:i/>
                <w:i/>
                <w:sz w:val="19"/>
                <w:szCs w:val="19"/>
              </w:rPr>
            </w:pPr>
            <w:r>
              <w:rPr>
                <w:i/>
                <w:sz w:val="19"/>
                <w:szCs w:val="19"/>
              </w:rPr>
              <w:t>輪候時間</w:t>
            </w:r>
            <w:r>
              <w:rPr>
                <w:i/>
                <w:sz w:val="19"/>
                <w:szCs w:val="19"/>
              </w:rPr>
              <w:t>(</w:t>
            </w:r>
            <w:r>
              <w:rPr>
                <w:i/>
                <w:sz w:val="19"/>
                <w:szCs w:val="19"/>
              </w:rPr>
              <w:t>星期</w:t>
            </w:r>
            <w:r>
              <w:rPr>
                <w:i/>
                <w:sz w:val="19"/>
                <w:szCs w:val="19"/>
              </w:rPr>
              <w:t>)</w:t>
            </w:r>
          </w:p>
        </w:tc>
        <w:tc>
          <w:tcPr>
            <w:tcW w:w="620" w:type="dxa"/>
            <w:vMerge w:val="restart"/>
            <w:tcBorders/>
            <w:vAlign w:val="center"/>
          </w:tcPr>
          <w:p>
            <w:pPr>
              <w:pStyle w:val="Normal"/>
              <w:widowControl w:val="false"/>
              <w:snapToGrid w:val="false"/>
              <w:jc w:val="center"/>
              <w:rPr>
                <w:i/>
                <w:i/>
                <w:sz w:val="19"/>
                <w:szCs w:val="19"/>
              </w:rPr>
            </w:pPr>
            <w:r>
              <w:rPr>
                <w:i/>
                <w:sz w:val="19"/>
                <w:szCs w:val="19"/>
              </w:rPr>
              <w:t>新症</w:t>
            </w:r>
            <w:r>
              <w:rPr>
                <w:i/>
                <w:sz w:val="19"/>
                <w:szCs w:val="19"/>
              </w:rPr>
              <w:br/>
            </w:r>
            <w:r>
              <w:rPr>
                <w:i/>
                <w:sz w:val="19"/>
                <w:szCs w:val="19"/>
              </w:rPr>
              <w:t>數目</w:t>
            </w:r>
          </w:p>
        </w:tc>
        <w:tc>
          <w:tcPr>
            <w:tcW w:w="452" w:type="dxa"/>
            <w:vMerge w:val="restart"/>
            <w:tcBorders/>
            <w:vAlign w:val="center"/>
          </w:tcPr>
          <w:p>
            <w:pPr>
              <w:pStyle w:val="Normal"/>
              <w:widowControl w:val="false"/>
              <w:snapToGrid w:val="false"/>
              <w:jc w:val="center"/>
              <w:rPr>
                <w:i/>
                <w:i/>
                <w:sz w:val="19"/>
                <w:szCs w:val="19"/>
              </w:rPr>
            </w:pPr>
            <w:r>
              <w:rPr>
                <w:i/>
                <w:sz w:val="19"/>
                <w:szCs w:val="19"/>
              </w:rPr>
              <w:t>佔新症總數百分比</w:t>
            </w:r>
          </w:p>
        </w:tc>
        <w:tc>
          <w:tcPr>
            <w:tcW w:w="1582" w:type="dxa"/>
            <w:gridSpan w:val="4"/>
            <w:tcBorders/>
            <w:vAlign w:val="center"/>
          </w:tcPr>
          <w:p>
            <w:pPr>
              <w:pStyle w:val="Normal"/>
              <w:widowControl w:val="false"/>
              <w:snapToGrid w:val="false"/>
              <w:jc w:val="center"/>
              <w:rPr>
                <w:i/>
                <w:i/>
                <w:sz w:val="19"/>
                <w:szCs w:val="19"/>
              </w:rPr>
            </w:pPr>
            <w:r>
              <w:rPr>
                <w:i/>
                <w:sz w:val="19"/>
                <w:szCs w:val="19"/>
              </w:rPr>
              <w:t>輪候時間</w:t>
            </w:r>
            <w:r>
              <w:rPr>
                <w:i/>
                <w:sz w:val="19"/>
                <w:szCs w:val="19"/>
              </w:rPr>
              <w:t>(</w:t>
            </w:r>
            <w:r>
              <w:rPr>
                <w:i/>
                <w:sz w:val="19"/>
                <w:szCs w:val="19"/>
              </w:rPr>
              <w:t>星期</w:t>
            </w:r>
            <w:r>
              <w:rPr>
                <w:i/>
                <w:sz w:val="19"/>
                <w:szCs w:val="19"/>
              </w:rPr>
              <w:t>)</w:t>
            </w:r>
          </w:p>
        </w:tc>
      </w:tr>
      <w:tr>
        <w:trPr>
          <w:tblHeader w:val="true"/>
          <w:cantSplit w:val="true"/>
        </w:trPr>
        <w:tc>
          <w:tcPr>
            <w:tcW w:w="576" w:type="dxa"/>
            <w:vMerge w:val="continue"/>
            <w:tcBorders/>
            <w:vAlign w:val="center"/>
          </w:tcPr>
          <w:p>
            <w:pPr>
              <w:pStyle w:val="Normal"/>
              <w:widowControl w:val="false"/>
              <w:spacing w:lineRule="auto" w:line="240"/>
              <w:jc w:val="both"/>
              <w:rPr>
                <w:i/>
                <w:i/>
                <w:sz w:val="19"/>
                <w:szCs w:val="19"/>
              </w:rPr>
            </w:pPr>
            <w:r>
              <w:rPr>
                <w:i/>
                <w:sz w:val="19"/>
                <w:szCs w:val="19"/>
              </w:rPr>
            </w:r>
          </w:p>
        </w:tc>
        <w:tc>
          <w:tcPr>
            <w:tcW w:w="1023" w:type="dxa"/>
            <w:vMerge w:val="continue"/>
            <w:tcBorders/>
            <w:vAlign w:val="center"/>
          </w:tcPr>
          <w:p>
            <w:pPr>
              <w:pStyle w:val="Normal"/>
              <w:widowControl w:val="false"/>
              <w:spacing w:lineRule="auto" w:line="240"/>
              <w:jc w:val="center"/>
              <w:rPr>
                <w:i/>
                <w:i/>
                <w:sz w:val="19"/>
                <w:szCs w:val="19"/>
              </w:rPr>
            </w:pPr>
            <w:r>
              <w:rPr>
                <w:i/>
                <w:sz w:val="19"/>
                <w:szCs w:val="19"/>
              </w:rPr>
            </w:r>
          </w:p>
        </w:tc>
        <w:tc>
          <w:tcPr>
            <w:tcW w:w="487" w:type="dxa"/>
            <w:vMerge w:val="continue"/>
            <w:tcBorders/>
            <w:vAlign w:val="center"/>
          </w:tcPr>
          <w:p>
            <w:pPr>
              <w:pStyle w:val="Normal"/>
              <w:widowControl w:val="false"/>
              <w:spacing w:lineRule="auto" w:line="240"/>
              <w:jc w:val="both"/>
              <w:rPr>
                <w:i/>
                <w:i/>
                <w:sz w:val="19"/>
                <w:szCs w:val="19"/>
              </w:rPr>
            </w:pPr>
            <w:r>
              <w:rPr>
                <w:i/>
                <w:sz w:val="19"/>
                <w:szCs w:val="19"/>
              </w:rPr>
            </w:r>
          </w:p>
        </w:tc>
        <w:tc>
          <w:tcPr>
            <w:tcW w:w="430" w:type="dxa"/>
            <w:vMerge w:val="continue"/>
            <w:tcBorders/>
            <w:vAlign w:val="center"/>
          </w:tcPr>
          <w:p>
            <w:pPr>
              <w:pStyle w:val="Normal"/>
              <w:widowControl w:val="false"/>
              <w:spacing w:lineRule="auto" w:line="240"/>
              <w:jc w:val="both"/>
              <w:rPr>
                <w:i/>
                <w:i/>
                <w:sz w:val="19"/>
                <w:szCs w:val="19"/>
              </w:rPr>
            </w:pPr>
            <w:r>
              <w:rPr>
                <w:i/>
                <w:sz w:val="19"/>
                <w:szCs w:val="19"/>
              </w:rPr>
            </w:r>
          </w:p>
        </w:tc>
        <w:tc>
          <w:tcPr>
            <w:tcW w:w="380"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25</w:t>
            </w:r>
          </w:p>
          <w:p>
            <w:pPr>
              <w:pStyle w:val="Normal"/>
              <w:widowControl w:val="false"/>
              <w:snapToGrid w:val="false"/>
              <w:jc w:val="center"/>
              <w:rPr>
                <w:i/>
                <w:i/>
                <w:sz w:val="19"/>
                <w:szCs w:val="19"/>
              </w:rPr>
            </w:pPr>
            <w:r>
              <w:rPr>
                <w:i/>
                <w:sz w:val="19"/>
                <w:szCs w:val="19"/>
              </w:rPr>
              <w:t>個</w:t>
            </w:r>
          </w:p>
        </w:tc>
        <w:tc>
          <w:tcPr>
            <w:tcW w:w="379"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50</w:t>
            </w:r>
          </w:p>
          <w:p>
            <w:pPr>
              <w:pStyle w:val="Normal"/>
              <w:widowControl w:val="false"/>
              <w:snapToGrid w:val="false"/>
              <w:jc w:val="center"/>
              <w:rPr>
                <w:i/>
                <w:i/>
                <w:sz w:val="19"/>
                <w:szCs w:val="19"/>
              </w:rPr>
            </w:pPr>
            <w:r>
              <w:rPr>
                <w:i/>
                <w:sz w:val="19"/>
                <w:szCs w:val="19"/>
              </w:rPr>
              <w:t>個</w:t>
            </w:r>
          </w:p>
        </w:tc>
        <w:tc>
          <w:tcPr>
            <w:tcW w:w="379"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75</w:t>
            </w:r>
          </w:p>
          <w:p>
            <w:pPr>
              <w:pStyle w:val="Normal"/>
              <w:widowControl w:val="false"/>
              <w:snapToGrid w:val="false"/>
              <w:jc w:val="center"/>
              <w:rPr>
                <w:i/>
                <w:i/>
                <w:sz w:val="19"/>
                <w:szCs w:val="19"/>
              </w:rPr>
            </w:pPr>
            <w:r>
              <w:rPr>
                <w:i/>
                <w:sz w:val="19"/>
                <w:szCs w:val="19"/>
              </w:rPr>
              <w:t>個</w:t>
            </w:r>
          </w:p>
        </w:tc>
        <w:tc>
          <w:tcPr>
            <w:tcW w:w="380"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90</w:t>
            </w:r>
          </w:p>
          <w:p>
            <w:pPr>
              <w:pStyle w:val="Normal"/>
              <w:widowControl w:val="false"/>
              <w:snapToGrid w:val="false"/>
              <w:jc w:val="center"/>
              <w:rPr>
                <w:i/>
                <w:i/>
                <w:sz w:val="19"/>
                <w:szCs w:val="19"/>
              </w:rPr>
            </w:pPr>
            <w:r>
              <w:rPr>
                <w:i/>
                <w:sz w:val="19"/>
                <w:szCs w:val="19"/>
              </w:rPr>
              <w:t>個</w:t>
            </w:r>
          </w:p>
        </w:tc>
        <w:tc>
          <w:tcPr>
            <w:tcW w:w="537" w:type="dxa"/>
            <w:vMerge w:val="continue"/>
            <w:tcBorders/>
            <w:vAlign w:val="center"/>
          </w:tcPr>
          <w:p>
            <w:pPr>
              <w:pStyle w:val="Normal"/>
              <w:widowControl w:val="false"/>
              <w:spacing w:lineRule="auto" w:line="240"/>
              <w:jc w:val="both"/>
              <w:rPr>
                <w:i/>
                <w:i/>
                <w:sz w:val="19"/>
                <w:szCs w:val="19"/>
              </w:rPr>
            </w:pPr>
            <w:r>
              <w:rPr>
                <w:i/>
                <w:sz w:val="19"/>
                <w:szCs w:val="19"/>
              </w:rPr>
            </w:r>
          </w:p>
        </w:tc>
        <w:tc>
          <w:tcPr>
            <w:tcW w:w="475" w:type="dxa"/>
            <w:vMerge w:val="continue"/>
            <w:tcBorders/>
            <w:vAlign w:val="center"/>
          </w:tcPr>
          <w:p>
            <w:pPr>
              <w:pStyle w:val="Normal"/>
              <w:widowControl w:val="false"/>
              <w:spacing w:lineRule="auto" w:line="240"/>
              <w:jc w:val="both"/>
              <w:rPr>
                <w:i/>
                <w:i/>
                <w:sz w:val="19"/>
                <w:szCs w:val="19"/>
              </w:rPr>
            </w:pPr>
            <w:r>
              <w:rPr>
                <w:i/>
                <w:sz w:val="19"/>
                <w:szCs w:val="19"/>
              </w:rPr>
            </w:r>
          </w:p>
        </w:tc>
        <w:tc>
          <w:tcPr>
            <w:tcW w:w="380"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25</w:t>
            </w:r>
          </w:p>
          <w:p>
            <w:pPr>
              <w:pStyle w:val="Normal"/>
              <w:widowControl w:val="false"/>
              <w:snapToGrid w:val="false"/>
              <w:jc w:val="center"/>
              <w:rPr>
                <w:i/>
                <w:i/>
                <w:sz w:val="19"/>
                <w:szCs w:val="19"/>
              </w:rPr>
            </w:pPr>
            <w:r>
              <w:rPr>
                <w:i/>
                <w:sz w:val="19"/>
                <w:szCs w:val="19"/>
              </w:rPr>
              <w:t>個</w:t>
            </w:r>
          </w:p>
        </w:tc>
        <w:tc>
          <w:tcPr>
            <w:tcW w:w="379"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50</w:t>
            </w:r>
          </w:p>
          <w:p>
            <w:pPr>
              <w:pStyle w:val="Normal"/>
              <w:widowControl w:val="false"/>
              <w:snapToGrid w:val="false"/>
              <w:jc w:val="center"/>
              <w:rPr>
                <w:i/>
                <w:i/>
                <w:sz w:val="19"/>
                <w:szCs w:val="19"/>
              </w:rPr>
            </w:pPr>
            <w:r>
              <w:rPr>
                <w:i/>
                <w:sz w:val="19"/>
                <w:szCs w:val="19"/>
              </w:rPr>
              <w:t>個</w:t>
            </w:r>
          </w:p>
        </w:tc>
        <w:tc>
          <w:tcPr>
            <w:tcW w:w="378"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75</w:t>
            </w:r>
          </w:p>
          <w:p>
            <w:pPr>
              <w:pStyle w:val="Normal"/>
              <w:widowControl w:val="false"/>
              <w:snapToGrid w:val="false"/>
              <w:jc w:val="center"/>
              <w:rPr>
                <w:i/>
                <w:i/>
                <w:sz w:val="19"/>
                <w:szCs w:val="19"/>
              </w:rPr>
            </w:pPr>
            <w:r>
              <w:rPr>
                <w:i/>
                <w:sz w:val="19"/>
                <w:szCs w:val="19"/>
              </w:rPr>
              <w:t>個</w:t>
            </w:r>
          </w:p>
        </w:tc>
        <w:tc>
          <w:tcPr>
            <w:tcW w:w="379"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90</w:t>
            </w:r>
          </w:p>
          <w:p>
            <w:pPr>
              <w:pStyle w:val="Normal"/>
              <w:widowControl w:val="false"/>
              <w:snapToGrid w:val="false"/>
              <w:jc w:val="center"/>
              <w:rPr>
                <w:i/>
                <w:i/>
                <w:sz w:val="19"/>
                <w:szCs w:val="19"/>
              </w:rPr>
            </w:pPr>
            <w:r>
              <w:rPr>
                <w:i/>
                <w:sz w:val="19"/>
                <w:szCs w:val="19"/>
              </w:rPr>
              <w:t>個</w:t>
            </w:r>
          </w:p>
        </w:tc>
        <w:tc>
          <w:tcPr>
            <w:tcW w:w="620" w:type="dxa"/>
            <w:vMerge w:val="continue"/>
            <w:tcBorders/>
            <w:vAlign w:val="center"/>
          </w:tcPr>
          <w:p>
            <w:pPr>
              <w:pStyle w:val="Normal"/>
              <w:widowControl w:val="false"/>
              <w:spacing w:lineRule="auto" w:line="240"/>
              <w:jc w:val="both"/>
              <w:rPr>
                <w:i/>
                <w:i/>
                <w:sz w:val="19"/>
                <w:szCs w:val="19"/>
              </w:rPr>
            </w:pPr>
            <w:r>
              <w:rPr>
                <w:i/>
                <w:sz w:val="19"/>
                <w:szCs w:val="19"/>
              </w:rPr>
            </w:r>
          </w:p>
        </w:tc>
        <w:tc>
          <w:tcPr>
            <w:tcW w:w="452" w:type="dxa"/>
            <w:vMerge w:val="continue"/>
            <w:tcBorders/>
            <w:vAlign w:val="center"/>
          </w:tcPr>
          <w:p>
            <w:pPr>
              <w:pStyle w:val="Normal"/>
              <w:widowControl w:val="false"/>
              <w:spacing w:lineRule="auto" w:line="240"/>
              <w:jc w:val="both"/>
              <w:rPr>
                <w:i/>
                <w:i/>
                <w:sz w:val="19"/>
                <w:szCs w:val="19"/>
              </w:rPr>
            </w:pPr>
            <w:r>
              <w:rPr>
                <w:i/>
                <w:sz w:val="19"/>
                <w:szCs w:val="19"/>
              </w:rPr>
            </w:r>
          </w:p>
        </w:tc>
        <w:tc>
          <w:tcPr>
            <w:tcW w:w="451"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25</w:t>
            </w:r>
          </w:p>
          <w:p>
            <w:pPr>
              <w:pStyle w:val="Normal"/>
              <w:widowControl w:val="false"/>
              <w:snapToGrid w:val="false"/>
              <w:jc w:val="center"/>
              <w:rPr>
                <w:i/>
                <w:i/>
                <w:sz w:val="19"/>
                <w:szCs w:val="19"/>
              </w:rPr>
            </w:pPr>
            <w:r>
              <w:rPr>
                <w:i/>
                <w:sz w:val="19"/>
                <w:szCs w:val="19"/>
              </w:rPr>
              <w:t>個</w:t>
            </w:r>
          </w:p>
        </w:tc>
        <w:tc>
          <w:tcPr>
            <w:tcW w:w="379"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50</w:t>
            </w:r>
          </w:p>
          <w:p>
            <w:pPr>
              <w:pStyle w:val="Normal"/>
              <w:widowControl w:val="false"/>
              <w:snapToGrid w:val="false"/>
              <w:jc w:val="center"/>
              <w:rPr>
                <w:i/>
                <w:i/>
                <w:sz w:val="19"/>
                <w:szCs w:val="19"/>
              </w:rPr>
            </w:pPr>
            <w:r>
              <w:rPr>
                <w:i/>
                <w:sz w:val="19"/>
                <w:szCs w:val="19"/>
              </w:rPr>
              <w:t>個</w:t>
            </w:r>
          </w:p>
        </w:tc>
        <w:tc>
          <w:tcPr>
            <w:tcW w:w="380"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75</w:t>
            </w:r>
          </w:p>
          <w:p>
            <w:pPr>
              <w:pStyle w:val="Normal"/>
              <w:widowControl w:val="false"/>
              <w:snapToGrid w:val="false"/>
              <w:jc w:val="center"/>
              <w:rPr>
                <w:i/>
                <w:i/>
                <w:sz w:val="19"/>
                <w:szCs w:val="19"/>
              </w:rPr>
            </w:pPr>
            <w:r>
              <w:rPr>
                <w:i/>
                <w:sz w:val="19"/>
                <w:szCs w:val="19"/>
              </w:rPr>
              <w:t>個</w:t>
            </w:r>
          </w:p>
        </w:tc>
        <w:tc>
          <w:tcPr>
            <w:tcW w:w="372" w:type="dxa"/>
            <w:tcBorders/>
            <w:vAlign w:val="center"/>
          </w:tcPr>
          <w:p>
            <w:pPr>
              <w:pStyle w:val="Normal"/>
              <w:widowControl w:val="false"/>
              <w:snapToGrid w:val="false"/>
              <w:jc w:val="center"/>
              <w:rPr>
                <w:i/>
                <w:i/>
                <w:sz w:val="19"/>
                <w:szCs w:val="19"/>
              </w:rPr>
            </w:pPr>
            <w:r>
              <w:rPr>
                <w:i/>
                <w:sz w:val="19"/>
                <w:szCs w:val="19"/>
              </w:rPr>
              <w:t>第</w:t>
            </w:r>
          </w:p>
          <w:p>
            <w:pPr>
              <w:pStyle w:val="Normal"/>
              <w:widowControl w:val="false"/>
              <w:snapToGrid w:val="false"/>
              <w:jc w:val="center"/>
              <w:rPr>
                <w:i/>
                <w:i/>
                <w:sz w:val="19"/>
                <w:szCs w:val="19"/>
              </w:rPr>
            </w:pPr>
            <w:r>
              <w:rPr>
                <w:i/>
                <w:sz w:val="19"/>
                <w:szCs w:val="19"/>
              </w:rPr>
              <w:t>90</w:t>
            </w:r>
          </w:p>
          <w:p>
            <w:pPr>
              <w:pStyle w:val="Normal"/>
              <w:widowControl w:val="false"/>
              <w:snapToGrid w:val="false"/>
              <w:jc w:val="center"/>
              <w:rPr>
                <w:i/>
                <w:i/>
                <w:sz w:val="19"/>
                <w:szCs w:val="19"/>
              </w:rPr>
            </w:pPr>
            <w:r>
              <w:rPr>
                <w:i/>
                <w:sz w:val="19"/>
                <w:szCs w:val="19"/>
              </w:rPr>
              <w:t>個</w:t>
            </w:r>
          </w:p>
        </w:tc>
      </w:tr>
      <w:tr>
        <w:trPr>
          <w:tblHeader w:val="true"/>
          <w:cantSplit w:val="true"/>
        </w:trPr>
        <w:tc>
          <w:tcPr>
            <w:tcW w:w="576" w:type="dxa"/>
            <w:vMerge w:val="continue"/>
            <w:tcBorders/>
            <w:vAlign w:val="center"/>
          </w:tcPr>
          <w:p>
            <w:pPr>
              <w:pStyle w:val="Normal"/>
              <w:widowControl w:val="false"/>
              <w:spacing w:lineRule="auto" w:line="240"/>
              <w:jc w:val="both"/>
              <w:rPr>
                <w:i/>
                <w:i/>
                <w:sz w:val="19"/>
                <w:szCs w:val="19"/>
              </w:rPr>
            </w:pPr>
            <w:r>
              <w:rPr>
                <w:i/>
                <w:sz w:val="19"/>
                <w:szCs w:val="19"/>
              </w:rPr>
            </w:r>
          </w:p>
        </w:tc>
        <w:tc>
          <w:tcPr>
            <w:tcW w:w="1023" w:type="dxa"/>
            <w:vMerge w:val="continue"/>
            <w:tcBorders/>
            <w:vAlign w:val="center"/>
          </w:tcPr>
          <w:p>
            <w:pPr>
              <w:pStyle w:val="Normal"/>
              <w:widowControl w:val="false"/>
              <w:spacing w:lineRule="auto" w:line="240"/>
              <w:jc w:val="center"/>
              <w:rPr>
                <w:i/>
                <w:i/>
                <w:sz w:val="19"/>
                <w:szCs w:val="19"/>
              </w:rPr>
            </w:pPr>
            <w:r>
              <w:rPr>
                <w:i/>
                <w:sz w:val="19"/>
                <w:szCs w:val="19"/>
              </w:rPr>
            </w:r>
          </w:p>
        </w:tc>
        <w:tc>
          <w:tcPr>
            <w:tcW w:w="487" w:type="dxa"/>
            <w:vMerge w:val="continue"/>
            <w:tcBorders/>
            <w:vAlign w:val="center"/>
          </w:tcPr>
          <w:p>
            <w:pPr>
              <w:pStyle w:val="Normal"/>
              <w:widowControl w:val="false"/>
              <w:spacing w:lineRule="auto" w:line="240"/>
              <w:jc w:val="both"/>
              <w:rPr>
                <w:i/>
                <w:i/>
                <w:sz w:val="19"/>
                <w:szCs w:val="19"/>
              </w:rPr>
            </w:pPr>
            <w:r>
              <w:rPr>
                <w:i/>
                <w:sz w:val="19"/>
                <w:szCs w:val="19"/>
              </w:rPr>
            </w:r>
          </w:p>
        </w:tc>
        <w:tc>
          <w:tcPr>
            <w:tcW w:w="430" w:type="dxa"/>
            <w:vMerge w:val="continue"/>
            <w:tcBorders/>
            <w:vAlign w:val="center"/>
          </w:tcPr>
          <w:p>
            <w:pPr>
              <w:pStyle w:val="Normal"/>
              <w:widowControl w:val="false"/>
              <w:spacing w:lineRule="auto" w:line="240"/>
              <w:jc w:val="both"/>
              <w:rPr>
                <w:i/>
                <w:i/>
                <w:sz w:val="19"/>
                <w:szCs w:val="19"/>
              </w:rPr>
            </w:pPr>
            <w:r>
              <w:rPr>
                <w:i/>
                <w:sz w:val="19"/>
                <w:szCs w:val="19"/>
              </w:rPr>
            </w:r>
          </w:p>
        </w:tc>
        <w:tc>
          <w:tcPr>
            <w:tcW w:w="1518" w:type="dxa"/>
            <w:gridSpan w:val="4"/>
            <w:tcBorders/>
            <w:vAlign w:val="center"/>
          </w:tcPr>
          <w:p>
            <w:pPr>
              <w:pStyle w:val="Normal"/>
              <w:widowControl w:val="false"/>
              <w:snapToGrid w:val="false"/>
              <w:jc w:val="center"/>
              <w:rPr>
                <w:i/>
                <w:i/>
                <w:sz w:val="19"/>
                <w:szCs w:val="19"/>
              </w:rPr>
            </w:pPr>
            <w:r>
              <w:rPr>
                <w:i/>
                <w:sz w:val="19"/>
                <w:szCs w:val="19"/>
              </w:rPr>
              <w:t>百分值</w:t>
            </w:r>
          </w:p>
        </w:tc>
        <w:tc>
          <w:tcPr>
            <w:tcW w:w="537" w:type="dxa"/>
            <w:vMerge w:val="continue"/>
            <w:tcBorders/>
            <w:vAlign w:val="center"/>
          </w:tcPr>
          <w:p>
            <w:pPr>
              <w:pStyle w:val="Normal"/>
              <w:widowControl w:val="false"/>
              <w:spacing w:lineRule="auto" w:line="240"/>
              <w:jc w:val="both"/>
              <w:rPr>
                <w:i/>
                <w:i/>
                <w:sz w:val="19"/>
                <w:szCs w:val="19"/>
              </w:rPr>
            </w:pPr>
            <w:r>
              <w:rPr>
                <w:i/>
                <w:sz w:val="19"/>
                <w:szCs w:val="19"/>
              </w:rPr>
            </w:r>
          </w:p>
        </w:tc>
        <w:tc>
          <w:tcPr>
            <w:tcW w:w="475" w:type="dxa"/>
            <w:vMerge w:val="continue"/>
            <w:tcBorders/>
            <w:vAlign w:val="center"/>
          </w:tcPr>
          <w:p>
            <w:pPr>
              <w:pStyle w:val="Normal"/>
              <w:widowControl w:val="false"/>
              <w:spacing w:lineRule="auto" w:line="240"/>
              <w:jc w:val="both"/>
              <w:rPr>
                <w:i/>
                <w:i/>
                <w:sz w:val="19"/>
                <w:szCs w:val="19"/>
              </w:rPr>
            </w:pPr>
            <w:r>
              <w:rPr>
                <w:i/>
                <w:sz w:val="19"/>
                <w:szCs w:val="19"/>
              </w:rPr>
            </w:r>
          </w:p>
        </w:tc>
        <w:tc>
          <w:tcPr>
            <w:tcW w:w="1516" w:type="dxa"/>
            <w:gridSpan w:val="4"/>
            <w:tcBorders/>
            <w:vAlign w:val="center"/>
          </w:tcPr>
          <w:p>
            <w:pPr>
              <w:pStyle w:val="Normal"/>
              <w:widowControl w:val="false"/>
              <w:snapToGrid w:val="false"/>
              <w:jc w:val="center"/>
              <w:rPr>
                <w:i/>
                <w:i/>
                <w:sz w:val="19"/>
                <w:szCs w:val="19"/>
              </w:rPr>
            </w:pPr>
            <w:r>
              <w:rPr>
                <w:i/>
                <w:sz w:val="19"/>
                <w:szCs w:val="19"/>
              </w:rPr>
              <w:t>百分值</w:t>
            </w:r>
          </w:p>
        </w:tc>
        <w:tc>
          <w:tcPr>
            <w:tcW w:w="620" w:type="dxa"/>
            <w:vMerge w:val="continue"/>
            <w:tcBorders/>
            <w:vAlign w:val="center"/>
          </w:tcPr>
          <w:p>
            <w:pPr>
              <w:pStyle w:val="Normal"/>
              <w:widowControl w:val="false"/>
              <w:spacing w:lineRule="auto" w:line="240"/>
              <w:jc w:val="both"/>
              <w:rPr>
                <w:i/>
                <w:i/>
                <w:sz w:val="19"/>
                <w:szCs w:val="19"/>
              </w:rPr>
            </w:pPr>
            <w:r>
              <w:rPr>
                <w:i/>
                <w:sz w:val="19"/>
                <w:szCs w:val="19"/>
              </w:rPr>
            </w:r>
          </w:p>
        </w:tc>
        <w:tc>
          <w:tcPr>
            <w:tcW w:w="452" w:type="dxa"/>
            <w:vMerge w:val="continue"/>
            <w:tcBorders/>
            <w:vAlign w:val="center"/>
          </w:tcPr>
          <w:p>
            <w:pPr>
              <w:pStyle w:val="Normal"/>
              <w:widowControl w:val="false"/>
              <w:spacing w:lineRule="auto" w:line="240"/>
              <w:jc w:val="both"/>
              <w:rPr>
                <w:i/>
                <w:i/>
                <w:sz w:val="19"/>
                <w:szCs w:val="19"/>
              </w:rPr>
            </w:pPr>
            <w:r>
              <w:rPr>
                <w:i/>
                <w:sz w:val="19"/>
                <w:szCs w:val="19"/>
              </w:rPr>
            </w:r>
          </w:p>
        </w:tc>
        <w:tc>
          <w:tcPr>
            <w:tcW w:w="1582" w:type="dxa"/>
            <w:gridSpan w:val="4"/>
            <w:tcBorders/>
            <w:vAlign w:val="center"/>
          </w:tcPr>
          <w:p>
            <w:pPr>
              <w:pStyle w:val="Normal"/>
              <w:widowControl w:val="false"/>
              <w:snapToGrid w:val="false"/>
              <w:jc w:val="center"/>
              <w:rPr>
                <w:i/>
                <w:i/>
                <w:sz w:val="19"/>
                <w:szCs w:val="19"/>
              </w:rPr>
            </w:pPr>
            <w:r>
              <w:rPr>
                <w:i/>
                <w:sz w:val="19"/>
                <w:szCs w:val="19"/>
              </w:rPr>
              <w:t>百分值</w:t>
            </w:r>
          </w:p>
        </w:tc>
      </w:tr>
      <w:tr>
        <w:trPr>
          <w:cantSplit w:val="true"/>
        </w:trPr>
        <w:tc>
          <w:tcPr>
            <w:tcW w:w="576" w:type="dxa"/>
            <w:vMerge w:val="restart"/>
            <w:tcBorders/>
            <w:vAlign w:val="center"/>
          </w:tcPr>
          <w:p>
            <w:pPr>
              <w:pStyle w:val="Normal"/>
              <w:widowControl w:val="false"/>
              <w:snapToGrid w:val="false"/>
              <w:spacing w:lineRule="atLeast" w:line="340"/>
              <w:ind w:left="11" w:hanging="0"/>
              <w:jc w:val="center"/>
              <w:rPr>
                <w:sz w:val="18"/>
                <w:szCs w:val="18"/>
              </w:rPr>
            </w:pPr>
            <w:r>
              <w:rPr>
                <w:sz w:val="18"/>
                <w:szCs w:val="18"/>
              </w:rPr>
              <w:t>港島東</w:t>
            </w:r>
          </w:p>
        </w:tc>
        <w:tc>
          <w:tcPr>
            <w:tcW w:w="1023" w:type="dxa"/>
            <w:tcBorders/>
            <w:vAlign w:val="center"/>
          </w:tcPr>
          <w:p>
            <w:pPr>
              <w:pStyle w:val="Normal"/>
              <w:widowControl w:val="false"/>
              <w:snapToGrid w:val="false"/>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ind w:right="57" w:hanging="0"/>
              <w:jc w:val="right"/>
              <w:rPr>
                <w:sz w:val="18"/>
                <w:szCs w:val="18"/>
              </w:rPr>
            </w:pPr>
            <w:r>
              <w:rPr>
                <w:sz w:val="18"/>
                <w:szCs w:val="18"/>
              </w:rPr>
              <w:t>1 385</w:t>
            </w:r>
          </w:p>
        </w:tc>
        <w:tc>
          <w:tcPr>
            <w:tcW w:w="430" w:type="dxa"/>
            <w:tcBorders/>
            <w:vAlign w:val="center"/>
          </w:tcPr>
          <w:p>
            <w:pPr>
              <w:pStyle w:val="Normal"/>
              <w:widowControl w:val="false"/>
              <w:snapToGrid w:val="false"/>
              <w:jc w:val="right"/>
              <w:rPr>
                <w:sz w:val="18"/>
                <w:szCs w:val="18"/>
              </w:rPr>
            </w:pPr>
            <w:r>
              <w:rPr>
                <w:sz w:val="18"/>
                <w:szCs w:val="18"/>
              </w:rPr>
              <w:t>17%</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537" w:type="dxa"/>
            <w:tcBorders/>
            <w:vAlign w:val="center"/>
          </w:tcPr>
          <w:p>
            <w:pPr>
              <w:pStyle w:val="Normal"/>
              <w:widowControl w:val="false"/>
              <w:snapToGrid w:val="false"/>
              <w:ind w:right="85" w:hanging="0"/>
              <w:jc w:val="right"/>
              <w:rPr>
                <w:sz w:val="18"/>
                <w:szCs w:val="18"/>
              </w:rPr>
            </w:pPr>
            <w:r>
              <w:rPr>
                <w:sz w:val="18"/>
                <w:szCs w:val="18"/>
              </w:rPr>
              <w:t>2 543</w:t>
            </w:r>
          </w:p>
        </w:tc>
        <w:tc>
          <w:tcPr>
            <w:tcW w:w="475" w:type="dxa"/>
            <w:tcBorders/>
            <w:vAlign w:val="center"/>
          </w:tcPr>
          <w:p>
            <w:pPr>
              <w:pStyle w:val="Normal"/>
              <w:widowControl w:val="false"/>
              <w:snapToGrid w:val="false"/>
              <w:ind w:right="57" w:hanging="0"/>
              <w:jc w:val="right"/>
              <w:rPr>
                <w:sz w:val="18"/>
                <w:szCs w:val="18"/>
              </w:rPr>
            </w:pPr>
            <w:r>
              <w:rPr>
                <w:sz w:val="18"/>
                <w:szCs w:val="18"/>
              </w:rPr>
              <w:t>31%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620" w:type="dxa"/>
            <w:tcBorders/>
            <w:vAlign w:val="center"/>
          </w:tcPr>
          <w:p>
            <w:pPr>
              <w:pStyle w:val="Normal"/>
              <w:widowControl w:val="false"/>
              <w:snapToGrid w:val="false"/>
              <w:ind w:right="85" w:hanging="0"/>
              <w:jc w:val="right"/>
              <w:rPr>
                <w:sz w:val="18"/>
                <w:szCs w:val="18"/>
              </w:rPr>
            </w:pPr>
            <w:r>
              <w:rPr>
                <w:sz w:val="18"/>
                <w:szCs w:val="18"/>
              </w:rPr>
              <w:t>4 223</w:t>
            </w:r>
          </w:p>
        </w:tc>
        <w:tc>
          <w:tcPr>
            <w:tcW w:w="452" w:type="dxa"/>
            <w:tcBorders/>
            <w:vAlign w:val="center"/>
          </w:tcPr>
          <w:p>
            <w:pPr>
              <w:pStyle w:val="Normal"/>
              <w:widowControl w:val="false"/>
              <w:snapToGrid w:val="false"/>
              <w:ind w:right="57" w:hanging="0"/>
              <w:jc w:val="right"/>
              <w:rPr>
                <w:sz w:val="18"/>
                <w:szCs w:val="18"/>
              </w:rPr>
            </w:pPr>
            <w:r>
              <w:rPr>
                <w:sz w:val="18"/>
                <w:szCs w:val="18"/>
              </w:rPr>
              <w:t>52%</w:t>
            </w:r>
          </w:p>
        </w:tc>
        <w:tc>
          <w:tcPr>
            <w:tcW w:w="451" w:type="dxa"/>
            <w:tcBorders/>
            <w:vAlign w:val="center"/>
          </w:tcPr>
          <w:p>
            <w:pPr>
              <w:pStyle w:val="Normal"/>
              <w:widowControl w:val="false"/>
              <w:snapToGrid w:val="false"/>
              <w:ind w:right="57" w:hanging="0"/>
              <w:jc w:val="right"/>
              <w:rPr>
                <w:sz w:val="18"/>
                <w:szCs w:val="18"/>
              </w:rPr>
            </w:pPr>
            <w:r>
              <w:rPr>
                <w:sz w:val="18"/>
                <w:szCs w:val="18"/>
              </w:rPr>
              <w:t>21</w:t>
            </w:r>
          </w:p>
        </w:tc>
        <w:tc>
          <w:tcPr>
            <w:tcW w:w="379" w:type="dxa"/>
            <w:tcBorders/>
            <w:vAlign w:val="center"/>
          </w:tcPr>
          <w:p>
            <w:pPr>
              <w:pStyle w:val="Normal"/>
              <w:widowControl w:val="false"/>
              <w:snapToGrid w:val="false"/>
              <w:ind w:right="57" w:hanging="0"/>
              <w:jc w:val="right"/>
              <w:rPr>
                <w:sz w:val="18"/>
                <w:szCs w:val="18"/>
              </w:rPr>
            </w:pPr>
            <w:r>
              <w:rPr>
                <w:sz w:val="18"/>
                <w:szCs w:val="18"/>
              </w:rPr>
              <w:t>24</w:t>
            </w:r>
          </w:p>
        </w:tc>
        <w:tc>
          <w:tcPr>
            <w:tcW w:w="380" w:type="dxa"/>
            <w:tcBorders/>
            <w:vAlign w:val="center"/>
          </w:tcPr>
          <w:p>
            <w:pPr>
              <w:pStyle w:val="Normal"/>
              <w:widowControl w:val="false"/>
              <w:snapToGrid w:val="false"/>
              <w:ind w:right="57" w:hanging="0"/>
              <w:jc w:val="right"/>
              <w:rPr>
                <w:sz w:val="18"/>
                <w:szCs w:val="18"/>
              </w:rPr>
            </w:pPr>
            <w:r>
              <w:rPr>
                <w:sz w:val="18"/>
                <w:szCs w:val="18"/>
              </w:rPr>
              <w:t>28</w:t>
            </w:r>
          </w:p>
        </w:tc>
        <w:tc>
          <w:tcPr>
            <w:tcW w:w="372" w:type="dxa"/>
            <w:tcBorders/>
            <w:vAlign w:val="center"/>
          </w:tcPr>
          <w:p>
            <w:pPr>
              <w:pStyle w:val="Normal"/>
              <w:widowControl w:val="false"/>
              <w:snapToGrid w:val="false"/>
              <w:ind w:right="57" w:hanging="0"/>
              <w:jc w:val="right"/>
              <w:rPr>
                <w:sz w:val="18"/>
                <w:szCs w:val="18"/>
              </w:rPr>
            </w:pPr>
            <w:r>
              <w:rPr>
                <w:sz w:val="18"/>
                <w:szCs w:val="18"/>
              </w:rPr>
              <w:t>34</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內科</w:t>
            </w:r>
          </w:p>
        </w:tc>
        <w:tc>
          <w:tcPr>
            <w:tcW w:w="487" w:type="dxa"/>
            <w:tcBorders/>
            <w:vAlign w:val="center"/>
          </w:tcPr>
          <w:p>
            <w:pPr>
              <w:pStyle w:val="Normal"/>
              <w:widowControl w:val="false"/>
              <w:snapToGrid w:val="false"/>
              <w:ind w:right="57" w:hanging="0"/>
              <w:jc w:val="right"/>
              <w:rPr>
                <w:sz w:val="18"/>
                <w:szCs w:val="18"/>
              </w:rPr>
            </w:pPr>
            <w:r>
              <w:rPr>
                <w:sz w:val="18"/>
                <w:szCs w:val="18"/>
              </w:rPr>
              <w:t>2 343</w:t>
            </w:r>
          </w:p>
        </w:tc>
        <w:tc>
          <w:tcPr>
            <w:tcW w:w="430" w:type="dxa"/>
            <w:tcBorders/>
            <w:vAlign w:val="center"/>
          </w:tcPr>
          <w:p>
            <w:pPr>
              <w:pStyle w:val="Normal"/>
              <w:widowControl w:val="false"/>
              <w:snapToGrid w:val="false"/>
              <w:ind w:right="57" w:hanging="0"/>
              <w:jc w:val="right"/>
              <w:rPr>
                <w:sz w:val="18"/>
                <w:szCs w:val="18"/>
              </w:rPr>
            </w:pPr>
            <w:r>
              <w:rPr>
                <w:sz w:val="18"/>
                <w:szCs w:val="18"/>
              </w:rPr>
              <w:t>21%</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3 473</w:t>
            </w:r>
          </w:p>
        </w:tc>
        <w:tc>
          <w:tcPr>
            <w:tcW w:w="475" w:type="dxa"/>
            <w:tcBorders/>
            <w:vAlign w:val="center"/>
          </w:tcPr>
          <w:p>
            <w:pPr>
              <w:pStyle w:val="Normal"/>
              <w:widowControl w:val="false"/>
              <w:snapToGrid w:val="false"/>
              <w:ind w:right="57" w:hanging="0"/>
              <w:jc w:val="right"/>
              <w:rPr>
                <w:sz w:val="18"/>
                <w:szCs w:val="18"/>
              </w:rPr>
            </w:pPr>
            <w:r>
              <w:rPr>
                <w:sz w:val="18"/>
                <w:szCs w:val="18"/>
              </w:rPr>
              <w:t>31%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4</w:t>
            </w:r>
          </w:p>
        </w:tc>
        <w:tc>
          <w:tcPr>
            <w:tcW w:w="378"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5 522</w:t>
            </w:r>
          </w:p>
        </w:tc>
        <w:tc>
          <w:tcPr>
            <w:tcW w:w="452" w:type="dxa"/>
            <w:tcBorders/>
            <w:vAlign w:val="center"/>
          </w:tcPr>
          <w:p>
            <w:pPr>
              <w:pStyle w:val="Normal"/>
              <w:widowControl w:val="false"/>
              <w:snapToGrid w:val="false"/>
              <w:ind w:right="57" w:hanging="0"/>
              <w:jc w:val="right"/>
              <w:rPr>
                <w:sz w:val="18"/>
                <w:szCs w:val="18"/>
              </w:rPr>
            </w:pPr>
            <w:r>
              <w:rPr>
                <w:sz w:val="18"/>
                <w:szCs w:val="18"/>
              </w:rPr>
              <w:t>49%</w:t>
            </w:r>
          </w:p>
        </w:tc>
        <w:tc>
          <w:tcPr>
            <w:tcW w:w="451"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14</w:t>
            </w:r>
          </w:p>
        </w:tc>
        <w:tc>
          <w:tcPr>
            <w:tcW w:w="380" w:type="dxa"/>
            <w:tcBorders/>
            <w:vAlign w:val="center"/>
          </w:tcPr>
          <w:p>
            <w:pPr>
              <w:pStyle w:val="Normal"/>
              <w:widowControl w:val="false"/>
              <w:snapToGrid w:val="false"/>
              <w:ind w:right="57" w:hanging="0"/>
              <w:jc w:val="right"/>
              <w:rPr>
                <w:sz w:val="18"/>
                <w:szCs w:val="18"/>
              </w:rPr>
            </w:pPr>
            <w:r>
              <w:rPr>
                <w:sz w:val="18"/>
                <w:szCs w:val="18"/>
              </w:rPr>
              <w:t>36</w:t>
            </w:r>
          </w:p>
        </w:tc>
        <w:tc>
          <w:tcPr>
            <w:tcW w:w="372" w:type="dxa"/>
            <w:tcBorders/>
            <w:vAlign w:val="center"/>
          </w:tcPr>
          <w:p>
            <w:pPr>
              <w:pStyle w:val="Normal"/>
              <w:widowControl w:val="false"/>
              <w:snapToGrid w:val="false"/>
              <w:ind w:right="57" w:hanging="0"/>
              <w:jc w:val="right"/>
              <w:rPr>
                <w:sz w:val="18"/>
                <w:szCs w:val="18"/>
              </w:rPr>
            </w:pPr>
            <w:r>
              <w:rPr>
                <w:sz w:val="18"/>
                <w:szCs w:val="18"/>
              </w:rPr>
              <w:t>50</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婦科</w:t>
            </w:r>
          </w:p>
        </w:tc>
        <w:tc>
          <w:tcPr>
            <w:tcW w:w="487" w:type="dxa"/>
            <w:tcBorders/>
            <w:vAlign w:val="center"/>
          </w:tcPr>
          <w:p>
            <w:pPr>
              <w:pStyle w:val="Normal"/>
              <w:widowControl w:val="false"/>
              <w:snapToGrid w:val="false"/>
              <w:ind w:right="57" w:hanging="0"/>
              <w:jc w:val="right"/>
              <w:rPr>
                <w:sz w:val="18"/>
                <w:szCs w:val="18"/>
              </w:rPr>
            </w:pPr>
            <w:r>
              <w:rPr>
                <w:sz w:val="18"/>
                <w:szCs w:val="18"/>
              </w:rPr>
              <w:t>738</w:t>
            </w:r>
          </w:p>
        </w:tc>
        <w:tc>
          <w:tcPr>
            <w:tcW w:w="430" w:type="dxa"/>
            <w:tcBorders/>
            <w:vAlign w:val="center"/>
          </w:tcPr>
          <w:p>
            <w:pPr>
              <w:pStyle w:val="Normal"/>
              <w:widowControl w:val="false"/>
              <w:snapToGrid w:val="false"/>
              <w:ind w:right="57" w:hanging="0"/>
              <w:jc w:val="right"/>
              <w:rPr>
                <w:sz w:val="18"/>
                <w:szCs w:val="18"/>
              </w:rPr>
            </w:pPr>
            <w:r>
              <w:rPr>
                <w:sz w:val="18"/>
                <w:szCs w:val="18"/>
              </w:rPr>
              <w:t>14%</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876</w:t>
            </w:r>
          </w:p>
        </w:tc>
        <w:tc>
          <w:tcPr>
            <w:tcW w:w="475"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6</w:t>
            </w:r>
          </w:p>
        </w:tc>
        <w:tc>
          <w:tcPr>
            <w:tcW w:w="620" w:type="dxa"/>
            <w:tcBorders/>
            <w:vAlign w:val="center"/>
          </w:tcPr>
          <w:p>
            <w:pPr>
              <w:pStyle w:val="Normal"/>
              <w:widowControl w:val="false"/>
              <w:snapToGrid w:val="false"/>
              <w:ind w:right="85" w:hanging="0"/>
              <w:jc w:val="right"/>
              <w:rPr>
                <w:sz w:val="18"/>
                <w:szCs w:val="18"/>
              </w:rPr>
            </w:pPr>
            <w:r>
              <w:rPr>
                <w:sz w:val="18"/>
                <w:szCs w:val="18"/>
              </w:rPr>
              <w:t>3 824</w:t>
            </w:r>
          </w:p>
        </w:tc>
        <w:tc>
          <w:tcPr>
            <w:tcW w:w="452" w:type="dxa"/>
            <w:tcBorders/>
            <w:vAlign w:val="center"/>
          </w:tcPr>
          <w:p>
            <w:pPr>
              <w:pStyle w:val="Normal"/>
              <w:widowControl w:val="false"/>
              <w:snapToGrid w:val="false"/>
              <w:ind w:right="57" w:hanging="0"/>
              <w:jc w:val="right"/>
              <w:rPr>
                <w:sz w:val="18"/>
                <w:szCs w:val="18"/>
              </w:rPr>
            </w:pPr>
            <w:r>
              <w:rPr>
                <w:sz w:val="18"/>
                <w:szCs w:val="18"/>
              </w:rPr>
              <w:t>70%</w:t>
            </w:r>
          </w:p>
        </w:tc>
        <w:tc>
          <w:tcPr>
            <w:tcW w:w="451" w:type="dxa"/>
            <w:tcBorders/>
            <w:vAlign w:val="center"/>
          </w:tcPr>
          <w:p>
            <w:pPr>
              <w:pStyle w:val="Normal"/>
              <w:widowControl w:val="false"/>
              <w:snapToGrid w:val="false"/>
              <w:ind w:right="57" w:hanging="0"/>
              <w:jc w:val="right"/>
              <w:rPr>
                <w:sz w:val="18"/>
                <w:szCs w:val="18"/>
              </w:rPr>
            </w:pPr>
            <w:r>
              <w:rPr>
                <w:sz w:val="18"/>
                <w:szCs w:val="18"/>
              </w:rPr>
              <w:t>11</w:t>
            </w:r>
          </w:p>
        </w:tc>
        <w:tc>
          <w:tcPr>
            <w:tcW w:w="379"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22</w:t>
            </w:r>
          </w:p>
        </w:tc>
        <w:tc>
          <w:tcPr>
            <w:tcW w:w="372" w:type="dxa"/>
            <w:tcBorders/>
            <w:vAlign w:val="center"/>
          </w:tcPr>
          <w:p>
            <w:pPr>
              <w:pStyle w:val="Normal"/>
              <w:widowControl w:val="false"/>
              <w:snapToGrid w:val="false"/>
              <w:ind w:right="57" w:hanging="0"/>
              <w:jc w:val="right"/>
              <w:rPr>
                <w:sz w:val="18"/>
                <w:szCs w:val="18"/>
              </w:rPr>
            </w:pPr>
            <w:r>
              <w:rPr>
                <w:sz w:val="18"/>
                <w:szCs w:val="18"/>
              </w:rPr>
              <w:t>25</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眼科</w:t>
            </w:r>
          </w:p>
        </w:tc>
        <w:tc>
          <w:tcPr>
            <w:tcW w:w="487" w:type="dxa"/>
            <w:tcBorders/>
            <w:vAlign w:val="center"/>
          </w:tcPr>
          <w:p>
            <w:pPr>
              <w:pStyle w:val="Normal"/>
              <w:widowControl w:val="false"/>
              <w:snapToGrid w:val="false"/>
              <w:ind w:right="57" w:hanging="0"/>
              <w:jc w:val="right"/>
              <w:rPr>
                <w:sz w:val="18"/>
                <w:szCs w:val="18"/>
              </w:rPr>
            </w:pPr>
            <w:r>
              <w:rPr>
                <w:sz w:val="18"/>
                <w:szCs w:val="18"/>
              </w:rPr>
              <w:t>5 585</w:t>
            </w:r>
          </w:p>
        </w:tc>
        <w:tc>
          <w:tcPr>
            <w:tcW w:w="430" w:type="dxa"/>
            <w:tcBorders/>
            <w:vAlign w:val="center"/>
          </w:tcPr>
          <w:p>
            <w:pPr>
              <w:pStyle w:val="Normal"/>
              <w:widowControl w:val="false"/>
              <w:snapToGrid w:val="false"/>
              <w:ind w:right="57" w:hanging="0"/>
              <w:jc w:val="right"/>
              <w:rPr>
                <w:sz w:val="18"/>
                <w:szCs w:val="18"/>
              </w:rPr>
            </w:pPr>
            <w:r>
              <w:rPr>
                <w:sz w:val="18"/>
                <w:szCs w:val="18"/>
              </w:rPr>
              <w:t>47%</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1 850</w:t>
            </w:r>
          </w:p>
        </w:tc>
        <w:tc>
          <w:tcPr>
            <w:tcW w:w="475"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378" w:type="dxa"/>
            <w:tcBorders/>
            <w:vAlign w:val="center"/>
          </w:tcPr>
          <w:p>
            <w:pPr>
              <w:pStyle w:val="Normal"/>
              <w:widowControl w:val="false"/>
              <w:snapToGrid w:val="false"/>
              <w:ind w:right="57" w:hanging="0"/>
              <w:jc w:val="right"/>
              <w:rPr>
                <w:sz w:val="18"/>
                <w:szCs w:val="18"/>
              </w:rPr>
            </w:pPr>
            <w:r>
              <w:rPr>
                <w:sz w:val="18"/>
                <w:szCs w:val="18"/>
              </w:rPr>
              <w:t>8</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620" w:type="dxa"/>
            <w:tcBorders/>
            <w:vAlign w:val="center"/>
          </w:tcPr>
          <w:p>
            <w:pPr>
              <w:pStyle w:val="Normal"/>
              <w:widowControl w:val="false"/>
              <w:snapToGrid w:val="false"/>
              <w:ind w:right="85" w:hanging="0"/>
              <w:jc w:val="right"/>
              <w:rPr>
                <w:sz w:val="18"/>
                <w:szCs w:val="18"/>
              </w:rPr>
            </w:pPr>
            <w:r>
              <w:rPr>
                <w:sz w:val="18"/>
                <w:szCs w:val="18"/>
              </w:rPr>
              <w:t>4 414</w:t>
            </w:r>
          </w:p>
        </w:tc>
        <w:tc>
          <w:tcPr>
            <w:tcW w:w="452" w:type="dxa"/>
            <w:tcBorders/>
            <w:vAlign w:val="center"/>
          </w:tcPr>
          <w:p>
            <w:pPr>
              <w:pStyle w:val="Normal"/>
              <w:widowControl w:val="false"/>
              <w:snapToGrid w:val="false"/>
              <w:ind w:right="57" w:hanging="0"/>
              <w:jc w:val="right"/>
              <w:rPr>
                <w:sz w:val="18"/>
                <w:szCs w:val="18"/>
              </w:rPr>
            </w:pPr>
            <w:r>
              <w:rPr>
                <w:sz w:val="18"/>
                <w:szCs w:val="18"/>
              </w:rPr>
              <w:t>37%</w:t>
            </w:r>
          </w:p>
        </w:tc>
        <w:tc>
          <w:tcPr>
            <w:tcW w:w="451" w:type="dxa"/>
            <w:tcBorders/>
            <w:vAlign w:val="center"/>
          </w:tcPr>
          <w:p>
            <w:pPr>
              <w:pStyle w:val="Normal"/>
              <w:widowControl w:val="false"/>
              <w:snapToGrid w:val="false"/>
              <w:ind w:right="57" w:hanging="0"/>
              <w:jc w:val="right"/>
              <w:rPr>
                <w:sz w:val="18"/>
                <w:szCs w:val="18"/>
              </w:rPr>
            </w:pPr>
            <w:r>
              <w:rPr>
                <w:sz w:val="18"/>
                <w:szCs w:val="18"/>
              </w:rPr>
              <w:t>12</w:t>
            </w:r>
          </w:p>
        </w:tc>
        <w:tc>
          <w:tcPr>
            <w:tcW w:w="379" w:type="dxa"/>
            <w:tcBorders/>
            <w:vAlign w:val="center"/>
          </w:tcPr>
          <w:p>
            <w:pPr>
              <w:pStyle w:val="Normal"/>
              <w:widowControl w:val="false"/>
              <w:snapToGrid w:val="false"/>
              <w:ind w:right="57" w:hanging="0"/>
              <w:jc w:val="right"/>
              <w:rPr>
                <w:sz w:val="18"/>
                <w:szCs w:val="18"/>
              </w:rPr>
            </w:pPr>
            <w:r>
              <w:rPr>
                <w:sz w:val="18"/>
                <w:szCs w:val="18"/>
              </w:rPr>
              <w:t>24</w:t>
            </w:r>
          </w:p>
        </w:tc>
        <w:tc>
          <w:tcPr>
            <w:tcW w:w="380" w:type="dxa"/>
            <w:tcBorders/>
            <w:vAlign w:val="center"/>
          </w:tcPr>
          <w:p>
            <w:pPr>
              <w:pStyle w:val="Normal"/>
              <w:widowControl w:val="false"/>
              <w:snapToGrid w:val="false"/>
              <w:ind w:right="57" w:hanging="0"/>
              <w:jc w:val="right"/>
              <w:rPr>
                <w:sz w:val="18"/>
                <w:szCs w:val="18"/>
              </w:rPr>
            </w:pPr>
            <w:r>
              <w:rPr>
                <w:sz w:val="18"/>
                <w:szCs w:val="18"/>
              </w:rPr>
              <w:t>30</w:t>
            </w:r>
          </w:p>
        </w:tc>
        <w:tc>
          <w:tcPr>
            <w:tcW w:w="372" w:type="dxa"/>
            <w:tcBorders/>
            <w:vAlign w:val="center"/>
          </w:tcPr>
          <w:p>
            <w:pPr>
              <w:pStyle w:val="Normal"/>
              <w:widowControl w:val="false"/>
              <w:snapToGrid w:val="false"/>
              <w:ind w:right="57" w:hanging="0"/>
              <w:jc w:val="right"/>
              <w:rPr>
                <w:sz w:val="18"/>
                <w:szCs w:val="18"/>
              </w:rPr>
            </w:pPr>
            <w:r>
              <w:rPr>
                <w:sz w:val="18"/>
                <w:szCs w:val="18"/>
              </w:rPr>
              <w:t>34</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ind w:right="57" w:hanging="0"/>
              <w:jc w:val="right"/>
              <w:rPr>
                <w:sz w:val="18"/>
                <w:szCs w:val="18"/>
              </w:rPr>
            </w:pPr>
            <w:r>
              <w:rPr>
                <w:sz w:val="18"/>
                <w:szCs w:val="18"/>
              </w:rPr>
              <w:t>1 880</w:t>
            </w:r>
          </w:p>
        </w:tc>
        <w:tc>
          <w:tcPr>
            <w:tcW w:w="430" w:type="dxa"/>
            <w:tcBorders/>
            <w:vAlign w:val="center"/>
          </w:tcPr>
          <w:p>
            <w:pPr>
              <w:pStyle w:val="Normal"/>
              <w:widowControl w:val="false"/>
              <w:snapToGrid w:val="false"/>
              <w:ind w:right="57" w:hanging="0"/>
              <w:jc w:val="right"/>
              <w:rPr>
                <w:sz w:val="18"/>
                <w:szCs w:val="18"/>
              </w:rPr>
            </w:pPr>
            <w:r>
              <w:rPr>
                <w:sz w:val="18"/>
                <w:szCs w:val="18"/>
              </w:rPr>
              <w:t>20%</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2 208</w:t>
            </w:r>
          </w:p>
        </w:tc>
        <w:tc>
          <w:tcPr>
            <w:tcW w:w="475" w:type="dxa"/>
            <w:tcBorders/>
            <w:vAlign w:val="center"/>
          </w:tcPr>
          <w:p>
            <w:pPr>
              <w:pStyle w:val="Normal"/>
              <w:widowControl w:val="false"/>
              <w:snapToGrid w:val="false"/>
              <w:ind w:right="57" w:hanging="0"/>
              <w:jc w:val="right"/>
              <w:rPr>
                <w:sz w:val="18"/>
                <w:szCs w:val="18"/>
              </w:rPr>
            </w:pPr>
            <w:r>
              <w:rPr>
                <w:sz w:val="18"/>
                <w:szCs w:val="18"/>
              </w:rPr>
              <w:t>24%</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6</w:t>
            </w:r>
          </w:p>
        </w:tc>
        <w:tc>
          <w:tcPr>
            <w:tcW w:w="378"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5 150</w:t>
            </w:r>
          </w:p>
        </w:tc>
        <w:tc>
          <w:tcPr>
            <w:tcW w:w="452" w:type="dxa"/>
            <w:tcBorders/>
            <w:vAlign w:val="center"/>
          </w:tcPr>
          <w:p>
            <w:pPr>
              <w:pStyle w:val="Normal"/>
              <w:widowControl w:val="false"/>
              <w:snapToGrid w:val="false"/>
              <w:ind w:right="57" w:hanging="0"/>
              <w:jc w:val="right"/>
              <w:rPr>
                <w:sz w:val="18"/>
                <w:szCs w:val="18"/>
              </w:rPr>
            </w:pPr>
            <w:r>
              <w:rPr>
                <w:sz w:val="18"/>
                <w:szCs w:val="18"/>
              </w:rPr>
              <w:t>56%</w:t>
            </w:r>
          </w:p>
        </w:tc>
        <w:tc>
          <w:tcPr>
            <w:tcW w:w="451" w:type="dxa"/>
            <w:tcBorders/>
            <w:vAlign w:val="center"/>
          </w:tcPr>
          <w:p>
            <w:pPr>
              <w:pStyle w:val="Normal"/>
              <w:widowControl w:val="false"/>
              <w:snapToGrid w:val="false"/>
              <w:ind w:right="57" w:hanging="0"/>
              <w:jc w:val="right"/>
              <w:rPr>
                <w:sz w:val="18"/>
                <w:szCs w:val="18"/>
              </w:rPr>
            </w:pPr>
            <w:r>
              <w:rPr>
                <w:sz w:val="18"/>
                <w:szCs w:val="18"/>
              </w:rPr>
              <w:t>13</w:t>
            </w:r>
          </w:p>
        </w:tc>
        <w:tc>
          <w:tcPr>
            <w:tcW w:w="379" w:type="dxa"/>
            <w:tcBorders/>
            <w:vAlign w:val="center"/>
          </w:tcPr>
          <w:p>
            <w:pPr>
              <w:pStyle w:val="Normal"/>
              <w:widowControl w:val="false"/>
              <w:snapToGrid w:val="false"/>
              <w:ind w:right="57" w:hanging="0"/>
              <w:jc w:val="right"/>
              <w:rPr>
                <w:sz w:val="18"/>
                <w:szCs w:val="18"/>
              </w:rPr>
            </w:pPr>
            <w:r>
              <w:rPr>
                <w:sz w:val="18"/>
                <w:szCs w:val="18"/>
              </w:rPr>
              <w:t>32</w:t>
            </w:r>
          </w:p>
        </w:tc>
        <w:tc>
          <w:tcPr>
            <w:tcW w:w="380" w:type="dxa"/>
            <w:tcBorders/>
            <w:vAlign w:val="center"/>
          </w:tcPr>
          <w:p>
            <w:pPr>
              <w:pStyle w:val="Normal"/>
              <w:widowControl w:val="false"/>
              <w:snapToGrid w:val="false"/>
              <w:ind w:right="57" w:hanging="0"/>
              <w:jc w:val="right"/>
              <w:rPr>
                <w:sz w:val="18"/>
                <w:szCs w:val="18"/>
              </w:rPr>
            </w:pPr>
            <w:r>
              <w:rPr>
                <w:sz w:val="18"/>
                <w:szCs w:val="18"/>
              </w:rPr>
              <w:t>50</w:t>
            </w:r>
          </w:p>
        </w:tc>
        <w:tc>
          <w:tcPr>
            <w:tcW w:w="372" w:type="dxa"/>
            <w:tcBorders/>
            <w:vAlign w:val="center"/>
          </w:tcPr>
          <w:p>
            <w:pPr>
              <w:pStyle w:val="Normal"/>
              <w:widowControl w:val="false"/>
              <w:snapToGrid w:val="false"/>
              <w:ind w:right="57" w:hanging="0"/>
              <w:jc w:val="right"/>
              <w:rPr>
                <w:sz w:val="18"/>
                <w:szCs w:val="18"/>
              </w:rPr>
            </w:pPr>
            <w:r>
              <w:rPr>
                <w:sz w:val="18"/>
                <w:szCs w:val="18"/>
              </w:rPr>
              <w:t>51</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ind w:right="57" w:hanging="0"/>
              <w:jc w:val="right"/>
              <w:rPr>
                <w:sz w:val="18"/>
                <w:szCs w:val="18"/>
              </w:rPr>
            </w:pPr>
            <w:r>
              <w:rPr>
                <w:sz w:val="18"/>
                <w:szCs w:val="18"/>
              </w:rPr>
              <w:t>236</w:t>
            </w:r>
          </w:p>
        </w:tc>
        <w:tc>
          <w:tcPr>
            <w:tcW w:w="430"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984</w:t>
            </w:r>
          </w:p>
        </w:tc>
        <w:tc>
          <w:tcPr>
            <w:tcW w:w="475" w:type="dxa"/>
            <w:tcBorders/>
            <w:vAlign w:val="center"/>
          </w:tcPr>
          <w:p>
            <w:pPr>
              <w:pStyle w:val="Normal"/>
              <w:widowControl w:val="false"/>
              <w:snapToGrid w:val="false"/>
              <w:ind w:right="57" w:hanging="0"/>
              <w:jc w:val="right"/>
              <w:rPr>
                <w:sz w:val="18"/>
                <w:szCs w:val="18"/>
              </w:rPr>
            </w:pPr>
            <w:r>
              <w:rPr>
                <w:sz w:val="18"/>
                <w:szCs w:val="18"/>
              </w:rPr>
              <w:t>67%</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243</w:t>
            </w:r>
          </w:p>
        </w:tc>
        <w:tc>
          <w:tcPr>
            <w:tcW w:w="452" w:type="dxa"/>
            <w:tcBorders/>
            <w:vAlign w:val="center"/>
          </w:tcPr>
          <w:p>
            <w:pPr>
              <w:pStyle w:val="Normal"/>
              <w:widowControl w:val="false"/>
              <w:snapToGrid w:val="false"/>
              <w:ind w:right="57" w:hanging="0"/>
              <w:jc w:val="right"/>
              <w:rPr>
                <w:sz w:val="18"/>
                <w:szCs w:val="18"/>
              </w:rPr>
            </w:pPr>
            <w:r>
              <w:rPr>
                <w:sz w:val="18"/>
                <w:szCs w:val="18"/>
              </w:rPr>
              <w:t>17%</w:t>
            </w:r>
          </w:p>
        </w:tc>
        <w:tc>
          <w:tcPr>
            <w:tcW w:w="451" w:type="dxa"/>
            <w:tcBorders/>
            <w:vAlign w:val="center"/>
          </w:tcPr>
          <w:p>
            <w:pPr>
              <w:pStyle w:val="Normal"/>
              <w:widowControl w:val="false"/>
              <w:snapToGrid w:val="false"/>
              <w:ind w:right="57" w:hanging="0"/>
              <w:jc w:val="right"/>
              <w:rPr>
                <w:sz w:val="18"/>
                <w:szCs w:val="18"/>
              </w:rPr>
            </w:pPr>
            <w:r>
              <w:rPr>
                <w:sz w:val="18"/>
                <w:szCs w:val="18"/>
              </w:rPr>
              <w:t>8</w:t>
            </w:r>
          </w:p>
        </w:tc>
        <w:tc>
          <w:tcPr>
            <w:tcW w:w="379" w:type="dxa"/>
            <w:tcBorders/>
            <w:vAlign w:val="center"/>
          </w:tcPr>
          <w:p>
            <w:pPr>
              <w:pStyle w:val="Normal"/>
              <w:widowControl w:val="false"/>
              <w:snapToGrid w:val="false"/>
              <w:ind w:right="57" w:hanging="0"/>
              <w:jc w:val="right"/>
              <w:rPr>
                <w:sz w:val="18"/>
                <w:szCs w:val="18"/>
              </w:rPr>
            </w:pPr>
            <w:r>
              <w:rPr>
                <w:sz w:val="18"/>
                <w:szCs w:val="18"/>
              </w:rPr>
              <w:t>10</w:t>
            </w:r>
          </w:p>
        </w:tc>
        <w:tc>
          <w:tcPr>
            <w:tcW w:w="380" w:type="dxa"/>
            <w:tcBorders/>
            <w:vAlign w:val="center"/>
          </w:tcPr>
          <w:p>
            <w:pPr>
              <w:pStyle w:val="Normal"/>
              <w:widowControl w:val="false"/>
              <w:snapToGrid w:val="false"/>
              <w:ind w:right="57" w:hanging="0"/>
              <w:jc w:val="right"/>
              <w:rPr>
                <w:sz w:val="18"/>
                <w:szCs w:val="18"/>
              </w:rPr>
            </w:pPr>
            <w:r>
              <w:rPr>
                <w:sz w:val="18"/>
                <w:szCs w:val="18"/>
              </w:rPr>
              <w:t>14</w:t>
            </w:r>
          </w:p>
        </w:tc>
        <w:tc>
          <w:tcPr>
            <w:tcW w:w="372" w:type="dxa"/>
            <w:tcBorders/>
            <w:vAlign w:val="center"/>
          </w:tcPr>
          <w:p>
            <w:pPr>
              <w:pStyle w:val="Normal"/>
              <w:widowControl w:val="false"/>
              <w:snapToGrid w:val="false"/>
              <w:ind w:right="57" w:hanging="0"/>
              <w:jc w:val="right"/>
              <w:rPr>
                <w:sz w:val="18"/>
                <w:szCs w:val="18"/>
              </w:rPr>
            </w:pPr>
            <w:r>
              <w:rPr>
                <w:sz w:val="18"/>
                <w:szCs w:val="18"/>
              </w:rPr>
              <w:t>22</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精神科</w:t>
            </w:r>
          </w:p>
        </w:tc>
        <w:tc>
          <w:tcPr>
            <w:tcW w:w="487" w:type="dxa"/>
            <w:tcBorders/>
            <w:vAlign w:val="center"/>
          </w:tcPr>
          <w:p>
            <w:pPr>
              <w:pStyle w:val="Normal"/>
              <w:widowControl w:val="false"/>
              <w:snapToGrid w:val="false"/>
              <w:ind w:right="57" w:hanging="0"/>
              <w:jc w:val="right"/>
              <w:rPr>
                <w:sz w:val="18"/>
                <w:szCs w:val="18"/>
              </w:rPr>
            </w:pPr>
            <w:r>
              <w:rPr>
                <w:sz w:val="18"/>
                <w:szCs w:val="18"/>
              </w:rPr>
              <w:t>581</w:t>
            </w:r>
          </w:p>
        </w:tc>
        <w:tc>
          <w:tcPr>
            <w:tcW w:w="430" w:type="dxa"/>
            <w:tcBorders/>
            <w:vAlign w:val="center"/>
          </w:tcPr>
          <w:p>
            <w:pPr>
              <w:pStyle w:val="Normal"/>
              <w:widowControl w:val="false"/>
              <w:snapToGrid w:val="false"/>
              <w:ind w:right="57" w:hanging="0"/>
              <w:jc w:val="right"/>
              <w:rPr>
                <w:sz w:val="18"/>
                <w:szCs w:val="18"/>
              </w:rPr>
            </w:pPr>
            <w:r>
              <w:rPr>
                <w:sz w:val="18"/>
                <w:szCs w:val="18"/>
              </w:rPr>
              <w:t>17%</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656</w:t>
            </w:r>
          </w:p>
        </w:tc>
        <w:tc>
          <w:tcPr>
            <w:tcW w:w="475" w:type="dxa"/>
            <w:tcBorders/>
            <w:vAlign w:val="center"/>
          </w:tcPr>
          <w:p>
            <w:pPr>
              <w:pStyle w:val="Normal"/>
              <w:widowControl w:val="false"/>
              <w:snapToGrid w:val="false"/>
              <w:ind w:right="57" w:hanging="0"/>
              <w:jc w:val="right"/>
              <w:rPr>
                <w:sz w:val="18"/>
                <w:szCs w:val="18"/>
              </w:rPr>
            </w:pPr>
            <w:r>
              <w:rPr>
                <w:sz w:val="18"/>
                <w:szCs w:val="18"/>
              </w:rPr>
              <w:t>19%</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2 131</w:t>
            </w:r>
          </w:p>
        </w:tc>
        <w:tc>
          <w:tcPr>
            <w:tcW w:w="452" w:type="dxa"/>
            <w:tcBorders/>
            <w:vAlign w:val="center"/>
          </w:tcPr>
          <w:p>
            <w:pPr>
              <w:pStyle w:val="Normal"/>
              <w:widowControl w:val="false"/>
              <w:snapToGrid w:val="false"/>
              <w:ind w:right="57" w:hanging="0"/>
              <w:jc w:val="right"/>
              <w:rPr>
                <w:sz w:val="18"/>
                <w:szCs w:val="18"/>
              </w:rPr>
            </w:pPr>
            <w:r>
              <w:rPr>
                <w:sz w:val="18"/>
                <w:szCs w:val="18"/>
              </w:rPr>
              <w:t>63%</w:t>
            </w:r>
          </w:p>
        </w:tc>
        <w:tc>
          <w:tcPr>
            <w:tcW w:w="451" w:type="dxa"/>
            <w:tcBorders/>
            <w:vAlign w:val="center"/>
          </w:tcPr>
          <w:p>
            <w:pPr>
              <w:pStyle w:val="Normal"/>
              <w:widowControl w:val="false"/>
              <w:snapToGrid w:val="false"/>
              <w:ind w:right="57" w:hanging="0"/>
              <w:jc w:val="right"/>
              <w:rPr>
                <w:sz w:val="18"/>
                <w:szCs w:val="18"/>
              </w:rPr>
            </w:pPr>
            <w:r>
              <w:rPr>
                <w:sz w:val="18"/>
                <w:szCs w:val="18"/>
              </w:rPr>
              <w:t>4</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380" w:type="dxa"/>
            <w:tcBorders/>
            <w:vAlign w:val="center"/>
          </w:tcPr>
          <w:p>
            <w:pPr>
              <w:pStyle w:val="Normal"/>
              <w:widowControl w:val="false"/>
              <w:snapToGrid w:val="false"/>
              <w:ind w:right="57" w:hanging="0"/>
              <w:jc w:val="right"/>
              <w:rPr>
                <w:sz w:val="18"/>
                <w:szCs w:val="18"/>
              </w:rPr>
            </w:pPr>
            <w:r>
              <w:rPr>
                <w:sz w:val="18"/>
                <w:szCs w:val="18"/>
              </w:rPr>
              <w:t>19</w:t>
            </w:r>
          </w:p>
        </w:tc>
        <w:tc>
          <w:tcPr>
            <w:tcW w:w="372" w:type="dxa"/>
            <w:tcBorders/>
            <w:vAlign w:val="center"/>
          </w:tcPr>
          <w:p>
            <w:pPr>
              <w:pStyle w:val="Normal"/>
              <w:widowControl w:val="false"/>
              <w:snapToGrid w:val="false"/>
              <w:ind w:right="57" w:hanging="0"/>
              <w:jc w:val="right"/>
              <w:rPr>
                <w:sz w:val="18"/>
                <w:szCs w:val="18"/>
              </w:rPr>
            </w:pPr>
            <w:r>
              <w:rPr>
                <w:sz w:val="18"/>
                <w:szCs w:val="18"/>
              </w:rPr>
              <w:t>28</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外科</w:t>
            </w:r>
          </w:p>
        </w:tc>
        <w:tc>
          <w:tcPr>
            <w:tcW w:w="487" w:type="dxa"/>
            <w:tcBorders/>
            <w:vAlign w:val="center"/>
          </w:tcPr>
          <w:p>
            <w:pPr>
              <w:pStyle w:val="Normal"/>
              <w:widowControl w:val="false"/>
              <w:snapToGrid w:val="false"/>
              <w:ind w:right="57" w:hanging="0"/>
              <w:jc w:val="right"/>
              <w:rPr>
                <w:sz w:val="18"/>
                <w:szCs w:val="18"/>
              </w:rPr>
            </w:pPr>
            <w:r>
              <w:rPr>
                <w:sz w:val="18"/>
                <w:szCs w:val="18"/>
              </w:rPr>
              <w:t>2 067</w:t>
            </w:r>
          </w:p>
        </w:tc>
        <w:tc>
          <w:tcPr>
            <w:tcW w:w="430"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3 897</w:t>
            </w:r>
          </w:p>
        </w:tc>
        <w:tc>
          <w:tcPr>
            <w:tcW w:w="475" w:type="dxa"/>
            <w:tcBorders/>
            <w:vAlign w:val="center"/>
          </w:tcPr>
          <w:p>
            <w:pPr>
              <w:pStyle w:val="Normal"/>
              <w:widowControl w:val="false"/>
              <w:snapToGrid w:val="false"/>
              <w:ind w:right="57" w:hanging="0"/>
              <w:jc w:val="right"/>
              <w:rPr>
                <w:sz w:val="18"/>
                <w:szCs w:val="18"/>
              </w:rPr>
            </w:pPr>
            <w:r>
              <w:rPr>
                <w:sz w:val="18"/>
                <w:szCs w:val="18"/>
              </w:rPr>
              <w:t>30%</w:t>
            </w:r>
          </w:p>
        </w:tc>
        <w:tc>
          <w:tcPr>
            <w:tcW w:w="380"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378"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620" w:type="dxa"/>
            <w:tcBorders/>
            <w:vAlign w:val="center"/>
          </w:tcPr>
          <w:p>
            <w:pPr>
              <w:pStyle w:val="Normal"/>
              <w:widowControl w:val="false"/>
              <w:snapToGrid w:val="false"/>
              <w:ind w:right="85" w:hanging="0"/>
              <w:jc w:val="right"/>
              <w:rPr>
                <w:sz w:val="18"/>
                <w:szCs w:val="18"/>
              </w:rPr>
            </w:pPr>
            <w:r>
              <w:rPr>
                <w:sz w:val="18"/>
                <w:szCs w:val="18"/>
              </w:rPr>
              <w:t>6 971</w:t>
            </w:r>
          </w:p>
        </w:tc>
        <w:tc>
          <w:tcPr>
            <w:tcW w:w="452" w:type="dxa"/>
            <w:tcBorders/>
            <w:vAlign w:val="center"/>
          </w:tcPr>
          <w:p>
            <w:pPr>
              <w:pStyle w:val="Normal"/>
              <w:widowControl w:val="false"/>
              <w:snapToGrid w:val="false"/>
              <w:ind w:right="57" w:hanging="0"/>
              <w:jc w:val="right"/>
              <w:rPr>
                <w:sz w:val="18"/>
                <w:szCs w:val="18"/>
              </w:rPr>
            </w:pPr>
            <w:r>
              <w:rPr>
                <w:sz w:val="18"/>
                <w:szCs w:val="18"/>
              </w:rPr>
              <w:t>54%</w:t>
            </w:r>
          </w:p>
        </w:tc>
        <w:tc>
          <w:tcPr>
            <w:tcW w:w="451" w:type="dxa"/>
            <w:tcBorders/>
            <w:vAlign w:val="center"/>
          </w:tcPr>
          <w:p>
            <w:pPr>
              <w:pStyle w:val="Normal"/>
              <w:widowControl w:val="false"/>
              <w:snapToGrid w:val="false"/>
              <w:ind w:right="57" w:hanging="0"/>
              <w:jc w:val="right"/>
              <w:rPr>
                <w:sz w:val="18"/>
                <w:szCs w:val="18"/>
              </w:rPr>
            </w:pPr>
            <w:r>
              <w:rPr>
                <w:sz w:val="18"/>
                <w:szCs w:val="18"/>
              </w:rPr>
              <w:t>10</w:t>
            </w:r>
          </w:p>
        </w:tc>
        <w:tc>
          <w:tcPr>
            <w:tcW w:w="379" w:type="dxa"/>
            <w:tcBorders/>
            <w:vAlign w:val="center"/>
          </w:tcPr>
          <w:p>
            <w:pPr>
              <w:pStyle w:val="Normal"/>
              <w:widowControl w:val="false"/>
              <w:snapToGrid w:val="false"/>
              <w:ind w:right="57" w:hanging="0"/>
              <w:jc w:val="right"/>
              <w:rPr>
                <w:sz w:val="18"/>
                <w:szCs w:val="18"/>
              </w:rPr>
            </w:pPr>
            <w:r>
              <w:rPr>
                <w:sz w:val="18"/>
                <w:szCs w:val="18"/>
              </w:rPr>
              <w:t>22</w:t>
            </w:r>
          </w:p>
        </w:tc>
        <w:tc>
          <w:tcPr>
            <w:tcW w:w="380" w:type="dxa"/>
            <w:tcBorders/>
            <w:vAlign w:val="center"/>
          </w:tcPr>
          <w:p>
            <w:pPr>
              <w:pStyle w:val="Normal"/>
              <w:widowControl w:val="false"/>
              <w:snapToGrid w:val="false"/>
              <w:ind w:right="57" w:hanging="0"/>
              <w:jc w:val="right"/>
              <w:rPr>
                <w:sz w:val="18"/>
                <w:szCs w:val="18"/>
              </w:rPr>
            </w:pPr>
            <w:r>
              <w:rPr>
                <w:sz w:val="18"/>
                <w:szCs w:val="18"/>
              </w:rPr>
              <w:t>41</w:t>
            </w:r>
          </w:p>
        </w:tc>
        <w:tc>
          <w:tcPr>
            <w:tcW w:w="372" w:type="dxa"/>
            <w:tcBorders/>
            <w:vAlign w:val="center"/>
          </w:tcPr>
          <w:p>
            <w:pPr>
              <w:pStyle w:val="Normal"/>
              <w:widowControl w:val="false"/>
              <w:snapToGrid w:val="false"/>
              <w:ind w:right="57" w:hanging="0"/>
              <w:jc w:val="right"/>
              <w:rPr>
                <w:sz w:val="18"/>
                <w:szCs w:val="18"/>
              </w:rPr>
            </w:pPr>
            <w:r>
              <w:rPr>
                <w:sz w:val="18"/>
                <w:szCs w:val="18"/>
              </w:rPr>
              <w:t>63</w:t>
            </w:r>
          </w:p>
        </w:tc>
      </w:tr>
      <w:tr>
        <w:trPr>
          <w:cantSplit w:val="true"/>
        </w:trPr>
        <w:tc>
          <w:tcPr>
            <w:tcW w:w="576" w:type="dxa"/>
            <w:vMerge w:val="restart"/>
            <w:tcBorders/>
            <w:vAlign w:val="center"/>
          </w:tcPr>
          <w:p>
            <w:pPr>
              <w:pStyle w:val="Normal"/>
              <w:widowControl w:val="false"/>
              <w:snapToGrid w:val="false"/>
              <w:spacing w:lineRule="atLeast" w:line="340"/>
              <w:jc w:val="center"/>
              <w:rPr>
                <w:sz w:val="18"/>
                <w:szCs w:val="18"/>
              </w:rPr>
            </w:pPr>
            <w:r>
              <w:rPr>
                <w:sz w:val="18"/>
                <w:szCs w:val="18"/>
              </w:rPr>
              <w:t>港島西</w:t>
            </w:r>
          </w:p>
        </w:tc>
        <w:tc>
          <w:tcPr>
            <w:tcW w:w="1023" w:type="dxa"/>
            <w:tcBorders/>
            <w:vAlign w:val="center"/>
          </w:tcPr>
          <w:p>
            <w:pPr>
              <w:pStyle w:val="Normal"/>
              <w:widowControl w:val="false"/>
              <w:snapToGrid w:val="false"/>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ind w:right="57" w:hanging="0"/>
              <w:jc w:val="right"/>
              <w:rPr>
                <w:sz w:val="18"/>
                <w:szCs w:val="18"/>
              </w:rPr>
            </w:pPr>
            <w:r>
              <w:rPr>
                <w:sz w:val="18"/>
                <w:szCs w:val="18"/>
              </w:rPr>
              <w:t>737</w:t>
            </w:r>
          </w:p>
        </w:tc>
        <w:tc>
          <w:tcPr>
            <w:tcW w:w="430" w:type="dxa"/>
            <w:tcBorders/>
            <w:vAlign w:val="center"/>
          </w:tcPr>
          <w:p>
            <w:pPr>
              <w:pStyle w:val="Normal"/>
              <w:widowControl w:val="false"/>
              <w:snapToGrid w:val="false"/>
              <w:ind w:right="57" w:hanging="0"/>
              <w:jc w:val="right"/>
              <w:rPr>
                <w:sz w:val="18"/>
                <w:szCs w:val="18"/>
              </w:rPr>
            </w:pPr>
            <w:r>
              <w:rPr>
                <w:sz w:val="18"/>
                <w:szCs w:val="18"/>
              </w:rPr>
              <w:t>11%</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2 212</w:t>
            </w:r>
          </w:p>
        </w:tc>
        <w:tc>
          <w:tcPr>
            <w:tcW w:w="475" w:type="dxa"/>
            <w:tcBorders/>
            <w:vAlign w:val="center"/>
          </w:tcPr>
          <w:p>
            <w:pPr>
              <w:pStyle w:val="Normal"/>
              <w:widowControl w:val="false"/>
              <w:snapToGrid w:val="false"/>
              <w:ind w:right="57" w:hanging="0"/>
              <w:jc w:val="right"/>
              <w:rPr>
                <w:sz w:val="18"/>
                <w:szCs w:val="18"/>
              </w:rPr>
            </w:pPr>
            <w:r>
              <w:rPr>
                <w:sz w:val="18"/>
                <w:szCs w:val="18"/>
              </w:rPr>
              <w:t>34%</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4</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620" w:type="dxa"/>
            <w:tcBorders/>
            <w:vAlign w:val="center"/>
          </w:tcPr>
          <w:p>
            <w:pPr>
              <w:pStyle w:val="Normal"/>
              <w:widowControl w:val="false"/>
              <w:snapToGrid w:val="false"/>
              <w:ind w:right="85" w:hanging="0"/>
              <w:jc w:val="right"/>
              <w:rPr>
                <w:sz w:val="18"/>
                <w:szCs w:val="18"/>
              </w:rPr>
            </w:pPr>
            <w:r>
              <w:rPr>
                <w:sz w:val="18"/>
                <w:szCs w:val="18"/>
              </w:rPr>
              <w:t>3 545</w:t>
            </w:r>
          </w:p>
        </w:tc>
        <w:tc>
          <w:tcPr>
            <w:tcW w:w="452" w:type="dxa"/>
            <w:tcBorders/>
            <w:vAlign w:val="center"/>
          </w:tcPr>
          <w:p>
            <w:pPr>
              <w:pStyle w:val="Normal"/>
              <w:widowControl w:val="false"/>
              <w:snapToGrid w:val="false"/>
              <w:ind w:right="57" w:hanging="0"/>
              <w:jc w:val="right"/>
              <w:rPr>
                <w:sz w:val="18"/>
                <w:szCs w:val="18"/>
              </w:rPr>
            </w:pPr>
            <w:r>
              <w:rPr>
                <w:sz w:val="18"/>
                <w:szCs w:val="18"/>
              </w:rPr>
              <w:t>55%</w:t>
            </w:r>
          </w:p>
        </w:tc>
        <w:tc>
          <w:tcPr>
            <w:tcW w:w="451" w:type="dxa"/>
            <w:tcBorders/>
            <w:vAlign w:val="center"/>
          </w:tcPr>
          <w:p>
            <w:pPr>
              <w:pStyle w:val="Normal"/>
              <w:widowControl w:val="false"/>
              <w:snapToGrid w:val="false"/>
              <w:ind w:right="57" w:hanging="0"/>
              <w:jc w:val="right"/>
              <w:rPr>
                <w:sz w:val="18"/>
                <w:szCs w:val="18"/>
              </w:rPr>
            </w:pPr>
            <w:r>
              <w:rPr>
                <w:sz w:val="18"/>
                <w:szCs w:val="18"/>
              </w:rPr>
              <w:t>4</w:t>
            </w:r>
          </w:p>
        </w:tc>
        <w:tc>
          <w:tcPr>
            <w:tcW w:w="379"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31</w:t>
            </w:r>
          </w:p>
        </w:tc>
        <w:tc>
          <w:tcPr>
            <w:tcW w:w="372" w:type="dxa"/>
            <w:tcBorders/>
            <w:vAlign w:val="center"/>
          </w:tcPr>
          <w:p>
            <w:pPr>
              <w:pStyle w:val="Normal"/>
              <w:widowControl w:val="false"/>
              <w:snapToGrid w:val="false"/>
              <w:ind w:right="57" w:hanging="0"/>
              <w:jc w:val="right"/>
              <w:rPr>
                <w:sz w:val="18"/>
                <w:szCs w:val="18"/>
              </w:rPr>
            </w:pPr>
            <w:r>
              <w:rPr>
                <w:sz w:val="18"/>
                <w:szCs w:val="18"/>
              </w:rPr>
              <w:t>35</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內科</w:t>
            </w:r>
          </w:p>
        </w:tc>
        <w:tc>
          <w:tcPr>
            <w:tcW w:w="487" w:type="dxa"/>
            <w:tcBorders/>
            <w:vAlign w:val="center"/>
          </w:tcPr>
          <w:p>
            <w:pPr>
              <w:pStyle w:val="Normal"/>
              <w:widowControl w:val="false"/>
              <w:snapToGrid w:val="false"/>
              <w:ind w:right="57" w:hanging="0"/>
              <w:jc w:val="right"/>
              <w:rPr>
                <w:sz w:val="18"/>
                <w:szCs w:val="18"/>
              </w:rPr>
            </w:pPr>
            <w:r>
              <w:rPr>
                <w:sz w:val="18"/>
                <w:szCs w:val="18"/>
              </w:rPr>
              <w:t>1 509</w:t>
            </w:r>
          </w:p>
        </w:tc>
        <w:tc>
          <w:tcPr>
            <w:tcW w:w="430" w:type="dxa"/>
            <w:tcBorders/>
            <w:vAlign w:val="center"/>
          </w:tcPr>
          <w:p>
            <w:pPr>
              <w:pStyle w:val="Normal"/>
              <w:widowControl w:val="false"/>
              <w:snapToGrid w:val="false"/>
              <w:ind w:right="57" w:hanging="0"/>
              <w:jc w:val="right"/>
              <w:rPr>
                <w:sz w:val="18"/>
                <w:szCs w:val="18"/>
              </w:rPr>
            </w:pPr>
            <w:r>
              <w:rPr>
                <w:sz w:val="18"/>
                <w:szCs w:val="18"/>
              </w:rPr>
              <w:t>13%</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1 696</w:t>
            </w:r>
          </w:p>
        </w:tc>
        <w:tc>
          <w:tcPr>
            <w:tcW w:w="475" w:type="dxa"/>
            <w:tcBorders/>
            <w:vAlign w:val="center"/>
          </w:tcPr>
          <w:p>
            <w:pPr>
              <w:pStyle w:val="Normal"/>
              <w:widowControl w:val="false"/>
              <w:snapToGrid w:val="false"/>
              <w:ind w:right="57" w:hanging="0"/>
              <w:jc w:val="right"/>
              <w:rPr>
                <w:sz w:val="18"/>
                <w:szCs w:val="18"/>
              </w:rPr>
            </w:pPr>
            <w:r>
              <w:rPr>
                <w:sz w:val="18"/>
                <w:szCs w:val="18"/>
              </w:rPr>
              <w:t>14%</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8 788</w:t>
            </w:r>
          </w:p>
        </w:tc>
        <w:tc>
          <w:tcPr>
            <w:tcW w:w="452" w:type="dxa"/>
            <w:tcBorders/>
            <w:vAlign w:val="center"/>
          </w:tcPr>
          <w:p>
            <w:pPr>
              <w:pStyle w:val="Normal"/>
              <w:widowControl w:val="false"/>
              <w:snapToGrid w:val="false"/>
              <w:ind w:right="57" w:hanging="0"/>
              <w:jc w:val="right"/>
              <w:rPr>
                <w:sz w:val="18"/>
                <w:szCs w:val="18"/>
              </w:rPr>
            </w:pPr>
            <w:r>
              <w:rPr>
                <w:sz w:val="18"/>
                <w:szCs w:val="18"/>
              </w:rPr>
              <w:t>73%</w:t>
            </w:r>
          </w:p>
        </w:tc>
        <w:tc>
          <w:tcPr>
            <w:tcW w:w="451" w:type="dxa"/>
            <w:tcBorders/>
            <w:vAlign w:val="center"/>
          </w:tcPr>
          <w:p>
            <w:pPr>
              <w:pStyle w:val="Normal"/>
              <w:widowControl w:val="false"/>
              <w:snapToGrid w:val="false"/>
              <w:ind w:right="57" w:hanging="0"/>
              <w:jc w:val="right"/>
              <w:rPr>
                <w:sz w:val="18"/>
                <w:szCs w:val="18"/>
              </w:rPr>
            </w:pPr>
            <w:r>
              <w:rPr>
                <w:sz w:val="18"/>
                <w:szCs w:val="18"/>
              </w:rPr>
              <w:t>10</w:t>
            </w:r>
          </w:p>
        </w:tc>
        <w:tc>
          <w:tcPr>
            <w:tcW w:w="379" w:type="dxa"/>
            <w:tcBorders/>
            <w:vAlign w:val="center"/>
          </w:tcPr>
          <w:p>
            <w:pPr>
              <w:pStyle w:val="Normal"/>
              <w:widowControl w:val="false"/>
              <w:snapToGrid w:val="false"/>
              <w:ind w:right="57" w:hanging="0"/>
              <w:jc w:val="right"/>
              <w:rPr>
                <w:sz w:val="18"/>
                <w:szCs w:val="18"/>
              </w:rPr>
            </w:pPr>
            <w:r>
              <w:rPr>
                <w:sz w:val="18"/>
                <w:szCs w:val="18"/>
              </w:rPr>
              <w:t>25</w:t>
            </w:r>
          </w:p>
        </w:tc>
        <w:tc>
          <w:tcPr>
            <w:tcW w:w="380" w:type="dxa"/>
            <w:tcBorders/>
            <w:vAlign w:val="center"/>
          </w:tcPr>
          <w:p>
            <w:pPr>
              <w:pStyle w:val="Normal"/>
              <w:widowControl w:val="false"/>
              <w:snapToGrid w:val="false"/>
              <w:ind w:right="57" w:hanging="0"/>
              <w:jc w:val="right"/>
              <w:rPr>
                <w:sz w:val="18"/>
                <w:szCs w:val="18"/>
              </w:rPr>
            </w:pPr>
            <w:r>
              <w:rPr>
                <w:sz w:val="18"/>
                <w:szCs w:val="18"/>
              </w:rPr>
              <w:t>31</w:t>
            </w:r>
          </w:p>
        </w:tc>
        <w:tc>
          <w:tcPr>
            <w:tcW w:w="372" w:type="dxa"/>
            <w:tcBorders/>
            <w:vAlign w:val="center"/>
          </w:tcPr>
          <w:p>
            <w:pPr>
              <w:pStyle w:val="Normal"/>
              <w:widowControl w:val="false"/>
              <w:snapToGrid w:val="false"/>
              <w:ind w:right="57" w:hanging="0"/>
              <w:jc w:val="right"/>
              <w:rPr>
                <w:sz w:val="18"/>
                <w:szCs w:val="18"/>
              </w:rPr>
            </w:pPr>
            <w:r>
              <w:rPr>
                <w:sz w:val="18"/>
                <w:szCs w:val="18"/>
              </w:rPr>
              <w:t>47</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婦科</w:t>
            </w:r>
          </w:p>
        </w:tc>
        <w:tc>
          <w:tcPr>
            <w:tcW w:w="487" w:type="dxa"/>
            <w:tcBorders/>
            <w:vAlign w:val="center"/>
          </w:tcPr>
          <w:p>
            <w:pPr>
              <w:pStyle w:val="Normal"/>
              <w:widowControl w:val="false"/>
              <w:snapToGrid w:val="false"/>
              <w:ind w:right="57" w:hanging="0"/>
              <w:jc w:val="right"/>
              <w:rPr>
                <w:sz w:val="18"/>
                <w:szCs w:val="18"/>
              </w:rPr>
            </w:pPr>
            <w:r>
              <w:rPr>
                <w:sz w:val="18"/>
                <w:szCs w:val="18"/>
              </w:rPr>
              <w:t>1 174</w:t>
            </w:r>
          </w:p>
        </w:tc>
        <w:tc>
          <w:tcPr>
            <w:tcW w:w="430"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989</w:t>
            </w:r>
          </w:p>
        </w:tc>
        <w:tc>
          <w:tcPr>
            <w:tcW w:w="475" w:type="dxa"/>
            <w:tcBorders/>
            <w:vAlign w:val="center"/>
          </w:tcPr>
          <w:p>
            <w:pPr>
              <w:pStyle w:val="Normal"/>
              <w:widowControl w:val="false"/>
              <w:snapToGrid w:val="false"/>
              <w:ind w:right="57" w:hanging="0"/>
              <w:jc w:val="right"/>
              <w:rPr>
                <w:sz w:val="18"/>
                <w:szCs w:val="18"/>
              </w:rPr>
            </w:pPr>
            <w:r>
              <w:rPr>
                <w:sz w:val="18"/>
                <w:szCs w:val="18"/>
              </w:rPr>
              <w:t>14%</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4 411</w:t>
            </w:r>
          </w:p>
        </w:tc>
        <w:tc>
          <w:tcPr>
            <w:tcW w:w="452" w:type="dxa"/>
            <w:tcBorders/>
            <w:vAlign w:val="center"/>
          </w:tcPr>
          <w:p>
            <w:pPr>
              <w:pStyle w:val="Normal"/>
              <w:widowControl w:val="false"/>
              <w:snapToGrid w:val="false"/>
              <w:ind w:right="57" w:hanging="0"/>
              <w:jc w:val="right"/>
              <w:rPr>
                <w:sz w:val="18"/>
                <w:szCs w:val="18"/>
              </w:rPr>
            </w:pPr>
            <w:r>
              <w:rPr>
                <w:sz w:val="18"/>
                <w:szCs w:val="18"/>
              </w:rPr>
              <w:t>60%</w:t>
            </w:r>
          </w:p>
        </w:tc>
        <w:tc>
          <w:tcPr>
            <w:tcW w:w="451" w:type="dxa"/>
            <w:tcBorders/>
            <w:vAlign w:val="center"/>
          </w:tcPr>
          <w:p>
            <w:pPr>
              <w:pStyle w:val="Normal"/>
              <w:widowControl w:val="false"/>
              <w:snapToGrid w:val="false"/>
              <w:ind w:right="57" w:hanging="0"/>
              <w:jc w:val="right"/>
              <w:rPr>
                <w:sz w:val="18"/>
                <w:szCs w:val="18"/>
              </w:rPr>
            </w:pPr>
            <w:r>
              <w:rPr>
                <w:sz w:val="18"/>
                <w:szCs w:val="18"/>
              </w:rPr>
              <w:t>9</w:t>
            </w:r>
          </w:p>
        </w:tc>
        <w:tc>
          <w:tcPr>
            <w:tcW w:w="379" w:type="dxa"/>
            <w:tcBorders/>
            <w:vAlign w:val="center"/>
          </w:tcPr>
          <w:p>
            <w:pPr>
              <w:pStyle w:val="Normal"/>
              <w:widowControl w:val="false"/>
              <w:snapToGrid w:val="false"/>
              <w:ind w:right="57" w:hanging="0"/>
              <w:jc w:val="right"/>
              <w:rPr>
                <w:sz w:val="18"/>
                <w:szCs w:val="18"/>
              </w:rPr>
            </w:pPr>
            <w:r>
              <w:rPr>
                <w:sz w:val="18"/>
                <w:szCs w:val="18"/>
              </w:rPr>
              <w:t>15</w:t>
            </w:r>
          </w:p>
        </w:tc>
        <w:tc>
          <w:tcPr>
            <w:tcW w:w="380" w:type="dxa"/>
            <w:tcBorders/>
            <w:vAlign w:val="center"/>
          </w:tcPr>
          <w:p>
            <w:pPr>
              <w:pStyle w:val="Normal"/>
              <w:widowControl w:val="false"/>
              <w:snapToGrid w:val="false"/>
              <w:ind w:right="57" w:hanging="0"/>
              <w:jc w:val="right"/>
              <w:rPr>
                <w:sz w:val="18"/>
                <w:szCs w:val="18"/>
              </w:rPr>
            </w:pPr>
            <w:r>
              <w:rPr>
                <w:sz w:val="18"/>
                <w:szCs w:val="18"/>
              </w:rPr>
              <w:t>16</w:t>
            </w:r>
          </w:p>
        </w:tc>
        <w:tc>
          <w:tcPr>
            <w:tcW w:w="372" w:type="dxa"/>
            <w:tcBorders/>
            <w:vAlign w:val="center"/>
          </w:tcPr>
          <w:p>
            <w:pPr>
              <w:pStyle w:val="Normal"/>
              <w:widowControl w:val="false"/>
              <w:snapToGrid w:val="false"/>
              <w:ind w:right="57" w:hanging="0"/>
              <w:jc w:val="right"/>
              <w:rPr>
                <w:sz w:val="18"/>
                <w:szCs w:val="18"/>
              </w:rPr>
            </w:pPr>
            <w:r>
              <w:rPr>
                <w:sz w:val="18"/>
                <w:szCs w:val="18"/>
              </w:rPr>
              <w:t>27</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眼科</w:t>
            </w:r>
          </w:p>
        </w:tc>
        <w:tc>
          <w:tcPr>
            <w:tcW w:w="487" w:type="dxa"/>
            <w:tcBorders/>
            <w:vAlign w:val="center"/>
          </w:tcPr>
          <w:p>
            <w:pPr>
              <w:pStyle w:val="Normal"/>
              <w:widowControl w:val="false"/>
              <w:snapToGrid w:val="false"/>
              <w:ind w:right="57" w:hanging="0"/>
              <w:jc w:val="right"/>
              <w:rPr>
                <w:sz w:val="18"/>
                <w:szCs w:val="18"/>
              </w:rPr>
            </w:pPr>
            <w:r>
              <w:rPr>
                <w:sz w:val="18"/>
                <w:szCs w:val="18"/>
              </w:rPr>
              <w:t>3 782</w:t>
            </w:r>
          </w:p>
        </w:tc>
        <w:tc>
          <w:tcPr>
            <w:tcW w:w="430" w:type="dxa"/>
            <w:tcBorders/>
            <w:vAlign w:val="center"/>
          </w:tcPr>
          <w:p>
            <w:pPr>
              <w:pStyle w:val="Normal"/>
              <w:widowControl w:val="false"/>
              <w:snapToGrid w:val="false"/>
              <w:ind w:right="57" w:hanging="0"/>
              <w:jc w:val="right"/>
              <w:rPr>
                <w:sz w:val="18"/>
                <w:szCs w:val="18"/>
              </w:rPr>
            </w:pPr>
            <w:r>
              <w:rPr>
                <w:sz w:val="18"/>
                <w:szCs w:val="18"/>
              </w:rPr>
              <w:t>36%</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1 642</w:t>
            </w:r>
          </w:p>
        </w:tc>
        <w:tc>
          <w:tcPr>
            <w:tcW w:w="475"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4</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5 020</w:t>
            </w:r>
          </w:p>
        </w:tc>
        <w:tc>
          <w:tcPr>
            <w:tcW w:w="452" w:type="dxa"/>
            <w:tcBorders/>
            <w:vAlign w:val="center"/>
          </w:tcPr>
          <w:p>
            <w:pPr>
              <w:pStyle w:val="Normal"/>
              <w:widowControl w:val="false"/>
              <w:snapToGrid w:val="false"/>
              <w:ind w:right="57" w:hanging="0"/>
              <w:jc w:val="right"/>
              <w:rPr>
                <w:sz w:val="18"/>
                <w:szCs w:val="18"/>
              </w:rPr>
            </w:pPr>
            <w:r>
              <w:rPr>
                <w:sz w:val="18"/>
                <w:szCs w:val="18"/>
              </w:rPr>
              <w:t>48%</w:t>
            </w:r>
          </w:p>
        </w:tc>
        <w:tc>
          <w:tcPr>
            <w:tcW w:w="451" w:type="dxa"/>
            <w:tcBorders/>
            <w:vAlign w:val="center"/>
          </w:tcPr>
          <w:p>
            <w:pPr>
              <w:pStyle w:val="Normal"/>
              <w:widowControl w:val="false"/>
              <w:snapToGrid w:val="false"/>
              <w:ind w:right="57" w:hanging="0"/>
              <w:jc w:val="right"/>
              <w:rPr>
                <w:sz w:val="18"/>
                <w:szCs w:val="18"/>
              </w:rPr>
            </w:pPr>
            <w:r>
              <w:rPr>
                <w:sz w:val="18"/>
                <w:szCs w:val="18"/>
              </w:rPr>
              <w:t>13</w:t>
            </w:r>
          </w:p>
        </w:tc>
        <w:tc>
          <w:tcPr>
            <w:tcW w:w="379"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18</w:t>
            </w:r>
          </w:p>
        </w:tc>
        <w:tc>
          <w:tcPr>
            <w:tcW w:w="372" w:type="dxa"/>
            <w:tcBorders/>
            <w:vAlign w:val="center"/>
          </w:tcPr>
          <w:p>
            <w:pPr>
              <w:pStyle w:val="Normal"/>
              <w:widowControl w:val="false"/>
              <w:snapToGrid w:val="false"/>
              <w:ind w:right="57" w:hanging="0"/>
              <w:jc w:val="right"/>
              <w:rPr>
                <w:sz w:val="18"/>
                <w:szCs w:val="18"/>
              </w:rPr>
            </w:pPr>
            <w:r>
              <w:rPr>
                <w:sz w:val="18"/>
                <w:szCs w:val="18"/>
              </w:rPr>
              <w:t>28</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ind w:right="57" w:hanging="0"/>
              <w:jc w:val="right"/>
              <w:rPr>
                <w:sz w:val="18"/>
                <w:szCs w:val="18"/>
              </w:rPr>
            </w:pPr>
            <w:r>
              <w:rPr>
                <w:sz w:val="18"/>
                <w:szCs w:val="18"/>
              </w:rPr>
              <w:t>821</w:t>
            </w:r>
          </w:p>
        </w:tc>
        <w:tc>
          <w:tcPr>
            <w:tcW w:w="430" w:type="dxa"/>
            <w:tcBorders/>
            <w:vAlign w:val="center"/>
          </w:tcPr>
          <w:p>
            <w:pPr>
              <w:pStyle w:val="Normal"/>
              <w:widowControl w:val="false"/>
              <w:snapToGrid w:val="false"/>
              <w:ind w:right="57" w:hanging="0"/>
              <w:jc w:val="right"/>
              <w:rPr>
                <w:sz w:val="18"/>
                <w:szCs w:val="18"/>
              </w:rPr>
            </w:pPr>
            <w:r>
              <w:rPr>
                <w:sz w:val="18"/>
                <w:szCs w:val="18"/>
              </w:rPr>
              <w:t>8%</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1 359</w:t>
            </w:r>
          </w:p>
        </w:tc>
        <w:tc>
          <w:tcPr>
            <w:tcW w:w="475" w:type="dxa"/>
            <w:tcBorders/>
            <w:vAlign w:val="center"/>
          </w:tcPr>
          <w:p>
            <w:pPr>
              <w:pStyle w:val="Normal"/>
              <w:widowControl w:val="false"/>
              <w:snapToGrid w:val="false"/>
              <w:ind w:right="57" w:hanging="0"/>
              <w:jc w:val="right"/>
              <w:rPr>
                <w:sz w:val="18"/>
                <w:szCs w:val="18"/>
              </w:rPr>
            </w:pPr>
            <w:r>
              <w:rPr>
                <w:sz w:val="18"/>
                <w:szCs w:val="18"/>
              </w:rPr>
              <w:t>13%</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6</w:t>
            </w:r>
          </w:p>
        </w:tc>
        <w:tc>
          <w:tcPr>
            <w:tcW w:w="620" w:type="dxa"/>
            <w:tcBorders/>
            <w:vAlign w:val="center"/>
          </w:tcPr>
          <w:p>
            <w:pPr>
              <w:pStyle w:val="Normal"/>
              <w:widowControl w:val="false"/>
              <w:snapToGrid w:val="false"/>
              <w:ind w:right="85" w:hanging="0"/>
              <w:jc w:val="right"/>
              <w:rPr>
                <w:sz w:val="18"/>
                <w:szCs w:val="18"/>
              </w:rPr>
            </w:pPr>
            <w:r>
              <w:rPr>
                <w:sz w:val="18"/>
                <w:szCs w:val="18"/>
              </w:rPr>
              <w:t>8 268</w:t>
            </w:r>
          </w:p>
        </w:tc>
        <w:tc>
          <w:tcPr>
            <w:tcW w:w="452" w:type="dxa"/>
            <w:tcBorders/>
            <w:vAlign w:val="center"/>
          </w:tcPr>
          <w:p>
            <w:pPr>
              <w:pStyle w:val="Normal"/>
              <w:widowControl w:val="false"/>
              <w:snapToGrid w:val="false"/>
              <w:ind w:right="57" w:hanging="0"/>
              <w:jc w:val="right"/>
              <w:rPr>
                <w:sz w:val="18"/>
                <w:szCs w:val="18"/>
              </w:rPr>
            </w:pPr>
            <w:r>
              <w:rPr>
                <w:sz w:val="18"/>
                <w:szCs w:val="18"/>
              </w:rPr>
              <w:t>79%</w:t>
            </w:r>
          </w:p>
        </w:tc>
        <w:tc>
          <w:tcPr>
            <w:tcW w:w="451"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15</w:t>
            </w:r>
          </w:p>
        </w:tc>
        <w:tc>
          <w:tcPr>
            <w:tcW w:w="380" w:type="dxa"/>
            <w:tcBorders/>
            <w:vAlign w:val="center"/>
          </w:tcPr>
          <w:p>
            <w:pPr>
              <w:pStyle w:val="Normal"/>
              <w:widowControl w:val="false"/>
              <w:snapToGrid w:val="false"/>
              <w:ind w:right="57" w:hanging="0"/>
              <w:jc w:val="right"/>
              <w:rPr>
                <w:sz w:val="18"/>
                <w:szCs w:val="18"/>
              </w:rPr>
            </w:pPr>
            <w:r>
              <w:rPr>
                <w:sz w:val="18"/>
                <w:szCs w:val="18"/>
              </w:rPr>
              <w:t>27</w:t>
            </w:r>
          </w:p>
        </w:tc>
        <w:tc>
          <w:tcPr>
            <w:tcW w:w="372" w:type="dxa"/>
            <w:tcBorders/>
            <w:vAlign w:val="center"/>
          </w:tcPr>
          <w:p>
            <w:pPr>
              <w:pStyle w:val="Normal"/>
              <w:widowControl w:val="false"/>
              <w:snapToGrid w:val="false"/>
              <w:ind w:right="57" w:hanging="0"/>
              <w:jc w:val="right"/>
              <w:rPr>
                <w:sz w:val="18"/>
                <w:szCs w:val="18"/>
              </w:rPr>
            </w:pPr>
            <w:r>
              <w:rPr>
                <w:sz w:val="18"/>
                <w:szCs w:val="18"/>
              </w:rPr>
              <w:t>50</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ind w:right="57" w:hanging="0"/>
              <w:jc w:val="right"/>
              <w:rPr>
                <w:sz w:val="18"/>
                <w:szCs w:val="18"/>
              </w:rPr>
            </w:pPr>
            <w:r>
              <w:rPr>
                <w:sz w:val="18"/>
                <w:szCs w:val="18"/>
              </w:rPr>
              <w:t>341</w:t>
            </w:r>
          </w:p>
        </w:tc>
        <w:tc>
          <w:tcPr>
            <w:tcW w:w="430" w:type="dxa"/>
            <w:tcBorders/>
            <w:vAlign w:val="center"/>
          </w:tcPr>
          <w:p>
            <w:pPr>
              <w:pStyle w:val="Normal"/>
              <w:widowControl w:val="false"/>
              <w:snapToGrid w:val="false"/>
              <w:ind w:right="57" w:hanging="0"/>
              <w:jc w:val="right"/>
              <w:rPr>
                <w:sz w:val="18"/>
                <w:szCs w:val="18"/>
              </w:rPr>
            </w:pPr>
            <w:r>
              <w:rPr>
                <w:sz w:val="18"/>
                <w:szCs w:val="18"/>
              </w:rPr>
              <w:t>14%</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797</w:t>
            </w:r>
          </w:p>
        </w:tc>
        <w:tc>
          <w:tcPr>
            <w:tcW w:w="475" w:type="dxa"/>
            <w:tcBorders/>
            <w:vAlign w:val="center"/>
          </w:tcPr>
          <w:p>
            <w:pPr>
              <w:pStyle w:val="Normal"/>
              <w:widowControl w:val="false"/>
              <w:snapToGrid w:val="false"/>
              <w:ind w:right="57" w:hanging="0"/>
              <w:jc w:val="right"/>
              <w:rPr>
                <w:sz w:val="18"/>
                <w:szCs w:val="18"/>
              </w:rPr>
            </w:pPr>
            <w:r>
              <w:rPr>
                <w:sz w:val="18"/>
                <w:szCs w:val="18"/>
              </w:rPr>
              <w:t>34%</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620" w:type="dxa"/>
            <w:tcBorders/>
            <w:vAlign w:val="center"/>
          </w:tcPr>
          <w:p>
            <w:pPr>
              <w:pStyle w:val="Normal"/>
              <w:widowControl w:val="false"/>
              <w:snapToGrid w:val="false"/>
              <w:ind w:right="85" w:hanging="0"/>
              <w:jc w:val="right"/>
              <w:rPr>
                <w:sz w:val="18"/>
                <w:szCs w:val="18"/>
              </w:rPr>
            </w:pPr>
            <w:r>
              <w:rPr>
                <w:sz w:val="18"/>
                <w:szCs w:val="18"/>
              </w:rPr>
              <w:t>1 216</w:t>
            </w:r>
          </w:p>
        </w:tc>
        <w:tc>
          <w:tcPr>
            <w:tcW w:w="452" w:type="dxa"/>
            <w:tcBorders/>
            <w:vAlign w:val="center"/>
          </w:tcPr>
          <w:p>
            <w:pPr>
              <w:pStyle w:val="Normal"/>
              <w:widowControl w:val="false"/>
              <w:snapToGrid w:val="false"/>
              <w:ind w:right="57" w:hanging="0"/>
              <w:jc w:val="right"/>
              <w:rPr>
                <w:sz w:val="18"/>
                <w:szCs w:val="18"/>
              </w:rPr>
            </w:pPr>
            <w:r>
              <w:rPr>
                <w:sz w:val="18"/>
                <w:szCs w:val="18"/>
              </w:rPr>
              <w:t>52%</w:t>
            </w:r>
          </w:p>
        </w:tc>
        <w:tc>
          <w:tcPr>
            <w:tcW w:w="451" w:type="dxa"/>
            <w:tcBorders/>
            <w:vAlign w:val="center"/>
          </w:tcPr>
          <w:p>
            <w:pPr>
              <w:pStyle w:val="Normal"/>
              <w:widowControl w:val="false"/>
              <w:snapToGrid w:val="false"/>
              <w:ind w:right="57" w:hanging="0"/>
              <w:jc w:val="right"/>
              <w:rPr>
                <w:sz w:val="18"/>
                <w:szCs w:val="18"/>
              </w:rPr>
            </w:pPr>
            <w:r>
              <w:rPr>
                <w:sz w:val="18"/>
                <w:szCs w:val="18"/>
              </w:rPr>
              <w:t>13</w:t>
            </w:r>
          </w:p>
        </w:tc>
        <w:tc>
          <w:tcPr>
            <w:tcW w:w="379" w:type="dxa"/>
            <w:tcBorders/>
            <w:vAlign w:val="center"/>
          </w:tcPr>
          <w:p>
            <w:pPr>
              <w:pStyle w:val="Normal"/>
              <w:widowControl w:val="false"/>
              <w:snapToGrid w:val="false"/>
              <w:ind w:right="57" w:hanging="0"/>
              <w:jc w:val="right"/>
              <w:rPr>
                <w:sz w:val="18"/>
                <w:szCs w:val="18"/>
              </w:rPr>
            </w:pPr>
            <w:r>
              <w:rPr>
                <w:sz w:val="18"/>
                <w:szCs w:val="18"/>
              </w:rPr>
              <w:t>18</w:t>
            </w:r>
          </w:p>
        </w:tc>
        <w:tc>
          <w:tcPr>
            <w:tcW w:w="380" w:type="dxa"/>
            <w:tcBorders/>
            <w:vAlign w:val="center"/>
          </w:tcPr>
          <w:p>
            <w:pPr>
              <w:pStyle w:val="Normal"/>
              <w:widowControl w:val="false"/>
              <w:snapToGrid w:val="false"/>
              <w:ind w:right="57" w:hanging="0"/>
              <w:jc w:val="right"/>
              <w:rPr>
                <w:sz w:val="18"/>
                <w:szCs w:val="18"/>
              </w:rPr>
            </w:pPr>
            <w:r>
              <w:rPr>
                <w:sz w:val="18"/>
                <w:szCs w:val="18"/>
              </w:rPr>
              <w:t>20</w:t>
            </w:r>
          </w:p>
        </w:tc>
        <w:tc>
          <w:tcPr>
            <w:tcW w:w="372" w:type="dxa"/>
            <w:tcBorders/>
            <w:vAlign w:val="center"/>
          </w:tcPr>
          <w:p>
            <w:pPr>
              <w:pStyle w:val="Normal"/>
              <w:widowControl w:val="false"/>
              <w:snapToGrid w:val="false"/>
              <w:ind w:right="57" w:hanging="0"/>
              <w:jc w:val="right"/>
              <w:rPr>
                <w:sz w:val="18"/>
                <w:szCs w:val="18"/>
              </w:rPr>
            </w:pPr>
            <w:r>
              <w:rPr>
                <w:sz w:val="18"/>
                <w:szCs w:val="18"/>
              </w:rPr>
              <w:t>21</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精神科</w:t>
            </w:r>
          </w:p>
        </w:tc>
        <w:tc>
          <w:tcPr>
            <w:tcW w:w="487" w:type="dxa"/>
            <w:tcBorders/>
            <w:vAlign w:val="center"/>
          </w:tcPr>
          <w:p>
            <w:pPr>
              <w:pStyle w:val="Normal"/>
              <w:widowControl w:val="false"/>
              <w:snapToGrid w:val="false"/>
              <w:ind w:right="57" w:hanging="0"/>
              <w:jc w:val="right"/>
              <w:rPr>
                <w:sz w:val="18"/>
                <w:szCs w:val="18"/>
              </w:rPr>
            </w:pPr>
            <w:r>
              <w:rPr>
                <w:sz w:val="18"/>
                <w:szCs w:val="18"/>
              </w:rPr>
              <w:t>280</w:t>
            </w:r>
          </w:p>
        </w:tc>
        <w:tc>
          <w:tcPr>
            <w:tcW w:w="430" w:type="dxa"/>
            <w:tcBorders/>
            <w:vAlign w:val="center"/>
          </w:tcPr>
          <w:p>
            <w:pPr>
              <w:pStyle w:val="Normal"/>
              <w:widowControl w:val="false"/>
              <w:snapToGrid w:val="false"/>
              <w:ind w:right="57" w:hanging="0"/>
              <w:jc w:val="right"/>
              <w:rPr>
                <w:sz w:val="18"/>
                <w:szCs w:val="18"/>
              </w:rPr>
            </w:pPr>
            <w:r>
              <w:rPr>
                <w:sz w:val="18"/>
                <w:szCs w:val="18"/>
              </w:rPr>
              <w:t>7%</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448</w:t>
            </w:r>
          </w:p>
        </w:tc>
        <w:tc>
          <w:tcPr>
            <w:tcW w:w="475" w:type="dxa"/>
            <w:tcBorders/>
            <w:vAlign w:val="center"/>
          </w:tcPr>
          <w:p>
            <w:pPr>
              <w:pStyle w:val="Normal"/>
              <w:widowControl w:val="false"/>
              <w:snapToGrid w:val="false"/>
              <w:ind w:right="57" w:hanging="0"/>
              <w:jc w:val="right"/>
              <w:rPr>
                <w:sz w:val="18"/>
                <w:szCs w:val="18"/>
              </w:rPr>
            </w:pPr>
            <w:r>
              <w:rPr>
                <w:sz w:val="18"/>
                <w:szCs w:val="18"/>
              </w:rPr>
              <w:t>11%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4</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620" w:type="dxa"/>
            <w:tcBorders/>
            <w:vAlign w:val="center"/>
          </w:tcPr>
          <w:p>
            <w:pPr>
              <w:pStyle w:val="Normal"/>
              <w:widowControl w:val="false"/>
              <w:snapToGrid w:val="false"/>
              <w:ind w:right="85" w:hanging="0"/>
              <w:jc w:val="right"/>
              <w:rPr>
                <w:sz w:val="18"/>
                <w:szCs w:val="18"/>
              </w:rPr>
            </w:pPr>
            <w:r>
              <w:rPr>
                <w:sz w:val="18"/>
                <w:szCs w:val="18"/>
              </w:rPr>
              <w:t>3 253</w:t>
            </w:r>
          </w:p>
        </w:tc>
        <w:tc>
          <w:tcPr>
            <w:tcW w:w="452" w:type="dxa"/>
            <w:tcBorders/>
            <w:vAlign w:val="center"/>
          </w:tcPr>
          <w:p>
            <w:pPr>
              <w:pStyle w:val="Normal"/>
              <w:widowControl w:val="false"/>
              <w:snapToGrid w:val="false"/>
              <w:ind w:right="57" w:hanging="0"/>
              <w:jc w:val="right"/>
              <w:rPr>
                <w:sz w:val="18"/>
                <w:szCs w:val="18"/>
              </w:rPr>
            </w:pPr>
            <w:r>
              <w:rPr>
                <w:sz w:val="18"/>
                <w:szCs w:val="18"/>
              </w:rPr>
              <w:t>82%</w:t>
            </w:r>
          </w:p>
        </w:tc>
        <w:tc>
          <w:tcPr>
            <w:tcW w:w="451"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380" w:type="dxa"/>
            <w:tcBorders/>
            <w:vAlign w:val="center"/>
          </w:tcPr>
          <w:p>
            <w:pPr>
              <w:pStyle w:val="Normal"/>
              <w:widowControl w:val="false"/>
              <w:snapToGrid w:val="false"/>
              <w:ind w:right="57" w:hanging="0"/>
              <w:jc w:val="right"/>
              <w:rPr>
                <w:sz w:val="18"/>
                <w:szCs w:val="18"/>
              </w:rPr>
            </w:pPr>
            <w:r>
              <w:rPr>
                <w:sz w:val="18"/>
                <w:szCs w:val="18"/>
              </w:rPr>
              <w:t>20</w:t>
            </w:r>
          </w:p>
        </w:tc>
        <w:tc>
          <w:tcPr>
            <w:tcW w:w="372" w:type="dxa"/>
            <w:tcBorders/>
            <w:vAlign w:val="center"/>
          </w:tcPr>
          <w:p>
            <w:pPr>
              <w:pStyle w:val="Normal"/>
              <w:widowControl w:val="false"/>
              <w:snapToGrid w:val="false"/>
              <w:ind w:right="57" w:hanging="0"/>
              <w:jc w:val="right"/>
              <w:rPr>
                <w:sz w:val="18"/>
                <w:szCs w:val="18"/>
              </w:rPr>
            </w:pPr>
            <w:r>
              <w:rPr>
                <w:sz w:val="18"/>
                <w:szCs w:val="18"/>
              </w:rPr>
              <w:t>60</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外科</w:t>
            </w:r>
          </w:p>
        </w:tc>
        <w:tc>
          <w:tcPr>
            <w:tcW w:w="487" w:type="dxa"/>
            <w:tcBorders/>
            <w:vAlign w:val="center"/>
          </w:tcPr>
          <w:p>
            <w:pPr>
              <w:pStyle w:val="Normal"/>
              <w:widowControl w:val="false"/>
              <w:snapToGrid w:val="false"/>
              <w:ind w:right="57" w:hanging="0"/>
              <w:jc w:val="right"/>
              <w:rPr>
                <w:sz w:val="18"/>
                <w:szCs w:val="18"/>
              </w:rPr>
            </w:pPr>
            <w:r>
              <w:rPr>
                <w:sz w:val="18"/>
                <w:szCs w:val="18"/>
              </w:rPr>
              <w:t>2 171</w:t>
            </w:r>
          </w:p>
        </w:tc>
        <w:tc>
          <w:tcPr>
            <w:tcW w:w="430"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537" w:type="dxa"/>
            <w:tcBorders/>
            <w:vAlign w:val="center"/>
          </w:tcPr>
          <w:p>
            <w:pPr>
              <w:pStyle w:val="Normal"/>
              <w:widowControl w:val="false"/>
              <w:snapToGrid w:val="false"/>
              <w:ind w:right="85" w:hanging="0"/>
              <w:jc w:val="right"/>
              <w:rPr>
                <w:sz w:val="18"/>
                <w:szCs w:val="18"/>
              </w:rPr>
            </w:pPr>
            <w:r>
              <w:rPr>
                <w:sz w:val="18"/>
                <w:szCs w:val="18"/>
              </w:rPr>
              <w:t>2 399</w:t>
            </w:r>
          </w:p>
        </w:tc>
        <w:tc>
          <w:tcPr>
            <w:tcW w:w="475" w:type="dxa"/>
            <w:tcBorders/>
            <w:vAlign w:val="center"/>
          </w:tcPr>
          <w:p>
            <w:pPr>
              <w:pStyle w:val="Normal"/>
              <w:widowControl w:val="false"/>
              <w:snapToGrid w:val="false"/>
              <w:ind w:right="57" w:hanging="0"/>
              <w:jc w:val="right"/>
              <w:rPr>
                <w:sz w:val="18"/>
                <w:szCs w:val="18"/>
              </w:rPr>
            </w:pPr>
            <w:r>
              <w:rPr>
                <w:sz w:val="18"/>
                <w:szCs w:val="18"/>
              </w:rPr>
              <w:t>17%</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378"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8</w:t>
            </w:r>
          </w:p>
        </w:tc>
        <w:tc>
          <w:tcPr>
            <w:tcW w:w="620" w:type="dxa"/>
            <w:tcBorders/>
            <w:vAlign w:val="center"/>
          </w:tcPr>
          <w:p>
            <w:pPr>
              <w:pStyle w:val="Normal"/>
              <w:widowControl w:val="false"/>
              <w:snapToGrid w:val="false"/>
              <w:ind w:right="85" w:hanging="0"/>
              <w:jc w:val="right"/>
              <w:rPr>
                <w:sz w:val="18"/>
                <w:szCs w:val="18"/>
              </w:rPr>
            </w:pPr>
            <w:r>
              <w:rPr>
                <w:sz w:val="18"/>
                <w:szCs w:val="18"/>
              </w:rPr>
              <w:t>9 122</w:t>
            </w:r>
          </w:p>
        </w:tc>
        <w:tc>
          <w:tcPr>
            <w:tcW w:w="452" w:type="dxa"/>
            <w:tcBorders/>
            <w:vAlign w:val="center"/>
          </w:tcPr>
          <w:p>
            <w:pPr>
              <w:pStyle w:val="Normal"/>
              <w:widowControl w:val="false"/>
              <w:snapToGrid w:val="false"/>
              <w:ind w:right="57" w:hanging="0"/>
              <w:jc w:val="right"/>
              <w:rPr>
                <w:sz w:val="18"/>
                <w:szCs w:val="18"/>
              </w:rPr>
            </w:pPr>
            <w:r>
              <w:rPr>
                <w:sz w:val="18"/>
                <w:szCs w:val="18"/>
              </w:rPr>
              <w:t>67%</w:t>
            </w:r>
          </w:p>
        </w:tc>
        <w:tc>
          <w:tcPr>
            <w:tcW w:w="451"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20</w:t>
            </w:r>
          </w:p>
        </w:tc>
        <w:tc>
          <w:tcPr>
            <w:tcW w:w="380" w:type="dxa"/>
            <w:tcBorders/>
            <w:vAlign w:val="center"/>
          </w:tcPr>
          <w:p>
            <w:pPr>
              <w:pStyle w:val="Normal"/>
              <w:widowControl w:val="false"/>
              <w:snapToGrid w:val="false"/>
              <w:ind w:right="57" w:hanging="0"/>
              <w:jc w:val="right"/>
              <w:rPr>
                <w:sz w:val="18"/>
                <w:szCs w:val="18"/>
              </w:rPr>
            </w:pPr>
            <w:r>
              <w:rPr>
                <w:sz w:val="18"/>
                <w:szCs w:val="18"/>
              </w:rPr>
              <w:t>48</w:t>
            </w:r>
          </w:p>
        </w:tc>
        <w:tc>
          <w:tcPr>
            <w:tcW w:w="372" w:type="dxa"/>
            <w:tcBorders/>
            <w:vAlign w:val="center"/>
          </w:tcPr>
          <w:p>
            <w:pPr>
              <w:pStyle w:val="Normal"/>
              <w:widowControl w:val="false"/>
              <w:snapToGrid w:val="false"/>
              <w:ind w:right="57" w:hanging="0"/>
              <w:jc w:val="right"/>
              <w:rPr>
                <w:sz w:val="18"/>
                <w:szCs w:val="18"/>
              </w:rPr>
            </w:pPr>
            <w:r>
              <w:rPr>
                <w:sz w:val="18"/>
                <w:szCs w:val="18"/>
              </w:rPr>
              <w:t>81</w:t>
            </w:r>
          </w:p>
        </w:tc>
      </w:tr>
      <w:tr>
        <w:trPr>
          <w:cantSplit w:val="true"/>
        </w:trPr>
        <w:tc>
          <w:tcPr>
            <w:tcW w:w="576" w:type="dxa"/>
            <w:vMerge w:val="restart"/>
            <w:tcBorders/>
            <w:vAlign w:val="center"/>
          </w:tcPr>
          <w:p>
            <w:pPr>
              <w:pStyle w:val="F21"/>
              <w:tabs>
                <w:tab w:val="left" w:pos="480" w:leader="none"/>
                <w:tab w:val="left" w:pos="567" w:leader="none"/>
              </w:tabs>
              <w:snapToGrid w:val="false"/>
              <w:spacing w:lineRule="atLeast" w:line="340"/>
              <w:jc w:val="center"/>
              <w:rPr>
                <w:spacing w:val="0"/>
                <w:sz w:val="18"/>
                <w:szCs w:val="18"/>
              </w:rPr>
            </w:pPr>
            <w:r>
              <w:rPr>
                <w:spacing w:val="0"/>
                <w:sz w:val="18"/>
                <w:szCs w:val="18"/>
              </w:rPr>
              <w:t>九龍中</w:t>
            </w:r>
          </w:p>
        </w:tc>
        <w:tc>
          <w:tcPr>
            <w:tcW w:w="1023" w:type="dxa"/>
            <w:tcBorders/>
            <w:vAlign w:val="center"/>
          </w:tcPr>
          <w:p>
            <w:pPr>
              <w:pStyle w:val="Normal"/>
              <w:widowControl w:val="false"/>
              <w:snapToGrid w:val="false"/>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ind w:right="57" w:hanging="0"/>
              <w:jc w:val="right"/>
              <w:rPr>
                <w:sz w:val="18"/>
                <w:szCs w:val="18"/>
              </w:rPr>
            </w:pPr>
            <w:r>
              <w:rPr>
                <w:sz w:val="18"/>
                <w:szCs w:val="18"/>
              </w:rPr>
              <w:t>1 271</w:t>
            </w:r>
          </w:p>
        </w:tc>
        <w:tc>
          <w:tcPr>
            <w:tcW w:w="430" w:type="dxa"/>
            <w:tcBorders/>
            <w:vAlign w:val="center"/>
          </w:tcPr>
          <w:p>
            <w:pPr>
              <w:pStyle w:val="Normal"/>
              <w:widowControl w:val="false"/>
              <w:snapToGrid w:val="false"/>
              <w:ind w:right="57" w:hanging="0"/>
              <w:jc w:val="right"/>
              <w:rPr>
                <w:sz w:val="18"/>
                <w:szCs w:val="18"/>
              </w:rPr>
            </w:pPr>
            <w:r>
              <w:rPr>
                <w:sz w:val="18"/>
                <w:szCs w:val="18"/>
              </w:rPr>
              <w:t>9%</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537" w:type="dxa"/>
            <w:tcBorders/>
            <w:vAlign w:val="center"/>
          </w:tcPr>
          <w:p>
            <w:pPr>
              <w:pStyle w:val="Normal"/>
              <w:widowControl w:val="false"/>
              <w:snapToGrid w:val="false"/>
              <w:ind w:right="85" w:hanging="0"/>
              <w:jc w:val="right"/>
              <w:rPr>
                <w:sz w:val="18"/>
                <w:szCs w:val="18"/>
              </w:rPr>
            </w:pPr>
            <w:r>
              <w:rPr>
                <w:sz w:val="18"/>
                <w:szCs w:val="18"/>
              </w:rPr>
              <w:t>1 223</w:t>
            </w:r>
          </w:p>
        </w:tc>
        <w:tc>
          <w:tcPr>
            <w:tcW w:w="475" w:type="dxa"/>
            <w:tcBorders/>
            <w:vAlign w:val="center"/>
          </w:tcPr>
          <w:p>
            <w:pPr>
              <w:pStyle w:val="Normal"/>
              <w:widowControl w:val="false"/>
              <w:snapToGrid w:val="false"/>
              <w:ind w:right="57" w:hanging="0"/>
              <w:jc w:val="right"/>
              <w:rPr>
                <w:sz w:val="18"/>
                <w:szCs w:val="18"/>
              </w:rPr>
            </w:pPr>
            <w:r>
              <w:rPr>
                <w:sz w:val="18"/>
                <w:szCs w:val="18"/>
              </w:rPr>
              <w:t>8%</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8"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2</w:t>
            </w:r>
          </w:p>
        </w:tc>
        <w:tc>
          <w:tcPr>
            <w:tcW w:w="620" w:type="dxa"/>
            <w:tcBorders/>
            <w:vAlign w:val="center"/>
          </w:tcPr>
          <w:p>
            <w:pPr>
              <w:pStyle w:val="Normal"/>
              <w:widowControl w:val="false"/>
              <w:snapToGrid w:val="false"/>
              <w:ind w:right="85" w:hanging="0"/>
              <w:jc w:val="right"/>
              <w:rPr>
                <w:sz w:val="18"/>
                <w:szCs w:val="18"/>
              </w:rPr>
            </w:pPr>
            <w:r>
              <w:rPr>
                <w:sz w:val="18"/>
                <w:szCs w:val="18"/>
              </w:rPr>
              <w:t>12 110</w:t>
            </w:r>
          </w:p>
        </w:tc>
        <w:tc>
          <w:tcPr>
            <w:tcW w:w="452" w:type="dxa"/>
            <w:tcBorders/>
            <w:vAlign w:val="center"/>
          </w:tcPr>
          <w:p>
            <w:pPr>
              <w:pStyle w:val="Normal"/>
              <w:widowControl w:val="false"/>
              <w:snapToGrid w:val="false"/>
              <w:ind w:right="57" w:hanging="0"/>
              <w:jc w:val="right"/>
              <w:rPr>
                <w:sz w:val="18"/>
                <w:szCs w:val="18"/>
              </w:rPr>
            </w:pPr>
            <w:r>
              <w:rPr>
                <w:sz w:val="18"/>
                <w:szCs w:val="18"/>
              </w:rPr>
              <w:t>83%</w:t>
            </w:r>
          </w:p>
        </w:tc>
        <w:tc>
          <w:tcPr>
            <w:tcW w:w="451"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9</w:t>
            </w:r>
          </w:p>
        </w:tc>
        <w:tc>
          <w:tcPr>
            <w:tcW w:w="380" w:type="dxa"/>
            <w:tcBorders/>
            <w:vAlign w:val="center"/>
          </w:tcPr>
          <w:p>
            <w:pPr>
              <w:pStyle w:val="Normal"/>
              <w:widowControl w:val="false"/>
              <w:snapToGrid w:val="false"/>
              <w:ind w:right="57" w:hanging="0"/>
              <w:jc w:val="right"/>
              <w:rPr>
                <w:sz w:val="18"/>
                <w:szCs w:val="18"/>
              </w:rPr>
            </w:pPr>
            <w:r>
              <w:rPr>
                <w:sz w:val="18"/>
                <w:szCs w:val="18"/>
              </w:rPr>
              <w:t>12</w:t>
            </w:r>
          </w:p>
        </w:tc>
        <w:tc>
          <w:tcPr>
            <w:tcW w:w="372" w:type="dxa"/>
            <w:tcBorders/>
            <w:vAlign w:val="center"/>
          </w:tcPr>
          <w:p>
            <w:pPr>
              <w:pStyle w:val="Normal"/>
              <w:widowControl w:val="false"/>
              <w:snapToGrid w:val="false"/>
              <w:ind w:right="57" w:hanging="0"/>
              <w:jc w:val="right"/>
              <w:rPr>
                <w:sz w:val="18"/>
                <w:szCs w:val="18"/>
              </w:rPr>
            </w:pPr>
            <w:r>
              <w:rPr>
                <w:sz w:val="18"/>
                <w:szCs w:val="18"/>
              </w:rPr>
              <w:t>16</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內科</w:t>
            </w:r>
          </w:p>
        </w:tc>
        <w:tc>
          <w:tcPr>
            <w:tcW w:w="487" w:type="dxa"/>
            <w:tcBorders/>
            <w:vAlign w:val="center"/>
          </w:tcPr>
          <w:p>
            <w:pPr>
              <w:pStyle w:val="Normal"/>
              <w:widowControl w:val="false"/>
              <w:snapToGrid w:val="false"/>
              <w:ind w:right="57" w:hanging="0"/>
              <w:jc w:val="right"/>
              <w:rPr>
                <w:sz w:val="18"/>
                <w:szCs w:val="18"/>
              </w:rPr>
            </w:pPr>
            <w:r>
              <w:rPr>
                <w:sz w:val="18"/>
                <w:szCs w:val="18"/>
              </w:rPr>
              <w:t>1 736</w:t>
            </w:r>
          </w:p>
        </w:tc>
        <w:tc>
          <w:tcPr>
            <w:tcW w:w="430" w:type="dxa"/>
            <w:tcBorders/>
            <w:vAlign w:val="center"/>
          </w:tcPr>
          <w:p>
            <w:pPr>
              <w:pStyle w:val="Normal"/>
              <w:widowControl w:val="false"/>
              <w:snapToGrid w:val="false"/>
              <w:ind w:right="57" w:hanging="0"/>
              <w:jc w:val="right"/>
              <w:rPr>
                <w:sz w:val="18"/>
                <w:szCs w:val="18"/>
              </w:rPr>
            </w:pPr>
            <w:r>
              <w:rPr>
                <w:sz w:val="18"/>
                <w:szCs w:val="18"/>
              </w:rPr>
              <w:t>15%</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1 426</w:t>
            </w:r>
          </w:p>
        </w:tc>
        <w:tc>
          <w:tcPr>
            <w:tcW w:w="475" w:type="dxa"/>
            <w:tcBorders/>
            <w:vAlign w:val="center"/>
          </w:tcPr>
          <w:p>
            <w:pPr>
              <w:pStyle w:val="Normal"/>
              <w:widowControl w:val="false"/>
              <w:snapToGrid w:val="false"/>
              <w:ind w:right="57" w:hanging="0"/>
              <w:jc w:val="right"/>
              <w:rPr>
                <w:sz w:val="18"/>
                <w:szCs w:val="18"/>
              </w:rPr>
            </w:pPr>
            <w:r>
              <w:rPr>
                <w:sz w:val="18"/>
                <w:szCs w:val="18"/>
              </w:rPr>
              <w:t>12%</w:t>
            </w:r>
          </w:p>
        </w:tc>
        <w:tc>
          <w:tcPr>
            <w:tcW w:w="380" w:type="dxa"/>
            <w:tcBorders/>
            <w:vAlign w:val="center"/>
          </w:tcPr>
          <w:p>
            <w:pPr>
              <w:pStyle w:val="Normal"/>
              <w:widowControl w:val="false"/>
              <w:snapToGrid w:val="false"/>
              <w:ind w:right="57" w:hanging="0"/>
              <w:jc w:val="right"/>
              <w:rPr>
                <w:sz w:val="18"/>
                <w:szCs w:val="18"/>
              </w:rPr>
            </w:pPr>
            <w:r>
              <w:rPr>
                <w:sz w:val="18"/>
                <w:szCs w:val="18"/>
              </w:rPr>
              <w:t>4</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8 328</w:t>
            </w:r>
          </w:p>
        </w:tc>
        <w:tc>
          <w:tcPr>
            <w:tcW w:w="452" w:type="dxa"/>
            <w:tcBorders/>
            <w:vAlign w:val="center"/>
          </w:tcPr>
          <w:p>
            <w:pPr>
              <w:pStyle w:val="Normal"/>
              <w:widowControl w:val="false"/>
              <w:snapToGrid w:val="false"/>
              <w:ind w:right="57" w:hanging="0"/>
              <w:jc w:val="right"/>
              <w:rPr>
                <w:sz w:val="18"/>
                <w:szCs w:val="18"/>
              </w:rPr>
            </w:pPr>
            <w:r>
              <w:rPr>
                <w:sz w:val="18"/>
                <w:szCs w:val="18"/>
              </w:rPr>
              <w:t>72%</w:t>
            </w:r>
          </w:p>
        </w:tc>
        <w:tc>
          <w:tcPr>
            <w:tcW w:w="451" w:type="dxa"/>
            <w:tcBorders/>
            <w:vAlign w:val="center"/>
          </w:tcPr>
          <w:p>
            <w:pPr>
              <w:pStyle w:val="Normal"/>
              <w:widowControl w:val="false"/>
              <w:snapToGrid w:val="false"/>
              <w:ind w:right="57" w:hanging="0"/>
              <w:jc w:val="right"/>
              <w:rPr>
                <w:sz w:val="18"/>
                <w:szCs w:val="18"/>
              </w:rPr>
            </w:pPr>
            <w:r>
              <w:rPr>
                <w:sz w:val="18"/>
                <w:szCs w:val="18"/>
              </w:rPr>
              <w:t>14</w:t>
            </w:r>
          </w:p>
        </w:tc>
        <w:tc>
          <w:tcPr>
            <w:tcW w:w="379" w:type="dxa"/>
            <w:tcBorders/>
            <w:vAlign w:val="center"/>
          </w:tcPr>
          <w:p>
            <w:pPr>
              <w:pStyle w:val="Normal"/>
              <w:widowControl w:val="false"/>
              <w:snapToGrid w:val="false"/>
              <w:ind w:right="57" w:hanging="0"/>
              <w:jc w:val="right"/>
              <w:rPr>
                <w:sz w:val="18"/>
                <w:szCs w:val="18"/>
              </w:rPr>
            </w:pPr>
            <w:r>
              <w:rPr>
                <w:sz w:val="18"/>
                <w:szCs w:val="18"/>
              </w:rPr>
              <w:t>25</w:t>
            </w:r>
          </w:p>
        </w:tc>
        <w:tc>
          <w:tcPr>
            <w:tcW w:w="380" w:type="dxa"/>
            <w:tcBorders/>
            <w:vAlign w:val="center"/>
          </w:tcPr>
          <w:p>
            <w:pPr>
              <w:pStyle w:val="Normal"/>
              <w:widowControl w:val="false"/>
              <w:snapToGrid w:val="false"/>
              <w:ind w:right="57" w:hanging="0"/>
              <w:jc w:val="right"/>
              <w:rPr>
                <w:sz w:val="18"/>
                <w:szCs w:val="18"/>
              </w:rPr>
            </w:pPr>
            <w:r>
              <w:rPr>
                <w:sz w:val="18"/>
                <w:szCs w:val="18"/>
              </w:rPr>
              <w:t>32</w:t>
            </w:r>
          </w:p>
        </w:tc>
        <w:tc>
          <w:tcPr>
            <w:tcW w:w="372" w:type="dxa"/>
            <w:tcBorders/>
            <w:vAlign w:val="center"/>
          </w:tcPr>
          <w:p>
            <w:pPr>
              <w:pStyle w:val="Normal"/>
              <w:widowControl w:val="false"/>
              <w:snapToGrid w:val="false"/>
              <w:ind w:right="57" w:hanging="0"/>
              <w:jc w:val="right"/>
              <w:rPr>
                <w:sz w:val="18"/>
                <w:szCs w:val="18"/>
              </w:rPr>
            </w:pPr>
            <w:r>
              <w:rPr>
                <w:sz w:val="18"/>
                <w:szCs w:val="18"/>
              </w:rPr>
              <w:t>67</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婦科</w:t>
            </w:r>
          </w:p>
        </w:tc>
        <w:tc>
          <w:tcPr>
            <w:tcW w:w="487" w:type="dxa"/>
            <w:tcBorders/>
            <w:vAlign w:val="center"/>
          </w:tcPr>
          <w:p>
            <w:pPr>
              <w:pStyle w:val="Normal"/>
              <w:widowControl w:val="false"/>
              <w:snapToGrid w:val="false"/>
              <w:ind w:right="57" w:hanging="0"/>
              <w:jc w:val="right"/>
              <w:rPr>
                <w:sz w:val="18"/>
                <w:szCs w:val="18"/>
              </w:rPr>
            </w:pPr>
            <w:r>
              <w:rPr>
                <w:sz w:val="18"/>
                <w:szCs w:val="18"/>
              </w:rPr>
              <w:t>385</w:t>
            </w:r>
          </w:p>
        </w:tc>
        <w:tc>
          <w:tcPr>
            <w:tcW w:w="430" w:type="dxa"/>
            <w:tcBorders/>
            <w:vAlign w:val="center"/>
          </w:tcPr>
          <w:p>
            <w:pPr>
              <w:pStyle w:val="Normal"/>
              <w:widowControl w:val="false"/>
              <w:snapToGrid w:val="false"/>
              <w:ind w:right="57" w:hanging="0"/>
              <w:jc w:val="right"/>
              <w:rPr>
                <w:sz w:val="18"/>
                <w:szCs w:val="18"/>
              </w:rPr>
            </w:pPr>
            <w:r>
              <w:rPr>
                <w:sz w:val="18"/>
                <w:szCs w:val="18"/>
              </w:rPr>
              <w:t>7%</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1 860</w:t>
            </w:r>
          </w:p>
        </w:tc>
        <w:tc>
          <w:tcPr>
            <w:tcW w:w="475" w:type="dxa"/>
            <w:tcBorders/>
            <w:vAlign w:val="center"/>
          </w:tcPr>
          <w:p>
            <w:pPr>
              <w:pStyle w:val="Normal"/>
              <w:widowControl w:val="false"/>
              <w:snapToGrid w:val="false"/>
              <w:ind w:right="57" w:hanging="0"/>
              <w:jc w:val="right"/>
              <w:rPr>
                <w:sz w:val="18"/>
                <w:szCs w:val="18"/>
              </w:rPr>
            </w:pPr>
            <w:r>
              <w:rPr>
                <w:sz w:val="18"/>
                <w:szCs w:val="18"/>
              </w:rPr>
              <w:t>35%</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4</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6</w:t>
            </w:r>
          </w:p>
        </w:tc>
        <w:tc>
          <w:tcPr>
            <w:tcW w:w="620" w:type="dxa"/>
            <w:tcBorders/>
            <w:vAlign w:val="center"/>
          </w:tcPr>
          <w:p>
            <w:pPr>
              <w:pStyle w:val="Normal"/>
              <w:widowControl w:val="false"/>
              <w:snapToGrid w:val="false"/>
              <w:ind w:right="85" w:hanging="0"/>
              <w:jc w:val="right"/>
              <w:rPr>
                <w:sz w:val="18"/>
                <w:szCs w:val="18"/>
              </w:rPr>
            </w:pPr>
            <w:r>
              <w:rPr>
                <w:sz w:val="18"/>
                <w:szCs w:val="18"/>
              </w:rPr>
              <w:t>2 996</w:t>
            </w:r>
          </w:p>
        </w:tc>
        <w:tc>
          <w:tcPr>
            <w:tcW w:w="452" w:type="dxa"/>
            <w:tcBorders/>
            <w:vAlign w:val="center"/>
          </w:tcPr>
          <w:p>
            <w:pPr>
              <w:pStyle w:val="Normal"/>
              <w:widowControl w:val="false"/>
              <w:snapToGrid w:val="false"/>
              <w:ind w:right="57" w:hanging="0"/>
              <w:jc w:val="right"/>
              <w:rPr>
                <w:sz w:val="18"/>
                <w:szCs w:val="18"/>
              </w:rPr>
            </w:pPr>
            <w:r>
              <w:rPr>
                <w:sz w:val="18"/>
                <w:szCs w:val="18"/>
              </w:rPr>
              <w:t>57%</w:t>
            </w:r>
          </w:p>
        </w:tc>
        <w:tc>
          <w:tcPr>
            <w:tcW w:w="451" w:type="dxa"/>
            <w:tcBorders/>
            <w:vAlign w:val="center"/>
          </w:tcPr>
          <w:p>
            <w:pPr>
              <w:pStyle w:val="Normal"/>
              <w:widowControl w:val="false"/>
              <w:snapToGrid w:val="false"/>
              <w:ind w:right="57" w:hanging="0"/>
              <w:jc w:val="right"/>
              <w:rPr>
                <w:sz w:val="18"/>
                <w:szCs w:val="18"/>
              </w:rPr>
            </w:pPr>
            <w:r>
              <w:rPr>
                <w:sz w:val="18"/>
                <w:szCs w:val="18"/>
              </w:rPr>
              <w:t>7</w:t>
            </w:r>
          </w:p>
        </w:tc>
        <w:tc>
          <w:tcPr>
            <w:tcW w:w="379" w:type="dxa"/>
            <w:tcBorders/>
            <w:vAlign w:val="center"/>
          </w:tcPr>
          <w:p>
            <w:pPr>
              <w:pStyle w:val="Normal"/>
              <w:widowControl w:val="false"/>
              <w:snapToGrid w:val="false"/>
              <w:ind w:right="57" w:hanging="0"/>
              <w:jc w:val="right"/>
              <w:rPr>
                <w:sz w:val="18"/>
                <w:szCs w:val="18"/>
              </w:rPr>
            </w:pPr>
            <w:r>
              <w:rPr>
                <w:sz w:val="18"/>
                <w:szCs w:val="18"/>
              </w:rPr>
              <w:t>11</w:t>
            </w:r>
          </w:p>
        </w:tc>
        <w:tc>
          <w:tcPr>
            <w:tcW w:w="380" w:type="dxa"/>
            <w:tcBorders/>
            <w:vAlign w:val="center"/>
          </w:tcPr>
          <w:p>
            <w:pPr>
              <w:pStyle w:val="Normal"/>
              <w:widowControl w:val="false"/>
              <w:snapToGrid w:val="false"/>
              <w:ind w:right="57" w:hanging="0"/>
              <w:jc w:val="right"/>
              <w:rPr>
                <w:sz w:val="18"/>
                <w:szCs w:val="18"/>
              </w:rPr>
            </w:pPr>
            <w:r>
              <w:rPr>
                <w:sz w:val="18"/>
                <w:szCs w:val="18"/>
              </w:rPr>
              <w:t>24</w:t>
            </w:r>
          </w:p>
        </w:tc>
        <w:tc>
          <w:tcPr>
            <w:tcW w:w="372" w:type="dxa"/>
            <w:tcBorders/>
            <w:vAlign w:val="center"/>
          </w:tcPr>
          <w:p>
            <w:pPr>
              <w:pStyle w:val="Normal"/>
              <w:widowControl w:val="false"/>
              <w:snapToGrid w:val="false"/>
              <w:ind w:right="57" w:hanging="0"/>
              <w:jc w:val="right"/>
              <w:rPr>
                <w:sz w:val="18"/>
                <w:szCs w:val="18"/>
              </w:rPr>
            </w:pPr>
            <w:r>
              <w:rPr>
                <w:sz w:val="18"/>
                <w:szCs w:val="18"/>
              </w:rPr>
              <w:t>37</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眼科</w:t>
            </w:r>
          </w:p>
        </w:tc>
        <w:tc>
          <w:tcPr>
            <w:tcW w:w="487" w:type="dxa"/>
            <w:tcBorders/>
            <w:vAlign w:val="center"/>
          </w:tcPr>
          <w:p>
            <w:pPr>
              <w:pStyle w:val="Normal"/>
              <w:widowControl w:val="false"/>
              <w:snapToGrid w:val="false"/>
              <w:ind w:right="57" w:hanging="0"/>
              <w:jc w:val="right"/>
              <w:rPr>
                <w:sz w:val="18"/>
                <w:szCs w:val="18"/>
              </w:rPr>
            </w:pPr>
            <w:r>
              <w:rPr>
                <w:sz w:val="18"/>
                <w:szCs w:val="18"/>
              </w:rPr>
              <w:t>8 239</w:t>
            </w:r>
          </w:p>
        </w:tc>
        <w:tc>
          <w:tcPr>
            <w:tcW w:w="430" w:type="dxa"/>
            <w:tcBorders/>
            <w:vAlign w:val="center"/>
          </w:tcPr>
          <w:p>
            <w:pPr>
              <w:pStyle w:val="Normal"/>
              <w:widowControl w:val="false"/>
              <w:snapToGrid w:val="false"/>
              <w:ind w:right="57" w:hanging="0"/>
              <w:jc w:val="right"/>
              <w:rPr>
                <w:sz w:val="18"/>
                <w:szCs w:val="18"/>
              </w:rPr>
            </w:pPr>
            <w:r>
              <w:rPr>
                <w:sz w:val="18"/>
                <w:szCs w:val="18"/>
              </w:rPr>
              <w:t>34%</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4 672</w:t>
            </w:r>
          </w:p>
        </w:tc>
        <w:tc>
          <w:tcPr>
            <w:tcW w:w="475" w:type="dxa"/>
            <w:tcBorders/>
            <w:vAlign w:val="center"/>
          </w:tcPr>
          <w:p>
            <w:pPr>
              <w:pStyle w:val="Normal"/>
              <w:widowControl w:val="false"/>
              <w:snapToGrid w:val="false"/>
              <w:ind w:right="57" w:hanging="0"/>
              <w:jc w:val="right"/>
              <w:rPr>
                <w:sz w:val="18"/>
                <w:szCs w:val="18"/>
              </w:rPr>
            </w:pPr>
            <w:r>
              <w:rPr>
                <w:sz w:val="18"/>
                <w:szCs w:val="18"/>
              </w:rPr>
              <w:t>19%</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2</w:t>
            </w:r>
          </w:p>
        </w:tc>
        <w:tc>
          <w:tcPr>
            <w:tcW w:w="378" w:type="dxa"/>
            <w:tcBorders/>
            <w:vAlign w:val="center"/>
          </w:tcPr>
          <w:p>
            <w:pPr>
              <w:pStyle w:val="Normal"/>
              <w:widowControl w:val="false"/>
              <w:snapToGrid w:val="false"/>
              <w:ind w:right="57" w:hanging="0"/>
              <w:jc w:val="right"/>
              <w:rPr>
                <w:sz w:val="18"/>
                <w:szCs w:val="18"/>
              </w:rPr>
            </w:pPr>
            <w:r>
              <w:rPr>
                <w:sz w:val="18"/>
                <w:szCs w:val="18"/>
              </w:rPr>
              <w:t>4</w:t>
            </w:r>
          </w:p>
        </w:tc>
        <w:tc>
          <w:tcPr>
            <w:tcW w:w="379" w:type="dxa"/>
            <w:tcBorders/>
            <w:vAlign w:val="center"/>
          </w:tcPr>
          <w:p>
            <w:pPr>
              <w:pStyle w:val="Normal"/>
              <w:widowControl w:val="false"/>
              <w:snapToGrid w:val="false"/>
              <w:ind w:right="57" w:hanging="0"/>
              <w:jc w:val="right"/>
              <w:rPr>
                <w:sz w:val="18"/>
                <w:szCs w:val="18"/>
              </w:rPr>
            </w:pPr>
            <w:r>
              <w:rPr>
                <w:sz w:val="18"/>
                <w:szCs w:val="18"/>
              </w:rPr>
              <w:t>6</w:t>
            </w:r>
          </w:p>
        </w:tc>
        <w:tc>
          <w:tcPr>
            <w:tcW w:w="620" w:type="dxa"/>
            <w:tcBorders/>
            <w:vAlign w:val="center"/>
          </w:tcPr>
          <w:p>
            <w:pPr>
              <w:pStyle w:val="Normal"/>
              <w:widowControl w:val="false"/>
              <w:snapToGrid w:val="false"/>
              <w:ind w:right="85" w:hanging="0"/>
              <w:jc w:val="right"/>
              <w:rPr>
                <w:sz w:val="18"/>
                <w:szCs w:val="18"/>
              </w:rPr>
            </w:pPr>
            <w:r>
              <w:rPr>
                <w:sz w:val="18"/>
                <w:szCs w:val="18"/>
              </w:rPr>
              <w:t>10 405</w:t>
            </w:r>
          </w:p>
        </w:tc>
        <w:tc>
          <w:tcPr>
            <w:tcW w:w="452" w:type="dxa"/>
            <w:tcBorders/>
            <w:vAlign w:val="center"/>
          </w:tcPr>
          <w:p>
            <w:pPr>
              <w:pStyle w:val="Normal"/>
              <w:widowControl w:val="false"/>
              <w:snapToGrid w:val="false"/>
              <w:ind w:right="57" w:hanging="0"/>
              <w:jc w:val="right"/>
              <w:rPr>
                <w:sz w:val="18"/>
                <w:szCs w:val="18"/>
              </w:rPr>
            </w:pPr>
            <w:r>
              <w:rPr>
                <w:sz w:val="18"/>
                <w:szCs w:val="18"/>
              </w:rPr>
              <w:t>43%</w:t>
            </w:r>
          </w:p>
        </w:tc>
        <w:tc>
          <w:tcPr>
            <w:tcW w:w="451" w:type="dxa"/>
            <w:tcBorders/>
            <w:vAlign w:val="center"/>
          </w:tcPr>
          <w:p>
            <w:pPr>
              <w:pStyle w:val="Normal"/>
              <w:widowControl w:val="false"/>
              <w:snapToGrid w:val="false"/>
              <w:ind w:right="57" w:hanging="0"/>
              <w:jc w:val="right"/>
              <w:rPr>
                <w:sz w:val="18"/>
                <w:szCs w:val="18"/>
              </w:rPr>
            </w:pPr>
            <w:r>
              <w:rPr>
                <w:sz w:val="18"/>
                <w:szCs w:val="18"/>
              </w:rPr>
              <w:t>26</w:t>
            </w:r>
          </w:p>
        </w:tc>
        <w:tc>
          <w:tcPr>
            <w:tcW w:w="379" w:type="dxa"/>
            <w:tcBorders/>
            <w:vAlign w:val="center"/>
          </w:tcPr>
          <w:p>
            <w:pPr>
              <w:pStyle w:val="Normal"/>
              <w:widowControl w:val="false"/>
              <w:snapToGrid w:val="false"/>
              <w:ind w:right="57" w:hanging="0"/>
              <w:jc w:val="right"/>
              <w:rPr>
                <w:sz w:val="18"/>
                <w:szCs w:val="18"/>
              </w:rPr>
            </w:pPr>
            <w:r>
              <w:rPr>
                <w:sz w:val="18"/>
                <w:szCs w:val="18"/>
              </w:rPr>
              <w:t>51</w:t>
            </w:r>
          </w:p>
        </w:tc>
        <w:tc>
          <w:tcPr>
            <w:tcW w:w="380" w:type="dxa"/>
            <w:tcBorders/>
            <w:vAlign w:val="center"/>
          </w:tcPr>
          <w:p>
            <w:pPr>
              <w:pStyle w:val="Normal"/>
              <w:widowControl w:val="false"/>
              <w:snapToGrid w:val="false"/>
              <w:ind w:right="57" w:hanging="0"/>
              <w:jc w:val="right"/>
              <w:rPr>
                <w:sz w:val="18"/>
                <w:szCs w:val="18"/>
              </w:rPr>
            </w:pPr>
            <w:r>
              <w:rPr>
                <w:sz w:val="18"/>
                <w:szCs w:val="18"/>
              </w:rPr>
              <w:t>62</w:t>
            </w:r>
          </w:p>
        </w:tc>
        <w:tc>
          <w:tcPr>
            <w:tcW w:w="372" w:type="dxa"/>
            <w:tcBorders/>
            <w:vAlign w:val="center"/>
          </w:tcPr>
          <w:p>
            <w:pPr>
              <w:pStyle w:val="Normal"/>
              <w:widowControl w:val="false"/>
              <w:snapToGrid w:val="false"/>
              <w:ind w:right="57" w:hanging="0"/>
              <w:jc w:val="right"/>
              <w:rPr>
                <w:sz w:val="18"/>
                <w:szCs w:val="18"/>
              </w:rPr>
            </w:pPr>
            <w:r>
              <w:rPr>
                <w:sz w:val="18"/>
                <w:szCs w:val="18"/>
              </w:rPr>
              <w:t>69</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ind w:right="57" w:hanging="0"/>
              <w:jc w:val="right"/>
              <w:rPr>
                <w:sz w:val="18"/>
                <w:szCs w:val="18"/>
              </w:rPr>
            </w:pPr>
            <w:r>
              <w:rPr>
                <w:sz w:val="18"/>
                <w:szCs w:val="18"/>
              </w:rPr>
              <w:t>731</w:t>
            </w:r>
          </w:p>
        </w:tc>
        <w:tc>
          <w:tcPr>
            <w:tcW w:w="430" w:type="dxa"/>
            <w:tcBorders/>
            <w:vAlign w:val="center"/>
          </w:tcPr>
          <w:p>
            <w:pPr>
              <w:pStyle w:val="Normal"/>
              <w:widowControl w:val="false"/>
              <w:snapToGrid w:val="false"/>
              <w:ind w:right="57" w:hanging="0"/>
              <w:jc w:val="right"/>
              <w:rPr>
                <w:sz w:val="18"/>
                <w:szCs w:val="18"/>
              </w:rPr>
            </w:pPr>
            <w:r>
              <w:rPr>
                <w:sz w:val="18"/>
                <w:szCs w:val="18"/>
              </w:rPr>
              <w:t>9%</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751</w:t>
            </w:r>
          </w:p>
        </w:tc>
        <w:tc>
          <w:tcPr>
            <w:tcW w:w="475" w:type="dxa"/>
            <w:tcBorders/>
            <w:vAlign w:val="center"/>
          </w:tcPr>
          <w:p>
            <w:pPr>
              <w:pStyle w:val="Normal"/>
              <w:widowControl w:val="false"/>
              <w:snapToGrid w:val="false"/>
              <w:ind w:right="57" w:hanging="0"/>
              <w:jc w:val="right"/>
              <w:rPr>
                <w:sz w:val="18"/>
                <w:szCs w:val="18"/>
              </w:rPr>
            </w:pPr>
            <w:r>
              <w:rPr>
                <w:sz w:val="18"/>
                <w:szCs w:val="18"/>
              </w:rPr>
              <w:t>9%</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3</w:t>
            </w:r>
          </w:p>
        </w:tc>
        <w:tc>
          <w:tcPr>
            <w:tcW w:w="378"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6 799</w:t>
            </w:r>
          </w:p>
        </w:tc>
        <w:tc>
          <w:tcPr>
            <w:tcW w:w="452" w:type="dxa"/>
            <w:tcBorders/>
            <w:vAlign w:val="center"/>
          </w:tcPr>
          <w:p>
            <w:pPr>
              <w:pStyle w:val="Normal"/>
              <w:widowControl w:val="false"/>
              <w:snapToGrid w:val="false"/>
              <w:ind w:right="57" w:hanging="0"/>
              <w:jc w:val="right"/>
              <w:rPr>
                <w:sz w:val="18"/>
                <w:szCs w:val="18"/>
              </w:rPr>
            </w:pPr>
            <w:r>
              <w:rPr>
                <w:sz w:val="18"/>
                <w:szCs w:val="18"/>
              </w:rPr>
              <w:t>82%</w:t>
            </w:r>
          </w:p>
        </w:tc>
        <w:tc>
          <w:tcPr>
            <w:tcW w:w="451" w:type="dxa"/>
            <w:tcBorders/>
            <w:vAlign w:val="center"/>
          </w:tcPr>
          <w:p>
            <w:pPr>
              <w:pStyle w:val="Normal"/>
              <w:widowControl w:val="false"/>
              <w:snapToGrid w:val="false"/>
              <w:ind w:right="57" w:hanging="0"/>
              <w:jc w:val="right"/>
              <w:rPr>
                <w:sz w:val="18"/>
                <w:szCs w:val="18"/>
              </w:rPr>
            </w:pPr>
            <w:r>
              <w:rPr>
                <w:sz w:val="18"/>
                <w:szCs w:val="18"/>
              </w:rPr>
              <w:t>20</w:t>
            </w:r>
          </w:p>
        </w:tc>
        <w:tc>
          <w:tcPr>
            <w:tcW w:w="379" w:type="dxa"/>
            <w:tcBorders/>
            <w:vAlign w:val="center"/>
          </w:tcPr>
          <w:p>
            <w:pPr>
              <w:pStyle w:val="Normal"/>
              <w:widowControl w:val="false"/>
              <w:snapToGrid w:val="false"/>
              <w:ind w:right="57" w:hanging="0"/>
              <w:jc w:val="right"/>
              <w:rPr>
                <w:sz w:val="18"/>
                <w:szCs w:val="18"/>
              </w:rPr>
            </w:pPr>
            <w:r>
              <w:rPr>
                <w:sz w:val="18"/>
                <w:szCs w:val="18"/>
              </w:rPr>
              <w:t>43</w:t>
            </w:r>
          </w:p>
        </w:tc>
        <w:tc>
          <w:tcPr>
            <w:tcW w:w="380" w:type="dxa"/>
            <w:tcBorders/>
            <w:vAlign w:val="center"/>
          </w:tcPr>
          <w:p>
            <w:pPr>
              <w:pStyle w:val="Normal"/>
              <w:widowControl w:val="false"/>
              <w:snapToGrid w:val="false"/>
              <w:ind w:right="57" w:hanging="0"/>
              <w:jc w:val="right"/>
              <w:rPr>
                <w:sz w:val="18"/>
                <w:szCs w:val="18"/>
              </w:rPr>
            </w:pPr>
            <w:r>
              <w:rPr>
                <w:sz w:val="18"/>
                <w:szCs w:val="18"/>
              </w:rPr>
              <w:t>56</w:t>
            </w:r>
          </w:p>
        </w:tc>
        <w:tc>
          <w:tcPr>
            <w:tcW w:w="372" w:type="dxa"/>
            <w:tcBorders/>
            <w:vAlign w:val="center"/>
          </w:tcPr>
          <w:p>
            <w:pPr>
              <w:pStyle w:val="Normal"/>
              <w:widowControl w:val="false"/>
              <w:snapToGrid w:val="false"/>
              <w:ind w:right="57" w:hanging="0"/>
              <w:jc w:val="right"/>
              <w:rPr>
                <w:sz w:val="18"/>
                <w:szCs w:val="18"/>
              </w:rPr>
            </w:pPr>
            <w:r>
              <w:rPr>
                <w:sz w:val="18"/>
                <w:szCs w:val="18"/>
              </w:rPr>
              <w:t>67</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ind w:right="57" w:hanging="0"/>
              <w:jc w:val="right"/>
              <w:rPr>
                <w:sz w:val="18"/>
                <w:szCs w:val="18"/>
              </w:rPr>
            </w:pPr>
            <w:r>
              <w:rPr>
                <w:sz w:val="18"/>
                <w:szCs w:val="18"/>
              </w:rPr>
              <w:t>425</w:t>
            </w:r>
          </w:p>
        </w:tc>
        <w:tc>
          <w:tcPr>
            <w:tcW w:w="430" w:type="dxa"/>
            <w:tcBorders/>
            <w:vAlign w:val="center"/>
          </w:tcPr>
          <w:p>
            <w:pPr>
              <w:pStyle w:val="Normal"/>
              <w:widowControl w:val="false"/>
              <w:snapToGrid w:val="false"/>
              <w:ind w:right="57" w:hanging="0"/>
              <w:jc w:val="right"/>
              <w:rPr>
                <w:sz w:val="18"/>
                <w:szCs w:val="18"/>
              </w:rPr>
            </w:pPr>
            <w:r>
              <w:rPr>
                <w:sz w:val="18"/>
                <w:szCs w:val="18"/>
              </w:rPr>
              <w:t>20%</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354</w:t>
            </w:r>
          </w:p>
        </w:tc>
        <w:tc>
          <w:tcPr>
            <w:tcW w:w="475" w:type="dxa"/>
            <w:tcBorders/>
            <w:vAlign w:val="center"/>
          </w:tcPr>
          <w:p>
            <w:pPr>
              <w:pStyle w:val="Normal"/>
              <w:widowControl w:val="false"/>
              <w:snapToGrid w:val="false"/>
              <w:ind w:right="57" w:hanging="0"/>
              <w:jc w:val="right"/>
              <w:rPr>
                <w:sz w:val="18"/>
                <w:szCs w:val="18"/>
              </w:rPr>
            </w:pPr>
            <w:r>
              <w:rPr>
                <w:sz w:val="18"/>
                <w:szCs w:val="18"/>
              </w:rPr>
              <w:t>17%</w:t>
            </w:r>
          </w:p>
        </w:tc>
        <w:tc>
          <w:tcPr>
            <w:tcW w:w="380"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5</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1 331</w:t>
            </w:r>
          </w:p>
        </w:tc>
        <w:tc>
          <w:tcPr>
            <w:tcW w:w="452" w:type="dxa"/>
            <w:tcBorders/>
            <w:vAlign w:val="center"/>
          </w:tcPr>
          <w:p>
            <w:pPr>
              <w:pStyle w:val="Normal"/>
              <w:widowControl w:val="false"/>
              <w:snapToGrid w:val="false"/>
              <w:ind w:right="57" w:hanging="0"/>
              <w:jc w:val="right"/>
              <w:rPr>
                <w:sz w:val="18"/>
                <w:szCs w:val="18"/>
              </w:rPr>
            </w:pPr>
            <w:r>
              <w:rPr>
                <w:sz w:val="18"/>
                <w:szCs w:val="18"/>
              </w:rPr>
              <w:t>63%</w:t>
            </w:r>
          </w:p>
        </w:tc>
        <w:tc>
          <w:tcPr>
            <w:tcW w:w="451" w:type="dxa"/>
            <w:tcBorders/>
            <w:vAlign w:val="center"/>
          </w:tcPr>
          <w:p>
            <w:pPr>
              <w:pStyle w:val="Normal"/>
              <w:widowControl w:val="false"/>
              <w:snapToGrid w:val="false"/>
              <w:ind w:right="57" w:hanging="0"/>
              <w:jc w:val="right"/>
              <w:rPr>
                <w:sz w:val="18"/>
                <w:szCs w:val="18"/>
              </w:rPr>
            </w:pPr>
            <w:r>
              <w:rPr>
                <w:sz w:val="18"/>
                <w:szCs w:val="18"/>
              </w:rPr>
              <w:t>5</w:t>
            </w:r>
          </w:p>
        </w:tc>
        <w:tc>
          <w:tcPr>
            <w:tcW w:w="379" w:type="dxa"/>
            <w:tcBorders/>
            <w:vAlign w:val="center"/>
          </w:tcPr>
          <w:p>
            <w:pPr>
              <w:pStyle w:val="Normal"/>
              <w:widowControl w:val="false"/>
              <w:snapToGrid w:val="false"/>
              <w:ind w:right="57" w:hanging="0"/>
              <w:jc w:val="right"/>
              <w:rPr>
                <w:sz w:val="18"/>
                <w:szCs w:val="18"/>
              </w:rPr>
            </w:pPr>
            <w:r>
              <w:rPr>
                <w:sz w:val="18"/>
                <w:szCs w:val="18"/>
              </w:rPr>
              <w:t>9</w:t>
            </w:r>
          </w:p>
        </w:tc>
        <w:tc>
          <w:tcPr>
            <w:tcW w:w="380" w:type="dxa"/>
            <w:tcBorders/>
            <w:vAlign w:val="center"/>
          </w:tcPr>
          <w:p>
            <w:pPr>
              <w:pStyle w:val="Normal"/>
              <w:widowControl w:val="false"/>
              <w:snapToGrid w:val="false"/>
              <w:ind w:right="57" w:hanging="0"/>
              <w:jc w:val="right"/>
              <w:rPr>
                <w:sz w:val="18"/>
                <w:szCs w:val="18"/>
              </w:rPr>
            </w:pPr>
            <w:r>
              <w:rPr>
                <w:sz w:val="18"/>
                <w:szCs w:val="18"/>
              </w:rPr>
              <w:t>15</w:t>
            </w:r>
          </w:p>
        </w:tc>
        <w:tc>
          <w:tcPr>
            <w:tcW w:w="372" w:type="dxa"/>
            <w:tcBorders/>
            <w:vAlign w:val="center"/>
          </w:tcPr>
          <w:p>
            <w:pPr>
              <w:pStyle w:val="Normal"/>
              <w:widowControl w:val="false"/>
              <w:snapToGrid w:val="false"/>
              <w:ind w:right="57" w:hanging="0"/>
              <w:jc w:val="right"/>
              <w:rPr>
                <w:sz w:val="18"/>
                <w:szCs w:val="18"/>
              </w:rPr>
            </w:pPr>
            <w:r>
              <w:rPr>
                <w:sz w:val="18"/>
                <w:szCs w:val="18"/>
              </w:rPr>
              <w:t>21</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精神科</w:t>
            </w:r>
          </w:p>
        </w:tc>
        <w:tc>
          <w:tcPr>
            <w:tcW w:w="487" w:type="dxa"/>
            <w:tcBorders/>
            <w:vAlign w:val="center"/>
          </w:tcPr>
          <w:p>
            <w:pPr>
              <w:pStyle w:val="Normal"/>
              <w:widowControl w:val="false"/>
              <w:snapToGrid w:val="false"/>
              <w:ind w:right="57" w:hanging="0"/>
              <w:jc w:val="right"/>
              <w:rPr>
                <w:sz w:val="18"/>
                <w:szCs w:val="18"/>
              </w:rPr>
            </w:pPr>
            <w:r>
              <w:rPr>
                <w:sz w:val="18"/>
                <w:szCs w:val="18"/>
              </w:rPr>
              <w:t>493</w:t>
            </w:r>
          </w:p>
        </w:tc>
        <w:tc>
          <w:tcPr>
            <w:tcW w:w="430" w:type="dxa"/>
            <w:tcBorders/>
            <w:vAlign w:val="center"/>
          </w:tcPr>
          <w:p>
            <w:pPr>
              <w:pStyle w:val="Normal"/>
              <w:widowControl w:val="false"/>
              <w:snapToGrid w:val="false"/>
              <w:ind w:right="57" w:hanging="0"/>
              <w:jc w:val="right"/>
              <w:rPr>
                <w:sz w:val="18"/>
                <w:szCs w:val="18"/>
              </w:rPr>
            </w:pPr>
            <w:r>
              <w:rPr>
                <w:sz w:val="18"/>
                <w:szCs w:val="18"/>
              </w:rPr>
              <w:t>18%</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964</w:t>
            </w:r>
          </w:p>
        </w:tc>
        <w:tc>
          <w:tcPr>
            <w:tcW w:w="475" w:type="dxa"/>
            <w:tcBorders/>
            <w:vAlign w:val="center"/>
          </w:tcPr>
          <w:p>
            <w:pPr>
              <w:pStyle w:val="Normal"/>
              <w:widowControl w:val="false"/>
              <w:snapToGrid w:val="false"/>
              <w:ind w:right="57" w:hanging="0"/>
              <w:jc w:val="right"/>
              <w:rPr>
                <w:sz w:val="18"/>
                <w:szCs w:val="18"/>
              </w:rPr>
            </w:pPr>
            <w:r>
              <w:rPr>
                <w:sz w:val="18"/>
                <w:szCs w:val="18"/>
              </w:rPr>
              <w:t>36%</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4</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1 244</w:t>
            </w:r>
          </w:p>
        </w:tc>
        <w:tc>
          <w:tcPr>
            <w:tcW w:w="452" w:type="dxa"/>
            <w:tcBorders/>
            <w:vAlign w:val="center"/>
          </w:tcPr>
          <w:p>
            <w:pPr>
              <w:pStyle w:val="Normal"/>
              <w:widowControl w:val="false"/>
              <w:snapToGrid w:val="false"/>
              <w:ind w:right="57" w:hanging="0"/>
              <w:jc w:val="right"/>
              <w:rPr>
                <w:sz w:val="18"/>
                <w:szCs w:val="18"/>
              </w:rPr>
            </w:pPr>
            <w:r>
              <w:rPr>
                <w:sz w:val="18"/>
                <w:szCs w:val="18"/>
              </w:rPr>
              <w:t>46%</w:t>
            </w:r>
          </w:p>
        </w:tc>
        <w:tc>
          <w:tcPr>
            <w:tcW w:w="451" w:type="dxa"/>
            <w:tcBorders/>
            <w:vAlign w:val="center"/>
          </w:tcPr>
          <w:p>
            <w:pPr>
              <w:pStyle w:val="Normal"/>
              <w:widowControl w:val="false"/>
              <w:snapToGrid w:val="false"/>
              <w:ind w:right="57" w:hanging="0"/>
              <w:jc w:val="right"/>
              <w:rPr>
                <w:sz w:val="18"/>
                <w:szCs w:val="18"/>
              </w:rPr>
            </w:pPr>
            <w:r>
              <w:rPr>
                <w:sz w:val="18"/>
                <w:szCs w:val="18"/>
              </w:rPr>
              <w:t>3</w:t>
            </w:r>
          </w:p>
        </w:tc>
        <w:tc>
          <w:tcPr>
            <w:tcW w:w="379" w:type="dxa"/>
            <w:tcBorders/>
            <w:vAlign w:val="center"/>
          </w:tcPr>
          <w:p>
            <w:pPr>
              <w:pStyle w:val="Normal"/>
              <w:widowControl w:val="false"/>
              <w:snapToGrid w:val="false"/>
              <w:ind w:right="57" w:hanging="0"/>
              <w:jc w:val="right"/>
              <w:rPr>
                <w:sz w:val="18"/>
                <w:szCs w:val="18"/>
              </w:rPr>
            </w:pPr>
            <w:r>
              <w:rPr>
                <w:sz w:val="18"/>
                <w:szCs w:val="18"/>
              </w:rPr>
              <w:t>11</w:t>
            </w:r>
          </w:p>
        </w:tc>
        <w:tc>
          <w:tcPr>
            <w:tcW w:w="380" w:type="dxa"/>
            <w:tcBorders/>
            <w:vAlign w:val="center"/>
          </w:tcPr>
          <w:p>
            <w:pPr>
              <w:pStyle w:val="Normal"/>
              <w:widowControl w:val="false"/>
              <w:snapToGrid w:val="false"/>
              <w:ind w:right="57" w:hanging="0"/>
              <w:jc w:val="right"/>
              <w:rPr>
                <w:sz w:val="18"/>
                <w:szCs w:val="18"/>
              </w:rPr>
            </w:pPr>
            <w:r>
              <w:rPr>
                <w:sz w:val="18"/>
                <w:szCs w:val="18"/>
              </w:rPr>
              <w:t>18</w:t>
            </w:r>
          </w:p>
        </w:tc>
        <w:tc>
          <w:tcPr>
            <w:tcW w:w="372" w:type="dxa"/>
            <w:tcBorders/>
            <w:vAlign w:val="center"/>
          </w:tcPr>
          <w:p>
            <w:pPr>
              <w:pStyle w:val="Normal"/>
              <w:widowControl w:val="false"/>
              <w:snapToGrid w:val="false"/>
              <w:ind w:right="57" w:hanging="0"/>
              <w:jc w:val="right"/>
              <w:rPr>
                <w:sz w:val="18"/>
                <w:szCs w:val="18"/>
              </w:rPr>
            </w:pPr>
            <w:r>
              <w:rPr>
                <w:sz w:val="18"/>
                <w:szCs w:val="18"/>
              </w:rPr>
              <w:t>94</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ind w:left="57" w:hanging="0"/>
              <w:jc w:val="center"/>
              <w:rPr>
                <w:sz w:val="18"/>
                <w:szCs w:val="18"/>
              </w:rPr>
            </w:pPr>
            <w:r>
              <w:rPr>
                <w:sz w:val="18"/>
                <w:szCs w:val="18"/>
              </w:rPr>
              <w:t>外科</w:t>
            </w:r>
          </w:p>
        </w:tc>
        <w:tc>
          <w:tcPr>
            <w:tcW w:w="487" w:type="dxa"/>
            <w:tcBorders/>
            <w:vAlign w:val="center"/>
          </w:tcPr>
          <w:p>
            <w:pPr>
              <w:pStyle w:val="Normal"/>
              <w:widowControl w:val="false"/>
              <w:snapToGrid w:val="false"/>
              <w:ind w:right="57" w:hanging="0"/>
              <w:jc w:val="right"/>
              <w:rPr>
                <w:sz w:val="18"/>
                <w:szCs w:val="18"/>
              </w:rPr>
            </w:pPr>
            <w:r>
              <w:rPr>
                <w:sz w:val="18"/>
                <w:szCs w:val="18"/>
              </w:rPr>
              <w:t>2 224</w:t>
            </w:r>
          </w:p>
        </w:tc>
        <w:tc>
          <w:tcPr>
            <w:tcW w:w="430" w:type="dxa"/>
            <w:tcBorders/>
            <w:vAlign w:val="center"/>
          </w:tcPr>
          <w:p>
            <w:pPr>
              <w:pStyle w:val="Normal"/>
              <w:widowControl w:val="false"/>
              <w:snapToGrid w:val="false"/>
              <w:ind w:right="57" w:hanging="0"/>
              <w:jc w:val="right"/>
              <w:rPr>
                <w:sz w:val="18"/>
                <w:szCs w:val="18"/>
              </w:rPr>
            </w:pPr>
            <w:r>
              <w:rPr>
                <w:sz w:val="18"/>
                <w:szCs w:val="18"/>
              </w:rPr>
              <w:t>13%</w:t>
            </w:r>
          </w:p>
        </w:tc>
        <w:tc>
          <w:tcPr>
            <w:tcW w:w="380" w:type="dxa"/>
            <w:tcBorders/>
            <w:vAlign w:val="center"/>
          </w:tcPr>
          <w:p>
            <w:pPr>
              <w:pStyle w:val="Normal"/>
              <w:widowControl w:val="false"/>
              <w:snapToGrid w:val="false"/>
              <w:ind w:right="57" w:hanging="0"/>
              <w:jc w:val="right"/>
              <w:rPr>
                <w:sz w:val="18"/>
                <w:szCs w:val="18"/>
              </w:rPr>
            </w:pPr>
            <w:r>
              <w:rPr>
                <w:sz w:val="18"/>
                <w:szCs w:val="18"/>
              </w:rPr>
              <w:t>&lt;1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79" w:type="dxa"/>
            <w:tcBorders/>
            <w:vAlign w:val="center"/>
          </w:tcPr>
          <w:p>
            <w:pPr>
              <w:pStyle w:val="Normal"/>
              <w:widowControl w:val="false"/>
              <w:snapToGrid w:val="false"/>
              <w:ind w:right="57" w:hanging="0"/>
              <w:jc w:val="right"/>
              <w:rPr>
                <w:sz w:val="18"/>
                <w:szCs w:val="18"/>
              </w:rPr>
            </w:pPr>
            <w:r>
              <w:rPr>
                <w:sz w:val="18"/>
                <w:szCs w:val="18"/>
              </w:rPr>
              <w:t>1</w:t>
            </w:r>
          </w:p>
        </w:tc>
        <w:tc>
          <w:tcPr>
            <w:tcW w:w="380" w:type="dxa"/>
            <w:tcBorders/>
            <w:vAlign w:val="center"/>
          </w:tcPr>
          <w:p>
            <w:pPr>
              <w:pStyle w:val="Normal"/>
              <w:widowControl w:val="false"/>
              <w:snapToGrid w:val="false"/>
              <w:ind w:right="57" w:hanging="0"/>
              <w:jc w:val="right"/>
              <w:rPr>
                <w:sz w:val="18"/>
                <w:szCs w:val="18"/>
              </w:rPr>
            </w:pPr>
            <w:r>
              <w:rPr>
                <w:sz w:val="18"/>
                <w:szCs w:val="18"/>
              </w:rPr>
              <w:t>1</w:t>
            </w:r>
          </w:p>
        </w:tc>
        <w:tc>
          <w:tcPr>
            <w:tcW w:w="537" w:type="dxa"/>
            <w:tcBorders/>
            <w:vAlign w:val="center"/>
          </w:tcPr>
          <w:p>
            <w:pPr>
              <w:pStyle w:val="Normal"/>
              <w:widowControl w:val="false"/>
              <w:snapToGrid w:val="false"/>
              <w:ind w:right="85" w:hanging="0"/>
              <w:jc w:val="right"/>
              <w:rPr>
                <w:sz w:val="18"/>
                <w:szCs w:val="18"/>
              </w:rPr>
            </w:pPr>
            <w:r>
              <w:rPr>
                <w:sz w:val="18"/>
                <w:szCs w:val="18"/>
              </w:rPr>
              <w:t>2 791</w:t>
            </w:r>
          </w:p>
        </w:tc>
        <w:tc>
          <w:tcPr>
            <w:tcW w:w="475" w:type="dxa"/>
            <w:tcBorders/>
            <w:vAlign w:val="center"/>
          </w:tcPr>
          <w:p>
            <w:pPr>
              <w:pStyle w:val="Normal"/>
              <w:widowControl w:val="false"/>
              <w:snapToGrid w:val="false"/>
              <w:ind w:right="57" w:hanging="0"/>
              <w:jc w:val="right"/>
              <w:rPr>
                <w:sz w:val="18"/>
                <w:szCs w:val="18"/>
              </w:rPr>
            </w:pPr>
            <w:r>
              <w:rPr>
                <w:sz w:val="18"/>
                <w:szCs w:val="18"/>
              </w:rPr>
              <w:t>16%</w:t>
            </w:r>
          </w:p>
        </w:tc>
        <w:tc>
          <w:tcPr>
            <w:tcW w:w="380" w:type="dxa"/>
            <w:tcBorders/>
            <w:vAlign w:val="center"/>
          </w:tcPr>
          <w:p>
            <w:pPr>
              <w:pStyle w:val="Normal"/>
              <w:widowControl w:val="false"/>
              <w:snapToGrid w:val="false"/>
              <w:ind w:right="57" w:hanging="0"/>
              <w:jc w:val="right"/>
              <w:rPr>
                <w:sz w:val="18"/>
                <w:szCs w:val="18"/>
              </w:rPr>
            </w:pPr>
            <w:r>
              <w:rPr>
                <w:sz w:val="18"/>
                <w:szCs w:val="18"/>
              </w:rPr>
              <w:t>2</w:t>
            </w:r>
          </w:p>
        </w:tc>
        <w:tc>
          <w:tcPr>
            <w:tcW w:w="379" w:type="dxa"/>
            <w:tcBorders/>
            <w:vAlign w:val="center"/>
          </w:tcPr>
          <w:p>
            <w:pPr>
              <w:pStyle w:val="Normal"/>
              <w:widowControl w:val="false"/>
              <w:snapToGrid w:val="false"/>
              <w:ind w:right="57" w:hanging="0"/>
              <w:jc w:val="right"/>
              <w:rPr>
                <w:sz w:val="18"/>
                <w:szCs w:val="18"/>
              </w:rPr>
            </w:pPr>
            <w:r>
              <w:rPr>
                <w:sz w:val="18"/>
                <w:szCs w:val="18"/>
              </w:rPr>
              <w:t>4</w:t>
            </w:r>
          </w:p>
        </w:tc>
        <w:tc>
          <w:tcPr>
            <w:tcW w:w="378" w:type="dxa"/>
            <w:tcBorders/>
            <w:vAlign w:val="center"/>
          </w:tcPr>
          <w:p>
            <w:pPr>
              <w:pStyle w:val="Normal"/>
              <w:widowControl w:val="false"/>
              <w:snapToGrid w:val="false"/>
              <w:ind w:right="57" w:hanging="0"/>
              <w:jc w:val="right"/>
              <w:rPr>
                <w:sz w:val="18"/>
                <w:szCs w:val="18"/>
              </w:rPr>
            </w:pPr>
            <w:r>
              <w:rPr>
                <w:sz w:val="18"/>
                <w:szCs w:val="18"/>
              </w:rPr>
              <w:t>6</w:t>
            </w:r>
          </w:p>
        </w:tc>
        <w:tc>
          <w:tcPr>
            <w:tcW w:w="379" w:type="dxa"/>
            <w:tcBorders/>
            <w:vAlign w:val="center"/>
          </w:tcPr>
          <w:p>
            <w:pPr>
              <w:pStyle w:val="Normal"/>
              <w:widowControl w:val="false"/>
              <w:snapToGrid w:val="false"/>
              <w:ind w:right="57" w:hanging="0"/>
              <w:jc w:val="right"/>
              <w:rPr>
                <w:sz w:val="18"/>
                <w:szCs w:val="18"/>
              </w:rPr>
            </w:pPr>
            <w:r>
              <w:rPr>
                <w:sz w:val="18"/>
                <w:szCs w:val="18"/>
              </w:rPr>
              <w:t>7</w:t>
            </w:r>
          </w:p>
        </w:tc>
        <w:tc>
          <w:tcPr>
            <w:tcW w:w="620" w:type="dxa"/>
            <w:tcBorders/>
            <w:vAlign w:val="center"/>
          </w:tcPr>
          <w:p>
            <w:pPr>
              <w:pStyle w:val="Normal"/>
              <w:widowControl w:val="false"/>
              <w:snapToGrid w:val="false"/>
              <w:ind w:right="85" w:hanging="0"/>
              <w:jc w:val="right"/>
              <w:rPr>
                <w:sz w:val="18"/>
                <w:szCs w:val="18"/>
              </w:rPr>
            </w:pPr>
            <w:r>
              <w:rPr>
                <w:sz w:val="18"/>
                <w:szCs w:val="18"/>
              </w:rPr>
              <w:t>11 916</w:t>
            </w:r>
          </w:p>
        </w:tc>
        <w:tc>
          <w:tcPr>
            <w:tcW w:w="452" w:type="dxa"/>
            <w:tcBorders/>
            <w:vAlign w:val="center"/>
          </w:tcPr>
          <w:p>
            <w:pPr>
              <w:pStyle w:val="Normal"/>
              <w:widowControl w:val="false"/>
              <w:snapToGrid w:val="false"/>
              <w:ind w:right="57" w:hanging="0"/>
              <w:jc w:val="right"/>
              <w:rPr>
                <w:sz w:val="18"/>
                <w:szCs w:val="18"/>
              </w:rPr>
            </w:pPr>
            <w:r>
              <w:rPr>
                <w:sz w:val="18"/>
                <w:szCs w:val="18"/>
              </w:rPr>
              <w:t>70%</w:t>
            </w:r>
          </w:p>
        </w:tc>
        <w:tc>
          <w:tcPr>
            <w:tcW w:w="451" w:type="dxa"/>
            <w:tcBorders/>
            <w:vAlign w:val="center"/>
          </w:tcPr>
          <w:p>
            <w:pPr>
              <w:pStyle w:val="Normal"/>
              <w:widowControl w:val="false"/>
              <w:snapToGrid w:val="false"/>
              <w:ind w:right="57" w:hanging="0"/>
              <w:jc w:val="right"/>
              <w:rPr>
                <w:sz w:val="18"/>
                <w:szCs w:val="18"/>
              </w:rPr>
            </w:pPr>
            <w:r>
              <w:rPr>
                <w:sz w:val="18"/>
                <w:szCs w:val="18"/>
              </w:rPr>
              <w:t>16</w:t>
            </w:r>
          </w:p>
        </w:tc>
        <w:tc>
          <w:tcPr>
            <w:tcW w:w="379" w:type="dxa"/>
            <w:tcBorders/>
            <w:vAlign w:val="center"/>
          </w:tcPr>
          <w:p>
            <w:pPr>
              <w:pStyle w:val="Normal"/>
              <w:widowControl w:val="false"/>
              <w:snapToGrid w:val="false"/>
              <w:ind w:right="57" w:hanging="0"/>
              <w:jc w:val="right"/>
              <w:rPr>
                <w:sz w:val="18"/>
                <w:szCs w:val="18"/>
              </w:rPr>
            </w:pPr>
            <w:r>
              <w:rPr>
                <w:sz w:val="18"/>
                <w:szCs w:val="18"/>
              </w:rPr>
              <w:t>19</w:t>
            </w:r>
          </w:p>
        </w:tc>
        <w:tc>
          <w:tcPr>
            <w:tcW w:w="380" w:type="dxa"/>
            <w:tcBorders/>
            <w:vAlign w:val="center"/>
          </w:tcPr>
          <w:p>
            <w:pPr>
              <w:pStyle w:val="Normal"/>
              <w:widowControl w:val="false"/>
              <w:snapToGrid w:val="false"/>
              <w:ind w:right="57" w:hanging="0"/>
              <w:jc w:val="right"/>
              <w:rPr>
                <w:sz w:val="18"/>
                <w:szCs w:val="18"/>
              </w:rPr>
            </w:pPr>
            <w:r>
              <w:rPr>
                <w:sz w:val="18"/>
                <w:szCs w:val="18"/>
              </w:rPr>
              <w:t>38</w:t>
            </w:r>
          </w:p>
        </w:tc>
        <w:tc>
          <w:tcPr>
            <w:tcW w:w="372" w:type="dxa"/>
            <w:tcBorders/>
            <w:vAlign w:val="center"/>
          </w:tcPr>
          <w:p>
            <w:pPr>
              <w:pStyle w:val="Normal"/>
              <w:widowControl w:val="false"/>
              <w:snapToGrid w:val="false"/>
              <w:ind w:right="57" w:hanging="0"/>
              <w:jc w:val="right"/>
              <w:rPr>
                <w:sz w:val="18"/>
                <w:szCs w:val="18"/>
              </w:rPr>
            </w:pPr>
            <w:r>
              <w:rPr>
                <w:sz w:val="18"/>
                <w:szCs w:val="18"/>
              </w:rPr>
              <w:t>73</w:t>
            </w:r>
          </w:p>
        </w:tc>
      </w:tr>
      <w:tr>
        <w:trPr>
          <w:cantSplit w:val="true"/>
        </w:trPr>
        <w:tc>
          <w:tcPr>
            <w:tcW w:w="576" w:type="dxa"/>
            <w:vMerge w:val="restart"/>
            <w:tcBorders/>
            <w:vAlign w:val="center"/>
          </w:tcPr>
          <w:p>
            <w:pPr>
              <w:pStyle w:val="F21"/>
              <w:tabs>
                <w:tab w:val="left" w:pos="480" w:leader="none"/>
                <w:tab w:val="left" w:pos="567" w:leader="none"/>
              </w:tabs>
              <w:snapToGrid w:val="false"/>
              <w:spacing w:lineRule="atLeast" w:line="340"/>
              <w:jc w:val="center"/>
              <w:rPr>
                <w:spacing w:val="0"/>
                <w:sz w:val="18"/>
                <w:szCs w:val="18"/>
              </w:rPr>
            </w:pPr>
            <w:r>
              <w:rPr>
                <w:spacing w:val="0"/>
                <w:sz w:val="18"/>
                <w:szCs w:val="18"/>
              </w:rPr>
              <w:t>九龍東</w:t>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1 727</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17%</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2 456</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5 839</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58%</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23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44</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151</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內科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1 833</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4 084</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12 601</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68%</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12</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48</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68</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婦科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1 804</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1 091</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5 253</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64%</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68</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88</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眼科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5 157</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29%</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2 160</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10 498</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59%</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70</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72</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3 740</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3 172</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8 895</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56%</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32</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107</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121</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140</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1 033</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691</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2 467</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59%</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19</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34</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36</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精神科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553</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1 898</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27%</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4 512</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63%</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9</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28</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59</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78</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外科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1 565</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6 640</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17 001</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67%</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18</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91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113</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137</w:t>
            </w:r>
          </w:p>
        </w:tc>
      </w:tr>
      <w:tr>
        <w:trPr>
          <w:cantSplit w:val="true"/>
        </w:trPr>
        <w:tc>
          <w:tcPr>
            <w:tcW w:w="576" w:type="dxa"/>
            <w:vMerge w:val="restart"/>
            <w:tcBorders/>
            <w:vAlign w:val="center"/>
          </w:tcPr>
          <w:p>
            <w:pPr>
              <w:pStyle w:val="F21"/>
              <w:tabs>
                <w:tab w:val="left" w:pos="480" w:leader="none"/>
                <w:tab w:val="left" w:pos="567" w:leader="none"/>
              </w:tabs>
              <w:snapToGrid w:val="false"/>
              <w:spacing w:lineRule="atLeast" w:line="340"/>
              <w:jc w:val="center"/>
              <w:rPr>
                <w:spacing w:val="0"/>
                <w:sz w:val="18"/>
                <w:szCs w:val="18"/>
              </w:rPr>
            </w:pPr>
            <w:r>
              <w:rPr>
                <w:spacing w:val="0"/>
                <w:sz w:val="18"/>
                <w:szCs w:val="18"/>
              </w:rPr>
              <w:t>九龍西</w:t>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3 697</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4 362</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8 529</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51%</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21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31</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33</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內科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2 824</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6 376</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19 901</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67%</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62</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70</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婦科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1 082</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3 095</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8 740</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67%</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10</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40</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54</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眼科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6 022</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32%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6 154</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33%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6 591</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35%</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38</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39</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4 268</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4 908</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10 603</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54%</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36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92</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100</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2 556</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34%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948</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3 777</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51%</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9</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13</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15</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精神科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392</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943</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13 442</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91%</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17</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46</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74</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外科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4 761</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9 119</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22 696</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62%</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74</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116</w:t>
            </w:r>
          </w:p>
        </w:tc>
      </w:tr>
      <w:tr>
        <w:trPr>
          <w:cantSplit w:val="true"/>
        </w:trPr>
        <w:tc>
          <w:tcPr>
            <w:tcW w:w="576" w:type="dxa"/>
            <w:vMerge w:val="restart"/>
            <w:tcBorders/>
            <w:vAlign w:val="center"/>
          </w:tcPr>
          <w:p>
            <w:pPr>
              <w:pStyle w:val="F21"/>
              <w:tabs>
                <w:tab w:val="left" w:pos="480" w:leader="none"/>
                <w:tab w:val="left" w:pos="567" w:leader="none"/>
              </w:tabs>
              <w:snapToGrid w:val="false"/>
              <w:spacing w:lineRule="atLeast" w:line="340"/>
              <w:jc w:val="center"/>
              <w:rPr>
                <w:spacing w:val="0"/>
                <w:sz w:val="18"/>
                <w:szCs w:val="18"/>
              </w:rPr>
            </w:pPr>
            <w:r>
              <w:rPr>
                <w:spacing w:val="0"/>
                <w:sz w:val="18"/>
                <w:szCs w:val="18"/>
              </w:rPr>
              <w:t>新界東</w:t>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4 129</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28%</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2 926</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7 740</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52%</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18</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58</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62</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內科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3 175</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2 468</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13 866</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69%</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24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52</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64</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71</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婦科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1 145</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864</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6</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7 869</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69%</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25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49</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77</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125</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眼科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7 290</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36%</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3 017</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10 049</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49%</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124</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155</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6 008</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28%</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2 704</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12 853</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60%</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49</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90</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100</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112</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630</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826</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19%</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2 840</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66%</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23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37</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50</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精神科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1 519</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17%</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2 017</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23%</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4 869</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56%</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24</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49</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81</w:t>
            </w:r>
          </w:p>
        </w:tc>
      </w:tr>
      <w:tr>
        <w:trPr>
          <w:cantSplit w:val="true"/>
        </w:trPr>
        <w:tc>
          <w:tcPr>
            <w:tcW w:w="576" w:type="dxa"/>
            <w:vMerge w:val="continue"/>
            <w:tcBorders/>
            <w:vAlign w:val="center"/>
          </w:tcPr>
          <w:p>
            <w:pPr>
              <w:pStyle w:val="Normal"/>
              <w:widowControl w:val="false"/>
              <w:spacing w:lineRule="auto" w:line="240"/>
              <w:jc w:val="center"/>
              <w:rPr>
                <w:sz w:val="18"/>
                <w:szCs w:val="18"/>
              </w:rPr>
            </w:pPr>
            <w:r>
              <w:rPr>
                <w:sz w:val="18"/>
                <w:szCs w:val="18"/>
              </w:rPr>
            </w:r>
          </w:p>
        </w:tc>
        <w:tc>
          <w:tcPr>
            <w:tcW w:w="1023" w:type="dxa"/>
            <w:tcBorders/>
            <w:vAlign w:val="center"/>
          </w:tcPr>
          <w:p>
            <w:pPr>
              <w:pStyle w:val="Normal"/>
              <w:widowControl w:val="false"/>
              <w:snapToGrid w:val="false"/>
              <w:spacing w:lineRule="atLeast" w:line="370"/>
              <w:ind w:left="57" w:hanging="0"/>
              <w:jc w:val="center"/>
              <w:rPr>
                <w:sz w:val="18"/>
                <w:szCs w:val="18"/>
              </w:rPr>
            </w:pPr>
            <w:r>
              <w:rPr>
                <w:sz w:val="18"/>
                <w:szCs w:val="18"/>
              </w:rPr>
              <w:t>外科</w:t>
            </w:r>
          </w:p>
        </w:tc>
        <w:tc>
          <w:tcPr>
            <w:tcW w:w="487" w:type="dxa"/>
            <w:tcBorders/>
            <w:vAlign w:val="center"/>
          </w:tcPr>
          <w:p>
            <w:pPr>
              <w:pStyle w:val="Normal"/>
              <w:widowControl w:val="false"/>
              <w:snapToGrid w:val="false"/>
              <w:spacing w:lineRule="atLeast" w:line="370"/>
              <w:ind w:right="57" w:hanging="0"/>
              <w:jc w:val="right"/>
              <w:rPr>
                <w:sz w:val="18"/>
                <w:szCs w:val="18"/>
              </w:rPr>
            </w:pPr>
            <w:r>
              <w:rPr>
                <w:sz w:val="18"/>
                <w:szCs w:val="18"/>
              </w:rPr>
              <w:t>2 691</w:t>
            </w:r>
          </w:p>
        </w:tc>
        <w:tc>
          <w:tcPr>
            <w:tcW w:w="430" w:type="dxa"/>
            <w:tcBorders/>
            <w:vAlign w:val="center"/>
          </w:tcPr>
          <w:p>
            <w:pPr>
              <w:pStyle w:val="Normal"/>
              <w:widowControl w:val="false"/>
              <w:snapToGrid w:val="false"/>
              <w:spacing w:lineRule="atLeast" w:line="370"/>
              <w:ind w:right="57" w:hanging="0"/>
              <w:jc w:val="right"/>
              <w:rPr>
                <w:sz w:val="18"/>
                <w:szCs w:val="18"/>
              </w:rPr>
            </w:pPr>
            <w:r>
              <w:rPr>
                <w:sz w:val="18"/>
                <w:szCs w:val="18"/>
              </w:rPr>
              <w:t>11%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70"/>
              <w:ind w:right="85" w:hanging="0"/>
              <w:jc w:val="right"/>
              <w:rPr>
                <w:sz w:val="18"/>
                <w:szCs w:val="18"/>
              </w:rPr>
            </w:pPr>
            <w:r>
              <w:rPr>
                <w:sz w:val="18"/>
                <w:szCs w:val="18"/>
              </w:rPr>
              <w:t>3 639</w:t>
            </w:r>
          </w:p>
        </w:tc>
        <w:tc>
          <w:tcPr>
            <w:tcW w:w="475" w:type="dxa"/>
            <w:tcBorders/>
            <w:vAlign w:val="center"/>
          </w:tcPr>
          <w:p>
            <w:pPr>
              <w:pStyle w:val="Normal"/>
              <w:widowControl w:val="false"/>
              <w:snapToGrid w:val="false"/>
              <w:spacing w:lineRule="atLeast" w:line="370"/>
              <w:ind w:right="57" w:hanging="0"/>
              <w:jc w:val="right"/>
              <w:rPr>
                <w:sz w:val="18"/>
                <w:szCs w:val="18"/>
              </w:rPr>
            </w:pPr>
            <w:r>
              <w:rPr>
                <w:sz w:val="18"/>
                <w:szCs w:val="18"/>
              </w:rPr>
              <w:t>15%</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7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70"/>
              <w:ind w:right="85" w:hanging="0"/>
              <w:jc w:val="right"/>
              <w:rPr>
                <w:sz w:val="18"/>
                <w:szCs w:val="18"/>
              </w:rPr>
            </w:pPr>
            <w:r>
              <w:rPr>
                <w:sz w:val="18"/>
                <w:szCs w:val="18"/>
              </w:rPr>
              <w:t>17 149</w:t>
            </w:r>
          </w:p>
        </w:tc>
        <w:tc>
          <w:tcPr>
            <w:tcW w:w="452" w:type="dxa"/>
            <w:tcBorders/>
            <w:vAlign w:val="center"/>
          </w:tcPr>
          <w:p>
            <w:pPr>
              <w:pStyle w:val="Normal"/>
              <w:widowControl w:val="false"/>
              <w:snapToGrid w:val="false"/>
              <w:spacing w:lineRule="atLeast" w:line="370"/>
              <w:ind w:right="57" w:hanging="0"/>
              <w:jc w:val="right"/>
              <w:rPr>
                <w:sz w:val="18"/>
                <w:szCs w:val="18"/>
              </w:rPr>
            </w:pPr>
            <w:r>
              <w:rPr>
                <w:sz w:val="18"/>
                <w:szCs w:val="18"/>
              </w:rPr>
              <w:t>72%</w:t>
            </w:r>
          </w:p>
        </w:tc>
        <w:tc>
          <w:tcPr>
            <w:tcW w:w="451" w:type="dxa"/>
            <w:tcBorders/>
            <w:vAlign w:val="center"/>
          </w:tcPr>
          <w:p>
            <w:pPr>
              <w:pStyle w:val="Normal"/>
              <w:widowControl w:val="false"/>
              <w:snapToGrid w:val="false"/>
              <w:spacing w:lineRule="atLeast" w:line="370"/>
              <w:ind w:right="57" w:hanging="0"/>
              <w:jc w:val="right"/>
              <w:rPr>
                <w:sz w:val="18"/>
                <w:szCs w:val="18"/>
              </w:rPr>
            </w:pPr>
            <w:r>
              <w:rPr>
                <w:sz w:val="18"/>
                <w:szCs w:val="18"/>
              </w:rPr>
              <w:t>15</w:t>
            </w:r>
          </w:p>
        </w:tc>
        <w:tc>
          <w:tcPr>
            <w:tcW w:w="379" w:type="dxa"/>
            <w:tcBorders/>
            <w:vAlign w:val="center"/>
          </w:tcPr>
          <w:p>
            <w:pPr>
              <w:pStyle w:val="Normal"/>
              <w:widowControl w:val="false"/>
              <w:snapToGrid w:val="false"/>
              <w:spacing w:lineRule="atLeast" w:line="370"/>
              <w:ind w:right="57" w:hanging="0"/>
              <w:jc w:val="right"/>
              <w:rPr>
                <w:sz w:val="18"/>
                <w:szCs w:val="18"/>
              </w:rPr>
            </w:pPr>
            <w:r>
              <w:rPr>
                <w:sz w:val="18"/>
                <w:szCs w:val="18"/>
              </w:rPr>
              <w:t>31</w:t>
            </w:r>
          </w:p>
        </w:tc>
        <w:tc>
          <w:tcPr>
            <w:tcW w:w="380" w:type="dxa"/>
            <w:tcBorders/>
            <w:vAlign w:val="center"/>
          </w:tcPr>
          <w:p>
            <w:pPr>
              <w:pStyle w:val="Normal"/>
              <w:widowControl w:val="false"/>
              <w:snapToGrid w:val="false"/>
              <w:spacing w:lineRule="atLeast" w:line="370"/>
              <w:ind w:right="57" w:hanging="0"/>
              <w:jc w:val="right"/>
              <w:rPr>
                <w:sz w:val="18"/>
                <w:szCs w:val="18"/>
              </w:rPr>
            </w:pPr>
            <w:r>
              <w:rPr>
                <w:sz w:val="18"/>
                <w:szCs w:val="18"/>
              </w:rPr>
              <w:t>67</w:t>
            </w:r>
          </w:p>
        </w:tc>
        <w:tc>
          <w:tcPr>
            <w:tcW w:w="372" w:type="dxa"/>
            <w:tcBorders/>
            <w:vAlign w:val="center"/>
          </w:tcPr>
          <w:p>
            <w:pPr>
              <w:pStyle w:val="Normal"/>
              <w:widowControl w:val="false"/>
              <w:snapToGrid w:val="false"/>
              <w:spacing w:lineRule="atLeast" w:line="370"/>
              <w:ind w:right="57" w:hanging="0"/>
              <w:jc w:val="right"/>
              <w:rPr>
                <w:sz w:val="18"/>
                <w:szCs w:val="18"/>
              </w:rPr>
            </w:pPr>
            <w:r>
              <w:rPr>
                <w:sz w:val="18"/>
                <w:szCs w:val="18"/>
              </w:rPr>
              <w:t>100</w:t>
            </w:r>
          </w:p>
        </w:tc>
      </w:tr>
      <w:tr>
        <w:trPr>
          <w:cantSplit w:val="true"/>
        </w:trPr>
        <w:tc>
          <w:tcPr>
            <w:tcW w:w="576" w:type="dxa"/>
            <w:vMerge w:val="restart"/>
            <w:tcBorders/>
            <w:vAlign w:val="center"/>
          </w:tcPr>
          <w:p>
            <w:pPr>
              <w:pStyle w:val="F21"/>
              <w:tabs>
                <w:tab w:val="left" w:pos="480" w:leader="none"/>
                <w:tab w:val="left" w:pos="567" w:leader="none"/>
              </w:tabs>
              <w:snapToGrid w:val="false"/>
              <w:spacing w:lineRule="atLeast" w:line="340"/>
              <w:jc w:val="center"/>
              <w:rPr>
                <w:spacing w:val="0"/>
                <w:sz w:val="18"/>
                <w:szCs w:val="18"/>
              </w:rPr>
            </w:pPr>
            <w:r>
              <w:rPr>
                <w:spacing w:val="0"/>
                <w:sz w:val="18"/>
                <w:szCs w:val="18"/>
              </w:rPr>
              <w:t>新界西</w:t>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耳鼻喉科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2 783</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22%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1 509</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8 281</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66%</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20</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29</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33</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內科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1 140</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1 775</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19%</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6 535</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69%</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14</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35</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38</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42</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婦科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1 017</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15%</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633</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9%</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5 077</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75%</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11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16</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26</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42</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眼科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5 940</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29%</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2 115</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12 120</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60%</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32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49</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55</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矯形及創傷外科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1 286</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1 247</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10%</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10 319</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80%</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25</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63</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71</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75</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兒童及青少年科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76</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2</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455</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19%</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1 842</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78%</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14</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15</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16</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17</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精神科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509</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8%</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1 792</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27%</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4 143</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63%</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4</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13</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22</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27</w:t>
            </w:r>
          </w:p>
        </w:tc>
      </w:tr>
      <w:tr>
        <w:trPr>
          <w:cantSplit w:val="true"/>
        </w:trPr>
        <w:tc>
          <w:tcPr>
            <w:tcW w:w="576" w:type="dxa"/>
            <w:vMerge w:val="continue"/>
            <w:tcBorders/>
            <w:vAlign w:val="center"/>
          </w:tcPr>
          <w:p>
            <w:pPr>
              <w:pStyle w:val="Normal"/>
              <w:widowControl w:val="false"/>
              <w:spacing w:lineRule="auto" w:line="240"/>
              <w:jc w:val="both"/>
              <w:rPr>
                <w:sz w:val="18"/>
                <w:szCs w:val="18"/>
              </w:rPr>
            </w:pPr>
            <w:r>
              <w:rPr>
                <w:sz w:val="18"/>
                <w:szCs w:val="18"/>
              </w:rPr>
            </w:r>
          </w:p>
        </w:tc>
        <w:tc>
          <w:tcPr>
            <w:tcW w:w="1023" w:type="dxa"/>
            <w:tcBorders/>
            <w:vAlign w:val="center"/>
          </w:tcPr>
          <w:p>
            <w:pPr>
              <w:pStyle w:val="Normal"/>
              <w:widowControl w:val="false"/>
              <w:snapToGrid w:val="false"/>
              <w:spacing w:lineRule="atLeast" w:line="340"/>
              <w:ind w:left="57" w:hanging="0"/>
              <w:jc w:val="center"/>
              <w:rPr>
                <w:sz w:val="18"/>
                <w:szCs w:val="18"/>
              </w:rPr>
            </w:pPr>
            <w:r>
              <w:rPr>
                <w:sz w:val="18"/>
                <w:szCs w:val="18"/>
              </w:rPr>
              <w:t>外科</w:t>
            </w:r>
          </w:p>
        </w:tc>
        <w:tc>
          <w:tcPr>
            <w:tcW w:w="487" w:type="dxa"/>
            <w:tcBorders/>
            <w:vAlign w:val="center"/>
          </w:tcPr>
          <w:p>
            <w:pPr>
              <w:pStyle w:val="Normal"/>
              <w:widowControl w:val="false"/>
              <w:snapToGrid w:val="false"/>
              <w:spacing w:lineRule="atLeast" w:line="340"/>
              <w:ind w:right="57" w:hanging="0"/>
              <w:jc w:val="right"/>
              <w:rPr>
                <w:sz w:val="18"/>
                <w:szCs w:val="18"/>
              </w:rPr>
            </w:pPr>
            <w:r>
              <w:rPr>
                <w:sz w:val="18"/>
                <w:szCs w:val="18"/>
              </w:rPr>
              <w:t>1 343</w:t>
            </w:r>
          </w:p>
        </w:tc>
        <w:tc>
          <w:tcPr>
            <w:tcW w:w="430"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&lt;1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6</w:t>
            </w:r>
          </w:p>
        </w:tc>
        <w:tc>
          <w:tcPr>
            <w:tcW w:w="537" w:type="dxa"/>
            <w:tcBorders/>
            <w:vAlign w:val="center"/>
          </w:tcPr>
          <w:p>
            <w:pPr>
              <w:pStyle w:val="Normal"/>
              <w:widowControl w:val="false"/>
              <w:snapToGrid w:val="false"/>
              <w:spacing w:lineRule="atLeast" w:line="340"/>
              <w:ind w:right="85" w:hanging="0"/>
              <w:jc w:val="right"/>
              <w:rPr>
                <w:sz w:val="18"/>
                <w:szCs w:val="18"/>
              </w:rPr>
            </w:pPr>
            <w:r>
              <w:rPr>
                <w:sz w:val="18"/>
                <w:szCs w:val="18"/>
              </w:rPr>
              <w:t>2 488</w:t>
            </w:r>
          </w:p>
        </w:tc>
        <w:tc>
          <w:tcPr>
            <w:tcW w:w="475" w:type="dxa"/>
            <w:tcBorders/>
            <w:vAlign w:val="center"/>
          </w:tcPr>
          <w:p>
            <w:pPr>
              <w:pStyle w:val="Normal"/>
              <w:widowControl w:val="false"/>
              <w:snapToGrid w:val="false"/>
              <w:spacing w:lineRule="atLeast" w:line="340"/>
              <w:ind w:right="57" w:hanging="0"/>
              <w:jc w:val="right"/>
              <w:rPr>
                <w:sz w:val="18"/>
                <w:szCs w:val="18"/>
              </w:rPr>
            </w:pPr>
            <w:r>
              <w:rPr>
                <w:sz w:val="18"/>
                <w:szCs w:val="18"/>
              </w:rPr>
              <w:t>12%</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3</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5</w:t>
            </w:r>
          </w:p>
        </w:tc>
        <w:tc>
          <w:tcPr>
            <w:tcW w:w="378" w:type="dxa"/>
            <w:tcBorders/>
            <w:vAlign w:val="center"/>
          </w:tcPr>
          <w:p>
            <w:pPr>
              <w:pStyle w:val="Normal"/>
              <w:widowControl w:val="false"/>
              <w:snapToGrid w:val="false"/>
              <w:spacing w:lineRule="atLeast" w:line="340"/>
              <w:ind w:right="57" w:hanging="0"/>
              <w:jc w:val="right"/>
              <w:rPr>
                <w:sz w:val="18"/>
                <w:szCs w:val="18"/>
              </w:rPr>
            </w:pPr>
            <w:r>
              <w:rPr>
                <w:sz w:val="18"/>
                <w:szCs w:val="18"/>
              </w:rPr>
              <w:t>7</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15</w:t>
            </w:r>
          </w:p>
        </w:tc>
        <w:tc>
          <w:tcPr>
            <w:tcW w:w="620" w:type="dxa"/>
            <w:tcBorders/>
            <w:vAlign w:val="center"/>
          </w:tcPr>
          <w:p>
            <w:pPr>
              <w:pStyle w:val="Normal"/>
              <w:widowControl w:val="false"/>
              <w:snapToGrid w:val="false"/>
              <w:spacing w:lineRule="atLeast" w:line="340"/>
              <w:ind w:right="85" w:hanging="0"/>
              <w:jc w:val="right"/>
              <w:rPr>
                <w:sz w:val="18"/>
                <w:szCs w:val="18"/>
              </w:rPr>
            </w:pPr>
            <w:r>
              <w:rPr>
                <w:sz w:val="18"/>
                <w:szCs w:val="18"/>
              </w:rPr>
              <w:t>17 243</w:t>
            </w:r>
          </w:p>
        </w:tc>
        <w:tc>
          <w:tcPr>
            <w:tcW w:w="452" w:type="dxa"/>
            <w:tcBorders/>
            <w:vAlign w:val="center"/>
          </w:tcPr>
          <w:p>
            <w:pPr>
              <w:pStyle w:val="Normal"/>
              <w:widowControl w:val="false"/>
              <w:snapToGrid w:val="false"/>
              <w:spacing w:lineRule="atLeast" w:line="340"/>
              <w:ind w:right="57" w:hanging="0"/>
              <w:jc w:val="right"/>
              <w:rPr>
                <w:sz w:val="18"/>
                <w:szCs w:val="18"/>
              </w:rPr>
            </w:pPr>
            <w:r>
              <w:rPr>
                <w:sz w:val="18"/>
                <w:szCs w:val="18"/>
              </w:rPr>
              <w:t>82%</w:t>
            </w:r>
          </w:p>
        </w:tc>
        <w:tc>
          <w:tcPr>
            <w:tcW w:w="451" w:type="dxa"/>
            <w:tcBorders/>
            <w:vAlign w:val="center"/>
          </w:tcPr>
          <w:p>
            <w:pPr>
              <w:pStyle w:val="Normal"/>
              <w:widowControl w:val="false"/>
              <w:snapToGrid w:val="false"/>
              <w:spacing w:lineRule="atLeast" w:line="340"/>
              <w:ind w:right="57" w:hanging="0"/>
              <w:jc w:val="right"/>
              <w:rPr>
                <w:sz w:val="18"/>
                <w:szCs w:val="18"/>
              </w:rPr>
            </w:pPr>
            <w:r>
              <w:rPr>
                <w:sz w:val="18"/>
                <w:szCs w:val="18"/>
              </w:rPr>
              <w:t>16</w:t>
            </w:r>
          </w:p>
        </w:tc>
        <w:tc>
          <w:tcPr>
            <w:tcW w:w="379" w:type="dxa"/>
            <w:tcBorders/>
            <w:vAlign w:val="center"/>
          </w:tcPr>
          <w:p>
            <w:pPr>
              <w:pStyle w:val="Normal"/>
              <w:widowControl w:val="false"/>
              <w:snapToGrid w:val="false"/>
              <w:spacing w:lineRule="atLeast" w:line="340"/>
              <w:ind w:right="57" w:hanging="0"/>
              <w:jc w:val="right"/>
              <w:rPr>
                <w:sz w:val="18"/>
                <w:szCs w:val="18"/>
              </w:rPr>
            </w:pPr>
            <w:r>
              <w:rPr>
                <w:sz w:val="18"/>
                <w:szCs w:val="18"/>
              </w:rPr>
              <w:t>37</w:t>
            </w:r>
          </w:p>
        </w:tc>
        <w:tc>
          <w:tcPr>
            <w:tcW w:w="380" w:type="dxa"/>
            <w:tcBorders/>
            <w:vAlign w:val="center"/>
          </w:tcPr>
          <w:p>
            <w:pPr>
              <w:pStyle w:val="Normal"/>
              <w:widowControl w:val="false"/>
              <w:snapToGrid w:val="false"/>
              <w:spacing w:lineRule="atLeast" w:line="340"/>
              <w:ind w:right="57" w:hanging="0"/>
              <w:jc w:val="right"/>
              <w:rPr>
                <w:sz w:val="18"/>
                <w:szCs w:val="18"/>
              </w:rPr>
            </w:pPr>
            <w:r>
              <w:rPr>
                <w:sz w:val="18"/>
                <w:szCs w:val="18"/>
              </w:rPr>
              <w:t>43</w:t>
            </w:r>
          </w:p>
        </w:tc>
        <w:tc>
          <w:tcPr>
            <w:tcW w:w="372" w:type="dxa"/>
            <w:tcBorders/>
            <w:vAlign w:val="center"/>
          </w:tcPr>
          <w:p>
            <w:pPr>
              <w:pStyle w:val="Normal"/>
              <w:widowControl w:val="false"/>
              <w:snapToGrid w:val="false"/>
              <w:spacing w:lineRule="atLeast" w:line="340"/>
              <w:ind w:right="57" w:hanging="0"/>
              <w:jc w:val="right"/>
              <w:rPr>
                <w:sz w:val="18"/>
                <w:szCs w:val="18"/>
              </w:rPr>
            </w:pPr>
            <w:r>
              <w:rPr>
                <w:sz w:val="18"/>
                <w:szCs w:val="18"/>
              </w:rPr>
              <w:t>46</w:t>
            </w:r>
          </w:p>
        </w:tc>
      </w:tr>
    </w:tbl>
    <w:p>
      <w:pPr>
        <w:pStyle w:val="F21"/>
        <w:overflowPunct w:val="true"/>
        <w:snapToGrid w:val="false"/>
        <w:rPr>
          <w:rFonts w:cs="Times New Roman"/>
          <w:spacing w:val="0"/>
          <w:sz w:val="18"/>
          <w:szCs w:val="18"/>
        </w:rPr>
      </w:pPr>
      <w:r>
        <w:rPr>
          <w:rFonts w:cs="Times New Roman"/>
          <w:spacing w:val="0"/>
          <w:sz w:val="18"/>
          <w:szCs w:val="18"/>
        </w:rPr>
      </w:r>
    </w:p>
    <w:p>
      <w:pPr>
        <w:pStyle w:val="F21"/>
        <w:snapToGrid w:val="false"/>
        <w:rPr>
          <w:rFonts w:cs="Times New Roman"/>
          <w:sz w:val="20"/>
          <w:szCs w:val="20"/>
        </w:rPr>
      </w:pPr>
      <w:r>
        <w:rPr>
          <w:rFonts w:cs="Times New Roman"/>
          <w:sz w:val="20"/>
          <w:szCs w:val="20"/>
        </w:rPr>
      </w:r>
    </w:p>
    <w:p>
      <w:pPr>
        <w:pStyle w:val="F21"/>
        <w:overflowPunct w:val="true"/>
        <w:snapToGrid w:val="false"/>
        <w:spacing w:lineRule="atLeast" w:line="370"/>
        <w:jc w:val="right"/>
        <w:rPr>
          <w:szCs w:val="27"/>
        </w:rPr>
      </w:pPr>
      <w:r>
        <w:rPr>
          <w:szCs w:val="27"/>
        </w:rPr>
        <w:t>附件二</w:t>
      </w:r>
    </w:p>
    <w:p>
      <w:pPr>
        <w:pStyle w:val="F21"/>
        <w:overflowPunct w:val="true"/>
        <w:snapToGrid w:val="false"/>
        <w:spacing w:lineRule="atLeast" w:line="370"/>
        <w:rPr>
          <w:szCs w:val="27"/>
        </w:rPr>
      </w:pPr>
      <w:r>
        <w:rPr>
          <w:szCs w:val="27"/>
        </w:rPr>
      </w:r>
    </w:p>
    <w:p>
      <w:pPr>
        <w:pStyle w:val="F21"/>
        <w:overflowPunct w:val="true"/>
        <w:snapToGrid w:val="false"/>
        <w:spacing w:lineRule="atLeast" w:line="370"/>
        <w:jc w:val="center"/>
        <w:rPr>
          <w:szCs w:val="27"/>
        </w:rPr>
      </w:pPr>
      <w:r>
        <w:rPr>
          <w:szCs w:val="27"/>
        </w:rPr>
        <w:t>2008-2009</w:t>
      </w:r>
      <w:r>
        <w:rPr>
          <w:szCs w:val="27"/>
        </w:rPr>
        <w:t>年度至</w:t>
      </w:r>
      <w:r>
        <w:rPr>
          <w:szCs w:val="27"/>
        </w:rPr>
        <w:t>2012-2013</w:t>
      </w:r>
      <w:r>
        <w:rPr>
          <w:szCs w:val="27"/>
        </w:rPr>
        <w:t>年度</w:t>
      </w:r>
    </w:p>
    <w:p>
      <w:pPr>
        <w:pStyle w:val="F21"/>
        <w:overflowPunct w:val="true"/>
        <w:snapToGrid w:val="false"/>
        <w:spacing w:lineRule="atLeast" w:line="370"/>
        <w:jc w:val="center"/>
        <w:rPr>
          <w:szCs w:val="27"/>
        </w:rPr>
      </w:pPr>
      <w:r>
        <w:rPr>
          <w:szCs w:val="27"/>
        </w:rPr>
        <w:t>各醫院聯網主要專科醫生的數目</w:t>
      </w:r>
      <w:r>
        <w:rPr>
          <w:szCs w:val="27"/>
        </w:rPr>
        <w:t>(</w:t>
      </w:r>
      <w:r>
        <w:rPr>
          <w:szCs w:val="27"/>
        </w:rPr>
        <w:t>截至各年的</w:t>
      </w:r>
      <w:r>
        <w:rPr>
          <w:szCs w:val="27"/>
        </w:rPr>
        <w:t>3</w:t>
      </w:r>
      <w:r>
        <w:rPr>
          <w:szCs w:val="27"/>
        </w:rPr>
        <w:t>月</w:t>
      </w:r>
      <w:r>
        <w:rPr>
          <w:szCs w:val="27"/>
        </w:rPr>
        <w:t>31</w:t>
      </w:r>
      <w:r>
        <w:rPr>
          <w:szCs w:val="27"/>
        </w:rPr>
        <w:t>日</w:t>
      </w:r>
      <w:r>
        <w:rPr>
          <w:szCs w:val="27"/>
        </w:rPr>
        <w:t>)</w:t>
      </w:r>
    </w:p>
    <w:p>
      <w:pPr>
        <w:pStyle w:val="F21"/>
        <w:overflowPunct w:val="true"/>
        <w:snapToGrid w:val="false"/>
        <w:spacing w:lineRule="atLeast" w:line="370"/>
        <w:rPr>
          <w:szCs w:val="27"/>
        </w:rPr>
      </w:pPr>
      <w:r>
        <w:rPr>
          <w:szCs w:val="27"/>
        </w:rPr>
      </w:r>
    </w:p>
    <w:tbl>
      <w:tblPr>
        <w:tblW w:w="9225" w:type="dxa"/>
        <w:jc w:val="left"/>
        <w:tblInd w:w="0" w:type="dxa"/>
        <w:tblCellMar>
          <w:top w:w="0" w:type="dxa"/>
          <w:left w:w="5" w:type="dxa"/>
          <w:bottom w:w="0" w:type="dxa"/>
          <w:right w:w="5" w:type="dxa"/>
        </w:tblCellMar>
        <w:tblLook w:val="00a0" w:noHBand="0" w:noVBand="0" w:firstColumn="1" w:lastRow="0" w:lastColumn="0" w:firstRow="1"/>
      </w:tblPr>
      <w:tblGrid>
        <w:gridCol w:w="1139"/>
        <w:gridCol w:w="3119"/>
        <w:gridCol w:w="993"/>
        <w:gridCol w:w="994"/>
        <w:gridCol w:w="992"/>
        <w:gridCol w:w="994"/>
        <w:gridCol w:w="993"/>
      </w:tblGrid>
      <w:tr>
        <w:trPr>
          <w:tblHeader w:val="true"/>
        </w:trPr>
        <w:tc>
          <w:tcPr>
            <w:tcW w:w="1139"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jc w:val="center"/>
              <w:rPr>
                <w:i/>
                <w:i/>
                <w:kern w:val="2"/>
                <w:szCs w:val="27"/>
              </w:rPr>
            </w:pPr>
            <w:r>
              <w:rPr>
                <w:i/>
                <w:kern w:val="2"/>
                <w:szCs w:val="27"/>
              </w:rPr>
              <w:t>聯網</w:t>
            </w:r>
          </w:p>
        </w:tc>
        <w:tc>
          <w:tcPr>
            <w:tcW w:w="3119"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jc w:val="center"/>
              <w:rPr>
                <w:i/>
                <w:i/>
                <w:kern w:val="2"/>
                <w:szCs w:val="27"/>
              </w:rPr>
            </w:pPr>
            <w:r>
              <w:rPr>
                <w:i/>
                <w:kern w:val="2"/>
                <w:szCs w:val="27"/>
              </w:rPr>
              <w:t>專科</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2008-</w:t>
            </w:r>
          </w:p>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2009</w:t>
            </w:r>
          </w:p>
        </w:tc>
        <w:tc>
          <w:tcPr>
            <w:tcW w:w="994"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2009-</w:t>
            </w:r>
          </w:p>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2010</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2010-</w:t>
            </w:r>
          </w:p>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2011</w:t>
            </w:r>
          </w:p>
        </w:tc>
        <w:tc>
          <w:tcPr>
            <w:tcW w:w="994"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2011-</w:t>
            </w:r>
          </w:p>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2012</w:t>
            </w:r>
          </w:p>
        </w:tc>
        <w:tc>
          <w:tcPr>
            <w:tcW w:w="993" w:type="dxa"/>
            <w:tcBorders>
              <w:top w:val="single" w:sz="4" w:space="0" w:color="000000"/>
              <w:left w:val="single" w:sz="4" w:space="0" w:color="000000"/>
              <w:bottom w:val="single" w:sz="4" w:space="0" w:color="000000"/>
              <w:right w:val="single" w:sz="4" w:space="0" w:color="000000"/>
            </w:tcBorders>
            <w:vAlign w:val="center"/>
          </w:tcPr>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2012-</w:t>
            </w:r>
          </w:p>
          <w:p>
            <w:pPr>
              <w:pStyle w:val="F21"/>
              <w:tabs>
                <w:tab w:val="left" w:pos="480" w:leader="none"/>
                <w:tab w:val="left" w:pos="567" w:leader="none"/>
              </w:tabs>
              <w:overflowPunct w:val="true"/>
              <w:snapToGrid w:val="false"/>
              <w:spacing w:lineRule="atLeast" w:line="370"/>
              <w:ind w:left="170" w:hanging="0"/>
              <w:rPr>
                <w:i/>
                <w:i/>
                <w:kern w:val="2"/>
                <w:szCs w:val="27"/>
              </w:rPr>
            </w:pPr>
            <w:r>
              <w:rPr>
                <w:i/>
                <w:kern w:val="2"/>
                <w:szCs w:val="27"/>
              </w:rPr>
              <w:t>2013</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港島東</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耳鼻喉科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內科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141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141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140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147</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148</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23</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眼科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19</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矯形及創傷科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30</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兒科及青少年科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24</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精神科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35</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外科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48</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港島西</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耳鼻喉科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8</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內科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124</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130</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133</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26</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28</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26</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眼科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w:t>
            </w:r>
          </w:p>
        </w:tc>
      </w:tr>
      <w:tr>
        <w:trPr/>
        <w:tc>
          <w:tcPr>
            <w:tcW w:w="1139"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矯形及創傷科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30</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30</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兒科及青少年科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41</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精神科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22</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24</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24</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外科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78</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九龍中</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耳鼻喉科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12</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12</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內科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135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137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141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141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143</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23</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30</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眼科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35</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36</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矯形及創傷科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33</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兒科及青少年科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38</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39</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精神科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33</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34</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36</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外科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53</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九龍東</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耳鼻喉科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內科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131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131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132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眼科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15</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20</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18</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矯形及創傷科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35</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39</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兒科及青少年科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38</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38</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精神科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35</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外科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58</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56</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九龍西</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耳鼻喉科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14</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內科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283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275</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286</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49</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51</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眼科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24</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矯形及創傷科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66</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75</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兒科及青少年科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76</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79</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精神科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70</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68</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外科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104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109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115</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111</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新界東</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耳鼻喉科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15</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內科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172</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175</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178</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182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31</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眼科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25</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24</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26</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 xml:space="preserve">矯形及創傷科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62</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60</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兒科及青少年科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54</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54</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57</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精神科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59</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57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61</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exact" w:line="3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left="57" w:hanging="0"/>
              <w:rPr>
                <w:kern w:val="2"/>
                <w:szCs w:val="27"/>
              </w:rPr>
            </w:pPr>
            <w:r>
              <w:rPr>
                <w:kern w:val="2"/>
                <w:szCs w:val="27"/>
              </w:rPr>
              <w:t>外科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78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80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81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exact" w:line="340"/>
              <w:ind w:right="227" w:hanging="0"/>
              <w:jc w:val="right"/>
              <w:rPr>
                <w:kern w:val="2"/>
                <w:szCs w:val="27"/>
              </w:rPr>
            </w:pPr>
            <w:r>
              <w:rPr>
                <w:kern w:val="2"/>
                <w:szCs w:val="27"/>
              </w:rPr>
              <w:t>82</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新界西</w:t>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耳鼻喉科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10</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11</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10</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內科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116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126</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116</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122</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124</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婦產科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30</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32</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眼科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18</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21</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19</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矯形及創傷科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41</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43</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44</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41</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 xml:space="preserve">兒科及青少年科 </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37</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39</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34</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精神科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70</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73</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74</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78</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76</w:t>
            </w:r>
          </w:p>
        </w:tc>
      </w:tr>
      <w:tr>
        <w:trPr/>
        <w:tc>
          <w:tcPr>
            <w:tcW w:w="113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pacing w:lineRule="auto" w:line="240"/>
              <w:rPr>
                <w:spacing w:val="20"/>
                <w:kern w:val="2"/>
                <w:sz w:val="27"/>
                <w:szCs w:val="27"/>
              </w:rPr>
            </w:pPr>
            <w:r>
              <w:rPr>
                <w:spacing w:val="20"/>
                <w:kern w:val="2"/>
                <w:sz w:val="27"/>
                <w:szCs w:val="27"/>
              </w:rPr>
            </w:r>
          </w:p>
        </w:tc>
        <w:tc>
          <w:tcPr>
            <w:tcW w:w="3119"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left="57" w:hanging="0"/>
              <w:rPr>
                <w:kern w:val="2"/>
                <w:szCs w:val="27"/>
              </w:rPr>
            </w:pPr>
            <w:r>
              <w:rPr>
                <w:kern w:val="2"/>
                <w:szCs w:val="27"/>
              </w:rPr>
              <w:t>外科</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45</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48</w:t>
            </w:r>
          </w:p>
        </w:tc>
        <w:tc>
          <w:tcPr>
            <w:tcW w:w="992"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57</w:t>
            </w:r>
          </w:p>
        </w:tc>
        <w:tc>
          <w:tcPr>
            <w:tcW w:w="994"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56</w:t>
            </w:r>
          </w:p>
        </w:tc>
        <w:tc>
          <w:tcPr>
            <w:tcW w:w="993" w:type="dxa"/>
            <w:tcBorders>
              <w:top w:val="single" w:sz="4" w:space="0" w:color="000000"/>
              <w:left w:val="single" w:sz="4" w:space="0" w:color="000000"/>
              <w:bottom w:val="single" w:sz="4" w:space="0" w:color="000000"/>
              <w:right w:val="single" w:sz="4" w:space="0" w:color="000000"/>
            </w:tcBorders>
          </w:tcPr>
          <w:p>
            <w:pPr>
              <w:pStyle w:val="F21"/>
              <w:tabs>
                <w:tab w:val="left" w:pos="480" w:leader="none"/>
                <w:tab w:val="left" w:pos="567" w:leader="none"/>
              </w:tabs>
              <w:overflowPunct w:val="true"/>
              <w:snapToGrid w:val="false"/>
              <w:spacing w:lineRule="atLeast" w:line="370"/>
              <w:ind w:right="227" w:hanging="0"/>
              <w:jc w:val="right"/>
              <w:rPr>
                <w:kern w:val="2"/>
                <w:szCs w:val="27"/>
              </w:rPr>
            </w:pPr>
            <w:r>
              <w:rPr>
                <w:kern w:val="2"/>
                <w:szCs w:val="27"/>
              </w:rPr>
              <w:t>57</w:t>
            </w:r>
          </w:p>
        </w:tc>
      </w:tr>
    </w:tbl>
    <w:p>
      <w:pPr>
        <w:pStyle w:val="F21"/>
        <w:overflowPunct w:val="true"/>
        <w:snapToGrid w:val="false"/>
        <w:rPr>
          <w:rFonts w:cs="Times New Roman"/>
          <w:szCs w:val="27"/>
        </w:rPr>
      </w:pPr>
      <w:r>
        <w:rPr>
          <w:rFonts w:cs="Times New Roman"/>
          <w:szCs w:val="27"/>
        </w:rPr>
      </w:r>
    </w:p>
    <w:p>
      <w:pPr>
        <w:pStyle w:val="F21"/>
        <w:overflowPunct w:val="true"/>
        <w:snapToGrid w:val="false"/>
        <w:spacing w:lineRule="auto" w:line="240"/>
        <w:rPr>
          <w:sz w:val="20"/>
          <w:szCs w:val="20"/>
        </w:rPr>
      </w:pPr>
      <w:r>
        <w:rPr>
          <w:sz w:val="20"/>
          <w:szCs w:val="20"/>
        </w:rPr>
        <w:t>註：</w:t>
      </w:r>
    </w:p>
    <w:p>
      <w:pPr>
        <w:pStyle w:val="F21"/>
        <w:overflowPunct w:val="true"/>
        <w:snapToGrid w:val="false"/>
        <w:spacing w:lineRule="auto" w:line="240"/>
        <w:rPr>
          <w:sz w:val="20"/>
          <w:szCs w:val="20"/>
        </w:rPr>
      </w:pPr>
      <w:r>
        <w:rPr>
          <w:sz w:val="20"/>
          <w:szCs w:val="20"/>
        </w:rPr>
      </w:r>
    </w:p>
    <w:p>
      <w:pPr>
        <w:pStyle w:val="F21"/>
        <w:overflowPunct w:val="true"/>
        <w:snapToGrid w:val="false"/>
        <w:spacing w:lineRule="auto" w:line="240"/>
        <w:rPr>
          <w:sz w:val="20"/>
          <w:szCs w:val="20"/>
        </w:rPr>
      </w:pPr>
      <w:r>
        <w:rPr>
          <w:sz w:val="20"/>
          <w:szCs w:val="20"/>
        </w:rPr>
        <w:t>上述人手數字是按相當於全職人員</w:t>
      </w:r>
      <w:r>
        <w:rPr>
          <w:sz w:val="20"/>
          <w:szCs w:val="20"/>
        </w:rPr>
        <w:t>(</w:t>
      </w:r>
      <w:r>
        <w:rPr>
          <w:sz w:val="20"/>
          <w:szCs w:val="20"/>
        </w:rPr>
        <w:t>包括醫管局的常額、合約和臨時員工</w:t>
      </w:r>
      <w:r>
        <w:rPr>
          <w:sz w:val="20"/>
          <w:szCs w:val="20"/>
        </w:rPr>
        <w:t>)</w:t>
      </w:r>
      <w:r>
        <w:rPr>
          <w:sz w:val="20"/>
          <w:szCs w:val="20"/>
        </w:rPr>
        <w:t>的人手計算。</w:t>
      </w:r>
    </w:p>
    <w:p>
      <w:pPr>
        <w:pStyle w:val="F21"/>
        <w:overflowPunct w:val="true"/>
        <w:snapToGrid w:val="false"/>
        <w:spacing w:lineRule="atLeast" w:line="370"/>
        <w:rPr>
          <w:szCs w:val="27"/>
        </w:rPr>
      </w:pPr>
      <w:r>
        <w:rPr>
          <w:szCs w:val="27"/>
        </w:rPr>
      </w:r>
    </w:p>
    <w:p>
      <w:pPr>
        <w:pStyle w:val="F21"/>
        <w:snapToGrid w:val="false"/>
        <w:rPr>
          <w:rFonts w:cs="Times New Roman"/>
          <w:sz w:val="20"/>
          <w:szCs w:val="20"/>
        </w:rPr>
      </w:pPr>
      <w:r>
        <w:rPr>
          <w:rFonts w:cs="Times New Roman"/>
          <w:sz w:val="20"/>
          <w:szCs w:val="20"/>
        </w:rPr>
      </w:r>
    </w:p>
    <w:p>
      <w:pPr>
        <w:pStyle w:val="F21"/>
        <w:overflowPunct w:val="true"/>
        <w:snapToGrid w:val="false"/>
        <w:jc w:val="right"/>
        <w:rPr>
          <w:szCs w:val="27"/>
        </w:rPr>
      </w:pPr>
      <w:r>
        <w:rPr>
          <w:szCs w:val="27"/>
        </w:rPr>
        <w:t>附件三</w:t>
      </w:r>
    </w:p>
    <w:p>
      <w:pPr>
        <w:pStyle w:val="F21"/>
        <w:overflowPunct w:val="true"/>
        <w:snapToGrid w:val="false"/>
        <w:jc w:val="center"/>
        <w:rPr>
          <w:szCs w:val="27"/>
        </w:rPr>
      </w:pPr>
      <w:r>
        <w:rPr>
          <w:szCs w:val="27"/>
        </w:rPr>
      </w:r>
    </w:p>
    <w:p>
      <w:pPr>
        <w:pStyle w:val="F21"/>
        <w:overflowPunct w:val="true"/>
        <w:snapToGrid w:val="false"/>
        <w:jc w:val="center"/>
        <w:rPr>
          <w:szCs w:val="27"/>
        </w:rPr>
      </w:pPr>
      <w:r>
        <w:rPr>
          <w:szCs w:val="27"/>
        </w:rPr>
        <w:t>2008-2009</w:t>
      </w:r>
      <w:r>
        <w:rPr>
          <w:szCs w:val="27"/>
        </w:rPr>
        <w:t>年度至</w:t>
      </w:r>
      <w:r>
        <w:rPr>
          <w:szCs w:val="27"/>
        </w:rPr>
        <w:t>2012-2013</w:t>
      </w:r>
      <w:r>
        <w:rPr>
          <w:szCs w:val="27"/>
        </w:rPr>
        <w:t>年度</w:t>
      </w:r>
    </w:p>
    <w:p>
      <w:pPr>
        <w:pStyle w:val="F21"/>
        <w:overflowPunct w:val="true"/>
        <w:snapToGrid w:val="false"/>
        <w:jc w:val="center"/>
        <w:rPr>
          <w:szCs w:val="27"/>
        </w:rPr>
      </w:pPr>
      <w:r>
        <w:rPr>
          <w:szCs w:val="27"/>
        </w:rPr>
        <w:t>各醫院聯網內的主要專科門診新症的數目</w:t>
      </w:r>
    </w:p>
    <w:p>
      <w:pPr>
        <w:pStyle w:val="F21"/>
        <w:overflowPunct w:val="true"/>
        <w:snapToGrid w:val="false"/>
        <w:rPr>
          <w:szCs w:val="27"/>
        </w:rPr>
      </w:pPr>
      <w:r>
        <w:rPr>
          <w:szCs w:val="27"/>
        </w:rPr>
      </w:r>
    </w:p>
    <w:tbl>
      <w:tblPr>
        <w:tblW w:w="9223" w:type="dxa"/>
        <w:jc w:val="left"/>
        <w:tblInd w:w="0" w:type="dxa"/>
        <w:tblCellMar>
          <w:top w:w="0" w:type="dxa"/>
          <w:left w:w="5" w:type="dxa"/>
          <w:bottom w:w="0" w:type="dxa"/>
          <w:right w:w="5" w:type="dxa"/>
        </w:tblCellMar>
        <w:tblLook w:val="00a0" w:noHBand="0" w:noVBand="0" w:firstColumn="1" w:lastRow="0" w:lastColumn="0" w:firstRow="1"/>
      </w:tblPr>
      <w:tblGrid>
        <w:gridCol w:w="1139"/>
        <w:gridCol w:w="2835"/>
        <w:gridCol w:w="1048"/>
        <w:gridCol w:w="1051"/>
        <w:gridCol w:w="1049"/>
        <w:gridCol w:w="1051"/>
        <w:gridCol w:w="1049"/>
      </w:tblGrid>
      <w:tr>
        <w:trPr>
          <w:tblHeader w:val="true"/>
        </w:trPr>
        <w:tc>
          <w:tcPr>
            <w:tcW w:w="1139"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jc w:val="center"/>
              <w:rPr>
                <w:i/>
                <w:i/>
                <w:szCs w:val="27"/>
              </w:rPr>
            </w:pPr>
            <w:r>
              <w:rPr>
                <w:i/>
                <w:szCs w:val="27"/>
              </w:rPr>
              <w:t>聯網</w:t>
            </w:r>
          </w:p>
        </w:tc>
        <w:tc>
          <w:tcPr>
            <w:tcW w:w="2835"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jc w:val="center"/>
              <w:rPr>
                <w:i/>
                <w:i/>
                <w:szCs w:val="27"/>
              </w:rPr>
            </w:pPr>
            <w:r>
              <w:rPr>
                <w:i/>
                <w:szCs w:val="27"/>
              </w:rPr>
              <w:t>專科</w:t>
            </w:r>
          </w:p>
        </w:tc>
        <w:tc>
          <w:tcPr>
            <w:tcW w:w="1048"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ind w:left="170" w:hanging="0"/>
              <w:jc w:val="left"/>
              <w:rPr>
                <w:i/>
                <w:i/>
                <w:szCs w:val="27"/>
              </w:rPr>
            </w:pPr>
            <w:r>
              <w:rPr>
                <w:i/>
                <w:szCs w:val="27"/>
              </w:rPr>
              <w:t>2008-</w:t>
            </w:r>
          </w:p>
          <w:p>
            <w:pPr>
              <w:pStyle w:val="F21"/>
              <w:tabs>
                <w:tab w:val="clear" w:pos="567"/>
              </w:tabs>
              <w:overflowPunct w:val="true"/>
              <w:snapToGrid w:val="false"/>
              <w:ind w:left="170" w:hanging="0"/>
              <w:jc w:val="left"/>
              <w:rPr>
                <w:i/>
                <w:i/>
                <w:szCs w:val="27"/>
              </w:rPr>
            </w:pPr>
            <w:r>
              <w:rPr>
                <w:i/>
                <w:szCs w:val="27"/>
              </w:rPr>
              <w:t>2009</w:t>
            </w:r>
          </w:p>
        </w:tc>
        <w:tc>
          <w:tcPr>
            <w:tcW w:w="1051"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ind w:left="170" w:hanging="0"/>
              <w:jc w:val="left"/>
              <w:rPr>
                <w:i/>
                <w:i/>
                <w:szCs w:val="27"/>
              </w:rPr>
            </w:pPr>
            <w:r>
              <w:rPr>
                <w:i/>
                <w:szCs w:val="27"/>
              </w:rPr>
              <w:t>2009-</w:t>
            </w:r>
          </w:p>
          <w:p>
            <w:pPr>
              <w:pStyle w:val="F21"/>
              <w:tabs>
                <w:tab w:val="clear" w:pos="567"/>
              </w:tabs>
              <w:overflowPunct w:val="true"/>
              <w:snapToGrid w:val="false"/>
              <w:ind w:left="170" w:hanging="0"/>
              <w:jc w:val="left"/>
              <w:rPr>
                <w:i/>
                <w:i/>
                <w:szCs w:val="27"/>
              </w:rPr>
            </w:pPr>
            <w:r>
              <w:rPr>
                <w:i/>
                <w:szCs w:val="27"/>
              </w:rPr>
              <w:t>2010</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ind w:left="170" w:hanging="0"/>
              <w:jc w:val="left"/>
              <w:rPr>
                <w:i/>
                <w:i/>
                <w:szCs w:val="27"/>
              </w:rPr>
            </w:pPr>
            <w:r>
              <w:rPr>
                <w:i/>
                <w:szCs w:val="27"/>
              </w:rPr>
              <w:t>2010-</w:t>
            </w:r>
          </w:p>
          <w:p>
            <w:pPr>
              <w:pStyle w:val="F21"/>
              <w:tabs>
                <w:tab w:val="clear" w:pos="567"/>
              </w:tabs>
              <w:overflowPunct w:val="true"/>
              <w:snapToGrid w:val="false"/>
              <w:ind w:left="170" w:hanging="0"/>
              <w:jc w:val="left"/>
              <w:rPr>
                <w:i/>
                <w:i/>
                <w:szCs w:val="27"/>
              </w:rPr>
            </w:pPr>
            <w:r>
              <w:rPr>
                <w:i/>
                <w:szCs w:val="27"/>
              </w:rPr>
              <w:t>2011</w:t>
            </w:r>
          </w:p>
        </w:tc>
        <w:tc>
          <w:tcPr>
            <w:tcW w:w="1051"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ind w:left="170" w:hanging="0"/>
              <w:jc w:val="left"/>
              <w:rPr>
                <w:i/>
                <w:i/>
                <w:szCs w:val="27"/>
              </w:rPr>
            </w:pPr>
            <w:r>
              <w:rPr>
                <w:i/>
                <w:szCs w:val="27"/>
              </w:rPr>
              <w:t>2011-</w:t>
            </w:r>
          </w:p>
          <w:p>
            <w:pPr>
              <w:pStyle w:val="F21"/>
              <w:tabs>
                <w:tab w:val="clear" w:pos="567"/>
              </w:tabs>
              <w:overflowPunct w:val="true"/>
              <w:snapToGrid w:val="false"/>
              <w:ind w:left="170" w:hanging="0"/>
              <w:jc w:val="left"/>
              <w:rPr>
                <w:i/>
                <w:i/>
                <w:szCs w:val="27"/>
              </w:rPr>
            </w:pPr>
            <w:r>
              <w:rPr>
                <w:i/>
                <w:szCs w:val="27"/>
              </w:rPr>
              <w:t>2012</w:t>
            </w:r>
          </w:p>
        </w:tc>
        <w:tc>
          <w:tcPr>
            <w:tcW w:w="1049" w:type="dxa"/>
            <w:tcBorders>
              <w:top w:val="single" w:sz="4" w:space="0" w:color="000000"/>
              <w:left w:val="single" w:sz="4" w:space="0" w:color="000000"/>
              <w:bottom w:val="single" w:sz="4" w:space="0" w:color="000000"/>
              <w:right w:val="single" w:sz="4" w:space="0" w:color="000000"/>
            </w:tcBorders>
            <w:vAlign w:val="center"/>
          </w:tcPr>
          <w:p>
            <w:pPr>
              <w:pStyle w:val="F21"/>
              <w:tabs>
                <w:tab w:val="clear" w:pos="567"/>
              </w:tabs>
              <w:overflowPunct w:val="true"/>
              <w:snapToGrid w:val="false"/>
              <w:ind w:left="170" w:hanging="0"/>
              <w:jc w:val="left"/>
              <w:rPr>
                <w:i/>
                <w:i/>
                <w:szCs w:val="27"/>
              </w:rPr>
            </w:pPr>
            <w:r>
              <w:rPr>
                <w:i/>
                <w:szCs w:val="27"/>
              </w:rPr>
              <w:t>2012-</w:t>
            </w:r>
          </w:p>
          <w:p>
            <w:pPr>
              <w:pStyle w:val="F21"/>
              <w:tabs>
                <w:tab w:val="clear" w:pos="567"/>
              </w:tabs>
              <w:overflowPunct w:val="true"/>
              <w:snapToGrid w:val="false"/>
              <w:ind w:left="170" w:hanging="0"/>
              <w:jc w:val="left"/>
              <w:rPr>
                <w:i/>
                <w:i/>
                <w:szCs w:val="27"/>
              </w:rPr>
            </w:pPr>
            <w:r>
              <w:rPr>
                <w:i/>
                <w:szCs w:val="27"/>
              </w:rPr>
              <w:t>2013</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港島東</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6 773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6 902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6 838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6 445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6 681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9 389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9 677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10 026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9 430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9 833</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8 869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8 331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9 660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8 713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8 004</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10 569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10 892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11 670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10 058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11 394</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6 088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6 225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7 625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6 748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6 833</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3 318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2 225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1 302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1 177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1 251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2 337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2 775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2 748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2 426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2 591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9 332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9 838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9 754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9 420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10 217</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港島西</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5 030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5 356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4 962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4 939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5 503</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7 998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8 102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8 289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8 656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9 322</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10 378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10 591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9 811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10 393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spacing w:lineRule="exact" w:line="320"/>
              <w:ind w:right="113" w:hanging="0"/>
              <w:jc w:val="right"/>
              <w:rPr>
                <w:szCs w:val="27"/>
              </w:rPr>
            </w:pPr>
            <w:r>
              <w:rPr>
                <w:szCs w:val="27"/>
              </w:rPr>
              <w:t>9 766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5 276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6 401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7 501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10 044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9 471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7 119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8 244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8 136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7 981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8 229</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2 679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2 707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2 786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3 326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2 733</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1 934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2 141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2 943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2 590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2 646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9 531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10 222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9 424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10 076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10 332</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九龍中</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14 190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13 456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13 326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11 776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12 207</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8 675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8 619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8 816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8 711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8 843</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8 737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9 411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8 557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8 137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8 432</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19 847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20 241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22 448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20 877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21 184</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4 471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5 198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5 536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5 783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5 474</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1 570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1 660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1 693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1 625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1 682</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2 318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2 457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2 252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2 404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2 219</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10 712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11 616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12 400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12 427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12 208</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九龍東</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6 047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7 510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8 199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7 310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7 337</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12 669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12 869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13 951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14 022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12 560</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10 346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10 041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10 339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8 831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8 078</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10 445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11 146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12 484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14 028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15 576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9 452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9 727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10 486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9 986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10 334</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2 694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2 916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2 956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3 239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3 168</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4 049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4 472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4 652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4 684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4 806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12 705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13 753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13 380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13 759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16 711</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九龍西</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11 373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11 914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11 873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13 168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13 910</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18 459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20 062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21 329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21 323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21 436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20 819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22 067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22 773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23 468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25 694</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16 505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17 426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16 780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16 948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16 498</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14 336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14 137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13 842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13 975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14 360</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6 388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5 794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6 250</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5 836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6 071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6 648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7 749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8 156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8 870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8 537</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25 166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25 929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26 694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25 745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26 456</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新界東</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11 402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11 636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11 268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10 549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12 151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12 778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13 687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12 997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13 380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13 966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16 706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18 480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16 811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14 214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14 760</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15 068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15 646</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16 718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15 664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16 282</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13 056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14 939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15 335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14 414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14 325</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2 883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2 820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3 397</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3 453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3 107</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5 475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5 844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6 096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6 028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6 591</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14 831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14 747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15 688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15 491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16 648</w:t>
            </w:r>
          </w:p>
        </w:tc>
      </w:tr>
      <w:tr>
        <w:trPr/>
        <w:tc>
          <w:tcPr>
            <w:tcW w:w="1139" w:type="dxa"/>
            <w:vMerge w:val="restart"/>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新界西</w:t>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耳鼻喉科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8 006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8 215</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9 354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9 922</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10 686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內科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8 194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9 279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9 402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7 843</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8 013</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婦產科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7 948</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8 700</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8 245</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7 521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8 146</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眼科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15 169</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15 124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15 913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16 089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16 407</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矯形及創傷科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8 226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8 547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8 286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8 247</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8 157</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兒科及青少年科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1 642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1 771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1 953</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1 884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1 802</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精神科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3 986</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4 889</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4 542</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4 848</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4 899</w:t>
            </w:r>
          </w:p>
        </w:tc>
      </w:tr>
      <w:tr>
        <w:trPr/>
        <w:tc>
          <w:tcPr>
            <w:tcW w:w="1139" w:type="dxa"/>
            <w:vMerge w:val="continue"/>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r>
          </w:p>
        </w:tc>
        <w:tc>
          <w:tcPr>
            <w:tcW w:w="2835"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left="57" w:hanging="0"/>
              <w:rPr>
                <w:szCs w:val="27"/>
              </w:rPr>
            </w:pPr>
            <w:r>
              <w:rPr>
                <w:szCs w:val="27"/>
              </w:rPr>
              <w:t>外科</w:t>
            </w:r>
          </w:p>
        </w:tc>
        <w:tc>
          <w:tcPr>
            <w:tcW w:w="1048"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13 341</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14 374</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14 534</w:t>
            </w:r>
          </w:p>
        </w:tc>
        <w:tc>
          <w:tcPr>
            <w:tcW w:w="1051"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13 951</w:t>
            </w:r>
          </w:p>
        </w:tc>
        <w:tc>
          <w:tcPr>
            <w:tcW w:w="1049" w:type="dxa"/>
            <w:tcBorders>
              <w:top w:val="single" w:sz="4" w:space="0" w:color="000000"/>
              <w:left w:val="single" w:sz="4" w:space="0" w:color="000000"/>
              <w:bottom w:val="single" w:sz="4" w:space="0" w:color="000000"/>
              <w:right w:val="single" w:sz="4" w:space="0" w:color="000000"/>
            </w:tcBorders>
          </w:tcPr>
          <w:p>
            <w:pPr>
              <w:pStyle w:val="F21"/>
              <w:tabs>
                <w:tab w:val="clear" w:pos="567"/>
              </w:tabs>
              <w:overflowPunct w:val="true"/>
              <w:snapToGrid w:val="false"/>
              <w:ind w:right="113" w:hanging="0"/>
              <w:jc w:val="right"/>
              <w:rPr>
                <w:szCs w:val="27"/>
              </w:rPr>
            </w:pPr>
            <w:r>
              <w:rPr>
                <w:szCs w:val="27"/>
              </w:rPr>
              <w:t>13 907</w:t>
            </w:r>
          </w:p>
        </w:tc>
      </w:tr>
    </w:tbl>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jc w:val="right"/>
        <w:rPr>
          <w:szCs w:val="27"/>
        </w:rPr>
      </w:pPr>
      <w:r>
        <w:rPr>
          <w:szCs w:val="27"/>
        </w:rPr>
        <w:t>附件四</w:t>
      </w:r>
    </w:p>
    <w:p>
      <w:pPr>
        <w:pStyle w:val="F21"/>
        <w:overflowPunct w:val="true"/>
        <w:snapToGrid w:val="false"/>
        <w:rPr>
          <w:szCs w:val="27"/>
        </w:rPr>
      </w:pPr>
      <w:r>
        <w:rPr>
          <w:szCs w:val="27"/>
        </w:rPr>
      </w:r>
    </w:p>
    <w:p>
      <w:pPr>
        <w:pStyle w:val="F21"/>
        <w:overflowPunct w:val="true"/>
        <w:snapToGrid w:val="false"/>
        <w:jc w:val="center"/>
        <w:rPr>
          <w:szCs w:val="27"/>
        </w:rPr>
      </w:pPr>
      <w:r>
        <w:rPr>
          <w:szCs w:val="27"/>
        </w:rPr>
        <w:t>2008-2009</w:t>
      </w:r>
      <w:r>
        <w:rPr>
          <w:szCs w:val="27"/>
        </w:rPr>
        <w:t>年度至</w:t>
      </w:r>
      <w:r>
        <w:rPr>
          <w:szCs w:val="27"/>
        </w:rPr>
        <w:t>2012-2013</w:t>
      </w:r>
      <w:r>
        <w:rPr>
          <w:szCs w:val="27"/>
        </w:rPr>
        <w:t>年度</w:t>
      </w:r>
    </w:p>
    <w:p>
      <w:pPr>
        <w:pStyle w:val="F21"/>
        <w:overflowPunct w:val="true"/>
        <w:snapToGrid w:val="false"/>
        <w:jc w:val="center"/>
        <w:rPr>
          <w:szCs w:val="27"/>
        </w:rPr>
      </w:pPr>
      <w:r>
        <w:rPr>
          <w:szCs w:val="27"/>
        </w:rPr>
        <w:t>各醫院聯網主要專科門診舊症就診人次</w:t>
      </w:r>
    </w:p>
    <w:p>
      <w:pPr>
        <w:pStyle w:val="F21"/>
        <w:overflowPunct w:val="true"/>
        <w:snapToGrid w:val="false"/>
        <w:rPr>
          <w:szCs w:val="27"/>
        </w:rPr>
      </w:pPr>
      <w:r>
        <w:rPr>
          <w:szCs w:val="27"/>
        </w:rPr>
      </w:r>
    </w:p>
    <w:tbl>
      <w:tblPr>
        <w:tblStyle w:val="a3"/>
        <w:tblW w:w="9223" w:type="dxa"/>
        <w:jc w:val="left"/>
        <w:tblInd w:w="0" w:type="dxa"/>
        <w:tblCellMar>
          <w:top w:w="0" w:type="dxa"/>
          <w:left w:w="108" w:type="dxa"/>
          <w:bottom w:w="0" w:type="dxa"/>
          <w:right w:w="108" w:type="dxa"/>
        </w:tblCellMar>
        <w:tblLook w:val="04a0" w:noHBand="0" w:noVBand="1" w:firstColumn="1" w:lastRow="0" w:lastColumn="0" w:firstRow="1"/>
      </w:tblPr>
      <w:tblGrid>
        <w:gridCol w:w="1139"/>
        <w:gridCol w:w="2410"/>
        <w:gridCol w:w="1133"/>
        <w:gridCol w:w="1135"/>
        <w:gridCol w:w="1136"/>
        <w:gridCol w:w="1134"/>
        <w:gridCol w:w="1135"/>
      </w:tblGrid>
      <w:tr>
        <w:trPr>
          <w:tblHeader w:val="true"/>
        </w:trPr>
        <w:tc>
          <w:tcPr>
            <w:tcW w:w="1139" w:type="dxa"/>
            <w:tcBorders/>
            <w:vAlign w:val="center"/>
          </w:tcPr>
          <w:p>
            <w:pPr>
              <w:pStyle w:val="F21"/>
              <w:tabs>
                <w:tab w:val="clear" w:pos="567"/>
              </w:tabs>
              <w:overflowPunct w:val="true"/>
              <w:snapToGrid w:val="false"/>
              <w:jc w:val="center"/>
              <w:rPr>
                <w:i/>
                <w:i/>
                <w:szCs w:val="27"/>
              </w:rPr>
            </w:pPr>
            <w:r>
              <w:rPr>
                <w:i/>
                <w:szCs w:val="27"/>
              </w:rPr>
              <w:t>聯網</w:t>
            </w:r>
          </w:p>
        </w:tc>
        <w:tc>
          <w:tcPr>
            <w:tcW w:w="2410" w:type="dxa"/>
            <w:tcBorders/>
            <w:vAlign w:val="center"/>
          </w:tcPr>
          <w:p>
            <w:pPr>
              <w:pStyle w:val="F21"/>
              <w:tabs>
                <w:tab w:val="clear" w:pos="567"/>
              </w:tabs>
              <w:overflowPunct w:val="true"/>
              <w:snapToGrid w:val="false"/>
              <w:jc w:val="center"/>
              <w:rPr>
                <w:i/>
                <w:i/>
                <w:szCs w:val="27"/>
              </w:rPr>
            </w:pPr>
            <w:r>
              <w:rPr>
                <w:i/>
                <w:szCs w:val="27"/>
              </w:rPr>
              <w:t>專科</w:t>
            </w:r>
          </w:p>
        </w:tc>
        <w:tc>
          <w:tcPr>
            <w:tcW w:w="1133" w:type="dxa"/>
            <w:tcBorders/>
            <w:vAlign w:val="center"/>
          </w:tcPr>
          <w:p>
            <w:pPr>
              <w:pStyle w:val="F21"/>
              <w:tabs>
                <w:tab w:val="clear" w:pos="567"/>
              </w:tabs>
              <w:overflowPunct w:val="true"/>
              <w:snapToGrid w:val="false"/>
              <w:ind w:left="170" w:hanging="0"/>
              <w:jc w:val="left"/>
              <w:rPr>
                <w:i/>
                <w:i/>
                <w:szCs w:val="27"/>
              </w:rPr>
            </w:pPr>
            <w:r>
              <w:rPr>
                <w:i/>
                <w:szCs w:val="27"/>
              </w:rPr>
              <w:t>2008-</w:t>
            </w:r>
          </w:p>
          <w:p>
            <w:pPr>
              <w:pStyle w:val="F21"/>
              <w:tabs>
                <w:tab w:val="clear" w:pos="567"/>
              </w:tabs>
              <w:overflowPunct w:val="true"/>
              <w:snapToGrid w:val="false"/>
              <w:ind w:left="170" w:hanging="0"/>
              <w:jc w:val="left"/>
              <w:rPr>
                <w:i/>
                <w:i/>
                <w:szCs w:val="27"/>
              </w:rPr>
            </w:pPr>
            <w:r>
              <w:rPr>
                <w:i/>
                <w:szCs w:val="27"/>
              </w:rPr>
              <w:t>2009</w:t>
            </w:r>
          </w:p>
        </w:tc>
        <w:tc>
          <w:tcPr>
            <w:tcW w:w="1135" w:type="dxa"/>
            <w:tcBorders/>
            <w:vAlign w:val="center"/>
          </w:tcPr>
          <w:p>
            <w:pPr>
              <w:pStyle w:val="F21"/>
              <w:tabs>
                <w:tab w:val="clear" w:pos="567"/>
              </w:tabs>
              <w:overflowPunct w:val="true"/>
              <w:snapToGrid w:val="false"/>
              <w:ind w:left="170" w:hanging="0"/>
              <w:jc w:val="left"/>
              <w:rPr>
                <w:i/>
                <w:i/>
                <w:szCs w:val="27"/>
              </w:rPr>
            </w:pPr>
            <w:r>
              <w:rPr>
                <w:i/>
                <w:szCs w:val="27"/>
              </w:rPr>
              <w:t>2009-</w:t>
            </w:r>
          </w:p>
          <w:p>
            <w:pPr>
              <w:pStyle w:val="F21"/>
              <w:tabs>
                <w:tab w:val="clear" w:pos="567"/>
              </w:tabs>
              <w:overflowPunct w:val="true"/>
              <w:snapToGrid w:val="false"/>
              <w:ind w:left="170" w:hanging="0"/>
              <w:jc w:val="left"/>
              <w:rPr>
                <w:i/>
                <w:i/>
                <w:szCs w:val="27"/>
              </w:rPr>
            </w:pPr>
            <w:r>
              <w:rPr>
                <w:i/>
                <w:szCs w:val="27"/>
              </w:rPr>
              <w:t>2010</w:t>
            </w:r>
          </w:p>
        </w:tc>
        <w:tc>
          <w:tcPr>
            <w:tcW w:w="1136" w:type="dxa"/>
            <w:tcBorders/>
            <w:vAlign w:val="center"/>
          </w:tcPr>
          <w:p>
            <w:pPr>
              <w:pStyle w:val="F21"/>
              <w:tabs>
                <w:tab w:val="clear" w:pos="567"/>
              </w:tabs>
              <w:overflowPunct w:val="true"/>
              <w:snapToGrid w:val="false"/>
              <w:ind w:left="170" w:hanging="0"/>
              <w:jc w:val="left"/>
              <w:rPr>
                <w:i/>
                <w:i/>
                <w:szCs w:val="27"/>
              </w:rPr>
            </w:pPr>
            <w:r>
              <w:rPr>
                <w:i/>
                <w:szCs w:val="27"/>
              </w:rPr>
              <w:t>2010-</w:t>
            </w:r>
          </w:p>
          <w:p>
            <w:pPr>
              <w:pStyle w:val="F21"/>
              <w:tabs>
                <w:tab w:val="clear" w:pos="567"/>
              </w:tabs>
              <w:overflowPunct w:val="true"/>
              <w:snapToGrid w:val="false"/>
              <w:ind w:left="170" w:hanging="0"/>
              <w:jc w:val="left"/>
              <w:rPr>
                <w:i/>
                <w:i/>
                <w:szCs w:val="27"/>
              </w:rPr>
            </w:pPr>
            <w:r>
              <w:rPr>
                <w:i/>
                <w:szCs w:val="27"/>
              </w:rPr>
              <w:t>2011</w:t>
            </w:r>
          </w:p>
        </w:tc>
        <w:tc>
          <w:tcPr>
            <w:tcW w:w="1134" w:type="dxa"/>
            <w:tcBorders/>
            <w:vAlign w:val="center"/>
          </w:tcPr>
          <w:p>
            <w:pPr>
              <w:pStyle w:val="F21"/>
              <w:tabs>
                <w:tab w:val="clear" w:pos="567"/>
              </w:tabs>
              <w:overflowPunct w:val="true"/>
              <w:snapToGrid w:val="false"/>
              <w:ind w:left="170" w:hanging="0"/>
              <w:jc w:val="left"/>
              <w:rPr>
                <w:i/>
                <w:i/>
                <w:szCs w:val="27"/>
              </w:rPr>
            </w:pPr>
            <w:r>
              <w:rPr>
                <w:i/>
                <w:szCs w:val="27"/>
              </w:rPr>
              <w:t>2011-</w:t>
            </w:r>
          </w:p>
          <w:p>
            <w:pPr>
              <w:pStyle w:val="F21"/>
              <w:tabs>
                <w:tab w:val="clear" w:pos="567"/>
              </w:tabs>
              <w:overflowPunct w:val="true"/>
              <w:snapToGrid w:val="false"/>
              <w:ind w:left="170" w:hanging="0"/>
              <w:jc w:val="left"/>
              <w:rPr>
                <w:i/>
                <w:i/>
                <w:szCs w:val="27"/>
              </w:rPr>
            </w:pPr>
            <w:r>
              <w:rPr>
                <w:i/>
                <w:szCs w:val="27"/>
              </w:rPr>
              <w:t>2012</w:t>
            </w:r>
          </w:p>
        </w:tc>
        <w:tc>
          <w:tcPr>
            <w:tcW w:w="1135" w:type="dxa"/>
            <w:tcBorders/>
            <w:vAlign w:val="center"/>
          </w:tcPr>
          <w:p>
            <w:pPr>
              <w:pStyle w:val="F21"/>
              <w:tabs>
                <w:tab w:val="clear" w:pos="567"/>
              </w:tabs>
              <w:overflowPunct w:val="true"/>
              <w:snapToGrid w:val="false"/>
              <w:ind w:left="170" w:hanging="0"/>
              <w:jc w:val="left"/>
              <w:rPr>
                <w:i/>
                <w:i/>
                <w:szCs w:val="27"/>
              </w:rPr>
            </w:pPr>
            <w:r>
              <w:rPr>
                <w:i/>
                <w:szCs w:val="27"/>
              </w:rPr>
              <w:t>2012-</w:t>
            </w:r>
          </w:p>
          <w:p>
            <w:pPr>
              <w:pStyle w:val="F21"/>
              <w:tabs>
                <w:tab w:val="clear" w:pos="567"/>
              </w:tabs>
              <w:overflowPunct w:val="true"/>
              <w:snapToGrid w:val="false"/>
              <w:ind w:left="170" w:hanging="0"/>
              <w:jc w:val="left"/>
              <w:rPr>
                <w:i/>
                <w:i/>
                <w:szCs w:val="27"/>
              </w:rPr>
            </w:pPr>
            <w:r>
              <w:rPr>
                <w:i/>
                <w:szCs w:val="27"/>
              </w:rPr>
              <w:t>2013</w:t>
            </w:r>
          </w:p>
        </w:tc>
      </w:tr>
      <w:tr>
        <w:trPr/>
        <w:tc>
          <w:tcPr>
            <w:tcW w:w="1139" w:type="dxa"/>
            <w:vMerge w:val="restart"/>
            <w:tcBorders/>
          </w:tcPr>
          <w:p>
            <w:pPr>
              <w:pStyle w:val="F21"/>
              <w:tabs>
                <w:tab w:val="clear" w:pos="567"/>
              </w:tabs>
              <w:overflowPunct w:val="true"/>
              <w:snapToGrid w:val="false"/>
              <w:ind w:left="57" w:hanging="0"/>
              <w:rPr>
                <w:szCs w:val="27"/>
              </w:rPr>
            </w:pPr>
            <w:r>
              <w:rPr>
                <w:szCs w:val="27"/>
              </w:rPr>
              <w:t>港島東</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25 975</w:t>
            </w:r>
          </w:p>
        </w:tc>
        <w:tc>
          <w:tcPr>
            <w:tcW w:w="1135" w:type="dxa"/>
            <w:tcBorders/>
          </w:tcPr>
          <w:p>
            <w:pPr>
              <w:pStyle w:val="F21"/>
              <w:tabs>
                <w:tab w:val="clear" w:pos="567"/>
              </w:tabs>
              <w:overflowPunct w:val="true"/>
              <w:snapToGrid w:val="false"/>
              <w:ind w:right="85" w:hanging="0"/>
              <w:jc w:val="right"/>
              <w:rPr>
                <w:szCs w:val="27"/>
              </w:rPr>
            </w:pPr>
            <w:r>
              <w:rPr>
                <w:szCs w:val="27"/>
              </w:rPr>
              <w:t>29 222</w:t>
            </w:r>
          </w:p>
        </w:tc>
        <w:tc>
          <w:tcPr>
            <w:tcW w:w="1136" w:type="dxa"/>
            <w:tcBorders/>
          </w:tcPr>
          <w:p>
            <w:pPr>
              <w:pStyle w:val="F21"/>
              <w:tabs>
                <w:tab w:val="clear" w:pos="567"/>
              </w:tabs>
              <w:overflowPunct w:val="true"/>
              <w:snapToGrid w:val="false"/>
              <w:ind w:right="85" w:hanging="0"/>
              <w:jc w:val="right"/>
              <w:rPr>
                <w:szCs w:val="27"/>
              </w:rPr>
            </w:pPr>
            <w:r>
              <w:rPr>
                <w:szCs w:val="27"/>
              </w:rPr>
              <w:t>30 283</w:t>
            </w:r>
          </w:p>
        </w:tc>
        <w:tc>
          <w:tcPr>
            <w:tcW w:w="1134" w:type="dxa"/>
            <w:tcBorders/>
          </w:tcPr>
          <w:p>
            <w:pPr>
              <w:pStyle w:val="F21"/>
              <w:tabs>
                <w:tab w:val="clear" w:pos="567"/>
              </w:tabs>
              <w:overflowPunct w:val="true"/>
              <w:snapToGrid w:val="false"/>
              <w:ind w:right="85" w:hanging="0"/>
              <w:jc w:val="right"/>
              <w:rPr>
                <w:szCs w:val="27"/>
              </w:rPr>
            </w:pPr>
            <w:r>
              <w:rPr>
                <w:szCs w:val="27"/>
              </w:rPr>
              <w:t>30 097</w:t>
            </w:r>
          </w:p>
        </w:tc>
        <w:tc>
          <w:tcPr>
            <w:tcW w:w="1135" w:type="dxa"/>
            <w:tcBorders/>
          </w:tcPr>
          <w:p>
            <w:pPr>
              <w:pStyle w:val="F21"/>
              <w:tabs>
                <w:tab w:val="clear" w:pos="567"/>
              </w:tabs>
              <w:overflowPunct w:val="true"/>
              <w:snapToGrid w:val="false"/>
              <w:ind w:right="85" w:hanging="0"/>
              <w:jc w:val="right"/>
              <w:rPr>
                <w:szCs w:val="27"/>
              </w:rPr>
            </w:pPr>
            <w:r>
              <w:rPr>
                <w:szCs w:val="27"/>
              </w:rPr>
              <w:t>30 353</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226 590</w:t>
            </w:r>
          </w:p>
        </w:tc>
        <w:tc>
          <w:tcPr>
            <w:tcW w:w="1135" w:type="dxa"/>
            <w:tcBorders/>
          </w:tcPr>
          <w:p>
            <w:pPr>
              <w:pStyle w:val="F21"/>
              <w:tabs>
                <w:tab w:val="clear" w:pos="567"/>
              </w:tabs>
              <w:overflowPunct w:val="true"/>
              <w:snapToGrid w:val="false"/>
              <w:ind w:right="85" w:hanging="0"/>
              <w:jc w:val="right"/>
              <w:rPr>
                <w:szCs w:val="27"/>
              </w:rPr>
            </w:pPr>
            <w:r>
              <w:rPr>
                <w:szCs w:val="27"/>
              </w:rPr>
              <w:t>232 437</w:t>
            </w:r>
          </w:p>
        </w:tc>
        <w:tc>
          <w:tcPr>
            <w:tcW w:w="1136" w:type="dxa"/>
            <w:tcBorders/>
          </w:tcPr>
          <w:p>
            <w:pPr>
              <w:pStyle w:val="F21"/>
              <w:tabs>
                <w:tab w:val="clear" w:pos="567"/>
              </w:tabs>
              <w:overflowPunct w:val="true"/>
              <w:snapToGrid w:val="false"/>
              <w:ind w:right="85" w:hanging="0"/>
              <w:jc w:val="right"/>
              <w:rPr>
                <w:szCs w:val="27"/>
              </w:rPr>
            </w:pPr>
            <w:r>
              <w:rPr>
                <w:szCs w:val="27"/>
              </w:rPr>
              <w:t>232 790</w:t>
            </w:r>
          </w:p>
        </w:tc>
        <w:tc>
          <w:tcPr>
            <w:tcW w:w="1134" w:type="dxa"/>
            <w:tcBorders/>
          </w:tcPr>
          <w:p>
            <w:pPr>
              <w:pStyle w:val="F21"/>
              <w:tabs>
                <w:tab w:val="clear" w:pos="567"/>
              </w:tabs>
              <w:overflowPunct w:val="true"/>
              <w:snapToGrid w:val="false"/>
              <w:ind w:right="85" w:hanging="0"/>
              <w:jc w:val="right"/>
              <w:rPr>
                <w:szCs w:val="27"/>
              </w:rPr>
            </w:pPr>
            <w:r>
              <w:rPr>
                <w:szCs w:val="27"/>
              </w:rPr>
              <w:t>229 893</w:t>
            </w:r>
          </w:p>
        </w:tc>
        <w:tc>
          <w:tcPr>
            <w:tcW w:w="1135" w:type="dxa"/>
            <w:tcBorders/>
          </w:tcPr>
          <w:p>
            <w:pPr>
              <w:pStyle w:val="F21"/>
              <w:tabs>
                <w:tab w:val="clear" w:pos="567"/>
              </w:tabs>
              <w:overflowPunct w:val="true"/>
              <w:snapToGrid w:val="false"/>
              <w:ind w:right="85" w:hanging="0"/>
              <w:jc w:val="right"/>
              <w:rPr>
                <w:szCs w:val="27"/>
              </w:rPr>
            </w:pPr>
            <w:r>
              <w:rPr>
                <w:szCs w:val="27"/>
              </w:rPr>
              <w:t>234 671</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46 813</w:t>
            </w:r>
          </w:p>
        </w:tc>
        <w:tc>
          <w:tcPr>
            <w:tcW w:w="1135" w:type="dxa"/>
            <w:tcBorders/>
          </w:tcPr>
          <w:p>
            <w:pPr>
              <w:pStyle w:val="F21"/>
              <w:tabs>
                <w:tab w:val="clear" w:pos="567"/>
              </w:tabs>
              <w:overflowPunct w:val="true"/>
              <w:snapToGrid w:val="false"/>
              <w:ind w:right="85" w:hanging="0"/>
              <w:jc w:val="right"/>
              <w:rPr>
                <w:szCs w:val="27"/>
              </w:rPr>
            </w:pPr>
            <w:r>
              <w:rPr>
                <w:szCs w:val="27"/>
              </w:rPr>
              <w:t>47 780</w:t>
            </w:r>
          </w:p>
        </w:tc>
        <w:tc>
          <w:tcPr>
            <w:tcW w:w="1136" w:type="dxa"/>
            <w:tcBorders/>
          </w:tcPr>
          <w:p>
            <w:pPr>
              <w:pStyle w:val="F21"/>
              <w:tabs>
                <w:tab w:val="clear" w:pos="567"/>
              </w:tabs>
              <w:overflowPunct w:val="true"/>
              <w:snapToGrid w:val="false"/>
              <w:ind w:right="85" w:hanging="0"/>
              <w:jc w:val="right"/>
              <w:rPr>
                <w:szCs w:val="27"/>
              </w:rPr>
            </w:pPr>
            <w:r>
              <w:rPr>
                <w:szCs w:val="27"/>
              </w:rPr>
              <w:t>41 733</w:t>
            </w:r>
          </w:p>
        </w:tc>
        <w:tc>
          <w:tcPr>
            <w:tcW w:w="1134" w:type="dxa"/>
            <w:tcBorders/>
          </w:tcPr>
          <w:p>
            <w:pPr>
              <w:pStyle w:val="F21"/>
              <w:tabs>
                <w:tab w:val="clear" w:pos="567"/>
              </w:tabs>
              <w:overflowPunct w:val="true"/>
              <w:snapToGrid w:val="false"/>
              <w:ind w:right="85" w:hanging="0"/>
              <w:jc w:val="right"/>
              <w:rPr>
                <w:szCs w:val="27"/>
              </w:rPr>
            </w:pPr>
            <w:r>
              <w:rPr>
                <w:szCs w:val="27"/>
              </w:rPr>
              <w:t>43 601</w:t>
            </w:r>
          </w:p>
        </w:tc>
        <w:tc>
          <w:tcPr>
            <w:tcW w:w="1135" w:type="dxa"/>
            <w:tcBorders/>
          </w:tcPr>
          <w:p>
            <w:pPr>
              <w:pStyle w:val="F21"/>
              <w:tabs>
                <w:tab w:val="clear" w:pos="567"/>
              </w:tabs>
              <w:overflowPunct w:val="true"/>
              <w:snapToGrid w:val="false"/>
              <w:ind w:right="85" w:hanging="0"/>
              <w:jc w:val="right"/>
              <w:rPr>
                <w:szCs w:val="27"/>
              </w:rPr>
            </w:pPr>
            <w:r>
              <w:rPr>
                <w:szCs w:val="27"/>
              </w:rPr>
              <w:t>44 910</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113 490</w:t>
            </w:r>
          </w:p>
        </w:tc>
        <w:tc>
          <w:tcPr>
            <w:tcW w:w="1135" w:type="dxa"/>
            <w:tcBorders/>
          </w:tcPr>
          <w:p>
            <w:pPr>
              <w:pStyle w:val="F21"/>
              <w:tabs>
                <w:tab w:val="clear" w:pos="567"/>
              </w:tabs>
              <w:overflowPunct w:val="true"/>
              <w:snapToGrid w:val="false"/>
              <w:ind w:right="85" w:hanging="0"/>
              <w:jc w:val="right"/>
              <w:rPr>
                <w:szCs w:val="27"/>
              </w:rPr>
            </w:pPr>
            <w:r>
              <w:rPr>
                <w:szCs w:val="27"/>
              </w:rPr>
              <w:t>119 641</w:t>
            </w:r>
          </w:p>
        </w:tc>
        <w:tc>
          <w:tcPr>
            <w:tcW w:w="1136" w:type="dxa"/>
            <w:tcBorders/>
          </w:tcPr>
          <w:p>
            <w:pPr>
              <w:pStyle w:val="F21"/>
              <w:tabs>
                <w:tab w:val="clear" w:pos="567"/>
              </w:tabs>
              <w:overflowPunct w:val="true"/>
              <w:snapToGrid w:val="false"/>
              <w:ind w:right="85" w:hanging="0"/>
              <w:jc w:val="right"/>
              <w:rPr>
                <w:szCs w:val="27"/>
              </w:rPr>
            </w:pPr>
            <w:r>
              <w:rPr>
                <w:szCs w:val="27"/>
              </w:rPr>
              <w:t>125 501</w:t>
            </w:r>
          </w:p>
        </w:tc>
        <w:tc>
          <w:tcPr>
            <w:tcW w:w="1134" w:type="dxa"/>
            <w:tcBorders/>
          </w:tcPr>
          <w:p>
            <w:pPr>
              <w:pStyle w:val="F21"/>
              <w:tabs>
                <w:tab w:val="clear" w:pos="567"/>
              </w:tabs>
              <w:overflowPunct w:val="true"/>
              <w:snapToGrid w:val="false"/>
              <w:ind w:right="85" w:hanging="0"/>
              <w:jc w:val="right"/>
              <w:rPr>
                <w:szCs w:val="27"/>
              </w:rPr>
            </w:pPr>
            <w:r>
              <w:rPr>
                <w:szCs w:val="27"/>
              </w:rPr>
              <w:t>124 597</w:t>
            </w:r>
          </w:p>
        </w:tc>
        <w:tc>
          <w:tcPr>
            <w:tcW w:w="1135" w:type="dxa"/>
            <w:tcBorders/>
          </w:tcPr>
          <w:p>
            <w:pPr>
              <w:pStyle w:val="F21"/>
              <w:tabs>
                <w:tab w:val="clear" w:pos="567"/>
              </w:tabs>
              <w:overflowPunct w:val="true"/>
              <w:snapToGrid w:val="false"/>
              <w:ind w:right="85" w:hanging="0"/>
              <w:jc w:val="right"/>
              <w:rPr>
                <w:szCs w:val="27"/>
              </w:rPr>
            </w:pPr>
            <w:r>
              <w:rPr>
                <w:szCs w:val="27"/>
              </w:rPr>
              <w:t>119 152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44 419</w:t>
            </w:r>
          </w:p>
        </w:tc>
        <w:tc>
          <w:tcPr>
            <w:tcW w:w="1135" w:type="dxa"/>
            <w:tcBorders/>
          </w:tcPr>
          <w:p>
            <w:pPr>
              <w:pStyle w:val="F21"/>
              <w:tabs>
                <w:tab w:val="clear" w:pos="567"/>
              </w:tabs>
              <w:overflowPunct w:val="true"/>
              <w:snapToGrid w:val="false"/>
              <w:ind w:right="85" w:hanging="0"/>
              <w:jc w:val="right"/>
              <w:rPr>
                <w:szCs w:val="27"/>
              </w:rPr>
            </w:pPr>
            <w:r>
              <w:rPr>
                <w:szCs w:val="27"/>
              </w:rPr>
              <w:t>46 459</w:t>
            </w:r>
          </w:p>
        </w:tc>
        <w:tc>
          <w:tcPr>
            <w:tcW w:w="1136" w:type="dxa"/>
            <w:tcBorders/>
          </w:tcPr>
          <w:p>
            <w:pPr>
              <w:pStyle w:val="F21"/>
              <w:tabs>
                <w:tab w:val="clear" w:pos="567"/>
              </w:tabs>
              <w:overflowPunct w:val="true"/>
              <w:snapToGrid w:val="false"/>
              <w:ind w:right="85" w:hanging="0"/>
              <w:jc w:val="right"/>
              <w:rPr>
                <w:szCs w:val="27"/>
              </w:rPr>
            </w:pPr>
            <w:r>
              <w:rPr>
                <w:szCs w:val="27"/>
              </w:rPr>
              <w:t>49 605</w:t>
            </w:r>
          </w:p>
        </w:tc>
        <w:tc>
          <w:tcPr>
            <w:tcW w:w="1134" w:type="dxa"/>
            <w:tcBorders/>
          </w:tcPr>
          <w:p>
            <w:pPr>
              <w:pStyle w:val="F21"/>
              <w:tabs>
                <w:tab w:val="clear" w:pos="567"/>
              </w:tabs>
              <w:overflowPunct w:val="true"/>
              <w:snapToGrid w:val="false"/>
              <w:ind w:right="85" w:hanging="0"/>
              <w:jc w:val="right"/>
              <w:rPr>
                <w:szCs w:val="27"/>
              </w:rPr>
            </w:pPr>
            <w:r>
              <w:rPr>
                <w:szCs w:val="27"/>
              </w:rPr>
              <w:t>49 154</w:t>
            </w:r>
          </w:p>
        </w:tc>
        <w:tc>
          <w:tcPr>
            <w:tcW w:w="1135" w:type="dxa"/>
            <w:tcBorders/>
          </w:tcPr>
          <w:p>
            <w:pPr>
              <w:pStyle w:val="F21"/>
              <w:tabs>
                <w:tab w:val="clear" w:pos="567"/>
              </w:tabs>
              <w:overflowPunct w:val="true"/>
              <w:snapToGrid w:val="false"/>
              <w:ind w:right="85" w:hanging="0"/>
              <w:jc w:val="right"/>
              <w:rPr>
                <w:szCs w:val="27"/>
              </w:rPr>
            </w:pPr>
            <w:r>
              <w:rPr>
                <w:szCs w:val="27"/>
              </w:rPr>
              <w:t>51 732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18 842</w:t>
            </w:r>
          </w:p>
        </w:tc>
        <w:tc>
          <w:tcPr>
            <w:tcW w:w="1135" w:type="dxa"/>
            <w:tcBorders/>
          </w:tcPr>
          <w:p>
            <w:pPr>
              <w:pStyle w:val="F21"/>
              <w:tabs>
                <w:tab w:val="clear" w:pos="567"/>
              </w:tabs>
              <w:overflowPunct w:val="true"/>
              <w:snapToGrid w:val="false"/>
              <w:ind w:right="85" w:hanging="0"/>
              <w:jc w:val="right"/>
              <w:rPr>
                <w:szCs w:val="27"/>
              </w:rPr>
            </w:pPr>
            <w:r>
              <w:rPr>
                <w:szCs w:val="27"/>
              </w:rPr>
              <w:t>17 589</w:t>
            </w:r>
          </w:p>
        </w:tc>
        <w:tc>
          <w:tcPr>
            <w:tcW w:w="1136" w:type="dxa"/>
            <w:tcBorders/>
          </w:tcPr>
          <w:p>
            <w:pPr>
              <w:pStyle w:val="F21"/>
              <w:tabs>
                <w:tab w:val="clear" w:pos="567"/>
              </w:tabs>
              <w:overflowPunct w:val="true"/>
              <w:snapToGrid w:val="false"/>
              <w:ind w:right="85" w:hanging="0"/>
              <w:jc w:val="right"/>
              <w:rPr>
                <w:szCs w:val="27"/>
              </w:rPr>
            </w:pPr>
            <w:r>
              <w:rPr>
                <w:szCs w:val="27"/>
              </w:rPr>
              <w:t>16 332</w:t>
            </w:r>
          </w:p>
        </w:tc>
        <w:tc>
          <w:tcPr>
            <w:tcW w:w="1134" w:type="dxa"/>
            <w:tcBorders/>
          </w:tcPr>
          <w:p>
            <w:pPr>
              <w:pStyle w:val="F21"/>
              <w:tabs>
                <w:tab w:val="clear" w:pos="567"/>
              </w:tabs>
              <w:overflowPunct w:val="true"/>
              <w:snapToGrid w:val="false"/>
              <w:ind w:right="85" w:hanging="0"/>
              <w:jc w:val="right"/>
              <w:rPr>
                <w:szCs w:val="27"/>
              </w:rPr>
            </w:pPr>
            <w:r>
              <w:rPr>
                <w:szCs w:val="27"/>
              </w:rPr>
              <w:t>15 779</w:t>
            </w:r>
          </w:p>
        </w:tc>
        <w:tc>
          <w:tcPr>
            <w:tcW w:w="1135" w:type="dxa"/>
            <w:tcBorders/>
          </w:tcPr>
          <w:p>
            <w:pPr>
              <w:pStyle w:val="F21"/>
              <w:tabs>
                <w:tab w:val="clear" w:pos="567"/>
              </w:tabs>
              <w:overflowPunct w:val="true"/>
              <w:snapToGrid w:val="false"/>
              <w:ind w:right="85" w:hanging="0"/>
              <w:jc w:val="right"/>
              <w:rPr>
                <w:szCs w:val="27"/>
              </w:rPr>
            </w:pPr>
            <w:r>
              <w:rPr>
                <w:szCs w:val="27"/>
              </w:rPr>
              <w:t>14 646</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64 879</w:t>
            </w:r>
          </w:p>
        </w:tc>
        <w:tc>
          <w:tcPr>
            <w:tcW w:w="1135" w:type="dxa"/>
            <w:tcBorders/>
          </w:tcPr>
          <w:p>
            <w:pPr>
              <w:pStyle w:val="F21"/>
              <w:tabs>
                <w:tab w:val="clear" w:pos="567"/>
              </w:tabs>
              <w:overflowPunct w:val="true"/>
              <w:snapToGrid w:val="false"/>
              <w:ind w:right="85" w:hanging="0"/>
              <w:jc w:val="right"/>
              <w:rPr>
                <w:szCs w:val="27"/>
              </w:rPr>
            </w:pPr>
            <w:r>
              <w:rPr>
                <w:szCs w:val="27"/>
              </w:rPr>
              <w:t>70 932</w:t>
            </w:r>
          </w:p>
        </w:tc>
        <w:tc>
          <w:tcPr>
            <w:tcW w:w="1136" w:type="dxa"/>
            <w:tcBorders/>
          </w:tcPr>
          <w:p>
            <w:pPr>
              <w:pStyle w:val="F21"/>
              <w:tabs>
                <w:tab w:val="clear" w:pos="567"/>
              </w:tabs>
              <w:overflowPunct w:val="true"/>
              <w:snapToGrid w:val="false"/>
              <w:ind w:right="85" w:hanging="0"/>
              <w:jc w:val="right"/>
              <w:rPr>
                <w:szCs w:val="27"/>
              </w:rPr>
            </w:pPr>
            <w:r>
              <w:rPr>
                <w:szCs w:val="27"/>
              </w:rPr>
              <w:t>73 775</w:t>
            </w:r>
          </w:p>
        </w:tc>
        <w:tc>
          <w:tcPr>
            <w:tcW w:w="1134" w:type="dxa"/>
            <w:tcBorders/>
          </w:tcPr>
          <w:p>
            <w:pPr>
              <w:pStyle w:val="F21"/>
              <w:tabs>
                <w:tab w:val="clear" w:pos="567"/>
              </w:tabs>
              <w:overflowPunct w:val="true"/>
              <w:snapToGrid w:val="false"/>
              <w:ind w:right="85" w:hanging="0"/>
              <w:jc w:val="right"/>
              <w:rPr>
                <w:szCs w:val="27"/>
              </w:rPr>
            </w:pPr>
            <w:r>
              <w:rPr>
                <w:szCs w:val="27"/>
              </w:rPr>
              <w:t>74 303</w:t>
            </w:r>
          </w:p>
        </w:tc>
        <w:tc>
          <w:tcPr>
            <w:tcW w:w="1135" w:type="dxa"/>
            <w:tcBorders/>
          </w:tcPr>
          <w:p>
            <w:pPr>
              <w:pStyle w:val="F21"/>
              <w:tabs>
                <w:tab w:val="clear" w:pos="567"/>
              </w:tabs>
              <w:overflowPunct w:val="true"/>
              <w:snapToGrid w:val="false"/>
              <w:ind w:right="85" w:hanging="0"/>
              <w:jc w:val="right"/>
              <w:rPr>
                <w:szCs w:val="27"/>
              </w:rPr>
            </w:pPr>
            <w:r>
              <w:rPr>
                <w:szCs w:val="27"/>
              </w:rPr>
              <w:t>74 824</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58 996</w:t>
            </w:r>
          </w:p>
        </w:tc>
        <w:tc>
          <w:tcPr>
            <w:tcW w:w="1135" w:type="dxa"/>
            <w:tcBorders/>
          </w:tcPr>
          <w:p>
            <w:pPr>
              <w:pStyle w:val="F21"/>
              <w:tabs>
                <w:tab w:val="clear" w:pos="567"/>
              </w:tabs>
              <w:overflowPunct w:val="true"/>
              <w:snapToGrid w:val="false"/>
              <w:ind w:right="85" w:hanging="0"/>
              <w:jc w:val="right"/>
              <w:rPr>
                <w:szCs w:val="27"/>
              </w:rPr>
            </w:pPr>
            <w:r>
              <w:rPr>
                <w:szCs w:val="27"/>
              </w:rPr>
              <w:t>62 096</w:t>
            </w:r>
          </w:p>
        </w:tc>
        <w:tc>
          <w:tcPr>
            <w:tcW w:w="1136" w:type="dxa"/>
            <w:tcBorders/>
          </w:tcPr>
          <w:p>
            <w:pPr>
              <w:pStyle w:val="F21"/>
              <w:tabs>
                <w:tab w:val="clear" w:pos="567"/>
              </w:tabs>
              <w:overflowPunct w:val="true"/>
              <w:snapToGrid w:val="false"/>
              <w:ind w:right="85" w:hanging="0"/>
              <w:jc w:val="right"/>
              <w:rPr>
                <w:szCs w:val="27"/>
              </w:rPr>
            </w:pPr>
            <w:r>
              <w:rPr>
                <w:szCs w:val="27"/>
              </w:rPr>
              <w:t>63 482</w:t>
            </w:r>
          </w:p>
        </w:tc>
        <w:tc>
          <w:tcPr>
            <w:tcW w:w="1134" w:type="dxa"/>
            <w:tcBorders/>
          </w:tcPr>
          <w:p>
            <w:pPr>
              <w:pStyle w:val="F21"/>
              <w:tabs>
                <w:tab w:val="clear" w:pos="567"/>
              </w:tabs>
              <w:overflowPunct w:val="true"/>
              <w:snapToGrid w:val="false"/>
              <w:ind w:right="85" w:hanging="0"/>
              <w:jc w:val="right"/>
              <w:rPr>
                <w:szCs w:val="27"/>
              </w:rPr>
            </w:pPr>
            <w:r>
              <w:rPr>
                <w:szCs w:val="27"/>
              </w:rPr>
              <w:t>62 782</w:t>
            </w:r>
          </w:p>
        </w:tc>
        <w:tc>
          <w:tcPr>
            <w:tcW w:w="1135" w:type="dxa"/>
            <w:tcBorders/>
          </w:tcPr>
          <w:p>
            <w:pPr>
              <w:pStyle w:val="F21"/>
              <w:tabs>
                <w:tab w:val="clear" w:pos="567"/>
              </w:tabs>
              <w:overflowPunct w:val="true"/>
              <w:snapToGrid w:val="false"/>
              <w:ind w:right="85" w:hanging="0"/>
              <w:jc w:val="right"/>
              <w:rPr>
                <w:szCs w:val="27"/>
              </w:rPr>
            </w:pPr>
            <w:r>
              <w:rPr>
                <w:szCs w:val="27"/>
              </w:rPr>
              <w:t>65 836</w:t>
            </w:r>
          </w:p>
        </w:tc>
      </w:tr>
      <w:tr>
        <w:trPr/>
        <w:tc>
          <w:tcPr>
            <w:tcW w:w="1139" w:type="dxa"/>
            <w:vMerge w:val="restart"/>
            <w:tcBorders/>
          </w:tcPr>
          <w:p>
            <w:pPr>
              <w:pStyle w:val="F21"/>
              <w:tabs>
                <w:tab w:val="clear" w:pos="567"/>
              </w:tabs>
              <w:overflowPunct w:val="true"/>
              <w:snapToGrid w:val="false"/>
              <w:ind w:left="57" w:hanging="0"/>
              <w:rPr>
                <w:szCs w:val="27"/>
              </w:rPr>
            </w:pPr>
            <w:r>
              <w:rPr>
                <w:szCs w:val="27"/>
              </w:rPr>
              <w:t>港島西</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18 479</w:t>
            </w:r>
          </w:p>
        </w:tc>
        <w:tc>
          <w:tcPr>
            <w:tcW w:w="1135" w:type="dxa"/>
            <w:tcBorders/>
          </w:tcPr>
          <w:p>
            <w:pPr>
              <w:pStyle w:val="F21"/>
              <w:tabs>
                <w:tab w:val="clear" w:pos="567"/>
              </w:tabs>
              <w:overflowPunct w:val="true"/>
              <w:snapToGrid w:val="false"/>
              <w:ind w:right="85" w:hanging="0"/>
              <w:jc w:val="right"/>
              <w:rPr>
                <w:szCs w:val="27"/>
              </w:rPr>
            </w:pPr>
            <w:r>
              <w:rPr>
                <w:szCs w:val="27"/>
              </w:rPr>
              <w:t>21 667</w:t>
            </w:r>
          </w:p>
        </w:tc>
        <w:tc>
          <w:tcPr>
            <w:tcW w:w="1136" w:type="dxa"/>
            <w:tcBorders/>
          </w:tcPr>
          <w:p>
            <w:pPr>
              <w:pStyle w:val="F21"/>
              <w:tabs>
                <w:tab w:val="clear" w:pos="567"/>
              </w:tabs>
              <w:overflowPunct w:val="true"/>
              <w:snapToGrid w:val="false"/>
              <w:ind w:right="85" w:hanging="0"/>
              <w:jc w:val="right"/>
              <w:rPr>
                <w:szCs w:val="27"/>
              </w:rPr>
            </w:pPr>
            <w:r>
              <w:rPr>
                <w:szCs w:val="27"/>
              </w:rPr>
              <w:t>23 839</w:t>
            </w:r>
          </w:p>
        </w:tc>
        <w:tc>
          <w:tcPr>
            <w:tcW w:w="1134" w:type="dxa"/>
            <w:tcBorders/>
          </w:tcPr>
          <w:p>
            <w:pPr>
              <w:pStyle w:val="F21"/>
              <w:tabs>
                <w:tab w:val="clear" w:pos="567"/>
              </w:tabs>
              <w:overflowPunct w:val="true"/>
              <w:snapToGrid w:val="false"/>
              <w:ind w:right="85" w:hanging="0"/>
              <w:jc w:val="right"/>
              <w:rPr>
                <w:szCs w:val="27"/>
              </w:rPr>
            </w:pPr>
            <w:r>
              <w:rPr>
                <w:szCs w:val="27"/>
              </w:rPr>
              <w:t>24 248</w:t>
            </w:r>
          </w:p>
        </w:tc>
        <w:tc>
          <w:tcPr>
            <w:tcW w:w="1135" w:type="dxa"/>
            <w:tcBorders/>
          </w:tcPr>
          <w:p>
            <w:pPr>
              <w:pStyle w:val="F21"/>
              <w:tabs>
                <w:tab w:val="clear" w:pos="567"/>
              </w:tabs>
              <w:overflowPunct w:val="true"/>
              <w:snapToGrid w:val="false"/>
              <w:ind w:right="85" w:hanging="0"/>
              <w:jc w:val="right"/>
              <w:rPr>
                <w:szCs w:val="27"/>
              </w:rPr>
            </w:pPr>
            <w:r>
              <w:rPr>
                <w:szCs w:val="27"/>
              </w:rPr>
              <w:t>25 653</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191 322</w:t>
            </w:r>
          </w:p>
        </w:tc>
        <w:tc>
          <w:tcPr>
            <w:tcW w:w="1135" w:type="dxa"/>
            <w:tcBorders/>
          </w:tcPr>
          <w:p>
            <w:pPr>
              <w:pStyle w:val="F21"/>
              <w:tabs>
                <w:tab w:val="clear" w:pos="567"/>
              </w:tabs>
              <w:overflowPunct w:val="true"/>
              <w:snapToGrid w:val="false"/>
              <w:ind w:right="85" w:hanging="0"/>
              <w:jc w:val="right"/>
              <w:rPr>
                <w:szCs w:val="27"/>
              </w:rPr>
            </w:pPr>
            <w:r>
              <w:rPr>
                <w:szCs w:val="27"/>
              </w:rPr>
              <w:t>200 631</w:t>
            </w:r>
          </w:p>
        </w:tc>
        <w:tc>
          <w:tcPr>
            <w:tcW w:w="1136" w:type="dxa"/>
            <w:tcBorders/>
          </w:tcPr>
          <w:p>
            <w:pPr>
              <w:pStyle w:val="F21"/>
              <w:tabs>
                <w:tab w:val="clear" w:pos="567"/>
              </w:tabs>
              <w:overflowPunct w:val="true"/>
              <w:snapToGrid w:val="false"/>
              <w:ind w:right="85" w:hanging="0"/>
              <w:jc w:val="right"/>
              <w:rPr>
                <w:szCs w:val="27"/>
              </w:rPr>
            </w:pPr>
            <w:r>
              <w:rPr>
                <w:szCs w:val="27"/>
              </w:rPr>
              <w:t>204 111</w:t>
            </w:r>
          </w:p>
        </w:tc>
        <w:tc>
          <w:tcPr>
            <w:tcW w:w="1134" w:type="dxa"/>
            <w:tcBorders/>
          </w:tcPr>
          <w:p>
            <w:pPr>
              <w:pStyle w:val="F21"/>
              <w:tabs>
                <w:tab w:val="clear" w:pos="567"/>
              </w:tabs>
              <w:overflowPunct w:val="true"/>
              <w:snapToGrid w:val="false"/>
              <w:ind w:right="85" w:hanging="0"/>
              <w:jc w:val="right"/>
              <w:rPr>
                <w:szCs w:val="27"/>
              </w:rPr>
            </w:pPr>
            <w:r>
              <w:rPr>
                <w:szCs w:val="27"/>
              </w:rPr>
              <w:t>209 145</w:t>
            </w:r>
          </w:p>
        </w:tc>
        <w:tc>
          <w:tcPr>
            <w:tcW w:w="1135" w:type="dxa"/>
            <w:tcBorders/>
          </w:tcPr>
          <w:p>
            <w:pPr>
              <w:pStyle w:val="F21"/>
              <w:tabs>
                <w:tab w:val="clear" w:pos="567"/>
              </w:tabs>
              <w:overflowPunct w:val="true"/>
              <w:snapToGrid w:val="false"/>
              <w:ind w:right="85" w:hanging="0"/>
              <w:jc w:val="right"/>
              <w:rPr>
                <w:szCs w:val="27"/>
              </w:rPr>
            </w:pPr>
            <w:r>
              <w:rPr>
                <w:szCs w:val="27"/>
              </w:rPr>
              <w:t>215 801</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56 057</w:t>
            </w:r>
          </w:p>
        </w:tc>
        <w:tc>
          <w:tcPr>
            <w:tcW w:w="1135" w:type="dxa"/>
            <w:tcBorders/>
          </w:tcPr>
          <w:p>
            <w:pPr>
              <w:pStyle w:val="F21"/>
              <w:tabs>
                <w:tab w:val="clear" w:pos="567"/>
              </w:tabs>
              <w:overflowPunct w:val="true"/>
              <w:snapToGrid w:val="false"/>
              <w:ind w:right="85" w:hanging="0"/>
              <w:jc w:val="right"/>
              <w:rPr>
                <w:szCs w:val="27"/>
              </w:rPr>
            </w:pPr>
            <w:r>
              <w:rPr>
                <w:szCs w:val="27"/>
              </w:rPr>
              <w:t>55 707</w:t>
            </w:r>
          </w:p>
        </w:tc>
        <w:tc>
          <w:tcPr>
            <w:tcW w:w="1136" w:type="dxa"/>
            <w:tcBorders/>
          </w:tcPr>
          <w:p>
            <w:pPr>
              <w:pStyle w:val="F21"/>
              <w:tabs>
                <w:tab w:val="clear" w:pos="567"/>
              </w:tabs>
              <w:overflowPunct w:val="true"/>
              <w:snapToGrid w:val="false"/>
              <w:ind w:right="85" w:hanging="0"/>
              <w:jc w:val="right"/>
              <w:rPr>
                <w:szCs w:val="27"/>
              </w:rPr>
            </w:pPr>
            <w:r>
              <w:rPr>
                <w:szCs w:val="27"/>
              </w:rPr>
              <w:t>57 858</w:t>
            </w:r>
          </w:p>
        </w:tc>
        <w:tc>
          <w:tcPr>
            <w:tcW w:w="1134" w:type="dxa"/>
            <w:tcBorders/>
          </w:tcPr>
          <w:p>
            <w:pPr>
              <w:pStyle w:val="F21"/>
              <w:tabs>
                <w:tab w:val="clear" w:pos="567"/>
              </w:tabs>
              <w:overflowPunct w:val="true"/>
              <w:snapToGrid w:val="false"/>
              <w:ind w:right="85" w:hanging="0"/>
              <w:jc w:val="right"/>
              <w:rPr>
                <w:szCs w:val="27"/>
              </w:rPr>
            </w:pPr>
            <w:r>
              <w:rPr>
                <w:szCs w:val="27"/>
              </w:rPr>
              <w:t>56 678</w:t>
            </w:r>
          </w:p>
        </w:tc>
        <w:tc>
          <w:tcPr>
            <w:tcW w:w="1135" w:type="dxa"/>
            <w:tcBorders/>
          </w:tcPr>
          <w:p>
            <w:pPr>
              <w:pStyle w:val="F21"/>
              <w:tabs>
                <w:tab w:val="clear" w:pos="567"/>
              </w:tabs>
              <w:overflowPunct w:val="true"/>
              <w:snapToGrid w:val="false"/>
              <w:ind w:right="85" w:hanging="0"/>
              <w:jc w:val="right"/>
              <w:rPr>
                <w:szCs w:val="27"/>
              </w:rPr>
            </w:pPr>
            <w:r>
              <w:rPr>
                <w:szCs w:val="27"/>
              </w:rPr>
              <w:t>55 789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50 541</w:t>
            </w:r>
          </w:p>
        </w:tc>
        <w:tc>
          <w:tcPr>
            <w:tcW w:w="1135" w:type="dxa"/>
            <w:tcBorders/>
          </w:tcPr>
          <w:p>
            <w:pPr>
              <w:pStyle w:val="F21"/>
              <w:tabs>
                <w:tab w:val="clear" w:pos="567"/>
              </w:tabs>
              <w:overflowPunct w:val="true"/>
              <w:snapToGrid w:val="false"/>
              <w:ind w:right="85" w:hanging="0"/>
              <w:jc w:val="right"/>
              <w:rPr>
                <w:szCs w:val="27"/>
              </w:rPr>
            </w:pPr>
            <w:r>
              <w:rPr>
                <w:szCs w:val="27"/>
              </w:rPr>
              <w:t>52 748</w:t>
            </w:r>
          </w:p>
        </w:tc>
        <w:tc>
          <w:tcPr>
            <w:tcW w:w="1136" w:type="dxa"/>
            <w:tcBorders/>
          </w:tcPr>
          <w:p>
            <w:pPr>
              <w:pStyle w:val="F21"/>
              <w:tabs>
                <w:tab w:val="clear" w:pos="567"/>
              </w:tabs>
              <w:overflowPunct w:val="true"/>
              <w:snapToGrid w:val="false"/>
              <w:ind w:right="85" w:hanging="0"/>
              <w:jc w:val="right"/>
              <w:rPr>
                <w:szCs w:val="27"/>
              </w:rPr>
            </w:pPr>
            <w:r>
              <w:rPr>
                <w:szCs w:val="27"/>
              </w:rPr>
              <w:t>68 071</w:t>
            </w:r>
          </w:p>
        </w:tc>
        <w:tc>
          <w:tcPr>
            <w:tcW w:w="1134" w:type="dxa"/>
            <w:tcBorders/>
          </w:tcPr>
          <w:p>
            <w:pPr>
              <w:pStyle w:val="F21"/>
              <w:tabs>
                <w:tab w:val="clear" w:pos="567"/>
              </w:tabs>
              <w:overflowPunct w:val="true"/>
              <w:snapToGrid w:val="false"/>
              <w:ind w:right="85" w:hanging="0"/>
              <w:jc w:val="right"/>
              <w:rPr>
                <w:szCs w:val="27"/>
              </w:rPr>
            </w:pPr>
            <w:r>
              <w:rPr>
                <w:szCs w:val="27"/>
              </w:rPr>
              <w:t>75 697</w:t>
            </w:r>
          </w:p>
        </w:tc>
        <w:tc>
          <w:tcPr>
            <w:tcW w:w="1135" w:type="dxa"/>
            <w:tcBorders/>
          </w:tcPr>
          <w:p>
            <w:pPr>
              <w:pStyle w:val="F21"/>
              <w:tabs>
                <w:tab w:val="clear" w:pos="567"/>
              </w:tabs>
              <w:overflowPunct w:val="true"/>
              <w:snapToGrid w:val="false"/>
              <w:ind w:right="85" w:hanging="0"/>
              <w:jc w:val="right"/>
              <w:rPr>
                <w:szCs w:val="27"/>
              </w:rPr>
            </w:pPr>
            <w:r>
              <w:rPr>
                <w:szCs w:val="27"/>
              </w:rPr>
              <w:t>76 371</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48 130</w:t>
            </w:r>
          </w:p>
        </w:tc>
        <w:tc>
          <w:tcPr>
            <w:tcW w:w="1135" w:type="dxa"/>
            <w:tcBorders/>
          </w:tcPr>
          <w:p>
            <w:pPr>
              <w:pStyle w:val="F21"/>
              <w:tabs>
                <w:tab w:val="clear" w:pos="567"/>
              </w:tabs>
              <w:overflowPunct w:val="true"/>
              <w:snapToGrid w:val="false"/>
              <w:ind w:right="85" w:hanging="0"/>
              <w:jc w:val="right"/>
              <w:rPr>
                <w:szCs w:val="27"/>
              </w:rPr>
            </w:pPr>
            <w:r>
              <w:rPr>
                <w:szCs w:val="27"/>
              </w:rPr>
              <w:t>50 982</w:t>
            </w:r>
          </w:p>
        </w:tc>
        <w:tc>
          <w:tcPr>
            <w:tcW w:w="1136" w:type="dxa"/>
            <w:tcBorders/>
          </w:tcPr>
          <w:p>
            <w:pPr>
              <w:pStyle w:val="F21"/>
              <w:tabs>
                <w:tab w:val="clear" w:pos="567"/>
              </w:tabs>
              <w:overflowPunct w:val="true"/>
              <w:snapToGrid w:val="false"/>
              <w:ind w:right="85" w:hanging="0"/>
              <w:jc w:val="right"/>
              <w:rPr>
                <w:szCs w:val="27"/>
              </w:rPr>
            </w:pPr>
            <w:r>
              <w:rPr>
                <w:szCs w:val="27"/>
              </w:rPr>
              <w:t>53 695</w:t>
            </w:r>
          </w:p>
        </w:tc>
        <w:tc>
          <w:tcPr>
            <w:tcW w:w="1134" w:type="dxa"/>
            <w:tcBorders/>
          </w:tcPr>
          <w:p>
            <w:pPr>
              <w:pStyle w:val="F21"/>
              <w:tabs>
                <w:tab w:val="clear" w:pos="567"/>
              </w:tabs>
              <w:overflowPunct w:val="true"/>
              <w:snapToGrid w:val="false"/>
              <w:ind w:right="85" w:hanging="0"/>
              <w:jc w:val="right"/>
              <w:rPr>
                <w:szCs w:val="27"/>
              </w:rPr>
            </w:pPr>
            <w:r>
              <w:rPr>
                <w:szCs w:val="27"/>
              </w:rPr>
              <w:t>54 183</w:t>
            </w:r>
          </w:p>
        </w:tc>
        <w:tc>
          <w:tcPr>
            <w:tcW w:w="1135" w:type="dxa"/>
            <w:tcBorders/>
          </w:tcPr>
          <w:p>
            <w:pPr>
              <w:pStyle w:val="F21"/>
              <w:tabs>
                <w:tab w:val="clear" w:pos="567"/>
              </w:tabs>
              <w:overflowPunct w:val="true"/>
              <w:snapToGrid w:val="false"/>
              <w:ind w:right="85" w:hanging="0"/>
              <w:jc w:val="right"/>
              <w:rPr>
                <w:szCs w:val="27"/>
              </w:rPr>
            </w:pPr>
            <w:r>
              <w:rPr>
                <w:szCs w:val="27"/>
              </w:rPr>
              <w:t>55 892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35 512</w:t>
            </w:r>
          </w:p>
        </w:tc>
        <w:tc>
          <w:tcPr>
            <w:tcW w:w="1135" w:type="dxa"/>
            <w:tcBorders/>
          </w:tcPr>
          <w:p>
            <w:pPr>
              <w:pStyle w:val="F21"/>
              <w:tabs>
                <w:tab w:val="clear" w:pos="567"/>
              </w:tabs>
              <w:overflowPunct w:val="true"/>
              <w:snapToGrid w:val="false"/>
              <w:ind w:right="85" w:hanging="0"/>
              <w:jc w:val="right"/>
              <w:rPr>
                <w:szCs w:val="27"/>
              </w:rPr>
            </w:pPr>
            <w:r>
              <w:rPr>
                <w:szCs w:val="27"/>
              </w:rPr>
              <w:t>34 937</w:t>
            </w:r>
          </w:p>
        </w:tc>
        <w:tc>
          <w:tcPr>
            <w:tcW w:w="1136" w:type="dxa"/>
            <w:tcBorders/>
          </w:tcPr>
          <w:p>
            <w:pPr>
              <w:pStyle w:val="F21"/>
              <w:tabs>
                <w:tab w:val="clear" w:pos="567"/>
              </w:tabs>
              <w:overflowPunct w:val="true"/>
              <w:snapToGrid w:val="false"/>
              <w:ind w:right="85" w:hanging="0"/>
              <w:jc w:val="right"/>
              <w:rPr>
                <w:szCs w:val="27"/>
              </w:rPr>
            </w:pPr>
            <w:r>
              <w:rPr>
                <w:szCs w:val="27"/>
              </w:rPr>
              <w:t>35 097</w:t>
            </w:r>
          </w:p>
        </w:tc>
        <w:tc>
          <w:tcPr>
            <w:tcW w:w="1134" w:type="dxa"/>
            <w:tcBorders/>
          </w:tcPr>
          <w:p>
            <w:pPr>
              <w:pStyle w:val="F21"/>
              <w:tabs>
                <w:tab w:val="clear" w:pos="567"/>
              </w:tabs>
              <w:overflowPunct w:val="true"/>
              <w:snapToGrid w:val="false"/>
              <w:ind w:right="85" w:hanging="0"/>
              <w:jc w:val="right"/>
              <w:rPr>
                <w:szCs w:val="27"/>
              </w:rPr>
            </w:pPr>
            <w:r>
              <w:rPr>
                <w:szCs w:val="27"/>
              </w:rPr>
              <w:t>33 899</w:t>
            </w:r>
          </w:p>
        </w:tc>
        <w:tc>
          <w:tcPr>
            <w:tcW w:w="1135" w:type="dxa"/>
            <w:tcBorders/>
          </w:tcPr>
          <w:p>
            <w:pPr>
              <w:pStyle w:val="F21"/>
              <w:tabs>
                <w:tab w:val="clear" w:pos="567"/>
              </w:tabs>
              <w:overflowPunct w:val="true"/>
              <w:snapToGrid w:val="false"/>
              <w:ind w:right="85" w:hanging="0"/>
              <w:jc w:val="right"/>
              <w:rPr>
                <w:szCs w:val="27"/>
              </w:rPr>
            </w:pPr>
            <w:r>
              <w:rPr>
                <w:szCs w:val="27"/>
              </w:rPr>
              <w:t>33 699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44 819</w:t>
            </w:r>
          </w:p>
        </w:tc>
        <w:tc>
          <w:tcPr>
            <w:tcW w:w="1135" w:type="dxa"/>
            <w:tcBorders/>
          </w:tcPr>
          <w:p>
            <w:pPr>
              <w:pStyle w:val="F21"/>
              <w:tabs>
                <w:tab w:val="clear" w:pos="567"/>
              </w:tabs>
              <w:overflowPunct w:val="true"/>
              <w:snapToGrid w:val="false"/>
              <w:ind w:right="85" w:hanging="0"/>
              <w:jc w:val="right"/>
              <w:rPr>
                <w:szCs w:val="27"/>
              </w:rPr>
            </w:pPr>
            <w:r>
              <w:rPr>
                <w:szCs w:val="27"/>
              </w:rPr>
              <w:t>47 186</w:t>
            </w:r>
          </w:p>
        </w:tc>
        <w:tc>
          <w:tcPr>
            <w:tcW w:w="1136" w:type="dxa"/>
            <w:tcBorders/>
          </w:tcPr>
          <w:p>
            <w:pPr>
              <w:pStyle w:val="F21"/>
              <w:tabs>
                <w:tab w:val="clear" w:pos="567"/>
              </w:tabs>
              <w:overflowPunct w:val="true"/>
              <w:snapToGrid w:val="false"/>
              <w:ind w:right="85" w:hanging="0"/>
              <w:jc w:val="right"/>
              <w:rPr>
                <w:szCs w:val="27"/>
              </w:rPr>
            </w:pPr>
            <w:r>
              <w:rPr>
                <w:szCs w:val="27"/>
              </w:rPr>
              <w:t>52 632</w:t>
            </w:r>
          </w:p>
        </w:tc>
        <w:tc>
          <w:tcPr>
            <w:tcW w:w="1134" w:type="dxa"/>
            <w:tcBorders/>
          </w:tcPr>
          <w:p>
            <w:pPr>
              <w:pStyle w:val="F21"/>
              <w:tabs>
                <w:tab w:val="clear" w:pos="567"/>
              </w:tabs>
              <w:overflowPunct w:val="true"/>
              <w:snapToGrid w:val="false"/>
              <w:ind w:right="85" w:hanging="0"/>
              <w:jc w:val="right"/>
              <w:rPr>
                <w:szCs w:val="27"/>
              </w:rPr>
            </w:pPr>
            <w:r>
              <w:rPr>
                <w:szCs w:val="27"/>
              </w:rPr>
              <w:t>53 652</w:t>
            </w:r>
          </w:p>
        </w:tc>
        <w:tc>
          <w:tcPr>
            <w:tcW w:w="1135" w:type="dxa"/>
            <w:tcBorders/>
          </w:tcPr>
          <w:p>
            <w:pPr>
              <w:pStyle w:val="F21"/>
              <w:tabs>
                <w:tab w:val="clear" w:pos="567"/>
              </w:tabs>
              <w:overflowPunct w:val="true"/>
              <w:snapToGrid w:val="false"/>
              <w:ind w:right="85" w:hanging="0"/>
              <w:jc w:val="right"/>
              <w:rPr>
                <w:szCs w:val="27"/>
              </w:rPr>
            </w:pPr>
            <w:r>
              <w:rPr>
                <w:szCs w:val="27"/>
              </w:rPr>
              <w:t>55 362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110 534</w:t>
            </w:r>
          </w:p>
        </w:tc>
        <w:tc>
          <w:tcPr>
            <w:tcW w:w="1135" w:type="dxa"/>
            <w:tcBorders/>
          </w:tcPr>
          <w:p>
            <w:pPr>
              <w:pStyle w:val="F21"/>
              <w:tabs>
                <w:tab w:val="clear" w:pos="567"/>
              </w:tabs>
              <w:overflowPunct w:val="true"/>
              <w:snapToGrid w:val="false"/>
              <w:ind w:right="85" w:hanging="0"/>
              <w:jc w:val="right"/>
              <w:rPr>
                <w:szCs w:val="27"/>
              </w:rPr>
            </w:pPr>
            <w:r>
              <w:rPr>
                <w:szCs w:val="27"/>
              </w:rPr>
              <w:t>113 430</w:t>
            </w:r>
          </w:p>
        </w:tc>
        <w:tc>
          <w:tcPr>
            <w:tcW w:w="1136" w:type="dxa"/>
            <w:tcBorders/>
          </w:tcPr>
          <w:p>
            <w:pPr>
              <w:pStyle w:val="F21"/>
              <w:tabs>
                <w:tab w:val="clear" w:pos="567"/>
              </w:tabs>
              <w:overflowPunct w:val="true"/>
              <w:snapToGrid w:val="false"/>
              <w:ind w:right="85" w:hanging="0"/>
              <w:jc w:val="right"/>
              <w:rPr>
                <w:szCs w:val="27"/>
              </w:rPr>
            </w:pPr>
            <w:r>
              <w:rPr>
                <w:szCs w:val="27"/>
              </w:rPr>
              <w:t>112 878</w:t>
            </w:r>
          </w:p>
        </w:tc>
        <w:tc>
          <w:tcPr>
            <w:tcW w:w="1134" w:type="dxa"/>
            <w:tcBorders/>
          </w:tcPr>
          <w:p>
            <w:pPr>
              <w:pStyle w:val="F21"/>
              <w:tabs>
                <w:tab w:val="clear" w:pos="567"/>
              </w:tabs>
              <w:overflowPunct w:val="true"/>
              <w:snapToGrid w:val="false"/>
              <w:ind w:right="85" w:hanging="0"/>
              <w:jc w:val="right"/>
              <w:rPr>
                <w:szCs w:val="27"/>
              </w:rPr>
            </w:pPr>
            <w:r>
              <w:rPr>
                <w:szCs w:val="27"/>
              </w:rPr>
              <w:t>114 477</w:t>
            </w:r>
          </w:p>
        </w:tc>
        <w:tc>
          <w:tcPr>
            <w:tcW w:w="1135" w:type="dxa"/>
            <w:tcBorders/>
          </w:tcPr>
          <w:p>
            <w:pPr>
              <w:pStyle w:val="F21"/>
              <w:tabs>
                <w:tab w:val="clear" w:pos="567"/>
              </w:tabs>
              <w:overflowPunct w:val="true"/>
              <w:snapToGrid w:val="false"/>
              <w:ind w:right="85" w:hanging="0"/>
              <w:jc w:val="right"/>
              <w:rPr>
                <w:szCs w:val="27"/>
              </w:rPr>
            </w:pPr>
            <w:r>
              <w:rPr>
                <w:szCs w:val="27"/>
              </w:rPr>
              <w:t>116 135</w:t>
            </w:r>
          </w:p>
        </w:tc>
      </w:tr>
      <w:tr>
        <w:trPr/>
        <w:tc>
          <w:tcPr>
            <w:tcW w:w="1139" w:type="dxa"/>
            <w:vMerge w:val="restart"/>
            <w:tcBorders/>
          </w:tcPr>
          <w:p>
            <w:pPr>
              <w:pStyle w:val="F21"/>
              <w:tabs>
                <w:tab w:val="clear" w:pos="567"/>
              </w:tabs>
              <w:overflowPunct w:val="true"/>
              <w:snapToGrid w:val="false"/>
              <w:ind w:left="57" w:hanging="0"/>
              <w:rPr>
                <w:szCs w:val="27"/>
              </w:rPr>
            </w:pPr>
            <w:r>
              <w:rPr>
                <w:szCs w:val="27"/>
              </w:rPr>
              <w:t>九龍中</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47 781</w:t>
            </w:r>
          </w:p>
        </w:tc>
        <w:tc>
          <w:tcPr>
            <w:tcW w:w="1135" w:type="dxa"/>
            <w:tcBorders/>
          </w:tcPr>
          <w:p>
            <w:pPr>
              <w:pStyle w:val="F21"/>
              <w:tabs>
                <w:tab w:val="clear" w:pos="567"/>
              </w:tabs>
              <w:overflowPunct w:val="true"/>
              <w:snapToGrid w:val="false"/>
              <w:ind w:right="85" w:hanging="0"/>
              <w:jc w:val="right"/>
              <w:rPr>
                <w:szCs w:val="27"/>
              </w:rPr>
            </w:pPr>
            <w:r>
              <w:rPr>
                <w:szCs w:val="27"/>
              </w:rPr>
              <w:t>49 923</w:t>
            </w:r>
          </w:p>
        </w:tc>
        <w:tc>
          <w:tcPr>
            <w:tcW w:w="1136" w:type="dxa"/>
            <w:tcBorders/>
          </w:tcPr>
          <w:p>
            <w:pPr>
              <w:pStyle w:val="F21"/>
              <w:tabs>
                <w:tab w:val="clear" w:pos="567"/>
              </w:tabs>
              <w:overflowPunct w:val="true"/>
              <w:snapToGrid w:val="false"/>
              <w:ind w:right="85" w:hanging="0"/>
              <w:jc w:val="right"/>
              <w:rPr>
                <w:szCs w:val="27"/>
              </w:rPr>
            </w:pPr>
            <w:r>
              <w:rPr>
                <w:szCs w:val="27"/>
              </w:rPr>
              <w:t>52 145</w:t>
            </w:r>
          </w:p>
        </w:tc>
        <w:tc>
          <w:tcPr>
            <w:tcW w:w="1134" w:type="dxa"/>
            <w:tcBorders/>
          </w:tcPr>
          <w:p>
            <w:pPr>
              <w:pStyle w:val="F21"/>
              <w:tabs>
                <w:tab w:val="clear" w:pos="567"/>
              </w:tabs>
              <w:overflowPunct w:val="true"/>
              <w:snapToGrid w:val="false"/>
              <w:ind w:right="85" w:hanging="0"/>
              <w:jc w:val="right"/>
              <w:rPr>
                <w:szCs w:val="27"/>
              </w:rPr>
            </w:pPr>
            <w:r>
              <w:rPr>
                <w:szCs w:val="27"/>
              </w:rPr>
              <w:t>52 577</w:t>
            </w:r>
          </w:p>
        </w:tc>
        <w:tc>
          <w:tcPr>
            <w:tcW w:w="1135" w:type="dxa"/>
            <w:tcBorders/>
          </w:tcPr>
          <w:p>
            <w:pPr>
              <w:pStyle w:val="F21"/>
              <w:tabs>
                <w:tab w:val="clear" w:pos="567"/>
              </w:tabs>
              <w:overflowPunct w:val="true"/>
              <w:snapToGrid w:val="false"/>
              <w:ind w:right="85" w:hanging="0"/>
              <w:jc w:val="right"/>
              <w:rPr>
                <w:szCs w:val="27"/>
              </w:rPr>
            </w:pPr>
            <w:r>
              <w:rPr>
                <w:szCs w:val="27"/>
              </w:rPr>
              <w:t>51 649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195 217</w:t>
            </w:r>
          </w:p>
        </w:tc>
        <w:tc>
          <w:tcPr>
            <w:tcW w:w="1135" w:type="dxa"/>
            <w:tcBorders/>
          </w:tcPr>
          <w:p>
            <w:pPr>
              <w:pStyle w:val="F21"/>
              <w:tabs>
                <w:tab w:val="clear" w:pos="567"/>
              </w:tabs>
              <w:overflowPunct w:val="true"/>
              <w:snapToGrid w:val="false"/>
              <w:ind w:right="85" w:hanging="0"/>
              <w:jc w:val="right"/>
              <w:rPr>
                <w:szCs w:val="27"/>
              </w:rPr>
            </w:pPr>
            <w:r>
              <w:rPr>
                <w:szCs w:val="27"/>
              </w:rPr>
              <w:t>201 202</w:t>
            </w:r>
          </w:p>
        </w:tc>
        <w:tc>
          <w:tcPr>
            <w:tcW w:w="1136" w:type="dxa"/>
            <w:tcBorders/>
          </w:tcPr>
          <w:p>
            <w:pPr>
              <w:pStyle w:val="F21"/>
              <w:tabs>
                <w:tab w:val="clear" w:pos="567"/>
              </w:tabs>
              <w:overflowPunct w:val="true"/>
              <w:snapToGrid w:val="false"/>
              <w:ind w:right="85" w:hanging="0"/>
              <w:jc w:val="right"/>
              <w:rPr>
                <w:szCs w:val="27"/>
              </w:rPr>
            </w:pPr>
            <w:r>
              <w:rPr>
                <w:szCs w:val="27"/>
              </w:rPr>
              <w:t>203 559</w:t>
            </w:r>
          </w:p>
        </w:tc>
        <w:tc>
          <w:tcPr>
            <w:tcW w:w="1134" w:type="dxa"/>
            <w:tcBorders/>
          </w:tcPr>
          <w:p>
            <w:pPr>
              <w:pStyle w:val="F21"/>
              <w:tabs>
                <w:tab w:val="clear" w:pos="567"/>
              </w:tabs>
              <w:overflowPunct w:val="true"/>
              <w:snapToGrid w:val="false"/>
              <w:ind w:right="85" w:hanging="0"/>
              <w:jc w:val="right"/>
              <w:rPr>
                <w:szCs w:val="27"/>
              </w:rPr>
            </w:pPr>
            <w:r>
              <w:rPr>
                <w:szCs w:val="27"/>
              </w:rPr>
              <w:t>202 980</w:t>
            </w:r>
          </w:p>
        </w:tc>
        <w:tc>
          <w:tcPr>
            <w:tcW w:w="1135" w:type="dxa"/>
            <w:tcBorders/>
          </w:tcPr>
          <w:p>
            <w:pPr>
              <w:pStyle w:val="F21"/>
              <w:tabs>
                <w:tab w:val="clear" w:pos="567"/>
              </w:tabs>
              <w:overflowPunct w:val="true"/>
              <w:snapToGrid w:val="false"/>
              <w:ind w:right="85" w:hanging="0"/>
              <w:jc w:val="right"/>
              <w:rPr>
                <w:szCs w:val="27"/>
              </w:rPr>
            </w:pPr>
            <w:r>
              <w:rPr>
                <w:szCs w:val="27"/>
              </w:rPr>
              <w:t>205 549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55 387</w:t>
            </w:r>
          </w:p>
        </w:tc>
        <w:tc>
          <w:tcPr>
            <w:tcW w:w="1135" w:type="dxa"/>
            <w:tcBorders/>
          </w:tcPr>
          <w:p>
            <w:pPr>
              <w:pStyle w:val="F21"/>
              <w:tabs>
                <w:tab w:val="clear" w:pos="567"/>
              </w:tabs>
              <w:overflowPunct w:val="true"/>
              <w:snapToGrid w:val="false"/>
              <w:ind w:right="85" w:hanging="0"/>
              <w:jc w:val="right"/>
              <w:rPr>
                <w:szCs w:val="27"/>
              </w:rPr>
            </w:pPr>
            <w:r>
              <w:rPr>
                <w:szCs w:val="27"/>
              </w:rPr>
              <w:t>54 513</w:t>
            </w:r>
          </w:p>
        </w:tc>
        <w:tc>
          <w:tcPr>
            <w:tcW w:w="1136" w:type="dxa"/>
            <w:tcBorders/>
          </w:tcPr>
          <w:p>
            <w:pPr>
              <w:pStyle w:val="F21"/>
              <w:tabs>
                <w:tab w:val="clear" w:pos="567"/>
              </w:tabs>
              <w:overflowPunct w:val="true"/>
              <w:snapToGrid w:val="false"/>
              <w:ind w:right="85" w:hanging="0"/>
              <w:jc w:val="right"/>
              <w:rPr>
                <w:szCs w:val="27"/>
              </w:rPr>
            </w:pPr>
            <w:r>
              <w:rPr>
                <w:szCs w:val="27"/>
              </w:rPr>
              <w:t>57 392</w:t>
            </w:r>
          </w:p>
        </w:tc>
        <w:tc>
          <w:tcPr>
            <w:tcW w:w="1134" w:type="dxa"/>
            <w:tcBorders/>
          </w:tcPr>
          <w:p>
            <w:pPr>
              <w:pStyle w:val="F21"/>
              <w:tabs>
                <w:tab w:val="clear" w:pos="567"/>
              </w:tabs>
              <w:overflowPunct w:val="true"/>
              <w:snapToGrid w:val="false"/>
              <w:ind w:right="85" w:hanging="0"/>
              <w:jc w:val="right"/>
              <w:rPr>
                <w:szCs w:val="27"/>
              </w:rPr>
            </w:pPr>
            <w:r>
              <w:rPr>
                <w:szCs w:val="27"/>
              </w:rPr>
              <w:t>61 507</w:t>
            </w:r>
          </w:p>
        </w:tc>
        <w:tc>
          <w:tcPr>
            <w:tcW w:w="1135" w:type="dxa"/>
            <w:tcBorders/>
          </w:tcPr>
          <w:p>
            <w:pPr>
              <w:pStyle w:val="F21"/>
              <w:tabs>
                <w:tab w:val="clear" w:pos="567"/>
              </w:tabs>
              <w:overflowPunct w:val="true"/>
              <w:snapToGrid w:val="false"/>
              <w:ind w:right="85" w:hanging="0"/>
              <w:jc w:val="right"/>
              <w:rPr>
                <w:szCs w:val="27"/>
              </w:rPr>
            </w:pPr>
            <w:r>
              <w:rPr>
                <w:szCs w:val="27"/>
              </w:rPr>
              <w:t>67 720</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187 487</w:t>
            </w:r>
          </w:p>
        </w:tc>
        <w:tc>
          <w:tcPr>
            <w:tcW w:w="1135" w:type="dxa"/>
            <w:tcBorders/>
          </w:tcPr>
          <w:p>
            <w:pPr>
              <w:pStyle w:val="F21"/>
              <w:tabs>
                <w:tab w:val="clear" w:pos="567"/>
              </w:tabs>
              <w:overflowPunct w:val="true"/>
              <w:snapToGrid w:val="false"/>
              <w:ind w:right="85" w:hanging="0"/>
              <w:jc w:val="right"/>
              <w:rPr>
                <w:szCs w:val="27"/>
              </w:rPr>
            </w:pPr>
            <w:r>
              <w:rPr>
                <w:szCs w:val="27"/>
              </w:rPr>
              <w:t>201 896</w:t>
            </w:r>
          </w:p>
        </w:tc>
        <w:tc>
          <w:tcPr>
            <w:tcW w:w="1136" w:type="dxa"/>
            <w:tcBorders/>
          </w:tcPr>
          <w:p>
            <w:pPr>
              <w:pStyle w:val="F21"/>
              <w:tabs>
                <w:tab w:val="clear" w:pos="567"/>
              </w:tabs>
              <w:overflowPunct w:val="true"/>
              <w:snapToGrid w:val="false"/>
              <w:ind w:right="85" w:hanging="0"/>
              <w:jc w:val="right"/>
              <w:rPr>
                <w:szCs w:val="27"/>
              </w:rPr>
            </w:pPr>
            <w:r>
              <w:rPr>
                <w:szCs w:val="27"/>
              </w:rPr>
              <w:t>209 477</w:t>
            </w:r>
          </w:p>
        </w:tc>
        <w:tc>
          <w:tcPr>
            <w:tcW w:w="1134" w:type="dxa"/>
            <w:tcBorders/>
          </w:tcPr>
          <w:p>
            <w:pPr>
              <w:pStyle w:val="F21"/>
              <w:tabs>
                <w:tab w:val="clear" w:pos="567"/>
              </w:tabs>
              <w:overflowPunct w:val="true"/>
              <w:snapToGrid w:val="false"/>
              <w:ind w:right="85" w:hanging="0"/>
              <w:jc w:val="right"/>
              <w:rPr>
                <w:szCs w:val="27"/>
              </w:rPr>
            </w:pPr>
            <w:r>
              <w:rPr>
                <w:szCs w:val="27"/>
              </w:rPr>
              <w:t>207 906</w:t>
            </w:r>
          </w:p>
        </w:tc>
        <w:tc>
          <w:tcPr>
            <w:tcW w:w="1135" w:type="dxa"/>
            <w:tcBorders/>
          </w:tcPr>
          <w:p>
            <w:pPr>
              <w:pStyle w:val="F21"/>
              <w:tabs>
                <w:tab w:val="clear" w:pos="567"/>
              </w:tabs>
              <w:overflowPunct w:val="true"/>
              <w:snapToGrid w:val="false"/>
              <w:ind w:right="85" w:hanging="0"/>
              <w:jc w:val="right"/>
              <w:rPr>
                <w:szCs w:val="27"/>
              </w:rPr>
            </w:pPr>
            <w:r>
              <w:rPr>
                <w:szCs w:val="27"/>
              </w:rPr>
              <w:t>203 735</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51 708</w:t>
            </w:r>
          </w:p>
        </w:tc>
        <w:tc>
          <w:tcPr>
            <w:tcW w:w="1135" w:type="dxa"/>
            <w:tcBorders/>
          </w:tcPr>
          <w:p>
            <w:pPr>
              <w:pStyle w:val="F21"/>
              <w:tabs>
                <w:tab w:val="clear" w:pos="567"/>
              </w:tabs>
              <w:overflowPunct w:val="true"/>
              <w:snapToGrid w:val="false"/>
              <w:ind w:right="85" w:hanging="0"/>
              <w:jc w:val="right"/>
              <w:rPr>
                <w:szCs w:val="27"/>
              </w:rPr>
            </w:pPr>
            <w:r>
              <w:rPr>
                <w:szCs w:val="27"/>
              </w:rPr>
              <w:t>51 502</w:t>
            </w:r>
          </w:p>
        </w:tc>
        <w:tc>
          <w:tcPr>
            <w:tcW w:w="1136" w:type="dxa"/>
            <w:tcBorders/>
          </w:tcPr>
          <w:p>
            <w:pPr>
              <w:pStyle w:val="F21"/>
              <w:tabs>
                <w:tab w:val="clear" w:pos="567"/>
              </w:tabs>
              <w:overflowPunct w:val="true"/>
              <w:snapToGrid w:val="false"/>
              <w:ind w:right="85" w:hanging="0"/>
              <w:jc w:val="right"/>
              <w:rPr>
                <w:szCs w:val="27"/>
              </w:rPr>
            </w:pPr>
            <w:r>
              <w:rPr>
                <w:szCs w:val="27"/>
              </w:rPr>
              <w:t>53 248</w:t>
            </w:r>
          </w:p>
        </w:tc>
        <w:tc>
          <w:tcPr>
            <w:tcW w:w="1134" w:type="dxa"/>
            <w:tcBorders/>
          </w:tcPr>
          <w:p>
            <w:pPr>
              <w:pStyle w:val="F21"/>
              <w:tabs>
                <w:tab w:val="clear" w:pos="567"/>
              </w:tabs>
              <w:overflowPunct w:val="true"/>
              <w:snapToGrid w:val="false"/>
              <w:ind w:right="85" w:hanging="0"/>
              <w:jc w:val="right"/>
              <w:rPr>
                <w:szCs w:val="27"/>
              </w:rPr>
            </w:pPr>
            <w:r>
              <w:rPr>
                <w:szCs w:val="27"/>
              </w:rPr>
              <w:t>53 729</w:t>
            </w:r>
          </w:p>
        </w:tc>
        <w:tc>
          <w:tcPr>
            <w:tcW w:w="1135" w:type="dxa"/>
            <w:tcBorders/>
          </w:tcPr>
          <w:p>
            <w:pPr>
              <w:pStyle w:val="F21"/>
              <w:tabs>
                <w:tab w:val="clear" w:pos="567"/>
              </w:tabs>
              <w:overflowPunct w:val="true"/>
              <w:snapToGrid w:val="false"/>
              <w:ind w:right="85" w:hanging="0"/>
              <w:jc w:val="right"/>
              <w:rPr>
                <w:szCs w:val="27"/>
              </w:rPr>
            </w:pPr>
            <w:r>
              <w:rPr>
                <w:szCs w:val="27"/>
              </w:rPr>
              <w:t>54 549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33 229</w:t>
            </w:r>
          </w:p>
        </w:tc>
        <w:tc>
          <w:tcPr>
            <w:tcW w:w="1135" w:type="dxa"/>
            <w:tcBorders/>
          </w:tcPr>
          <w:p>
            <w:pPr>
              <w:pStyle w:val="F21"/>
              <w:tabs>
                <w:tab w:val="clear" w:pos="567"/>
              </w:tabs>
              <w:overflowPunct w:val="true"/>
              <w:snapToGrid w:val="false"/>
              <w:ind w:right="85" w:hanging="0"/>
              <w:jc w:val="right"/>
              <w:rPr>
                <w:szCs w:val="27"/>
              </w:rPr>
            </w:pPr>
            <w:r>
              <w:rPr>
                <w:szCs w:val="27"/>
              </w:rPr>
              <w:t>33 716</w:t>
            </w:r>
          </w:p>
        </w:tc>
        <w:tc>
          <w:tcPr>
            <w:tcW w:w="1136" w:type="dxa"/>
            <w:tcBorders/>
          </w:tcPr>
          <w:p>
            <w:pPr>
              <w:pStyle w:val="F21"/>
              <w:tabs>
                <w:tab w:val="clear" w:pos="567"/>
              </w:tabs>
              <w:overflowPunct w:val="true"/>
              <w:snapToGrid w:val="false"/>
              <w:ind w:right="85" w:hanging="0"/>
              <w:jc w:val="right"/>
              <w:rPr>
                <w:szCs w:val="27"/>
              </w:rPr>
            </w:pPr>
            <w:r>
              <w:rPr>
                <w:szCs w:val="27"/>
              </w:rPr>
              <w:t>33 847</w:t>
            </w:r>
          </w:p>
        </w:tc>
        <w:tc>
          <w:tcPr>
            <w:tcW w:w="1134" w:type="dxa"/>
            <w:tcBorders/>
          </w:tcPr>
          <w:p>
            <w:pPr>
              <w:pStyle w:val="F21"/>
              <w:tabs>
                <w:tab w:val="clear" w:pos="567"/>
              </w:tabs>
              <w:overflowPunct w:val="true"/>
              <w:snapToGrid w:val="false"/>
              <w:ind w:right="85" w:hanging="0"/>
              <w:jc w:val="right"/>
              <w:rPr>
                <w:szCs w:val="27"/>
              </w:rPr>
            </w:pPr>
            <w:r>
              <w:rPr>
                <w:szCs w:val="27"/>
              </w:rPr>
              <w:t>32 836</w:t>
            </w:r>
          </w:p>
        </w:tc>
        <w:tc>
          <w:tcPr>
            <w:tcW w:w="1135" w:type="dxa"/>
            <w:tcBorders/>
          </w:tcPr>
          <w:p>
            <w:pPr>
              <w:pStyle w:val="F21"/>
              <w:tabs>
                <w:tab w:val="clear" w:pos="567"/>
              </w:tabs>
              <w:overflowPunct w:val="true"/>
              <w:snapToGrid w:val="false"/>
              <w:ind w:right="85" w:hanging="0"/>
              <w:jc w:val="right"/>
              <w:rPr>
                <w:szCs w:val="27"/>
              </w:rPr>
            </w:pPr>
            <w:r>
              <w:rPr>
                <w:szCs w:val="27"/>
              </w:rPr>
              <w:t>31 468</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65 618</w:t>
            </w:r>
          </w:p>
        </w:tc>
        <w:tc>
          <w:tcPr>
            <w:tcW w:w="1135" w:type="dxa"/>
            <w:tcBorders/>
          </w:tcPr>
          <w:p>
            <w:pPr>
              <w:pStyle w:val="F21"/>
              <w:tabs>
                <w:tab w:val="clear" w:pos="567"/>
              </w:tabs>
              <w:overflowPunct w:val="true"/>
              <w:snapToGrid w:val="false"/>
              <w:ind w:right="85" w:hanging="0"/>
              <w:jc w:val="right"/>
              <w:rPr>
                <w:szCs w:val="27"/>
              </w:rPr>
            </w:pPr>
            <w:r>
              <w:rPr>
                <w:szCs w:val="27"/>
              </w:rPr>
              <w:t>69 575</w:t>
            </w:r>
          </w:p>
        </w:tc>
        <w:tc>
          <w:tcPr>
            <w:tcW w:w="1136" w:type="dxa"/>
            <w:tcBorders/>
          </w:tcPr>
          <w:p>
            <w:pPr>
              <w:pStyle w:val="F21"/>
              <w:tabs>
                <w:tab w:val="clear" w:pos="567"/>
              </w:tabs>
              <w:overflowPunct w:val="true"/>
              <w:snapToGrid w:val="false"/>
              <w:ind w:right="85" w:hanging="0"/>
              <w:jc w:val="right"/>
              <w:rPr>
                <w:szCs w:val="27"/>
              </w:rPr>
            </w:pPr>
            <w:r>
              <w:rPr>
                <w:szCs w:val="27"/>
              </w:rPr>
              <w:t>67 370</w:t>
            </w:r>
          </w:p>
        </w:tc>
        <w:tc>
          <w:tcPr>
            <w:tcW w:w="1134" w:type="dxa"/>
            <w:tcBorders/>
          </w:tcPr>
          <w:p>
            <w:pPr>
              <w:pStyle w:val="F21"/>
              <w:tabs>
                <w:tab w:val="clear" w:pos="567"/>
              </w:tabs>
              <w:overflowPunct w:val="true"/>
              <w:snapToGrid w:val="false"/>
              <w:ind w:right="85" w:hanging="0"/>
              <w:jc w:val="right"/>
              <w:rPr>
                <w:szCs w:val="27"/>
              </w:rPr>
            </w:pPr>
            <w:r>
              <w:rPr>
                <w:szCs w:val="27"/>
              </w:rPr>
              <w:t>66 015</w:t>
            </w:r>
          </w:p>
        </w:tc>
        <w:tc>
          <w:tcPr>
            <w:tcW w:w="1135" w:type="dxa"/>
            <w:tcBorders/>
          </w:tcPr>
          <w:p>
            <w:pPr>
              <w:pStyle w:val="F21"/>
              <w:tabs>
                <w:tab w:val="clear" w:pos="567"/>
              </w:tabs>
              <w:overflowPunct w:val="true"/>
              <w:snapToGrid w:val="false"/>
              <w:ind w:right="85" w:hanging="0"/>
              <w:jc w:val="right"/>
              <w:rPr>
                <w:szCs w:val="27"/>
              </w:rPr>
            </w:pPr>
            <w:r>
              <w:rPr>
                <w:szCs w:val="27"/>
              </w:rPr>
              <w:t>64 382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75 138</w:t>
            </w:r>
          </w:p>
        </w:tc>
        <w:tc>
          <w:tcPr>
            <w:tcW w:w="1135" w:type="dxa"/>
            <w:tcBorders/>
          </w:tcPr>
          <w:p>
            <w:pPr>
              <w:pStyle w:val="F21"/>
              <w:tabs>
                <w:tab w:val="clear" w:pos="567"/>
              </w:tabs>
              <w:overflowPunct w:val="true"/>
              <w:snapToGrid w:val="false"/>
              <w:ind w:right="85" w:hanging="0"/>
              <w:jc w:val="right"/>
              <w:rPr>
                <w:szCs w:val="27"/>
              </w:rPr>
            </w:pPr>
            <w:r>
              <w:rPr>
                <w:szCs w:val="27"/>
              </w:rPr>
              <w:t>74 583</w:t>
            </w:r>
          </w:p>
        </w:tc>
        <w:tc>
          <w:tcPr>
            <w:tcW w:w="1136" w:type="dxa"/>
            <w:tcBorders/>
          </w:tcPr>
          <w:p>
            <w:pPr>
              <w:pStyle w:val="F21"/>
              <w:tabs>
                <w:tab w:val="clear" w:pos="567"/>
              </w:tabs>
              <w:overflowPunct w:val="true"/>
              <w:snapToGrid w:val="false"/>
              <w:ind w:right="85" w:hanging="0"/>
              <w:jc w:val="right"/>
              <w:rPr>
                <w:szCs w:val="27"/>
              </w:rPr>
            </w:pPr>
            <w:r>
              <w:rPr>
                <w:szCs w:val="27"/>
              </w:rPr>
              <w:t>78 118</w:t>
            </w:r>
          </w:p>
        </w:tc>
        <w:tc>
          <w:tcPr>
            <w:tcW w:w="1134" w:type="dxa"/>
            <w:tcBorders/>
          </w:tcPr>
          <w:p>
            <w:pPr>
              <w:pStyle w:val="F21"/>
              <w:tabs>
                <w:tab w:val="clear" w:pos="567"/>
              </w:tabs>
              <w:overflowPunct w:val="true"/>
              <w:snapToGrid w:val="false"/>
              <w:ind w:right="85" w:hanging="0"/>
              <w:jc w:val="right"/>
              <w:rPr>
                <w:szCs w:val="27"/>
              </w:rPr>
            </w:pPr>
            <w:r>
              <w:rPr>
                <w:szCs w:val="27"/>
              </w:rPr>
              <w:t>81 509</w:t>
            </w:r>
          </w:p>
        </w:tc>
        <w:tc>
          <w:tcPr>
            <w:tcW w:w="1135" w:type="dxa"/>
            <w:tcBorders/>
          </w:tcPr>
          <w:p>
            <w:pPr>
              <w:pStyle w:val="F21"/>
              <w:tabs>
                <w:tab w:val="clear" w:pos="567"/>
              </w:tabs>
              <w:overflowPunct w:val="true"/>
              <w:snapToGrid w:val="false"/>
              <w:ind w:right="85" w:hanging="0"/>
              <w:jc w:val="right"/>
              <w:rPr>
                <w:szCs w:val="27"/>
              </w:rPr>
            </w:pPr>
            <w:r>
              <w:rPr>
                <w:szCs w:val="27"/>
              </w:rPr>
              <w:t>82 842</w:t>
            </w:r>
          </w:p>
        </w:tc>
      </w:tr>
      <w:tr>
        <w:trPr/>
        <w:tc>
          <w:tcPr>
            <w:tcW w:w="1139" w:type="dxa"/>
            <w:vMerge w:val="restart"/>
            <w:tcBorders/>
          </w:tcPr>
          <w:p>
            <w:pPr>
              <w:pStyle w:val="F21"/>
              <w:tabs>
                <w:tab w:val="clear" w:pos="567"/>
              </w:tabs>
              <w:overflowPunct w:val="true"/>
              <w:snapToGrid w:val="false"/>
              <w:ind w:left="57" w:hanging="0"/>
              <w:rPr>
                <w:szCs w:val="27"/>
              </w:rPr>
            </w:pPr>
            <w:r>
              <w:rPr>
                <w:szCs w:val="27"/>
              </w:rPr>
              <w:t>九龍東</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16 664</w:t>
            </w:r>
          </w:p>
        </w:tc>
        <w:tc>
          <w:tcPr>
            <w:tcW w:w="1135" w:type="dxa"/>
            <w:tcBorders/>
          </w:tcPr>
          <w:p>
            <w:pPr>
              <w:pStyle w:val="F21"/>
              <w:tabs>
                <w:tab w:val="clear" w:pos="567"/>
              </w:tabs>
              <w:overflowPunct w:val="true"/>
              <w:snapToGrid w:val="false"/>
              <w:ind w:right="85" w:hanging="0"/>
              <w:jc w:val="right"/>
              <w:rPr>
                <w:szCs w:val="27"/>
              </w:rPr>
            </w:pPr>
            <w:r>
              <w:rPr>
                <w:szCs w:val="27"/>
              </w:rPr>
              <w:t>19 984</w:t>
            </w:r>
          </w:p>
        </w:tc>
        <w:tc>
          <w:tcPr>
            <w:tcW w:w="1136" w:type="dxa"/>
            <w:tcBorders/>
          </w:tcPr>
          <w:p>
            <w:pPr>
              <w:pStyle w:val="F21"/>
              <w:tabs>
                <w:tab w:val="clear" w:pos="567"/>
              </w:tabs>
              <w:overflowPunct w:val="true"/>
              <w:snapToGrid w:val="false"/>
              <w:ind w:right="85" w:hanging="0"/>
              <w:jc w:val="right"/>
              <w:rPr>
                <w:szCs w:val="27"/>
              </w:rPr>
            </w:pPr>
            <w:r>
              <w:rPr>
                <w:szCs w:val="27"/>
              </w:rPr>
              <w:t>23 562</w:t>
            </w:r>
          </w:p>
        </w:tc>
        <w:tc>
          <w:tcPr>
            <w:tcW w:w="1134" w:type="dxa"/>
            <w:tcBorders/>
          </w:tcPr>
          <w:p>
            <w:pPr>
              <w:pStyle w:val="F21"/>
              <w:tabs>
                <w:tab w:val="clear" w:pos="567"/>
              </w:tabs>
              <w:overflowPunct w:val="true"/>
              <w:snapToGrid w:val="false"/>
              <w:ind w:right="85" w:hanging="0"/>
              <w:jc w:val="right"/>
              <w:rPr>
                <w:szCs w:val="27"/>
              </w:rPr>
            </w:pPr>
            <w:r>
              <w:rPr>
                <w:szCs w:val="27"/>
              </w:rPr>
              <w:t>22 900</w:t>
            </w:r>
          </w:p>
        </w:tc>
        <w:tc>
          <w:tcPr>
            <w:tcW w:w="1135" w:type="dxa"/>
            <w:tcBorders/>
          </w:tcPr>
          <w:p>
            <w:pPr>
              <w:pStyle w:val="F21"/>
              <w:tabs>
                <w:tab w:val="clear" w:pos="567"/>
              </w:tabs>
              <w:overflowPunct w:val="true"/>
              <w:snapToGrid w:val="false"/>
              <w:ind w:right="85" w:hanging="0"/>
              <w:jc w:val="right"/>
              <w:rPr>
                <w:szCs w:val="27"/>
              </w:rPr>
            </w:pPr>
            <w:r>
              <w:rPr>
                <w:szCs w:val="27"/>
              </w:rPr>
              <w:t>22 016</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164 998</w:t>
            </w:r>
          </w:p>
        </w:tc>
        <w:tc>
          <w:tcPr>
            <w:tcW w:w="1135" w:type="dxa"/>
            <w:tcBorders/>
          </w:tcPr>
          <w:p>
            <w:pPr>
              <w:pStyle w:val="F21"/>
              <w:tabs>
                <w:tab w:val="clear" w:pos="567"/>
              </w:tabs>
              <w:overflowPunct w:val="true"/>
              <w:snapToGrid w:val="false"/>
              <w:ind w:right="85" w:hanging="0"/>
              <w:jc w:val="right"/>
              <w:rPr>
                <w:szCs w:val="27"/>
              </w:rPr>
            </w:pPr>
            <w:r>
              <w:rPr>
                <w:szCs w:val="27"/>
              </w:rPr>
              <w:t>166 754</w:t>
            </w:r>
          </w:p>
        </w:tc>
        <w:tc>
          <w:tcPr>
            <w:tcW w:w="1136" w:type="dxa"/>
            <w:tcBorders/>
          </w:tcPr>
          <w:p>
            <w:pPr>
              <w:pStyle w:val="F21"/>
              <w:tabs>
                <w:tab w:val="clear" w:pos="567"/>
              </w:tabs>
              <w:overflowPunct w:val="true"/>
              <w:snapToGrid w:val="false"/>
              <w:ind w:right="85" w:hanging="0"/>
              <w:jc w:val="right"/>
              <w:rPr>
                <w:szCs w:val="27"/>
              </w:rPr>
            </w:pPr>
            <w:r>
              <w:rPr>
                <w:szCs w:val="27"/>
              </w:rPr>
              <w:t>158 949</w:t>
            </w:r>
          </w:p>
        </w:tc>
        <w:tc>
          <w:tcPr>
            <w:tcW w:w="1134" w:type="dxa"/>
            <w:tcBorders/>
          </w:tcPr>
          <w:p>
            <w:pPr>
              <w:pStyle w:val="F21"/>
              <w:tabs>
                <w:tab w:val="clear" w:pos="567"/>
              </w:tabs>
              <w:overflowPunct w:val="true"/>
              <w:snapToGrid w:val="false"/>
              <w:ind w:right="85" w:hanging="0"/>
              <w:jc w:val="right"/>
              <w:rPr>
                <w:szCs w:val="27"/>
              </w:rPr>
            </w:pPr>
            <w:r>
              <w:rPr>
                <w:szCs w:val="27"/>
              </w:rPr>
              <w:t>157 537</w:t>
            </w:r>
          </w:p>
        </w:tc>
        <w:tc>
          <w:tcPr>
            <w:tcW w:w="1135" w:type="dxa"/>
            <w:tcBorders/>
          </w:tcPr>
          <w:p>
            <w:pPr>
              <w:pStyle w:val="F21"/>
              <w:tabs>
                <w:tab w:val="clear" w:pos="567"/>
              </w:tabs>
              <w:overflowPunct w:val="true"/>
              <w:snapToGrid w:val="false"/>
              <w:ind w:right="85" w:hanging="0"/>
              <w:jc w:val="right"/>
              <w:rPr>
                <w:szCs w:val="27"/>
              </w:rPr>
            </w:pPr>
            <w:r>
              <w:rPr>
                <w:szCs w:val="27"/>
              </w:rPr>
              <w:t>159 451</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48 447</w:t>
            </w:r>
          </w:p>
        </w:tc>
        <w:tc>
          <w:tcPr>
            <w:tcW w:w="1135" w:type="dxa"/>
            <w:tcBorders/>
          </w:tcPr>
          <w:p>
            <w:pPr>
              <w:pStyle w:val="F21"/>
              <w:tabs>
                <w:tab w:val="clear" w:pos="567"/>
              </w:tabs>
              <w:overflowPunct w:val="true"/>
              <w:snapToGrid w:val="false"/>
              <w:ind w:right="85" w:hanging="0"/>
              <w:jc w:val="right"/>
              <w:rPr>
                <w:szCs w:val="27"/>
              </w:rPr>
            </w:pPr>
            <w:r>
              <w:rPr>
                <w:szCs w:val="27"/>
              </w:rPr>
              <w:t>51 046</w:t>
            </w:r>
          </w:p>
        </w:tc>
        <w:tc>
          <w:tcPr>
            <w:tcW w:w="1136" w:type="dxa"/>
            <w:tcBorders/>
          </w:tcPr>
          <w:p>
            <w:pPr>
              <w:pStyle w:val="F21"/>
              <w:tabs>
                <w:tab w:val="clear" w:pos="567"/>
              </w:tabs>
              <w:overflowPunct w:val="true"/>
              <w:snapToGrid w:val="false"/>
              <w:ind w:right="85" w:hanging="0"/>
              <w:jc w:val="right"/>
              <w:rPr>
                <w:szCs w:val="27"/>
              </w:rPr>
            </w:pPr>
            <w:r>
              <w:rPr>
                <w:szCs w:val="27"/>
              </w:rPr>
              <w:t>57 235</w:t>
            </w:r>
          </w:p>
        </w:tc>
        <w:tc>
          <w:tcPr>
            <w:tcW w:w="1134" w:type="dxa"/>
            <w:tcBorders/>
          </w:tcPr>
          <w:p>
            <w:pPr>
              <w:pStyle w:val="F21"/>
              <w:tabs>
                <w:tab w:val="clear" w:pos="567"/>
              </w:tabs>
              <w:overflowPunct w:val="true"/>
              <w:snapToGrid w:val="false"/>
              <w:ind w:right="85" w:hanging="0"/>
              <w:jc w:val="right"/>
              <w:rPr>
                <w:szCs w:val="27"/>
              </w:rPr>
            </w:pPr>
            <w:r>
              <w:rPr>
                <w:szCs w:val="27"/>
              </w:rPr>
              <w:t>58 934</w:t>
            </w:r>
          </w:p>
        </w:tc>
        <w:tc>
          <w:tcPr>
            <w:tcW w:w="1135" w:type="dxa"/>
            <w:tcBorders/>
          </w:tcPr>
          <w:p>
            <w:pPr>
              <w:pStyle w:val="F21"/>
              <w:tabs>
                <w:tab w:val="clear" w:pos="567"/>
              </w:tabs>
              <w:overflowPunct w:val="true"/>
              <w:snapToGrid w:val="false"/>
              <w:ind w:right="85" w:hanging="0"/>
              <w:jc w:val="right"/>
              <w:rPr>
                <w:szCs w:val="27"/>
              </w:rPr>
            </w:pPr>
            <w:r>
              <w:rPr>
                <w:szCs w:val="27"/>
              </w:rPr>
              <w:t>60 524</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63 536</w:t>
            </w:r>
          </w:p>
        </w:tc>
        <w:tc>
          <w:tcPr>
            <w:tcW w:w="1135" w:type="dxa"/>
            <w:tcBorders/>
          </w:tcPr>
          <w:p>
            <w:pPr>
              <w:pStyle w:val="F21"/>
              <w:tabs>
                <w:tab w:val="clear" w:pos="567"/>
              </w:tabs>
              <w:overflowPunct w:val="true"/>
              <w:snapToGrid w:val="false"/>
              <w:ind w:right="85" w:hanging="0"/>
              <w:jc w:val="right"/>
              <w:rPr>
                <w:szCs w:val="27"/>
              </w:rPr>
            </w:pPr>
            <w:r>
              <w:rPr>
                <w:szCs w:val="27"/>
              </w:rPr>
              <w:t>72 670</w:t>
            </w:r>
          </w:p>
        </w:tc>
        <w:tc>
          <w:tcPr>
            <w:tcW w:w="1136" w:type="dxa"/>
            <w:tcBorders/>
          </w:tcPr>
          <w:p>
            <w:pPr>
              <w:pStyle w:val="F21"/>
              <w:tabs>
                <w:tab w:val="clear" w:pos="567"/>
              </w:tabs>
              <w:overflowPunct w:val="true"/>
              <w:snapToGrid w:val="false"/>
              <w:ind w:right="85" w:hanging="0"/>
              <w:jc w:val="right"/>
              <w:rPr>
                <w:szCs w:val="27"/>
              </w:rPr>
            </w:pPr>
            <w:r>
              <w:rPr>
                <w:szCs w:val="27"/>
              </w:rPr>
              <w:t>81 800</w:t>
            </w:r>
          </w:p>
        </w:tc>
        <w:tc>
          <w:tcPr>
            <w:tcW w:w="1134" w:type="dxa"/>
            <w:tcBorders/>
          </w:tcPr>
          <w:p>
            <w:pPr>
              <w:pStyle w:val="F21"/>
              <w:tabs>
                <w:tab w:val="clear" w:pos="567"/>
              </w:tabs>
              <w:overflowPunct w:val="true"/>
              <w:snapToGrid w:val="false"/>
              <w:ind w:right="85" w:hanging="0"/>
              <w:jc w:val="right"/>
              <w:rPr>
                <w:szCs w:val="27"/>
              </w:rPr>
            </w:pPr>
            <w:r>
              <w:rPr>
                <w:szCs w:val="27"/>
              </w:rPr>
              <w:t>103 303</w:t>
            </w:r>
          </w:p>
        </w:tc>
        <w:tc>
          <w:tcPr>
            <w:tcW w:w="1135" w:type="dxa"/>
            <w:tcBorders/>
          </w:tcPr>
          <w:p>
            <w:pPr>
              <w:pStyle w:val="F21"/>
              <w:tabs>
                <w:tab w:val="clear" w:pos="567"/>
              </w:tabs>
              <w:overflowPunct w:val="true"/>
              <w:snapToGrid w:val="false"/>
              <w:ind w:right="85" w:hanging="0"/>
              <w:jc w:val="right"/>
              <w:rPr>
                <w:szCs w:val="27"/>
              </w:rPr>
            </w:pPr>
            <w:r>
              <w:rPr>
                <w:szCs w:val="27"/>
              </w:rPr>
              <w:t>113 695</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57 231</w:t>
            </w:r>
          </w:p>
        </w:tc>
        <w:tc>
          <w:tcPr>
            <w:tcW w:w="1135" w:type="dxa"/>
            <w:tcBorders/>
          </w:tcPr>
          <w:p>
            <w:pPr>
              <w:pStyle w:val="F21"/>
              <w:tabs>
                <w:tab w:val="clear" w:pos="567"/>
              </w:tabs>
              <w:overflowPunct w:val="true"/>
              <w:snapToGrid w:val="false"/>
              <w:ind w:right="85" w:hanging="0"/>
              <w:jc w:val="right"/>
              <w:rPr>
                <w:szCs w:val="27"/>
              </w:rPr>
            </w:pPr>
            <w:r>
              <w:rPr>
                <w:szCs w:val="27"/>
              </w:rPr>
              <w:t>59 807</w:t>
            </w:r>
          </w:p>
        </w:tc>
        <w:tc>
          <w:tcPr>
            <w:tcW w:w="1136" w:type="dxa"/>
            <w:tcBorders/>
          </w:tcPr>
          <w:p>
            <w:pPr>
              <w:pStyle w:val="F21"/>
              <w:tabs>
                <w:tab w:val="clear" w:pos="567"/>
              </w:tabs>
              <w:overflowPunct w:val="true"/>
              <w:snapToGrid w:val="false"/>
              <w:ind w:right="85" w:hanging="0"/>
              <w:jc w:val="right"/>
              <w:rPr>
                <w:szCs w:val="27"/>
              </w:rPr>
            </w:pPr>
            <w:r>
              <w:rPr>
                <w:szCs w:val="27"/>
              </w:rPr>
              <w:t>62 537</w:t>
            </w:r>
          </w:p>
        </w:tc>
        <w:tc>
          <w:tcPr>
            <w:tcW w:w="1134" w:type="dxa"/>
            <w:tcBorders/>
          </w:tcPr>
          <w:p>
            <w:pPr>
              <w:pStyle w:val="F21"/>
              <w:tabs>
                <w:tab w:val="clear" w:pos="567"/>
              </w:tabs>
              <w:overflowPunct w:val="true"/>
              <w:snapToGrid w:val="false"/>
              <w:ind w:right="85" w:hanging="0"/>
              <w:jc w:val="right"/>
              <w:rPr>
                <w:szCs w:val="27"/>
              </w:rPr>
            </w:pPr>
            <w:r>
              <w:rPr>
                <w:szCs w:val="27"/>
              </w:rPr>
              <w:t>64 550</w:t>
            </w:r>
          </w:p>
        </w:tc>
        <w:tc>
          <w:tcPr>
            <w:tcW w:w="1135" w:type="dxa"/>
            <w:tcBorders/>
          </w:tcPr>
          <w:p>
            <w:pPr>
              <w:pStyle w:val="F21"/>
              <w:tabs>
                <w:tab w:val="clear" w:pos="567"/>
              </w:tabs>
              <w:overflowPunct w:val="true"/>
              <w:snapToGrid w:val="false"/>
              <w:ind w:right="85" w:hanging="0"/>
              <w:jc w:val="right"/>
              <w:rPr>
                <w:szCs w:val="27"/>
              </w:rPr>
            </w:pPr>
            <w:r>
              <w:rPr>
                <w:szCs w:val="27"/>
              </w:rPr>
              <w:t>61 847</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34 741</w:t>
            </w:r>
          </w:p>
        </w:tc>
        <w:tc>
          <w:tcPr>
            <w:tcW w:w="1135" w:type="dxa"/>
            <w:tcBorders/>
          </w:tcPr>
          <w:p>
            <w:pPr>
              <w:pStyle w:val="F21"/>
              <w:tabs>
                <w:tab w:val="clear" w:pos="567"/>
              </w:tabs>
              <w:overflowPunct w:val="true"/>
              <w:snapToGrid w:val="false"/>
              <w:ind w:right="85" w:hanging="0"/>
              <w:jc w:val="right"/>
              <w:rPr>
                <w:szCs w:val="27"/>
              </w:rPr>
            </w:pPr>
            <w:r>
              <w:rPr>
                <w:szCs w:val="27"/>
              </w:rPr>
              <w:t>33 997</w:t>
            </w:r>
          </w:p>
        </w:tc>
        <w:tc>
          <w:tcPr>
            <w:tcW w:w="1136" w:type="dxa"/>
            <w:tcBorders/>
          </w:tcPr>
          <w:p>
            <w:pPr>
              <w:pStyle w:val="F21"/>
              <w:tabs>
                <w:tab w:val="clear" w:pos="567"/>
              </w:tabs>
              <w:overflowPunct w:val="true"/>
              <w:snapToGrid w:val="false"/>
              <w:ind w:right="85" w:hanging="0"/>
              <w:jc w:val="right"/>
              <w:rPr>
                <w:szCs w:val="27"/>
              </w:rPr>
            </w:pPr>
            <w:r>
              <w:rPr>
                <w:szCs w:val="27"/>
              </w:rPr>
              <w:t>36 057</w:t>
            </w:r>
          </w:p>
        </w:tc>
        <w:tc>
          <w:tcPr>
            <w:tcW w:w="1134" w:type="dxa"/>
            <w:tcBorders/>
          </w:tcPr>
          <w:p>
            <w:pPr>
              <w:pStyle w:val="F21"/>
              <w:tabs>
                <w:tab w:val="clear" w:pos="567"/>
              </w:tabs>
              <w:overflowPunct w:val="true"/>
              <w:snapToGrid w:val="false"/>
              <w:ind w:right="85" w:hanging="0"/>
              <w:jc w:val="right"/>
              <w:rPr>
                <w:szCs w:val="27"/>
              </w:rPr>
            </w:pPr>
            <w:r>
              <w:rPr>
                <w:szCs w:val="27"/>
              </w:rPr>
              <w:t>36 318</w:t>
            </w:r>
          </w:p>
        </w:tc>
        <w:tc>
          <w:tcPr>
            <w:tcW w:w="1135" w:type="dxa"/>
            <w:tcBorders/>
          </w:tcPr>
          <w:p>
            <w:pPr>
              <w:pStyle w:val="F21"/>
              <w:tabs>
                <w:tab w:val="clear" w:pos="567"/>
              </w:tabs>
              <w:overflowPunct w:val="true"/>
              <w:snapToGrid w:val="false"/>
              <w:ind w:right="85" w:hanging="0"/>
              <w:jc w:val="right"/>
              <w:rPr>
                <w:szCs w:val="27"/>
              </w:rPr>
            </w:pPr>
            <w:r>
              <w:rPr>
                <w:szCs w:val="27"/>
              </w:rPr>
              <w:t>35 417</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66 778</w:t>
            </w:r>
          </w:p>
        </w:tc>
        <w:tc>
          <w:tcPr>
            <w:tcW w:w="1135" w:type="dxa"/>
            <w:tcBorders/>
          </w:tcPr>
          <w:p>
            <w:pPr>
              <w:pStyle w:val="F21"/>
              <w:tabs>
                <w:tab w:val="clear" w:pos="567"/>
              </w:tabs>
              <w:overflowPunct w:val="true"/>
              <w:snapToGrid w:val="false"/>
              <w:ind w:right="85" w:hanging="0"/>
              <w:jc w:val="right"/>
              <w:rPr>
                <w:szCs w:val="27"/>
              </w:rPr>
            </w:pPr>
            <w:r>
              <w:rPr>
                <w:szCs w:val="27"/>
              </w:rPr>
              <w:t>74 995</w:t>
            </w:r>
          </w:p>
        </w:tc>
        <w:tc>
          <w:tcPr>
            <w:tcW w:w="1136" w:type="dxa"/>
            <w:tcBorders/>
          </w:tcPr>
          <w:p>
            <w:pPr>
              <w:pStyle w:val="F21"/>
              <w:tabs>
                <w:tab w:val="clear" w:pos="567"/>
              </w:tabs>
              <w:overflowPunct w:val="true"/>
              <w:snapToGrid w:val="false"/>
              <w:ind w:right="85" w:hanging="0"/>
              <w:jc w:val="right"/>
              <w:rPr>
                <w:szCs w:val="27"/>
              </w:rPr>
            </w:pPr>
            <w:r>
              <w:rPr>
                <w:szCs w:val="27"/>
              </w:rPr>
              <w:t>81 365</w:t>
            </w:r>
          </w:p>
        </w:tc>
        <w:tc>
          <w:tcPr>
            <w:tcW w:w="1134" w:type="dxa"/>
            <w:tcBorders/>
          </w:tcPr>
          <w:p>
            <w:pPr>
              <w:pStyle w:val="F21"/>
              <w:tabs>
                <w:tab w:val="clear" w:pos="567"/>
              </w:tabs>
              <w:overflowPunct w:val="true"/>
              <w:snapToGrid w:val="false"/>
              <w:ind w:right="85" w:hanging="0"/>
              <w:jc w:val="right"/>
              <w:rPr>
                <w:szCs w:val="27"/>
              </w:rPr>
            </w:pPr>
            <w:r>
              <w:rPr>
                <w:szCs w:val="27"/>
              </w:rPr>
              <w:t>85 887</w:t>
            </w:r>
          </w:p>
        </w:tc>
        <w:tc>
          <w:tcPr>
            <w:tcW w:w="1135" w:type="dxa"/>
            <w:tcBorders/>
          </w:tcPr>
          <w:p>
            <w:pPr>
              <w:pStyle w:val="F21"/>
              <w:tabs>
                <w:tab w:val="clear" w:pos="567"/>
              </w:tabs>
              <w:overflowPunct w:val="true"/>
              <w:snapToGrid w:val="false"/>
              <w:ind w:right="85" w:hanging="0"/>
              <w:jc w:val="right"/>
              <w:rPr>
                <w:szCs w:val="27"/>
              </w:rPr>
            </w:pPr>
            <w:r>
              <w:rPr>
                <w:szCs w:val="27"/>
              </w:rPr>
              <w:t>87 550</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56 644</w:t>
            </w:r>
          </w:p>
        </w:tc>
        <w:tc>
          <w:tcPr>
            <w:tcW w:w="1135" w:type="dxa"/>
            <w:tcBorders/>
          </w:tcPr>
          <w:p>
            <w:pPr>
              <w:pStyle w:val="F21"/>
              <w:tabs>
                <w:tab w:val="clear" w:pos="567"/>
              </w:tabs>
              <w:overflowPunct w:val="true"/>
              <w:snapToGrid w:val="false"/>
              <w:ind w:right="85" w:hanging="0"/>
              <w:jc w:val="right"/>
              <w:rPr>
                <w:szCs w:val="27"/>
              </w:rPr>
            </w:pPr>
            <w:r>
              <w:rPr>
                <w:szCs w:val="27"/>
              </w:rPr>
              <w:t>59 860</w:t>
            </w:r>
          </w:p>
        </w:tc>
        <w:tc>
          <w:tcPr>
            <w:tcW w:w="1136" w:type="dxa"/>
            <w:tcBorders/>
          </w:tcPr>
          <w:p>
            <w:pPr>
              <w:pStyle w:val="F21"/>
              <w:tabs>
                <w:tab w:val="clear" w:pos="567"/>
              </w:tabs>
              <w:overflowPunct w:val="true"/>
              <w:snapToGrid w:val="false"/>
              <w:ind w:right="85" w:hanging="0"/>
              <w:jc w:val="right"/>
              <w:rPr>
                <w:szCs w:val="27"/>
              </w:rPr>
            </w:pPr>
            <w:r>
              <w:rPr>
                <w:szCs w:val="27"/>
              </w:rPr>
              <w:t>63 685</w:t>
            </w:r>
          </w:p>
        </w:tc>
        <w:tc>
          <w:tcPr>
            <w:tcW w:w="1134" w:type="dxa"/>
            <w:tcBorders/>
          </w:tcPr>
          <w:p>
            <w:pPr>
              <w:pStyle w:val="F21"/>
              <w:tabs>
                <w:tab w:val="clear" w:pos="567"/>
              </w:tabs>
              <w:overflowPunct w:val="true"/>
              <w:snapToGrid w:val="false"/>
              <w:ind w:right="85" w:hanging="0"/>
              <w:jc w:val="right"/>
              <w:rPr>
                <w:szCs w:val="27"/>
              </w:rPr>
            </w:pPr>
            <w:r>
              <w:rPr>
                <w:szCs w:val="27"/>
              </w:rPr>
              <w:t>65 304</w:t>
            </w:r>
          </w:p>
        </w:tc>
        <w:tc>
          <w:tcPr>
            <w:tcW w:w="1135" w:type="dxa"/>
            <w:tcBorders/>
          </w:tcPr>
          <w:p>
            <w:pPr>
              <w:pStyle w:val="F21"/>
              <w:tabs>
                <w:tab w:val="clear" w:pos="567"/>
              </w:tabs>
              <w:overflowPunct w:val="true"/>
              <w:snapToGrid w:val="false"/>
              <w:ind w:right="85" w:hanging="0"/>
              <w:jc w:val="right"/>
              <w:rPr>
                <w:szCs w:val="27"/>
              </w:rPr>
            </w:pPr>
            <w:r>
              <w:rPr>
                <w:szCs w:val="27"/>
              </w:rPr>
              <w:t>67 445</w:t>
            </w:r>
          </w:p>
        </w:tc>
      </w:tr>
      <w:tr>
        <w:trPr/>
        <w:tc>
          <w:tcPr>
            <w:tcW w:w="1139" w:type="dxa"/>
            <w:vMerge w:val="restart"/>
            <w:tcBorders/>
          </w:tcPr>
          <w:p>
            <w:pPr>
              <w:pStyle w:val="F21"/>
              <w:tabs>
                <w:tab w:val="clear" w:pos="567"/>
              </w:tabs>
              <w:overflowPunct w:val="true"/>
              <w:snapToGrid w:val="false"/>
              <w:ind w:left="57" w:hanging="0"/>
              <w:rPr>
                <w:szCs w:val="27"/>
              </w:rPr>
            </w:pPr>
            <w:r>
              <w:rPr>
                <w:szCs w:val="27"/>
              </w:rPr>
              <w:t>九龍西</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54 965</w:t>
            </w:r>
          </w:p>
        </w:tc>
        <w:tc>
          <w:tcPr>
            <w:tcW w:w="1135" w:type="dxa"/>
            <w:tcBorders/>
          </w:tcPr>
          <w:p>
            <w:pPr>
              <w:pStyle w:val="F21"/>
              <w:tabs>
                <w:tab w:val="clear" w:pos="567"/>
              </w:tabs>
              <w:overflowPunct w:val="true"/>
              <w:snapToGrid w:val="false"/>
              <w:ind w:right="85" w:hanging="0"/>
              <w:jc w:val="right"/>
              <w:rPr>
                <w:szCs w:val="27"/>
              </w:rPr>
            </w:pPr>
            <w:r>
              <w:rPr>
                <w:szCs w:val="27"/>
              </w:rPr>
              <w:t>55 275</w:t>
            </w:r>
          </w:p>
        </w:tc>
        <w:tc>
          <w:tcPr>
            <w:tcW w:w="1136" w:type="dxa"/>
            <w:tcBorders/>
          </w:tcPr>
          <w:p>
            <w:pPr>
              <w:pStyle w:val="F21"/>
              <w:tabs>
                <w:tab w:val="clear" w:pos="567"/>
              </w:tabs>
              <w:overflowPunct w:val="true"/>
              <w:snapToGrid w:val="false"/>
              <w:ind w:right="85" w:hanging="0"/>
              <w:jc w:val="right"/>
              <w:rPr>
                <w:szCs w:val="27"/>
              </w:rPr>
            </w:pPr>
            <w:r>
              <w:rPr>
                <w:szCs w:val="27"/>
              </w:rPr>
              <w:t>54 092</w:t>
            </w:r>
          </w:p>
        </w:tc>
        <w:tc>
          <w:tcPr>
            <w:tcW w:w="1134" w:type="dxa"/>
            <w:tcBorders/>
          </w:tcPr>
          <w:p>
            <w:pPr>
              <w:pStyle w:val="F21"/>
              <w:tabs>
                <w:tab w:val="clear" w:pos="567"/>
              </w:tabs>
              <w:overflowPunct w:val="true"/>
              <w:snapToGrid w:val="false"/>
              <w:ind w:right="85" w:hanging="0"/>
              <w:jc w:val="right"/>
              <w:rPr>
                <w:szCs w:val="27"/>
              </w:rPr>
            </w:pPr>
            <w:r>
              <w:rPr>
                <w:szCs w:val="27"/>
              </w:rPr>
              <w:t>54 487</w:t>
            </w:r>
          </w:p>
        </w:tc>
        <w:tc>
          <w:tcPr>
            <w:tcW w:w="1135" w:type="dxa"/>
            <w:tcBorders/>
          </w:tcPr>
          <w:p>
            <w:pPr>
              <w:pStyle w:val="F21"/>
              <w:tabs>
                <w:tab w:val="clear" w:pos="567"/>
              </w:tabs>
              <w:overflowPunct w:val="true"/>
              <w:snapToGrid w:val="false"/>
              <w:ind w:right="85" w:hanging="0"/>
              <w:jc w:val="right"/>
              <w:rPr>
                <w:szCs w:val="27"/>
              </w:rPr>
            </w:pPr>
            <w:r>
              <w:rPr>
                <w:szCs w:val="27"/>
              </w:rPr>
              <w:t>56 929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481 281</w:t>
            </w:r>
          </w:p>
        </w:tc>
        <w:tc>
          <w:tcPr>
            <w:tcW w:w="1135" w:type="dxa"/>
            <w:tcBorders/>
          </w:tcPr>
          <w:p>
            <w:pPr>
              <w:pStyle w:val="F21"/>
              <w:tabs>
                <w:tab w:val="clear" w:pos="567"/>
              </w:tabs>
              <w:overflowPunct w:val="true"/>
              <w:snapToGrid w:val="false"/>
              <w:ind w:right="85" w:hanging="0"/>
              <w:jc w:val="right"/>
              <w:rPr>
                <w:szCs w:val="27"/>
              </w:rPr>
            </w:pPr>
            <w:r>
              <w:rPr>
                <w:szCs w:val="27"/>
              </w:rPr>
              <w:t>497 114</w:t>
            </w:r>
          </w:p>
        </w:tc>
        <w:tc>
          <w:tcPr>
            <w:tcW w:w="1136" w:type="dxa"/>
            <w:tcBorders/>
          </w:tcPr>
          <w:p>
            <w:pPr>
              <w:pStyle w:val="F21"/>
              <w:tabs>
                <w:tab w:val="clear" w:pos="567"/>
              </w:tabs>
              <w:overflowPunct w:val="true"/>
              <w:snapToGrid w:val="false"/>
              <w:ind w:right="85" w:hanging="0"/>
              <w:jc w:val="right"/>
              <w:rPr>
                <w:szCs w:val="27"/>
              </w:rPr>
            </w:pPr>
            <w:r>
              <w:rPr>
                <w:szCs w:val="27"/>
              </w:rPr>
              <w:t>508 712</w:t>
            </w:r>
          </w:p>
        </w:tc>
        <w:tc>
          <w:tcPr>
            <w:tcW w:w="1134" w:type="dxa"/>
            <w:tcBorders/>
          </w:tcPr>
          <w:p>
            <w:pPr>
              <w:pStyle w:val="F21"/>
              <w:tabs>
                <w:tab w:val="clear" w:pos="567"/>
              </w:tabs>
              <w:overflowPunct w:val="true"/>
              <w:snapToGrid w:val="false"/>
              <w:ind w:right="85" w:hanging="0"/>
              <w:jc w:val="right"/>
              <w:rPr>
                <w:szCs w:val="27"/>
              </w:rPr>
            </w:pPr>
            <w:r>
              <w:rPr>
                <w:szCs w:val="27"/>
              </w:rPr>
              <w:t>521 546</w:t>
            </w:r>
          </w:p>
        </w:tc>
        <w:tc>
          <w:tcPr>
            <w:tcW w:w="1135" w:type="dxa"/>
            <w:tcBorders/>
          </w:tcPr>
          <w:p>
            <w:pPr>
              <w:pStyle w:val="F21"/>
              <w:tabs>
                <w:tab w:val="clear" w:pos="567"/>
              </w:tabs>
              <w:overflowPunct w:val="true"/>
              <w:snapToGrid w:val="false"/>
              <w:ind w:right="85" w:hanging="0"/>
              <w:jc w:val="right"/>
              <w:rPr>
                <w:szCs w:val="27"/>
              </w:rPr>
            </w:pPr>
            <w:r>
              <w:rPr>
                <w:szCs w:val="27"/>
              </w:rPr>
              <w:t>532 909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101 918</w:t>
            </w:r>
          </w:p>
        </w:tc>
        <w:tc>
          <w:tcPr>
            <w:tcW w:w="1135" w:type="dxa"/>
            <w:tcBorders/>
          </w:tcPr>
          <w:p>
            <w:pPr>
              <w:pStyle w:val="F21"/>
              <w:tabs>
                <w:tab w:val="clear" w:pos="567"/>
              </w:tabs>
              <w:overflowPunct w:val="true"/>
              <w:snapToGrid w:val="false"/>
              <w:ind w:right="85" w:hanging="0"/>
              <w:jc w:val="right"/>
              <w:rPr>
                <w:szCs w:val="27"/>
              </w:rPr>
            </w:pPr>
            <w:r>
              <w:rPr>
                <w:szCs w:val="27"/>
              </w:rPr>
              <w:t>104 112</w:t>
            </w:r>
          </w:p>
        </w:tc>
        <w:tc>
          <w:tcPr>
            <w:tcW w:w="1136" w:type="dxa"/>
            <w:tcBorders/>
          </w:tcPr>
          <w:p>
            <w:pPr>
              <w:pStyle w:val="F21"/>
              <w:tabs>
                <w:tab w:val="clear" w:pos="567"/>
              </w:tabs>
              <w:overflowPunct w:val="true"/>
              <w:snapToGrid w:val="false"/>
              <w:ind w:right="85" w:hanging="0"/>
              <w:jc w:val="right"/>
              <w:rPr>
                <w:szCs w:val="27"/>
              </w:rPr>
            </w:pPr>
            <w:r>
              <w:rPr>
                <w:szCs w:val="27"/>
              </w:rPr>
              <w:t>110 638</w:t>
            </w:r>
          </w:p>
        </w:tc>
        <w:tc>
          <w:tcPr>
            <w:tcW w:w="1134" w:type="dxa"/>
            <w:tcBorders/>
          </w:tcPr>
          <w:p>
            <w:pPr>
              <w:pStyle w:val="F21"/>
              <w:tabs>
                <w:tab w:val="clear" w:pos="567"/>
              </w:tabs>
              <w:overflowPunct w:val="true"/>
              <w:snapToGrid w:val="false"/>
              <w:ind w:right="85" w:hanging="0"/>
              <w:jc w:val="right"/>
              <w:rPr>
                <w:szCs w:val="27"/>
              </w:rPr>
            </w:pPr>
            <w:r>
              <w:rPr>
                <w:szCs w:val="27"/>
              </w:rPr>
              <w:t>111 167</w:t>
            </w:r>
          </w:p>
        </w:tc>
        <w:tc>
          <w:tcPr>
            <w:tcW w:w="1135" w:type="dxa"/>
            <w:tcBorders/>
          </w:tcPr>
          <w:p>
            <w:pPr>
              <w:pStyle w:val="F21"/>
              <w:tabs>
                <w:tab w:val="clear" w:pos="567"/>
              </w:tabs>
              <w:overflowPunct w:val="true"/>
              <w:snapToGrid w:val="false"/>
              <w:ind w:right="85" w:hanging="0"/>
              <w:jc w:val="right"/>
              <w:rPr>
                <w:szCs w:val="27"/>
              </w:rPr>
            </w:pPr>
            <w:r>
              <w:rPr>
                <w:szCs w:val="27"/>
              </w:rPr>
              <w:t>114 389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122 367</w:t>
            </w:r>
          </w:p>
        </w:tc>
        <w:tc>
          <w:tcPr>
            <w:tcW w:w="1135" w:type="dxa"/>
            <w:tcBorders/>
          </w:tcPr>
          <w:p>
            <w:pPr>
              <w:pStyle w:val="F21"/>
              <w:tabs>
                <w:tab w:val="clear" w:pos="567"/>
              </w:tabs>
              <w:overflowPunct w:val="true"/>
              <w:snapToGrid w:val="false"/>
              <w:ind w:right="85" w:hanging="0"/>
              <w:jc w:val="right"/>
              <w:rPr>
                <w:szCs w:val="27"/>
              </w:rPr>
            </w:pPr>
            <w:r>
              <w:rPr>
                <w:szCs w:val="27"/>
              </w:rPr>
              <w:t>124 354</w:t>
            </w:r>
          </w:p>
        </w:tc>
        <w:tc>
          <w:tcPr>
            <w:tcW w:w="1136" w:type="dxa"/>
            <w:tcBorders/>
          </w:tcPr>
          <w:p>
            <w:pPr>
              <w:pStyle w:val="F21"/>
              <w:tabs>
                <w:tab w:val="clear" w:pos="567"/>
              </w:tabs>
              <w:overflowPunct w:val="true"/>
              <w:snapToGrid w:val="false"/>
              <w:ind w:right="85" w:hanging="0"/>
              <w:jc w:val="right"/>
              <w:rPr>
                <w:szCs w:val="27"/>
              </w:rPr>
            </w:pPr>
            <w:r>
              <w:rPr>
                <w:szCs w:val="27"/>
              </w:rPr>
              <w:t>127 665</w:t>
            </w:r>
          </w:p>
        </w:tc>
        <w:tc>
          <w:tcPr>
            <w:tcW w:w="1134" w:type="dxa"/>
            <w:tcBorders/>
          </w:tcPr>
          <w:p>
            <w:pPr>
              <w:pStyle w:val="F21"/>
              <w:tabs>
                <w:tab w:val="clear" w:pos="567"/>
              </w:tabs>
              <w:overflowPunct w:val="true"/>
              <w:snapToGrid w:val="false"/>
              <w:ind w:right="85" w:hanging="0"/>
              <w:jc w:val="right"/>
              <w:rPr>
                <w:szCs w:val="27"/>
              </w:rPr>
            </w:pPr>
            <w:r>
              <w:rPr>
                <w:szCs w:val="27"/>
              </w:rPr>
              <w:t>132 649</w:t>
            </w:r>
          </w:p>
        </w:tc>
        <w:tc>
          <w:tcPr>
            <w:tcW w:w="1135" w:type="dxa"/>
            <w:tcBorders/>
          </w:tcPr>
          <w:p>
            <w:pPr>
              <w:pStyle w:val="F21"/>
              <w:tabs>
                <w:tab w:val="clear" w:pos="567"/>
              </w:tabs>
              <w:overflowPunct w:val="true"/>
              <w:snapToGrid w:val="false"/>
              <w:ind w:right="85" w:hanging="0"/>
              <w:jc w:val="right"/>
              <w:rPr>
                <w:szCs w:val="27"/>
              </w:rPr>
            </w:pPr>
            <w:r>
              <w:rPr>
                <w:szCs w:val="27"/>
              </w:rPr>
              <w:t>127 734</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96 685</w:t>
            </w:r>
          </w:p>
        </w:tc>
        <w:tc>
          <w:tcPr>
            <w:tcW w:w="1135" w:type="dxa"/>
            <w:tcBorders/>
          </w:tcPr>
          <w:p>
            <w:pPr>
              <w:pStyle w:val="F21"/>
              <w:tabs>
                <w:tab w:val="clear" w:pos="567"/>
              </w:tabs>
              <w:overflowPunct w:val="true"/>
              <w:snapToGrid w:val="false"/>
              <w:ind w:right="85" w:hanging="0"/>
              <w:jc w:val="right"/>
              <w:rPr>
                <w:szCs w:val="27"/>
              </w:rPr>
            </w:pPr>
            <w:r>
              <w:rPr>
                <w:szCs w:val="27"/>
              </w:rPr>
              <w:t>97 477</w:t>
            </w:r>
          </w:p>
        </w:tc>
        <w:tc>
          <w:tcPr>
            <w:tcW w:w="1136" w:type="dxa"/>
            <w:tcBorders/>
          </w:tcPr>
          <w:p>
            <w:pPr>
              <w:pStyle w:val="F21"/>
              <w:tabs>
                <w:tab w:val="clear" w:pos="567"/>
              </w:tabs>
              <w:overflowPunct w:val="true"/>
              <w:snapToGrid w:val="false"/>
              <w:ind w:right="85" w:hanging="0"/>
              <w:jc w:val="right"/>
              <w:rPr>
                <w:szCs w:val="27"/>
              </w:rPr>
            </w:pPr>
            <w:r>
              <w:rPr>
                <w:szCs w:val="27"/>
              </w:rPr>
              <w:t>100 039</w:t>
            </w:r>
          </w:p>
        </w:tc>
        <w:tc>
          <w:tcPr>
            <w:tcW w:w="1134" w:type="dxa"/>
            <w:tcBorders/>
          </w:tcPr>
          <w:p>
            <w:pPr>
              <w:pStyle w:val="F21"/>
              <w:tabs>
                <w:tab w:val="clear" w:pos="567"/>
              </w:tabs>
              <w:overflowPunct w:val="true"/>
              <w:snapToGrid w:val="false"/>
              <w:ind w:right="85" w:hanging="0"/>
              <w:jc w:val="right"/>
              <w:rPr>
                <w:szCs w:val="27"/>
              </w:rPr>
            </w:pPr>
            <w:r>
              <w:rPr>
                <w:szCs w:val="27"/>
              </w:rPr>
              <w:t>105 356</w:t>
            </w:r>
          </w:p>
        </w:tc>
        <w:tc>
          <w:tcPr>
            <w:tcW w:w="1135" w:type="dxa"/>
            <w:tcBorders/>
          </w:tcPr>
          <w:p>
            <w:pPr>
              <w:pStyle w:val="F21"/>
              <w:tabs>
                <w:tab w:val="clear" w:pos="567"/>
              </w:tabs>
              <w:overflowPunct w:val="true"/>
              <w:snapToGrid w:val="false"/>
              <w:ind w:right="85" w:hanging="0"/>
              <w:jc w:val="right"/>
              <w:rPr>
                <w:szCs w:val="27"/>
              </w:rPr>
            </w:pPr>
            <w:r>
              <w:rPr>
                <w:szCs w:val="27"/>
              </w:rPr>
              <w:t>111 138</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53 264</w:t>
            </w:r>
          </w:p>
        </w:tc>
        <w:tc>
          <w:tcPr>
            <w:tcW w:w="1135" w:type="dxa"/>
            <w:tcBorders/>
          </w:tcPr>
          <w:p>
            <w:pPr>
              <w:pStyle w:val="F21"/>
              <w:tabs>
                <w:tab w:val="clear" w:pos="567"/>
              </w:tabs>
              <w:overflowPunct w:val="true"/>
              <w:snapToGrid w:val="false"/>
              <w:ind w:right="85" w:hanging="0"/>
              <w:jc w:val="right"/>
              <w:rPr>
                <w:szCs w:val="27"/>
              </w:rPr>
            </w:pPr>
            <w:r>
              <w:rPr>
                <w:szCs w:val="27"/>
              </w:rPr>
              <w:t>53 101</w:t>
            </w:r>
          </w:p>
        </w:tc>
        <w:tc>
          <w:tcPr>
            <w:tcW w:w="1136" w:type="dxa"/>
            <w:tcBorders/>
          </w:tcPr>
          <w:p>
            <w:pPr>
              <w:pStyle w:val="F21"/>
              <w:tabs>
                <w:tab w:val="clear" w:pos="567"/>
              </w:tabs>
              <w:overflowPunct w:val="true"/>
              <w:snapToGrid w:val="false"/>
              <w:ind w:right="85" w:hanging="0"/>
              <w:jc w:val="right"/>
              <w:rPr>
                <w:szCs w:val="27"/>
              </w:rPr>
            </w:pPr>
            <w:r>
              <w:rPr>
                <w:szCs w:val="27"/>
              </w:rPr>
              <w:t>53 161</w:t>
            </w:r>
          </w:p>
        </w:tc>
        <w:tc>
          <w:tcPr>
            <w:tcW w:w="1134" w:type="dxa"/>
            <w:tcBorders/>
          </w:tcPr>
          <w:p>
            <w:pPr>
              <w:pStyle w:val="F21"/>
              <w:tabs>
                <w:tab w:val="clear" w:pos="567"/>
              </w:tabs>
              <w:overflowPunct w:val="true"/>
              <w:snapToGrid w:val="false"/>
              <w:ind w:right="85" w:hanging="0"/>
              <w:jc w:val="right"/>
              <w:rPr>
                <w:szCs w:val="27"/>
              </w:rPr>
            </w:pPr>
            <w:r>
              <w:rPr>
                <w:szCs w:val="27"/>
              </w:rPr>
              <w:t>50 909</w:t>
            </w:r>
          </w:p>
        </w:tc>
        <w:tc>
          <w:tcPr>
            <w:tcW w:w="1135" w:type="dxa"/>
            <w:tcBorders/>
          </w:tcPr>
          <w:p>
            <w:pPr>
              <w:pStyle w:val="F21"/>
              <w:tabs>
                <w:tab w:val="clear" w:pos="567"/>
              </w:tabs>
              <w:overflowPunct w:val="true"/>
              <w:snapToGrid w:val="false"/>
              <w:ind w:right="85" w:hanging="0"/>
              <w:jc w:val="right"/>
              <w:rPr>
                <w:szCs w:val="27"/>
              </w:rPr>
            </w:pPr>
            <w:r>
              <w:rPr>
                <w:szCs w:val="27"/>
              </w:rPr>
              <w:t>50 232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173 737</w:t>
            </w:r>
          </w:p>
        </w:tc>
        <w:tc>
          <w:tcPr>
            <w:tcW w:w="1135" w:type="dxa"/>
            <w:tcBorders/>
          </w:tcPr>
          <w:p>
            <w:pPr>
              <w:pStyle w:val="F21"/>
              <w:tabs>
                <w:tab w:val="clear" w:pos="567"/>
              </w:tabs>
              <w:overflowPunct w:val="true"/>
              <w:snapToGrid w:val="false"/>
              <w:ind w:right="85" w:hanging="0"/>
              <w:jc w:val="right"/>
              <w:rPr>
                <w:szCs w:val="27"/>
              </w:rPr>
            </w:pPr>
            <w:r>
              <w:rPr>
                <w:szCs w:val="27"/>
              </w:rPr>
              <w:t>186 648</w:t>
            </w:r>
          </w:p>
        </w:tc>
        <w:tc>
          <w:tcPr>
            <w:tcW w:w="1136" w:type="dxa"/>
            <w:tcBorders/>
          </w:tcPr>
          <w:p>
            <w:pPr>
              <w:pStyle w:val="F21"/>
              <w:tabs>
                <w:tab w:val="clear" w:pos="567"/>
              </w:tabs>
              <w:overflowPunct w:val="true"/>
              <w:snapToGrid w:val="false"/>
              <w:ind w:right="85" w:hanging="0"/>
              <w:jc w:val="right"/>
              <w:rPr>
                <w:szCs w:val="27"/>
              </w:rPr>
            </w:pPr>
            <w:r>
              <w:rPr>
                <w:szCs w:val="27"/>
              </w:rPr>
              <w:t>194 382</w:t>
            </w:r>
          </w:p>
        </w:tc>
        <w:tc>
          <w:tcPr>
            <w:tcW w:w="1134" w:type="dxa"/>
            <w:tcBorders/>
          </w:tcPr>
          <w:p>
            <w:pPr>
              <w:pStyle w:val="F21"/>
              <w:tabs>
                <w:tab w:val="clear" w:pos="567"/>
              </w:tabs>
              <w:overflowPunct w:val="true"/>
              <w:snapToGrid w:val="false"/>
              <w:ind w:right="85" w:hanging="0"/>
              <w:jc w:val="right"/>
              <w:rPr>
                <w:szCs w:val="27"/>
              </w:rPr>
            </w:pPr>
            <w:r>
              <w:rPr>
                <w:szCs w:val="27"/>
              </w:rPr>
              <w:t>200 900</w:t>
            </w:r>
          </w:p>
        </w:tc>
        <w:tc>
          <w:tcPr>
            <w:tcW w:w="1135" w:type="dxa"/>
            <w:tcBorders/>
          </w:tcPr>
          <w:p>
            <w:pPr>
              <w:pStyle w:val="F21"/>
              <w:tabs>
                <w:tab w:val="clear" w:pos="567"/>
              </w:tabs>
              <w:overflowPunct w:val="true"/>
              <w:snapToGrid w:val="false"/>
              <w:ind w:right="85" w:hanging="0"/>
              <w:jc w:val="right"/>
              <w:rPr>
                <w:szCs w:val="27"/>
              </w:rPr>
            </w:pPr>
            <w:r>
              <w:rPr>
                <w:szCs w:val="27"/>
              </w:rPr>
              <w:t>208 790</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146 034</w:t>
            </w:r>
          </w:p>
        </w:tc>
        <w:tc>
          <w:tcPr>
            <w:tcW w:w="1135" w:type="dxa"/>
            <w:tcBorders/>
          </w:tcPr>
          <w:p>
            <w:pPr>
              <w:pStyle w:val="F21"/>
              <w:tabs>
                <w:tab w:val="clear" w:pos="567"/>
              </w:tabs>
              <w:overflowPunct w:val="true"/>
              <w:snapToGrid w:val="false"/>
              <w:ind w:right="85" w:hanging="0"/>
              <w:jc w:val="right"/>
              <w:rPr>
                <w:szCs w:val="27"/>
              </w:rPr>
            </w:pPr>
            <w:r>
              <w:rPr>
                <w:szCs w:val="27"/>
              </w:rPr>
              <w:t>149 514</w:t>
            </w:r>
          </w:p>
        </w:tc>
        <w:tc>
          <w:tcPr>
            <w:tcW w:w="1136" w:type="dxa"/>
            <w:tcBorders/>
          </w:tcPr>
          <w:p>
            <w:pPr>
              <w:pStyle w:val="F21"/>
              <w:tabs>
                <w:tab w:val="clear" w:pos="567"/>
              </w:tabs>
              <w:overflowPunct w:val="true"/>
              <w:snapToGrid w:val="false"/>
              <w:ind w:right="85" w:hanging="0"/>
              <w:jc w:val="right"/>
              <w:rPr>
                <w:szCs w:val="27"/>
              </w:rPr>
            </w:pPr>
            <w:r>
              <w:rPr>
                <w:szCs w:val="27"/>
              </w:rPr>
              <w:t>153 365</w:t>
            </w:r>
          </w:p>
        </w:tc>
        <w:tc>
          <w:tcPr>
            <w:tcW w:w="1134" w:type="dxa"/>
            <w:tcBorders/>
          </w:tcPr>
          <w:p>
            <w:pPr>
              <w:pStyle w:val="F21"/>
              <w:tabs>
                <w:tab w:val="clear" w:pos="567"/>
              </w:tabs>
              <w:overflowPunct w:val="true"/>
              <w:snapToGrid w:val="false"/>
              <w:ind w:right="85" w:hanging="0"/>
              <w:jc w:val="right"/>
              <w:rPr>
                <w:szCs w:val="27"/>
              </w:rPr>
            </w:pPr>
            <w:r>
              <w:rPr>
                <w:szCs w:val="27"/>
              </w:rPr>
              <w:t>153 197</w:t>
            </w:r>
          </w:p>
        </w:tc>
        <w:tc>
          <w:tcPr>
            <w:tcW w:w="1135" w:type="dxa"/>
            <w:tcBorders/>
          </w:tcPr>
          <w:p>
            <w:pPr>
              <w:pStyle w:val="F21"/>
              <w:tabs>
                <w:tab w:val="clear" w:pos="567"/>
              </w:tabs>
              <w:overflowPunct w:val="true"/>
              <w:snapToGrid w:val="false"/>
              <w:ind w:right="85" w:hanging="0"/>
              <w:jc w:val="right"/>
              <w:rPr>
                <w:szCs w:val="27"/>
              </w:rPr>
            </w:pPr>
            <w:r>
              <w:rPr>
                <w:szCs w:val="27"/>
              </w:rPr>
              <w:t>154 650</w:t>
            </w:r>
          </w:p>
        </w:tc>
      </w:tr>
      <w:tr>
        <w:trPr/>
        <w:tc>
          <w:tcPr>
            <w:tcW w:w="1139" w:type="dxa"/>
            <w:vMerge w:val="restart"/>
            <w:tcBorders/>
          </w:tcPr>
          <w:p>
            <w:pPr>
              <w:pStyle w:val="F21"/>
              <w:tabs>
                <w:tab w:val="clear" w:pos="567"/>
              </w:tabs>
              <w:overflowPunct w:val="true"/>
              <w:snapToGrid w:val="false"/>
              <w:ind w:left="57" w:hanging="0"/>
              <w:rPr>
                <w:szCs w:val="27"/>
              </w:rPr>
            </w:pPr>
            <w:r>
              <w:rPr>
                <w:szCs w:val="27"/>
              </w:rPr>
              <w:t>新界東</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36 063</w:t>
            </w:r>
          </w:p>
        </w:tc>
        <w:tc>
          <w:tcPr>
            <w:tcW w:w="1135" w:type="dxa"/>
            <w:tcBorders/>
          </w:tcPr>
          <w:p>
            <w:pPr>
              <w:pStyle w:val="F21"/>
              <w:tabs>
                <w:tab w:val="clear" w:pos="567"/>
              </w:tabs>
              <w:overflowPunct w:val="true"/>
              <w:snapToGrid w:val="false"/>
              <w:ind w:right="85" w:hanging="0"/>
              <w:jc w:val="right"/>
              <w:rPr>
                <w:szCs w:val="27"/>
              </w:rPr>
            </w:pPr>
            <w:r>
              <w:rPr>
                <w:szCs w:val="27"/>
              </w:rPr>
              <w:t>38 044</w:t>
            </w:r>
          </w:p>
        </w:tc>
        <w:tc>
          <w:tcPr>
            <w:tcW w:w="1136" w:type="dxa"/>
            <w:tcBorders/>
          </w:tcPr>
          <w:p>
            <w:pPr>
              <w:pStyle w:val="F21"/>
              <w:tabs>
                <w:tab w:val="clear" w:pos="567"/>
              </w:tabs>
              <w:overflowPunct w:val="true"/>
              <w:snapToGrid w:val="false"/>
              <w:ind w:right="85" w:hanging="0"/>
              <w:jc w:val="right"/>
              <w:rPr>
                <w:szCs w:val="27"/>
              </w:rPr>
            </w:pPr>
            <w:r>
              <w:rPr>
                <w:szCs w:val="27"/>
              </w:rPr>
              <w:t>37 619</w:t>
            </w:r>
          </w:p>
        </w:tc>
        <w:tc>
          <w:tcPr>
            <w:tcW w:w="1134" w:type="dxa"/>
            <w:tcBorders/>
          </w:tcPr>
          <w:p>
            <w:pPr>
              <w:pStyle w:val="F21"/>
              <w:tabs>
                <w:tab w:val="clear" w:pos="567"/>
              </w:tabs>
              <w:overflowPunct w:val="true"/>
              <w:snapToGrid w:val="false"/>
              <w:ind w:right="85" w:hanging="0"/>
              <w:jc w:val="right"/>
              <w:rPr>
                <w:szCs w:val="27"/>
              </w:rPr>
            </w:pPr>
            <w:r>
              <w:rPr>
                <w:szCs w:val="27"/>
              </w:rPr>
              <w:t>36 453</w:t>
            </w:r>
          </w:p>
        </w:tc>
        <w:tc>
          <w:tcPr>
            <w:tcW w:w="1135" w:type="dxa"/>
            <w:tcBorders/>
          </w:tcPr>
          <w:p>
            <w:pPr>
              <w:pStyle w:val="F21"/>
              <w:tabs>
                <w:tab w:val="clear" w:pos="567"/>
              </w:tabs>
              <w:overflowPunct w:val="true"/>
              <w:snapToGrid w:val="false"/>
              <w:ind w:right="85" w:hanging="0"/>
              <w:jc w:val="right"/>
              <w:rPr>
                <w:szCs w:val="27"/>
              </w:rPr>
            </w:pPr>
            <w:r>
              <w:rPr>
                <w:szCs w:val="27"/>
              </w:rPr>
              <w:t>36 952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247 283</w:t>
            </w:r>
          </w:p>
        </w:tc>
        <w:tc>
          <w:tcPr>
            <w:tcW w:w="1135" w:type="dxa"/>
            <w:tcBorders/>
          </w:tcPr>
          <w:p>
            <w:pPr>
              <w:pStyle w:val="F21"/>
              <w:tabs>
                <w:tab w:val="clear" w:pos="567"/>
              </w:tabs>
              <w:overflowPunct w:val="true"/>
              <w:snapToGrid w:val="false"/>
              <w:ind w:right="85" w:hanging="0"/>
              <w:jc w:val="right"/>
              <w:rPr>
                <w:szCs w:val="27"/>
              </w:rPr>
            </w:pPr>
            <w:r>
              <w:rPr>
                <w:szCs w:val="27"/>
              </w:rPr>
              <w:t>254 685</w:t>
            </w:r>
          </w:p>
        </w:tc>
        <w:tc>
          <w:tcPr>
            <w:tcW w:w="1136" w:type="dxa"/>
            <w:tcBorders/>
          </w:tcPr>
          <w:p>
            <w:pPr>
              <w:pStyle w:val="F21"/>
              <w:tabs>
                <w:tab w:val="clear" w:pos="567"/>
              </w:tabs>
              <w:overflowPunct w:val="true"/>
              <w:snapToGrid w:val="false"/>
              <w:ind w:right="85" w:hanging="0"/>
              <w:jc w:val="right"/>
              <w:rPr>
                <w:szCs w:val="27"/>
              </w:rPr>
            </w:pPr>
            <w:r>
              <w:rPr>
                <w:szCs w:val="27"/>
              </w:rPr>
              <w:t>258 675</w:t>
            </w:r>
          </w:p>
        </w:tc>
        <w:tc>
          <w:tcPr>
            <w:tcW w:w="1134" w:type="dxa"/>
            <w:tcBorders/>
          </w:tcPr>
          <w:p>
            <w:pPr>
              <w:pStyle w:val="F21"/>
              <w:tabs>
                <w:tab w:val="clear" w:pos="567"/>
              </w:tabs>
              <w:overflowPunct w:val="true"/>
              <w:snapToGrid w:val="false"/>
              <w:ind w:right="85" w:hanging="0"/>
              <w:jc w:val="right"/>
              <w:rPr>
                <w:szCs w:val="27"/>
              </w:rPr>
            </w:pPr>
            <w:r>
              <w:rPr>
                <w:szCs w:val="27"/>
              </w:rPr>
              <w:t>259 168</w:t>
            </w:r>
          </w:p>
        </w:tc>
        <w:tc>
          <w:tcPr>
            <w:tcW w:w="1135" w:type="dxa"/>
            <w:tcBorders/>
          </w:tcPr>
          <w:p>
            <w:pPr>
              <w:pStyle w:val="F21"/>
              <w:tabs>
                <w:tab w:val="clear" w:pos="567"/>
              </w:tabs>
              <w:overflowPunct w:val="true"/>
              <w:snapToGrid w:val="false"/>
              <w:ind w:right="85" w:hanging="0"/>
              <w:jc w:val="right"/>
              <w:rPr>
                <w:szCs w:val="27"/>
              </w:rPr>
            </w:pPr>
            <w:r>
              <w:rPr>
                <w:szCs w:val="27"/>
              </w:rPr>
              <w:t>266 039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66 795</w:t>
            </w:r>
          </w:p>
        </w:tc>
        <w:tc>
          <w:tcPr>
            <w:tcW w:w="1135" w:type="dxa"/>
            <w:tcBorders/>
          </w:tcPr>
          <w:p>
            <w:pPr>
              <w:pStyle w:val="F21"/>
              <w:tabs>
                <w:tab w:val="clear" w:pos="567"/>
              </w:tabs>
              <w:overflowPunct w:val="true"/>
              <w:snapToGrid w:val="false"/>
              <w:ind w:right="85" w:hanging="0"/>
              <w:jc w:val="right"/>
              <w:rPr>
                <w:szCs w:val="27"/>
              </w:rPr>
            </w:pPr>
            <w:r>
              <w:rPr>
                <w:szCs w:val="27"/>
              </w:rPr>
              <w:t>78 760</w:t>
            </w:r>
          </w:p>
        </w:tc>
        <w:tc>
          <w:tcPr>
            <w:tcW w:w="1136" w:type="dxa"/>
            <w:tcBorders/>
          </w:tcPr>
          <w:p>
            <w:pPr>
              <w:pStyle w:val="F21"/>
              <w:tabs>
                <w:tab w:val="clear" w:pos="567"/>
              </w:tabs>
              <w:overflowPunct w:val="true"/>
              <w:snapToGrid w:val="false"/>
              <w:ind w:right="85" w:hanging="0"/>
              <w:jc w:val="right"/>
              <w:rPr>
                <w:szCs w:val="27"/>
              </w:rPr>
            </w:pPr>
            <w:r>
              <w:rPr>
                <w:szCs w:val="27"/>
              </w:rPr>
              <w:t>76 304</w:t>
            </w:r>
          </w:p>
        </w:tc>
        <w:tc>
          <w:tcPr>
            <w:tcW w:w="1134" w:type="dxa"/>
            <w:tcBorders/>
          </w:tcPr>
          <w:p>
            <w:pPr>
              <w:pStyle w:val="F21"/>
              <w:tabs>
                <w:tab w:val="clear" w:pos="567"/>
              </w:tabs>
              <w:overflowPunct w:val="true"/>
              <w:snapToGrid w:val="false"/>
              <w:ind w:right="85" w:hanging="0"/>
              <w:jc w:val="right"/>
              <w:rPr>
                <w:szCs w:val="27"/>
              </w:rPr>
            </w:pPr>
            <w:r>
              <w:rPr>
                <w:szCs w:val="27"/>
              </w:rPr>
              <w:t>67 961</w:t>
            </w:r>
          </w:p>
        </w:tc>
        <w:tc>
          <w:tcPr>
            <w:tcW w:w="1135" w:type="dxa"/>
            <w:tcBorders/>
          </w:tcPr>
          <w:p>
            <w:pPr>
              <w:pStyle w:val="F21"/>
              <w:tabs>
                <w:tab w:val="clear" w:pos="567"/>
              </w:tabs>
              <w:overflowPunct w:val="true"/>
              <w:snapToGrid w:val="false"/>
              <w:ind w:right="85" w:hanging="0"/>
              <w:jc w:val="right"/>
              <w:rPr>
                <w:szCs w:val="27"/>
              </w:rPr>
            </w:pPr>
            <w:r>
              <w:rPr>
                <w:szCs w:val="27"/>
              </w:rPr>
              <w:t>61 406</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114 429</w:t>
            </w:r>
          </w:p>
        </w:tc>
        <w:tc>
          <w:tcPr>
            <w:tcW w:w="1135" w:type="dxa"/>
            <w:tcBorders/>
          </w:tcPr>
          <w:p>
            <w:pPr>
              <w:pStyle w:val="F21"/>
              <w:tabs>
                <w:tab w:val="clear" w:pos="567"/>
              </w:tabs>
              <w:overflowPunct w:val="true"/>
              <w:snapToGrid w:val="false"/>
              <w:ind w:right="85" w:hanging="0"/>
              <w:jc w:val="right"/>
              <w:rPr>
                <w:szCs w:val="27"/>
              </w:rPr>
            </w:pPr>
            <w:r>
              <w:rPr>
                <w:szCs w:val="27"/>
              </w:rPr>
              <w:t>122 338</w:t>
            </w:r>
          </w:p>
        </w:tc>
        <w:tc>
          <w:tcPr>
            <w:tcW w:w="1136" w:type="dxa"/>
            <w:tcBorders/>
          </w:tcPr>
          <w:p>
            <w:pPr>
              <w:pStyle w:val="F21"/>
              <w:tabs>
                <w:tab w:val="clear" w:pos="567"/>
              </w:tabs>
              <w:overflowPunct w:val="true"/>
              <w:snapToGrid w:val="false"/>
              <w:ind w:right="85" w:hanging="0"/>
              <w:jc w:val="right"/>
              <w:rPr>
                <w:szCs w:val="27"/>
              </w:rPr>
            </w:pPr>
            <w:r>
              <w:rPr>
                <w:szCs w:val="27"/>
              </w:rPr>
              <w:t>129 283</w:t>
            </w:r>
          </w:p>
        </w:tc>
        <w:tc>
          <w:tcPr>
            <w:tcW w:w="1134" w:type="dxa"/>
            <w:tcBorders/>
          </w:tcPr>
          <w:p>
            <w:pPr>
              <w:pStyle w:val="F21"/>
              <w:tabs>
                <w:tab w:val="clear" w:pos="567"/>
              </w:tabs>
              <w:overflowPunct w:val="true"/>
              <w:snapToGrid w:val="false"/>
              <w:ind w:right="85" w:hanging="0"/>
              <w:jc w:val="right"/>
              <w:rPr>
                <w:szCs w:val="27"/>
              </w:rPr>
            </w:pPr>
            <w:r>
              <w:rPr>
                <w:szCs w:val="27"/>
              </w:rPr>
              <w:t>130 527</w:t>
            </w:r>
          </w:p>
        </w:tc>
        <w:tc>
          <w:tcPr>
            <w:tcW w:w="1135" w:type="dxa"/>
            <w:tcBorders/>
          </w:tcPr>
          <w:p>
            <w:pPr>
              <w:pStyle w:val="F21"/>
              <w:tabs>
                <w:tab w:val="clear" w:pos="567"/>
              </w:tabs>
              <w:overflowPunct w:val="true"/>
              <w:snapToGrid w:val="false"/>
              <w:ind w:right="85" w:hanging="0"/>
              <w:jc w:val="right"/>
              <w:rPr>
                <w:szCs w:val="27"/>
              </w:rPr>
            </w:pPr>
            <w:r>
              <w:rPr>
                <w:szCs w:val="27"/>
              </w:rPr>
              <w:t>135 772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84 845</w:t>
            </w:r>
          </w:p>
        </w:tc>
        <w:tc>
          <w:tcPr>
            <w:tcW w:w="1135" w:type="dxa"/>
            <w:tcBorders/>
          </w:tcPr>
          <w:p>
            <w:pPr>
              <w:pStyle w:val="F21"/>
              <w:tabs>
                <w:tab w:val="clear" w:pos="567"/>
              </w:tabs>
              <w:overflowPunct w:val="true"/>
              <w:snapToGrid w:val="false"/>
              <w:ind w:right="85" w:hanging="0"/>
              <w:jc w:val="right"/>
              <w:rPr>
                <w:szCs w:val="27"/>
              </w:rPr>
            </w:pPr>
            <w:r>
              <w:rPr>
                <w:szCs w:val="27"/>
              </w:rPr>
              <w:t>90 493</w:t>
            </w:r>
          </w:p>
        </w:tc>
        <w:tc>
          <w:tcPr>
            <w:tcW w:w="1136" w:type="dxa"/>
            <w:tcBorders/>
          </w:tcPr>
          <w:p>
            <w:pPr>
              <w:pStyle w:val="F21"/>
              <w:tabs>
                <w:tab w:val="clear" w:pos="567"/>
              </w:tabs>
              <w:overflowPunct w:val="true"/>
              <w:snapToGrid w:val="false"/>
              <w:ind w:right="85" w:hanging="0"/>
              <w:jc w:val="right"/>
              <w:rPr>
                <w:szCs w:val="27"/>
              </w:rPr>
            </w:pPr>
            <w:r>
              <w:rPr>
                <w:szCs w:val="27"/>
              </w:rPr>
              <w:t>93 195</w:t>
            </w:r>
          </w:p>
        </w:tc>
        <w:tc>
          <w:tcPr>
            <w:tcW w:w="1134" w:type="dxa"/>
            <w:tcBorders/>
          </w:tcPr>
          <w:p>
            <w:pPr>
              <w:pStyle w:val="F21"/>
              <w:tabs>
                <w:tab w:val="clear" w:pos="567"/>
              </w:tabs>
              <w:overflowPunct w:val="true"/>
              <w:snapToGrid w:val="false"/>
              <w:ind w:right="85" w:hanging="0"/>
              <w:jc w:val="right"/>
              <w:rPr>
                <w:szCs w:val="27"/>
              </w:rPr>
            </w:pPr>
            <w:r>
              <w:rPr>
                <w:szCs w:val="27"/>
              </w:rPr>
              <w:t>92 577</w:t>
            </w:r>
          </w:p>
        </w:tc>
        <w:tc>
          <w:tcPr>
            <w:tcW w:w="1135" w:type="dxa"/>
            <w:tcBorders/>
          </w:tcPr>
          <w:p>
            <w:pPr>
              <w:pStyle w:val="F21"/>
              <w:tabs>
                <w:tab w:val="clear" w:pos="567"/>
              </w:tabs>
              <w:overflowPunct w:val="true"/>
              <w:snapToGrid w:val="false"/>
              <w:ind w:right="85" w:hanging="0"/>
              <w:jc w:val="right"/>
              <w:rPr>
                <w:szCs w:val="27"/>
              </w:rPr>
            </w:pPr>
            <w:r>
              <w:rPr>
                <w:szCs w:val="27"/>
              </w:rPr>
              <w:t>94 880</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36 652</w:t>
            </w:r>
          </w:p>
        </w:tc>
        <w:tc>
          <w:tcPr>
            <w:tcW w:w="1135" w:type="dxa"/>
            <w:tcBorders/>
          </w:tcPr>
          <w:p>
            <w:pPr>
              <w:pStyle w:val="F21"/>
              <w:tabs>
                <w:tab w:val="clear" w:pos="567"/>
              </w:tabs>
              <w:overflowPunct w:val="true"/>
              <w:snapToGrid w:val="false"/>
              <w:ind w:right="85" w:hanging="0"/>
              <w:jc w:val="right"/>
              <w:rPr>
                <w:szCs w:val="27"/>
              </w:rPr>
            </w:pPr>
            <w:r>
              <w:rPr>
                <w:szCs w:val="27"/>
              </w:rPr>
              <w:t>35 984</w:t>
            </w:r>
          </w:p>
        </w:tc>
        <w:tc>
          <w:tcPr>
            <w:tcW w:w="1136" w:type="dxa"/>
            <w:tcBorders/>
          </w:tcPr>
          <w:p>
            <w:pPr>
              <w:pStyle w:val="F21"/>
              <w:tabs>
                <w:tab w:val="clear" w:pos="567"/>
              </w:tabs>
              <w:overflowPunct w:val="true"/>
              <w:snapToGrid w:val="false"/>
              <w:ind w:right="85" w:hanging="0"/>
              <w:jc w:val="right"/>
              <w:rPr>
                <w:szCs w:val="27"/>
              </w:rPr>
            </w:pPr>
            <w:r>
              <w:rPr>
                <w:szCs w:val="27"/>
              </w:rPr>
              <w:t>35 761</w:t>
            </w:r>
          </w:p>
        </w:tc>
        <w:tc>
          <w:tcPr>
            <w:tcW w:w="1134" w:type="dxa"/>
            <w:tcBorders/>
          </w:tcPr>
          <w:p>
            <w:pPr>
              <w:pStyle w:val="F21"/>
              <w:tabs>
                <w:tab w:val="clear" w:pos="567"/>
              </w:tabs>
              <w:overflowPunct w:val="true"/>
              <w:snapToGrid w:val="false"/>
              <w:ind w:right="85" w:hanging="0"/>
              <w:jc w:val="right"/>
              <w:rPr>
                <w:szCs w:val="27"/>
              </w:rPr>
            </w:pPr>
            <w:r>
              <w:rPr>
                <w:szCs w:val="27"/>
              </w:rPr>
              <w:t>35 378</w:t>
            </w:r>
          </w:p>
        </w:tc>
        <w:tc>
          <w:tcPr>
            <w:tcW w:w="1135" w:type="dxa"/>
            <w:tcBorders/>
          </w:tcPr>
          <w:p>
            <w:pPr>
              <w:pStyle w:val="F21"/>
              <w:tabs>
                <w:tab w:val="clear" w:pos="567"/>
              </w:tabs>
              <w:overflowPunct w:val="true"/>
              <w:snapToGrid w:val="false"/>
              <w:ind w:right="85" w:hanging="0"/>
              <w:jc w:val="right"/>
              <w:rPr>
                <w:szCs w:val="27"/>
              </w:rPr>
            </w:pPr>
            <w:r>
              <w:rPr>
                <w:szCs w:val="27"/>
              </w:rPr>
              <w:t>34 785</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97 660</w:t>
            </w:r>
          </w:p>
        </w:tc>
        <w:tc>
          <w:tcPr>
            <w:tcW w:w="1135" w:type="dxa"/>
            <w:tcBorders/>
          </w:tcPr>
          <w:p>
            <w:pPr>
              <w:pStyle w:val="F21"/>
              <w:tabs>
                <w:tab w:val="clear" w:pos="567"/>
              </w:tabs>
              <w:overflowPunct w:val="true"/>
              <w:snapToGrid w:val="false"/>
              <w:ind w:right="85" w:hanging="0"/>
              <w:jc w:val="right"/>
              <w:rPr>
                <w:szCs w:val="27"/>
              </w:rPr>
            </w:pPr>
            <w:r>
              <w:rPr>
                <w:szCs w:val="27"/>
              </w:rPr>
              <w:t>106 023</w:t>
            </w:r>
          </w:p>
        </w:tc>
        <w:tc>
          <w:tcPr>
            <w:tcW w:w="1136" w:type="dxa"/>
            <w:tcBorders/>
          </w:tcPr>
          <w:p>
            <w:pPr>
              <w:pStyle w:val="F21"/>
              <w:tabs>
                <w:tab w:val="clear" w:pos="567"/>
              </w:tabs>
              <w:overflowPunct w:val="true"/>
              <w:snapToGrid w:val="false"/>
              <w:ind w:right="85" w:hanging="0"/>
              <w:jc w:val="right"/>
              <w:rPr>
                <w:szCs w:val="27"/>
              </w:rPr>
            </w:pPr>
            <w:r>
              <w:rPr>
                <w:szCs w:val="27"/>
              </w:rPr>
              <w:t>111 747</w:t>
            </w:r>
          </w:p>
        </w:tc>
        <w:tc>
          <w:tcPr>
            <w:tcW w:w="1134" w:type="dxa"/>
            <w:tcBorders/>
          </w:tcPr>
          <w:p>
            <w:pPr>
              <w:pStyle w:val="F21"/>
              <w:tabs>
                <w:tab w:val="clear" w:pos="567"/>
              </w:tabs>
              <w:overflowPunct w:val="true"/>
              <w:snapToGrid w:val="false"/>
              <w:ind w:right="85" w:hanging="0"/>
              <w:jc w:val="right"/>
              <w:rPr>
                <w:szCs w:val="27"/>
              </w:rPr>
            </w:pPr>
            <w:r>
              <w:rPr>
                <w:szCs w:val="27"/>
              </w:rPr>
              <w:t>112 473</w:t>
            </w:r>
          </w:p>
        </w:tc>
        <w:tc>
          <w:tcPr>
            <w:tcW w:w="1135" w:type="dxa"/>
            <w:tcBorders/>
          </w:tcPr>
          <w:p>
            <w:pPr>
              <w:pStyle w:val="F21"/>
              <w:tabs>
                <w:tab w:val="clear" w:pos="567"/>
              </w:tabs>
              <w:overflowPunct w:val="true"/>
              <w:snapToGrid w:val="false"/>
              <w:ind w:right="85" w:hanging="0"/>
              <w:jc w:val="right"/>
              <w:rPr>
                <w:szCs w:val="27"/>
              </w:rPr>
            </w:pPr>
            <w:r>
              <w:rPr>
                <w:szCs w:val="27"/>
              </w:rPr>
              <w:t>116 462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68 891</w:t>
            </w:r>
          </w:p>
        </w:tc>
        <w:tc>
          <w:tcPr>
            <w:tcW w:w="1135" w:type="dxa"/>
            <w:tcBorders/>
          </w:tcPr>
          <w:p>
            <w:pPr>
              <w:pStyle w:val="F21"/>
              <w:tabs>
                <w:tab w:val="clear" w:pos="567"/>
              </w:tabs>
              <w:overflowPunct w:val="true"/>
              <w:snapToGrid w:val="false"/>
              <w:ind w:right="85" w:hanging="0"/>
              <w:jc w:val="right"/>
              <w:rPr>
                <w:szCs w:val="27"/>
              </w:rPr>
            </w:pPr>
            <w:r>
              <w:rPr>
                <w:szCs w:val="27"/>
              </w:rPr>
              <w:t>71 488</w:t>
            </w:r>
          </w:p>
        </w:tc>
        <w:tc>
          <w:tcPr>
            <w:tcW w:w="1136" w:type="dxa"/>
            <w:tcBorders/>
          </w:tcPr>
          <w:p>
            <w:pPr>
              <w:pStyle w:val="F21"/>
              <w:tabs>
                <w:tab w:val="clear" w:pos="567"/>
              </w:tabs>
              <w:overflowPunct w:val="true"/>
              <w:snapToGrid w:val="false"/>
              <w:ind w:right="85" w:hanging="0"/>
              <w:jc w:val="right"/>
              <w:rPr>
                <w:szCs w:val="27"/>
              </w:rPr>
            </w:pPr>
            <w:r>
              <w:rPr>
                <w:szCs w:val="27"/>
              </w:rPr>
              <w:t>73 405</w:t>
            </w:r>
          </w:p>
        </w:tc>
        <w:tc>
          <w:tcPr>
            <w:tcW w:w="1134" w:type="dxa"/>
            <w:tcBorders/>
          </w:tcPr>
          <w:p>
            <w:pPr>
              <w:pStyle w:val="F21"/>
              <w:tabs>
                <w:tab w:val="clear" w:pos="567"/>
              </w:tabs>
              <w:overflowPunct w:val="true"/>
              <w:snapToGrid w:val="false"/>
              <w:ind w:right="85" w:hanging="0"/>
              <w:jc w:val="right"/>
              <w:rPr>
                <w:szCs w:val="27"/>
              </w:rPr>
            </w:pPr>
            <w:r>
              <w:rPr>
                <w:szCs w:val="27"/>
              </w:rPr>
              <w:t>74 236</w:t>
            </w:r>
          </w:p>
        </w:tc>
        <w:tc>
          <w:tcPr>
            <w:tcW w:w="1135" w:type="dxa"/>
            <w:tcBorders/>
          </w:tcPr>
          <w:p>
            <w:pPr>
              <w:pStyle w:val="F21"/>
              <w:tabs>
                <w:tab w:val="clear" w:pos="567"/>
              </w:tabs>
              <w:overflowPunct w:val="true"/>
              <w:snapToGrid w:val="false"/>
              <w:ind w:right="85" w:hanging="0"/>
              <w:jc w:val="right"/>
              <w:rPr>
                <w:szCs w:val="27"/>
              </w:rPr>
            </w:pPr>
            <w:r>
              <w:rPr>
                <w:szCs w:val="27"/>
              </w:rPr>
              <w:t>75 032</w:t>
            </w:r>
          </w:p>
        </w:tc>
      </w:tr>
      <w:tr>
        <w:trPr/>
        <w:tc>
          <w:tcPr>
            <w:tcW w:w="1139" w:type="dxa"/>
            <w:vMerge w:val="restart"/>
            <w:tcBorders/>
          </w:tcPr>
          <w:p>
            <w:pPr>
              <w:pStyle w:val="F21"/>
              <w:tabs>
                <w:tab w:val="clear" w:pos="567"/>
              </w:tabs>
              <w:overflowPunct w:val="true"/>
              <w:snapToGrid w:val="false"/>
              <w:ind w:left="57" w:hanging="0"/>
              <w:rPr>
                <w:szCs w:val="27"/>
              </w:rPr>
            </w:pPr>
            <w:r>
              <w:rPr>
                <w:szCs w:val="27"/>
              </w:rPr>
              <w:t>新界西</w:t>
            </w:r>
          </w:p>
        </w:tc>
        <w:tc>
          <w:tcPr>
            <w:tcW w:w="2410" w:type="dxa"/>
            <w:tcBorders/>
          </w:tcPr>
          <w:p>
            <w:pPr>
              <w:pStyle w:val="F21"/>
              <w:tabs>
                <w:tab w:val="clear" w:pos="567"/>
              </w:tabs>
              <w:overflowPunct w:val="true"/>
              <w:snapToGrid w:val="false"/>
              <w:ind w:left="57" w:hanging="0"/>
              <w:rPr>
                <w:szCs w:val="27"/>
              </w:rPr>
            </w:pPr>
            <w:r>
              <w:rPr>
                <w:szCs w:val="27"/>
              </w:rPr>
              <w:t>耳鼻喉科</w:t>
            </w:r>
          </w:p>
        </w:tc>
        <w:tc>
          <w:tcPr>
            <w:tcW w:w="1133" w:type="dxa"/>
            <w:tcBorders/>
          </w:tcPr>
          <w:p>
            <w:pPr>
              <w:pStyle w:val="F21"/>
              <w:tabs>
                <w:tab w:val="clear" w:pos="567"/>
              </w:tabs>
              <w:overflowPunct w:val="true"/>
              <w:snapToGrid w:val="false"/>
              <w:ind w:right="85" w:hanging="0"/>
              <w:jc w:val="right"/>
              <w:rPr>
                <w:szCs w:val="27"/>
              </w:rPr>
            </w:pPr>
            <w:r>
              <w:rPr>
                <w:szCs w:val="27"/>
              </w:rPr>
              <w:t>30 844</w:t>
            </w:r>
          </w:p>
        </w:tc>
        <w:tc>
          <w:tcPr>
            <w:tcW w:w="1135" w:type="dxa"/>
            <w:tcBorders/>
          </w:tcPr>
          <w:p>
            <w:pPr>
              <w:pStyle w:val="F21"/>
              <w:tabs>
                <w:tab w:val="clear" w:pos="567"/>
              </w:tabs>
              <w:overflowPunct w:val="true"/>
              <w:snapToGrid w:val="false"/>
              <w:ind w:right="85" w:hanging="0"/>
              <w:jc w:val="right"/>
              <w:rPr>
                <w:szCs w:val="27"/>
              </w:rPr>
            </w:pPr>
            <w:r>
              <w:rPr>
                <w:szCs w:val="27"/>
              </w:rPr>
              <w:t>32 951</w:t>
            </w:r>
          </w:p>
        </w:tc>
        <w:tc>
          <w:tcPr>
            <w:tcW w:w="1136" w:type="dxa"/>
            <w:tcBorders/>
          </w:tcPr>
          <w:p>
            <w:pPr>
              <w:pStyle w:val="F21"/>
              <w:tabs>
                <w:tab w:val="clear" w:pos="567"/>
              </w:tabs>
              <w:overflowPunct w:val="true"/>
              <w:snapToGrid w:val="false"/>
              <w:ind w:right="85" w:hanging="0"/>
              <w:jc w:val="right"/>
              <w:rPr>
                <w:szCs w:val="27"/>
              </w:rPr>
            </w:pPr>
            <w:r>
              <w:rPr>
                <w:szCs w:val="27"/>
              </w:rPr>
              <w:t>34 684</w:t>
            </w:r>
          </w:p>
        </w:tc>
        <w:tc>
          <w:tcPr>
            <w:tcW w:w="1134" w:type="dxa"/>
            <w:tcBorders/>
          </w:tcPr>
          <w:p>
            <w:pPr>
              <w:pStyle w:val="F21"/>
              <w:tabs>
                <w:tab w:val="clear" w:pos="567"/>
              </w:tabs>
              <w:overflowPunct w:val="true"/>
              <w:snapToGrid w:val="false"/>
              <w:ind w:right="85" w:hanging="0"/>
              <w:jc w:val="right"/>
              <w:rPr>
                <w:szCs w:val="27"/>
              </w:rPr>
            </w:pPr>
            <w:r>
              <w:rPr>
                <w:szCs w:val="27"/>
              </w:rPr>
              <w:t>31 188</w:t>
            </w:r>
          </w:p>
        </w:tc>
        <w:tc>
          <w:tcPr>
            <w:tcW w:w="1135" w:type="dxa"/>
            <w:tcBorders/>
          </w:tcPr>
          <w:p>
            <w:pPr>
              <w:pStyle w:val="F21"/>
              <w:tabs>
                <w:tab w:val="clear" w:pos="567"/>
              </w:tabs>
              <w:overflowPunct w:val="true"/>
              <w:snapToGrid w:val="false"/>
              <w:ind w:right="85" w:hanging="0"/>
              <w:jc w:val="right"/>
              <w:rPr>
                <w:szCs w:val="27"/>
              </w:rPr>
            </w:pPr>
            <w:r>
              <w:rPr>
                <w:szCs w:val="27"/>
              </w:rPr>
              <w:t>30 161</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內科</w:t>
            </w:r>
          </w:p>
        </w:tc>
        <w:tc>
          <w:tcPr>
            <w:tcW w:w="1133" w:type="dxa"/>
            <w:tcBorders/>
          </w:tcPr>
          <w:p>
            <w:pPr>
              <w:pStyle w:val="F21"/>
              <w:tabs>
                <w:tab w:val="clear" w:pos="567"/>
              </w:tabs>
              <w:overflowPunct w:val="true"/>
              <w:snapToGrid w:val="false"/>
              <w:ind w:right="85" w:hanging="0"/>
              <w:jc w:val="right"/>
              <w:rPr>
                <w:szCs w:val="27"/>
              </w:rPr>
            </w:pPr>
            <w:r>
              <w:rPr>
                <w:szCs w:val="27"/>
              </w:rPr>
              <w:t>154 914</w:t>
            </w:r>
          </w:p>
        </w:tc>
        <w:tc>
          <w:tcPr>
            <w:tcW w:w="1135" w:type="dxa"/>
            <w:tcBorders/>
          </w:tcPr>
          <w:p>
            <w:pPr>
              <w:pStyle w:val="F21"/>
              <w:tabs>
                <w:tab w:val="clear" w:pos="567"/>
              </w:tabs>
              <w:overflowPunct w:val="true"/>
              <w:snapToGrid w:val="false"/>
              <w:ind w:right="85" w:hanging="0"/>
              <w:jc w:val="right"/>
              <w:rPr>
                <w:szCs w:val="27"/>
              </w:rPr>
            </w:pPr>
            <w:r>
              <w:rPr>
                <w:szCs w:val="27"/>
              </w:rPr>
              <w:t>174 304</w:t>
            </w:r>
          </w:p>
        </w:tc>
        <w:tc>
          <w:tcPr>
            <w:tcW w:w="1136" w:type="dxa"/>
            <w:tcBorders/>
          </w:tcPr>
          <w:p>
            <w:pPr>
              <w:pStyle w:val="F21"/>
              <w:tabs>
                <w:tab w:val="clear" w:pos="567"/>
              </w:tabs>
              <w:overflowPunct w:val="true"/>
              <w:snapToGrid w:val="false"/>
              <w:ind w:right="85" w:hanging="0"/>
              <w:jc w:val="right"/>
              <w:rPr>
                <w:szCs w:val="27"/>
              </w:rPr>
            </w:pPr>
            <w:r>
              <w:rPr>
                <w:szCs w:val="27"/>
              </w:rPr>
              <w:t>188 951</w:t>
            </w:r>
          </w:p>
        </w:tc>
        <w:tc>
          <w:tcPr>
            <w:tcW w:w="1134" w:type="dxa"/>
            <w:tcBorders/>
          </w:tcPr>
          <w:p>
            <w:pPr>
              <w:pStyle w:val="F21"/>
              <w:tabs>
                <w:tab w:val="clear" w:pos="567"/>
              </w:tabs>
              <w:overflowPunct w:val="true"/>
              <w:snapToGrid w:val="false"/>
              <w:ind w:right="85" w:hanging="0"/>
              <w:jc w:val="right"/>
              <w:rPr>
                <w:szCs w:val="27"/>
              </w:rPr>
            </w:pPr>
            <w:r>
              <w:rPr>
                <w:szCs w:val="27"/>
              </w:rPr>
              <w:t>183 142</w:t>
            </w:r>
          </w:p>
        </w:tc>
        <w:tc>
          <w:tcPr>
            <w:tcW w:w="1135" w:type="dxa"/>
            <w:tcBorders/>
          </w:tcPr>
          <w:p>
            <w:pPr>
              <w:pStyle w:val="F21"/>
              <w:tabs>
                <w:tab w:val="clear" w:pos="567"/>
              </w:tabs>
              <w:overflowPunct w:val="true"/>
              <w:snapToGrid w:val="false"/>
              <w:ind w:right="85" w:hanging="0"/>
              <w:jc w:val="right"/>
              <w:rPr>
                <w:szCs w:val="27"/>
              </w:rPr>
            </w:pPr>
            <w:r>
              <w:rPr>
                <w:szCs w:val="27"/>
              </w:rPr>
              <w:t>183 659</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婦產科</w:t>
            </w:r>
          </w:p>
        </w:tc>
        <w:tc>
          <w:tcPr>
            <w:tcW w:w="1133" w:type="dxa"/>
            <w:tcBorders/>
          </w:tcPr>
          <w:p>
            <w:pPr>
              <w:pStyle w:val="F21"/>
              <w:tabs>
                <w:tab w:val="clear" w:pos="567"/>
              </w:tabs>
              <w:overflowPunct w:val="true"/>
              <w:snapToGrid w:val="false"/>
              <w:ind w:right="85" w:hanging="0"/>
              <w:jc w:val="right"/>
              <w:rPr>
                <w:szCs w:val="27"/>
              </w:rPr>
            </w:pPr>
            <w:r>
              <w:rPr>
                <w:szCs w:val="27"/>
              </w:rPr>
              <w:t>37 888</w:t>
            </w:r>
          </w:p>
        </w:tc>
        <w:tc>
          <w:tcPr>
            <w:tcW w:w="1135" w:type="dxa"/>
            <w:tcBorders/>
          </w:tcPr>
          <w:p>
            <w:pPr>
              <w:pStyle w:val="F21"/>
              <w:tabs>
                <w:tab w:val="clear" w:pos="567"/>
              </w:tabs>
              <w:overflowPunct w:val="true"/>
              <w:snapToGrid w:val="false"/>
              <w:ind w:right="85" w:hanging="0"/>
              <w:jc w:val="right"/>
              <w:rPr>
                <w:szCs w:val="27"/>
              </w:rPr>
            </w:pPr>
            <w:r>
              <w:rPr>
                <w:szCs w:val="27"/>
              </w:rPr>
              <w:t>43 461</w:t>
            </w:r>
          </w:p>
        </w:tc>
        <w:tc>
          <w:tcPr>
            <w:tcW w:w="1136" w:type="dxa"/>
            <w:tcBorders/>
          </w:tcPr>
          <w:p>
            <w:pPr>
              <w:pStyle w:val="F21"/>
              <w:tabs>
                <w:tab w:val="clear" w:pos="567"/>
              </w:tabs>
              <w:overflowPunct w:val="true"/>
              <w:snapToGrid w:val="false"/>
              <w:ind w:right="85" w:hanging="0"/>
              <w:jc w:val="right"/>
              <w:rPr>
                <w:szCs w:val="27"/>
              </w:rPr>
            </w:pPr>
            <w:r>
              <w:rPr>
                <w:szCs w:val="27"/>
              </w:rPr>
              <w:t>47 717</w:t>
            </w:r>
          </w:p>
        </w:tc>
        <w:tc>
          <w:tcPr>
            <w:tcW w:w="1134" w:type="dxa"/>
            <w:tcBorders/>
          </w:tcPr>
          <w:p>
            <w:pPr>
              <w:pStyle w:val="F21"/>
              <w:tabs>
                <w:tab w:val="clear" w:pos="567"/>
              </w:tabs>
              <w:overflowPunct w:val="true"/>
              <w:snapToGrid w:val="false"/>
              <w:ind w:right="85" w:hanging="0"/>
              <w:jc w:val="right"/>
              <w:rPr>
                <w:szCs w:val="27"/>
              </w:rPr>
            </w:pPr>
            <w:r>
              <w:rPr>
                <w:szCs w:val="27"/>
              </w:rPr>
              <w:t>46 859</w:t>
            </w:r>
          </w:p>
        </w:tc>
        <w:tc>
          <w:tcPr>
            <w:tcW w:w="1135" w:type="dxa"/>
            <w:tcBorders/>
          </w:tcPr>
          <w:p>
            <w:pPr>
              <w:pStyle w:val="F21"/>
              <w:tabs>
                <w:tab w:val="clear" w:pos="567"/>
              </w:tabs>
              <w:overflowPunct w:val="true"/>
              <w:snapToGrid w:val="false"/>
              <w:ind w:right="85" w:hanging="0"/>
              <w:jc w:val="right"/>
              <w:rPr>
                <w:szCs w:val="27"/>
              </w:rPr>
            </w:pPr>
            <w:r>
              <w:rPr>
                <w:szCs w:val="27"/>
              </w:rPr>
              <w:t>47 492</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眼科</w:t>
            </w:r>
          </w:p>
        </w:tc>
        <w:tc>
          <w:tcPr>
            <w:tcW w:w="1133" w:type="dxa"/>
            <w:tcBorders/>
          </w:tcPr>
          <w:p>
            <w:pPr>
              <w:pStyle w:val="F21"/>
              <w:tabs>
                <w:tab w:val="clear" w:pos="567"/>
              </w:tabs>
              <w:overflowPunct w:val="true"/>
              <w:snapToGrid w:val="false"/>
              <w:ind w:right="85" w:hanging="0"/>
              <w:jc w:val="right"/>
              <w:rPr>
                <w:szCs w:val="27"/>
              </w:rPr>
            </w:pPr>
            <w:r>
              <w:rPr>
                <w:szCs w:val="27"/>
              </w:rPr>
              <w:t>113 200</w:t>
            </w:r>
          </w:p>
        </w:tc>
        <w:tc>
          <w:tcPr>
            <w:tcW w:w="1135" w:type="dxa"/>
            <w:tcBorders/>
          </w:tcPr>
          <w:p>
            <w:pPr>
              <w:pStyle w:val="F21"/>
              <w:tabs>
                <w:tab w:val="clear" w:pos="567"/>
              </w:tabs>
              <w:overflowPunct w:val="true"/>
              <w:snapToGrid w:val="false"/>
              <w:ind w:right="85" w:hanging="0"/>
              <w:jc w:val="right"/>
              <w:rPr>
                <w:szCs w:val="27"/>
              </w:rPr>
            </w:pPr>
            <w:r>
              <w:rPr>
                <w:szCs w:val="27"/>
              </w:rPr>
              <w:t>111 917</w:t>
            </w:r>
          </w:p>
        </w:tc>
        <w:tc>
          <w:tcPr>
            <w:tcW w:w="1136" w:type="dxa"/>
            <w:tcBorders/>
          </w:tcPr>
          <w:p>
            <w:pPr>
              <w:pStyle w:val="F21"/>
              <w:tabs>
                <w:tab w:val="clear" w:pos="567"/>
              </w:tabs>
              <w:overflowPunct w:val="true"/>
              <w:snapToGrid w:val="false"/>
              <w:ind w:right="85" w:hanging="0"/>
              <w:jc w:val="right"/>
              <w:rPr>
                <w:szCs w:val="27"/>
              </w:rPr>
            </w:pPr>
            <w:r>
              <w:rPr>
                <w:szCs w:val="27"/>
              </w:rPr>
              <w:t>117 535</w:t>
            </w:r>
          </w:p>
        </w:tc>
        <w:tc>
          <w:tcPr>
            <w:tcW w:w="1134" w:type="dxa"/>
            <w:tcBorders/>
          </w:tcPr>
          <w:p>
            <w:pPr>
              <w:pStyle w:val="F21"/>
              <w:tabs>
                <w:tab w:val="clear" w:pos="567"/>
              </w:tabs>
              <w:overflowPunct w:val="true"/>
              <w:snapToGrid w:val="false"/>
              <w:ind w:right="85" w:hanging="0"/>
              <w:jc w:val="right"/>
              <w:rPr>
                <w:szCs w:val="27"/>
              </w:rPr>
            </w:pPr>
            <w:r>
              <w:rPr>
                <w:szCs w:val="27"/>
              </w:rPr>
              <w:t>126 252</w:t>
            </w:r>
          </w:p>
        </w:tc>
        <w:tc>
          <w:tcPr>
            <w:tcW w:w="1135" w:type="dxa"/>
            <w:tcBorders/>
          </w:tcPr>
          <w:p>
            <w:pPr>
              <w:pStyle w:val="F21"/>
              <w:tabs>
                <w:tab w:val="clear" w:pos="567"/>
              </w:tabs>
              <w:overflowPunct w:val="true"/>
              <w:snapToGrid w:val="false"/>
              <w:ind w:right="85" w:hanging="0"/>
              <w:jc w:val="right"/>
              <w:rPr>
                <w:szCs w:val="27"/>
              </w:rPr>
            </w:pPr>
            <w:r>
              <w:rPr>
                <w:szCs w:val="27"/>
              </w:rPr>
              <w:t>132 824</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矯形及創傷科</w:t>
            </w:r>
          </w:p>
        </w:tc>
        <w:tc>
          <w:tcPr>
            <w:tcW w:w="1133" w:type="dxa"/>
            <w:tcBorders/>
          </w:tcPr>
          <w:p>
            <w:pPr>
              <w:pStyle w:val="F21"/>
              <w:tabs>
                <w:tab w:val="clear" w:pos="567"/>
              </w:tabs>
              <w:overflowPunct w:val="true"/>
              <w:snapToGrid w:val="false"/>
              <w:ind w:right="85" w:hanging="0"/>
              <w:jc w:val="right"/>
              <w:rPr>
                <w:szCs w:val="27"/>
              </w:rPr>
            </w:pPr>
            <w:r>
              <w:rPr>
                <w:szCs w:val="27"/>
              </w:rPr>
              <w:t>50 610</w:t>
            </w:r>
          </w:p>
        </w:tc>
        <w:tc>
          <w:tcPr>
            <w:tcW w:w="1135" w:type="dxa"/>
            <w:tcBorders/>
          </w:tcPr>
          <w:p>
            <w:pPr>
              <w:pStyle w:val="F21"/>
              <w:tabs>
                <w:tab w:val="clear" w:pos="567"/>
              </w:tabs>
              <w:overflowPunct w:val="true"/>
              <w:snapToGrid w:val="false"/>
              <w:ind w:right="85" w:hanging="0"/>
              <w:jc w:val="right"/>
              <w:rPr>
                <w:szCs w:val="27"/>
              </w:rPr>
            </w:pPr>
            <w:r>
              <w:rPr>
                <w:szCs w:val="27"/>
              </w:rPr>
              <w:t>52 690</w:t>
            </w:r>
          </w:p>
        </w:tc>
        <w:tc>
          <w:tcPr>
            <w:tcW w:w="1136" w:type="dxa"/>
            <w:tcBorders/>
          </w:tcPr>
          <w:p>
            <w:pPr>
              <w:pStyle w:val="F21"/>
              <w:tabs>
                <w:tab w:val="clear" w:pos="567"/>
              </w:tabs>
              <w:overflowPunct w:val="true"/>
              <w:snapToGrid w:val="false"/>
              <w:ind w:right="85" w:hanging="0"/>
              <w:jc w:val="right"/>
              <w:rPr>
                <w:szCs w:val="27"/>
              </w:rPr>
            </w:pPr>
            <w:r>
              <w:rPr>
                <w:szCs w:val="27"/>
              </w:rPr>
              <w:t>54 623</w:t>
            </w:r>
          </w:p>
        </w:tc>
        <w:tc>
          <w:tcPr>
            <w:tcW w:w="1134" w:type="dxa"/>
            <w:tcBorders/>
          </w:tcPr>
          <w:p>
            <w:pPr>
              <w:pStyle w:val="F21"/>
              <w:tabs>
                <w:tab w:val="clear" w:pos="567"/>
              </w:tabs>
              <w:overflowPunct w:val="true"/>
              <w:snapToGrid w:val="false"/>
              <w:ind w:right="85" w:hanging="0"/>
              <w:jc w:val="right"/>
              <w:rPr>
                <w:szCs w:val="27"/>
              </w:rPr>
            </w:pPr>
            <w:r>
              <w:rPr>
                <w:szCs w:val="27"/>
              </w:rPr>
              <w:t>56 071</w:t>
            </w:r>
          </w:p>
        </w:tc>
        <w:tc>
          <w:tcPr>
            <w:tcW w:w="1135" w:type="dxa"/>
            <w:tcBorders/>
          </w:tcPr>
          <w:p>
            <w:pPr>
              <w:pStyle w:val="F21"/>
              <w:tabs>
                <w:tab w:val="clear" w:pos="567"/>
              </w:tabs>
              <w:overflowPunct w:val="true"/>
              <w:snapToGrid w:val="false"/>
              <w:ind w:right="85" w:hanging="0"/>
              <w:jc w:val="right"/>
              <w:rPr>
                <w:szCs w:val="27"/>
              </w:rPr>
            </w:pPr>
            <w:r>
              <w:rPr>
                <w:szCs w:val="27"/>
              </w:rPr>
              <w:t>55 147</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兒科及青少年科</w:t>
            </w:r>
          </w:p>
        </w:tc>
        <w:tc>
          <w:tcPr>
            <w:tcW w:w="1133" w:type="dxa"/>
            <w:tcBorders/>
          </w:tcPr>
          <w:p>
            <w:pPr>
              <w:pStyle w:val="F21"/>
              <w:tabs>
                <w:tab w:val="clear" w:pos="567"/>
              </w:tabs>
              <w:overflowPunct w:val="true"/>
              <w:snapToGrid w:val="false"/>
              <w:ind w:right="85" w:hanging="0"/>
              <w:jc w:val="right"/>
              <w:rPr>
                <w:szCs w:val="27"/>
              </w:rPr>
            </w:pPr>
            <w:r>
              <w:rPr>
                <w:szCs w:val="27"/>
              </w:rPr>
              <w:t>23 364</w:t>
            </w:r>
          </w:p>
        </w:tc>
        <w:tc>
          <w:tcPr>
            <w:tcW w:w="1135" w:type="dxa"/>
            <w:tcBorders/>
          </w:tcPr>
          <w:p>
            <w:pPr>
              <w:pStyle w:val="F21"/>
              <w:tabs>
                <w:tab w:val="clear" w:pos="567"/>
              </w:tabs>
              <w:overflowPunct w:val="true"/>
              <w:snapToGrid w:val="false"/>
              <w:ind w:right="85" w:hanging="0"/>
              <w:jc w:val="right"/>
              <w:rPr>
                <w:szCs w:val="27"/>
              </w:rPr>
            </w:pPr>
            <w:r>
              <w:rPr>
                <w:szCs w:val="27"/>
              </w:rPr>
              <w:t>23 804</w:t>
            </w:r>
          </w:p>
        </w:tc>
        <w:tc>
          <w:tcPr>
            <w:tcW w:w="1136" w:type="dxa"/>
            <w:tcBorders/>
          </w:tcPr>
          <w:p>
            <w:pPr>
              <w:pStyle w:val="F21"/>
              <w:tabs>
                <w:tab w:val="clear" w:pos="567"/>
              </w:tabs>
              <w:overflowPunct w:val="true"/>
              <w:snapToGrid w:val="false"/>
              <w:ind w:right="85" w:hanging="0"/>
              <w:jc w:val="right"/>
              <w:rPr>
                <w:szCs w:val="27"/>
              </w:rPr>
            </w:pPr>
            <w:r>
              <w:rPr>
                <w:szCs w:val="27"/>
              </w:rPr>
              <w:t>24 731</w:t>
            </w:r>
          </w:p>
        </w:tc>
        <w:tc>
          <w:tcPr>
            <w:tcW w:w="1134" w:type="dxa"/>
            <w:tcBorders/>
          </w:tcPr>
          <w:p>
            <w:pPr>
              <w:pStyle w:val="F21"/>
              <w:tabs>
                <w:tab w:val="clear" w:pos="567"/>
              </w:tabs>
              <w:overflowPunct w:val="true"/>
              <w:snapToGrid w:val="false"/>
              <w:ind w:right="85" w:hanging="0"/>
              <w:jc w:val="right"/>
              <w:rPr>
                <w:szCs w:val="27"/>
              </w:rPr>
            </w:pPr>
            <w:r>
              <w:rPr>
                <w:szCs w:val="27"/>
              </w:rPr>
              <w:t>24 859</w:t>
            </w:r>
          </w:p>
        </w:tc>
        <w:tc>
          <w:tcPr>
            <w:tcW w:w="1135" w:type="dxa"/>
            <w:tcBorders/>
          </w:tcPr>
          <w:p>
            <w:pPr>
              <w:pStyle w:val="F21"/>
              <w:tabs>
                <w:tab w:val="clear" w:pos="567"/>
              </w:tabs>
              <w:overflowPunct w:val="true"/>
              <w:snapToGrid w:val="false"/>
              <w:ind w:right="85" w:hanging="0"/>
              <w:jc w:val="right"/>
              <w:rPr>
                <w:szCs w:val="27"/>
              </w:rPr>
            </w:pPr>
            <w:r>
              <w:rPr>
                <w:szCs w:val="27"/>
              </w:rPr>
              <w:t>24 157</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精神科</w:t>
            </w:r>
          </w:p>
        </w:tc>
        <w:tc>
          <w:tcPr>
            <w:tcW w:w="1133" w:type="dxa"/>
            <w:tcBorders/>
          </w:tcPr>
          <w:p>
            <w:pPr>
              <w:pStyle w:val="F21"/>
              <w:tabs>
                <w:tab w:val="clear" w:pos="567"/>
              </w:tabs>
              <w:overflowPunct w:val="true"/>
              <w:snapToGrid w:val="false"/>
              <w:ind w:right="85" w:hanging="0"/>
              <w:jc w:val="right"/>
              <w:rPr>
                <w:szCs w:val="27"/>
              </w:rPr>
            </w:pPr>
            <w:r>
              <w:rPr>
                <w:szCs w:val="27"/>
              </w:rPr>
              <w:t>107 626</w:t>
            </w:r>
          </w:p>
        </w:tc>
        <w:tc>
          <w:tcPr>
            <w:tcW w:w="1135" w:type="dxa"/>
            <w:tcBorders/>
          </w:tcPr>
          <w:p>
            <w:pPr>
              <w:pStyle w:val="F21"/>
              <w:tabs>
                <w:tab w:val="clear" w:pos="567"/>
              </w:tabs>
              <w:overflowPunct w:val="true"/>
              <w:snapToGrid w:val="false"/>
              <w:ind w:right="85" w:hanging="0"/>
              <w:jc w:val="right"/>
              <w:rPr>
                <w:szCs w:val="27"/>
              </w:rPr>
            </w:pPr>
            <w:r>
              <w:rPr>
                <w:szCs w:val="27"/>
              </w:rPr>
              <w:t>117 926</w:t>
            </w:r>
          </w:p>
        </w:tc>
        <w:tc>
          <w:tcPr>
            <w:tcW w:w="1136" w:type="dxa"/>
            <w:tcBorders/>
          </w:tcPr>
          <w:p>
            <w:pPr>
              <w:pStyle w:val="F21"/>
              <w:tabs>
                <w:tab w:val="clear" w:pos="567"/>
              </w:tabs>
              <w:overflowPunct w:val="true"/>
              <w:snapToGrid w:val="false"/>
              <w:ind w:right="85" w:hanging="0"/>
              <w:jc w:val="right"/>
              <w:rPr>
                <w:szCs w:val="27"/>
              </w:rPr>
            </w:pPr>
            <w:r>
              <w:rPr>
                <w:szCs w:val="27"/>
              </w:rPr>
              <w:t>126 526</w:t>
            </w:r>
          </w:p>
        </w:tc>
        <w:tc>
          <w:tcPr>
            <w:tcW w:w="1134" w:type="dxa"/>
            <w:tcBorders/>
          </w:tcPr>
          <w:p>
            <w:pPr>
              <w:pStyle w:val="F21"/>
              <w:tabs>
                <w:tab w:val="clear" w:pos="567"/>
              </w:tabs>
              <w:overflowPunct w:val="true"/>
              <w:snapToGrid w:val="false"/>
              <w:ind w:right="85" w:hanging="0"/>
              <w:jc w:val="right"/>
              <w:rPr>
                <w:szCs w:val="27"/>
              </w:rPr>
            </w:pPr>
            <w:r>
              <w:rPr>
                <w:szCs w:val="27"/>
              </w:rPr>
              <w:t>130 665</w:t>
            </w:r>
          </w:p>
        </w:tc>
        <w:tc>
          <w:tcPr>
            <w:tcW w:w="1135" w:type="dxa"/>
            <w:tcBorders/>
          </w:tcPr>
          <w:p>
            <w:pPr>
              <w:pStyle w:val="F21"/>
              <w:tabs>
                <w:tab w:val="clear" w:pos="567"/>
              </w:tabs>
              <w:overflowPunct w:val="true"/>
              <w:snapToGrid w:val="false"/>
              <w:ind w:right="85" w:hanging="0"/>
              <w:jc w:val="right"/>
              <w:rPr>
                <w:szCs w:val="27"/>
              </w:rPr>
            </w:pPr>
            <w:r>
              <w:rPr>
                <w:szCs w:val="27"/>
              </w:rPr>
              <w:t>135 450</w:t>
            </w:r>
          </w:p>
        </w:tc>
      </w:tr>
      <w:tr>
        <w:trPr/>
        <w:tc>
          <w:tcPr>
            <w:tcW w:w="1139" w:type="dxa"/>
            <w:vMerge w:val="continue"/>
            <w:tcBorders/>
          </w:tcPr>
          <w:p>
            <w:pPr>
              <w:pStyle w:val="F21"/>
              <w:tabs>
                <w:tab w:val="clear" w:pos="567"/>
              </w:tabs>
              <w:overflowPunct w:val="true"/>
              <w:snapToGrid w:val="false"/>
              <w:ind w:left="57" w:hanging="0"/>
              <w:rPr>
                <w:szCs w:val="27"/>
              </w:rPr>
            </w:pPr>
            <w:r>
              <w:rPr>
                <w:szCs w:val="27"/>
              </w:rPr>
            </w:r>
          </w:p>
        </w:tc>
        <w:tc>
          <w:tcPr>
            <w:tcW w:w="2410" w:type="dxa"/>
            <w:tcBorders/>
          </w:tcPr>
          <w:p>
            <w:pPr>
              <w:pStyle w:val="F21"/>
              <w:tabs>
                <w:tab w:val="clear" w:pos="567"/>
              </w:tabs>
              <w:overflowPunct w:val="true"/>
              <w:snapToGrid w:val="false"/>
              <w:ind w:left="57" w:hanging="0"/>
              <w:rPr>
                <w:szCs w:val="27"/>
              </w:rPr>
            </w:pPr>
            <w:r>
              <w:rPr>
                <w:szCs w:val="27"/>
              </w:rPr>
              <w:t>外科</w:t>
            </w:r>
          </w:p>
        </w:tc>
        <w:tc>
          <w:tcPr>
            <w:tcW w:w="1133" w:type="dxa"/>
            <w:tcBorders/>
          </w:tcPr>
          <w:p>
            <w:pPr>
              <w:pStyle w:val="F21"/>
              <w:tabs>
                <w:tab w:val="clear" w:pos="567"/>
              </w:tabs>
              <w:overflowPunct w:val="true"/>
              <w:snapToGrid w:val="false"/>
              <w:ind w:right="85" w:hanging="0"/>
              <w:jc w:val="right"/>
              <w:rPr>
                <w:szCs w:val="27"/>
              </w:rPr>
            </w:pPr>
            <w:r>
              <w:rPr>
                <w:szCs w:val="27"/>
              </w:rPr>
              <w:t>52 492</w:t>
            </w:r>
          </w:p>
        </w:tc>
        <w:tc>
          <w:tcPr>
            <w:tcW w:w="1135" w:type="dxa"/>
            <w:tcBorders/>
          </w:tcPr>
          <w:p>
            <w:pPr>
              <w:pStyle w:val="F21"/>
              <w:tabs>
                <w:tab w:val="clear" w:pos="567"/>
              </w:tabs>
              <w:overflowPunct w:val="true"/>
              <w:snapToGrid w:val="false"/>
              <w:ind w:right="85" w:hanging="0"/>
              <w:jc w:val="right"/>
              <w:rPr>
                <w:szCs w:val="27"/>
              </w:rPr>
            </w:pPr>
            <w:r>
              <w:rPr>
                <w:szCs w:val="27"/>
              </w:rPr>
              <w:t>53 641</w:t>
            </w:r>
          </w:p>
        </w:tc>
        <w:tc>
          <w:tcPr>
            <w:tcW w:w="1136" w:type="dxa"/>
            <w:tcBorders/>
          </w:tcPr>
          <w:p>
            <w:pPr>
              <w:pStyle w:val="F21"/>
              <w:tabs>
                <w:tab w:val="clear" w:pos="567"/>
              </w:tabs>
              <w:overflowPunct w:val="true"/>
              <w:snapToGrid w:val="false"/>
              <w:ind w:right="85" w:hanging="0"/>
              <w:jc w:val="right"/>
              <w:rPr>
                <w:szCs w:val="27"/>
              </w:rPr>
            </w:pPr>
            <w:r>
              <w:rPr>
                <w:szCs w:val="27"/>
              </w:rPr>
              <w:t>55 822</w:t>
            </w:r>
          </w:p>
        </w:tc>
        <w:tc>
          <w:tcPr>
            <w:tcW w:w="1134" w:type="dxa"/>
            <w:tcBorders/>
          </w:tcPr>
          <w:p>
            <w:pPr>
              <w:pStyle w:val="F21"/>
              <w:tabs>
                <w:tab w:val="clear" w:pos="567"/>
              </w:tabs>
              <w:overflowPunct w:val="true"/>
              <w:snapToGrid w:val="false"/>
              <w:ind w:right="85" w:hanging="0"/>
              <w:jc w:val="right"/>
              <w:rPr>
                <w:szCs w:val="27"/>
              </w:rPr>
            </w:pPr>
            <w:r>
              <w:rPr>
                <w:szCs w:val="27"/>
              </w:rPr>
              <w:t>58 910</w:t>
            </w:r>
          </w:p>
        </w:tc>
        <w:tc>
          <w:tcPr>
            <w:tcW w:w="1135" w:type="dxa"/>
            <w:tcBorders/>
          </w:tcPr>
          <w:p>
            <w:pPr>
              <w:pStyle w:val="F21"/>
              <w:tabs>
                <w:tab w:val="clear" w:pos="567"/>
              </w:tabs>
              <w:overflowPunct w:val="true"/>
              <w:snapToGrid w:val="false"/>
              <w:ind w:right="85" w:hanging="0"/>
              <w:jc w:val="right"/>
              <w:rPr>
                <w:szCs w:val="27"/>
              </w:rPr>
            </w:pPr>
            <w:r>
              <w:rPr>
                <w:szCs w:val="27"/>
              </w:rPr>
              <w:t>62 918</w:t>
            </w:r>
          </w:p>
        </w:tc>
      </w:tr>
    </w:tbl>
    <w:p>
      <w:pPr>
        <w:pStyle w:val="F21"/>
        <w:overflowPunct w:val="true"/>
        <w:snapToGrid w:val="false"/>
        <w:jc w:val="right"/>
        <w:rPr>
          <w:szCs w:val="27"/>
        </w:rPr>
      </w:pPr>
      <w:r>
        <w:rPr>
          <w:szCs w:val="27"/>
        </w:rPr>
        <w:t>附件五</w:t>
      </w:r>
    </w:p>
    <w:p>
      <w:pPr>
        <w:pStyle w:val="F21"/>
        <w:overflowPunct w:val="true"/>
        <w:snapToGrid w:val="false"/>
        <w:rPr>
          <w:szCs w:val="27"/>
        </w:rPr>
      </w:pPr>
      <w:r>
        <w:rPr>
          <w:szCs w:val="27"/>
        </w:rPr>
      </w:r>
    </w:p>
    <w:p>
      <w:pPr>
        <w:pStyle w:val="F21"/>
        <w:overflowPunct w:val="true"/>
        <w:snapToGrid w:val="false"/>
        <w:jc w:val="center"/>
        <w:rPr>
          <w:szCs w:val="27"/>
        </w:rPr>
      </w:pPr>
      <w:r>
        <w:rPr>
          <w:szCs w:val="27"/>
        </w:rPr>
        <w:t>在</w:t>
      </w:r>
      <w:r>
        <w:rPr>
          <w:szCs w:val="27"/>
        </w:rPr>
        <w:t>2010-2011</w:t>
      </w:r>
      <w:r>
        <w:rPr>
          <w:szCs w:val="27"/>
        </w:rPr>
        <w:t>年度至</w:t>
      </w:r>
      <w:r>
        <w:rPr>
          <w:szCs w:val="27"/>
        </w:rPr>
        <w:t>2012-2013</w:t>
      </w:r>
      <w:r>
        <w:rPr>
          <w:szCs w:val="27"/>
        </w:rPr>
        <w:t>年</w:t>
      </w:r>
      <w:r>
        <w:rPr>
          <w:szCs w:val="27"/>
        </w:rPr>
        <w:t>(</w:t>
      </w:r>
      <w:r>
        <w:rPr>
          <w:szCs w:val="27"/>
        </w:rPr>
        <w:t>以</w:t>
      </w:r>
      <w:r>
        <w:rPr>
          <w:szCs w:val="27"/>
        </w:rPr>
        <w:t>7</w:t>
      </w:r>
      <w:r>
        <w:rPr>
          <w:szCs w:val="27"/>
        </w:rPr>
        <w:t>月</w:t>
      </w:r>
      <w:r>
        <w:rPr>
          <w:szCs w:val="27"/>
        </w:rPr>
        <w:t>1</w:t>
      </w:r>
      <w:r>
        <w:rPr>
          <w:szCs w:val="27"/>
        </w:rPr>
        <w:t>日至翌年</w:t>
      </w:r>
      <w:r>
        <w:rPr>
          <w:szCs w:val="27"/>
        </w:rPr>
        <w:t>6</w:t>
      </w:r>
      <w:r>
        <w:rPr>
          <w:szCs w:val="27"/>
        </w:rPr>
        <w:t>月</w:t>
      </w:r>
      <w:r>
        <w:rPr>
          <w:szCs w:val="27"/>
        </w:rPr>
        <w:t>30</w:t>
      </w:r>
      <w:r>
        <w:rPr>
          <w:szCs w:val="27"/>
        </w:rPr>
        <w:t>日計算</w:t>
      </w:r>
      <w:r>
        <w:rPr>
          <w:szCs w:val="27"/>
        </w:rPr>
        <w:t>)</w:t>
      </w:r>
    </w:p>
    <w:p>
      <w:pPr>
        <w:pStyle w:val="F21"/>
        <w:overflowPunct w:val="true"/>
        <w:snapToGrid w:val="false"/>
        <w:jc w:val="center"/>
        <w:rPr>
          <w:szCs w:val="27"/>
        </w:rPr>
      </w:pPr>
      <w:r>
        <w:rPr>
          <w:szCs w:val="27"/>
        </w:rPr>
        <w:t>於各醫院聯網已接受檢驗的輪候時間</w:t>
      </w:r>
    </w:p>
    <w:p>
      <w:pPr>
        <w:pStyle w:val="F21"/>
        <w:overflowPunct w:val="true"/>
        <w:snapToGrid w:val="false"/>
        <w:jc w:val="center"/>
        <w:rPr>
          <w:szCs w:val="27"/>
        </w:rPr>
      </w:pPr>
      <w:r>
        <w:rPr>
          <w:szCs w:val="27"/>
        </w:rPr>
        <w:t>(</w:t>
      </w:r>
      <w:r>
        <w:rPr>
          <w:szCs w:val="27"/>
        </w:rPr>
        <w:t>包括新症及舊症</w:t>
      </w:r>
      <w:r>
        <w:rPr>
          <w:szCs w:val="27"/>
        </w:rPr>
        <w:t>)</w:t>
      </w:r>
    </w:p>
    <w:p>
      <w:pPr>
        <w:pStyle w:val="F21"/>
        <w:overflowPunct w:val="true"/>
        <w:snapToGrid w:val="false"/>
        <w:rPr>
          <w:szCs w:val="27"/>
        </w:rPr>
      </w:pPr>
      <w:r>
        <w:rPr>
          <w:szCs w:val="27"/>
        </w:rPr>
      </w:r>
    </w:p>
    <w:p>
      <w:pPr>
        <w:pStyle w:val="F21"/>
        <w:overflowPunct w:val="true"/>
        <w:snapToGrid w:val="false"/>
        <w:rPr>
          <w:szCs w:val="27"/>
        </w:rPr>
      </w:pPr>
      <w:r>
        <w:rPr>
          <w:szCs w:val="27"/>
        </w:rPr>
        <w:t>(</w:t>
      </w:r>
      <w:r>
        <w:rPr>
          <w:szCs w:val="27"/>
        </w:rPr>
        <w:t>一</w:t>
      </w:r>
      <w:r>
        <w:rPr>
          <w:szCs w:val="27"/>
        </w:rPr>
        <w:t>)</w:t>
      </w:r>
      <w:r>
        <w:rPr>
          <w:szCs w:val="27"/>
        </w:rPr>
        <w:t>電腦掃描</w:t>
      </w:r>
    </w:p>
    <w:p>
      <w:pPr>
        <w:pStyle w:val="F21"/>
        <w:overflowPunct w:val="true"/>
        <w:snapToGrid w:val="false"/>
        <w:rPr>
          <w:szCs w:val="27"/>
        </w:rPr>
      </w:pPr>
      <w:r>
        <w:rPr>
          <w:szCs w:val="27"/>
        </w:rPr>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1564"/>
        <w:gridCol w:w="638"/>
        <w:gridCol w:w="638"/>
        <w:gridCol w:w="638"/>
        <w:gridCol w:w="638"/>
        <w:gridCol w:w="638"/>
        <w:gridCol w:w="638"/>
        <w:gridCol w:w="638"/>
        <w:gridCol w:w="638"/>
        <w:gridCol w:w="638"/>
        <w:gridCol w:w="637"/>
        <w:gridCol w:w="638"/>
        <w:gridCol w:w="639"/>
      </w:tblGrid>
      <w:tr>
        <w:trPr/>
        <w:tc>
          <w:tcPr>
            <w:tcW w:w="1564" w:type="dxa"/>
            <w:vMerge w:val="restart"/>
            <w:tcBorders/>
            <w:vAlign w:val="center"/>
          </w:tcPr>
          <w:p>
            <w:pPr>
              <w:pStyle w:val="F21"/>
              <w:tabs>
                <w:tab w:val="clear" w:pos="567"/>
              </w:tabs>
              <w:overflowPunct w:val="true"/>
              <w:snapToGrid w:val="false"/>
              <w:spacing w:lineRule="exact" w:line="340"/>
              <w:jc w:val="center"/>
              <w:rPr>
                <w:i/>
                <w:i/>
                <w:szCs w:val="27"/>
              </w:rPr>
            </w:pPr>
            <w:r>
              <w:rPr>
                <w:i/>
                <w:szCs w:val="27"/>
              </w:rPr>
              <w:t>聯網</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2010</w:t>
            </w:r>
            <w:r>
              <w:rPr>
                <w:i/>
                <w:szCs w:val="27"/>
              </w:rPr>
              <w:t>年</w:t>
            </w:r>
            <w:r>
              <w:rPr>
                <w:i/>
                <w:szCs w:val="27"/>
              </w:rPr>
              <w:t>7</w:t>
            </w:r>
            <w:r>
              <w:rPr>
                <w:i/>
                <w:szCs w:val="27"/>
              </w:rPr>
              <w:t>月</w:t>
            </w:r>
            <w:r>
              <w:rPr>
                <w:i/>
                <w:szCs w:val="27"/>
              </w:rPr>
              <w:t>1</w:t>
            </w:r>
            <w:r>
              <w:rPr>
                <w:i/>
                <w:szCs w:val="27"/>
              </w:rPr>
              <w:t>日至</w:t>
            </w:r>
            <w:r>
              <w:rPr>
                <w:i/>
                <w:szCs w:val="27"/>
              </w:rPr>
              <w:t>2011</w:t>
            </w:r>
            <w:r>
              <w:rPr>
                <w:i/>
                <w:szCs w:val="27"/>
              </w:rPr>
              <w:t>年</w:t>
            </w:r>
            <w:r>
              <w:rPr>
                <w:i/>
                <w:szCs w:val="27"/>
              </w:rPr>
              <w:t>6</w:t>
            </w:r>
            <w:r>
              <w:rPr>
                <w:i/>
                <w:szCs w:val="27"/>
              </w:rPr>
              <w:t>月</w:t>
            </w:r>
            <w:r>
              <w:rPr>
                <w:i/>
                <w:szCs w:val="27"/>
              </w:rPr>
              <w:t>30</w:t>
            </w:r>
            <w:r>
              <w:rPr>
                <w:i/>
                <w:szCs w:val="27"/>
              </w:rPr>
              <w:t>日</w:t>
            </w:r>
          </w:p>
          <w:p>
            <w:pPr>
              <w:pStyle w:val="F21"/>
              <w:tabs>
                <w:tab w:val="clear" w:pos="567"/>
              </w:tabs>
              <w:overflowPunct w:val="true"/>
              <w:snapToGrid w:val="false"/>
              <w:spacing w:lineRule="exact" w:line="340"/>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2011</w:t>
            </w:r>
            <w:r>
              <w:rPr>
                <w:i/>
                <w:szCs w:val="27"/>
              </w:rPr>
              <w:t>年</w:t>
            </w:r>
            <w:r>
              <w:rPr>
                <w:i/>
                <w:szCs w:val="27"/>
              </w:rPr>
              <w:t>7</w:t>
            </w:r>
            <w:r>
              <w:rPr>
                <w:i/>
                <w:szCs w:val="27"/>
              </w:rPr>
              <w:t>月</w:t>
            </w:r>
            <w:r>
              <w:rPr>
                <w:i/>
                <w:szCs w:val="27"/>
              </w:rPr>
              <w:t>1</w:t>
            </w:r>
            <w:r>
              <w:rPr>
                <w:i/>
                <w:szCs w:val="27"/>
              </w:rPr>
              <w:t>日至</w:t>
            </w:r>
            <w:r>
              <w:rPr>
                <w:i/>
                <w:szCs w:val="27"/>
              </w:rPr>
              <w:t>2012</w:t>
            </w:r>
            <w:r>
              <w:rPr>
                <w:i/>
                <w:szCs w:val="27"/>
              </w:rPr>
              <w:t>年</w:t>
            </w:r>
            <w:r>
              <w:rPr>
                <w:i/>
                <w:szCs w:val="27"/>
              </w:rPr>
              <w:t>6</w:t>
            </w:r>
            <w:r>
              <w:rPr>
                <w:i/>
                <w:szCs w:val="27"/>
              </w:rPr>
              <w:t>月</w:t>
            </w:r>
            <w:r>
              <w:rPr>
                <w:i/>
                <w:szCs w:val="27"/>
              </w:rPr>
              <w:t>30</w:t>
            </w:r>
            <w:r>
              <w:rPr>
                <w:i/>
                <w:szCs w:val="27"/>
              </w:rPr>
              <w:t>日</w:t>
            </w:r>
          </w:p>
          <w:p>
            <w:pPr>
              <w:pStyle w:val="F21"/>
              <w:tabs>
                <w:tab w:val="clear" w:pos="567"/>
              </w:tabs>
              <w:overflowPunct w:val="true"/>
              <w:snapToGrid w:val="false"/>
              <w:spacing w:lineRule="exact" w:line="340"/>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2012</w:t>
            </w:r>
            <w:r>
              <w:rPr>
                <w:i/>
                <w:szCs w:val="27"/>
              </w:rPr>
              <w:t>年</w:t>
            </w:r>
            <w:r>
              <w:rPr>
                <w:i/>
                <w:szCs w:val="27"/>
              </w:rPr>
              <w:t>7</w:t>
            </w:r>
            <w:r>
              <w:rPr>
                <w:i/>
                <w:szCs w:val="27"/>
              </w:rPr>
              <w:t>月</w:t>
            </w:r>
            <w:r>
              <w:rPr>
                <w:i/>
                <w:szCs w:val="27"/>
              </w:rPr>
              <w:t>1</w:t>
            </w:r>
            <w:r>
              <w:rPr>
                <w:i/>
                <w:szCs w:val="27"/>
              </w:rPr>
              <w:t>日至</w:t>
            </w:r>
            <w:r>
              <w:rPr>
                <w:i/>
                <w:szCs w:val="27"/>
              </w:rPr>
              <w:t>2013</w:t>
            </w:r>
            <w:r>
              <w:rPr>
                <w:i/>
                <w:szCs w:val="27"/>
              </w:rPr>
              <w:t>年</w:t>
            </w:r>
            <w:r>
              <w:rPr>
                <w:i/>
                <w:szCs w:val="27"/>
              </w:rPr>
              <w:t>6</w:t>
            </w:r>
            <w:r>
              <w:rPr>
                <w:i/>
                <w:szCs w:val="27"/>
              </w:rPr>
              <w:t>月</w:t>
            </w:r>
            <w:r>
              <w:rPr>
                <w:i/>
                <w:szCs w:val="27"/>
              </w:rPr>
              <w:t>30</w:t>
            </w:r>
            <w:r>
              <w:rPr>
                <w:i/>
                <w:szCs w:val="27"/>
              </w:rPr>
              <w:t>日</w:t>
            </w:r>
          </w:p>
          <w:p>
            <w:pPr>
              <w:pStyle w:val="F21"/>
              <w:tabs>
                <w:tab w:val="clear" w:pos="567"/>
              </w:tabs>
              <w:overflowPunct w:val="true"/>
              <w:snapToGrid w:val="false"/>
              <w:spacing w:lineRule="exact" w:line="340"/>
              <w:jc w:val="center"/>
              <w:rPr>
                <w:i/>
                <w:i/>
                <w:szCs w:val="27"/>
              </w:rPr>
            </w:pPr>
            <w:r>
              <w:rPr>
                <w:i/>
                <w:szCs w:val="27"/>
              </w:rPr>
              <w:t>輪候時間</w:t>
            </w:r>
            <w:r>
              <w:rPr>
                <w:i/>
                <w:szCs w:val="27"/>
              </w:rPr>
              <w:t>(</w:t>
            </w:r>
            <w:r>
              <w:rPr>
                <w:i/>
                <w:szCs w:val="27"/>
              </w:rPr>
              <w:t>日</w:t>
            </w:r>
            <w:r>
              <w:rPr>
                <w:i/>
                <w:szCs w:val="27"/>
              </w:rPr>
              <w:t>)</w:t>
            </w:r>
          </w:p>
        </w:tc>
      </w:tr>
      <w:tr>
        <w:trPr/>
        <w:tc>
          <w:tcPr>
            <w:tcW w:w="1564" w:type="dxa"/>
            <w:vMerge w:val="continue"/>
            <w:tcBorders/>
            <w:vAlign w:val="center"/>
          </w:tcPr>
          <w:p>
            <w:pPr>
              <w:pStyle w:val="F21"/>
              <w:tabs>
                <w:tab w:val="clear" w:pos="567"/>
              </w:tabs>
              <w:snapToGrid w:val="false"/>
              <w:spacing w:lineRule="exact" w:line="340"/>
              <w:jc w:val="center"/>
              <w:rPr>
                <w:i/>
                <w:i/>
                <w:szCs w:val="27"/>
              </w:rPr>
            </w:pPr>
            <w:r>
              <w:rPr>
                <w:i/>
                <w:szCs w:val="27"/>
              </w:rPr>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25</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50</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75</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90</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25</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50</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75</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90</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25</w:t>
            </w:r>
          </w:p>
          <w:p>
            <w:pPr>
              <w:pStyle w:val="F21"/>
              <w:tabs>
                <w:tab w:val="clear" w:pos="567"/>
              </w:tabs>
              <w:snapToGrid w:val="false"/>
              <w:spacing w:lineRule="exact" w:line="340"/>
              <w:jc w:val="center"/>
              <w:rPr>
                <w:i/>
                <w:i/>
                <w:szCs w:val="27"/>
              </w:rPr>
            </w:pPr>
            <w:r>
              <w:rPr>
                <w:i/>
                <w:szCs w:val="27"/>
              </w:rPr>
              <w:t>個</w:t>
            </w:r>
          </w:p>
        </w:tc>
        <w:tc>
          <w:tcPr>
            <w:tcW w:w="637"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50</w:t>
            </w:r>
          </w:p>
          <w:p>
            <w:pPr>
              <w:pStyle w:val="F21"/>
              <w:tabs>
                <w:tab w:val="clear" w:pos="567"/>
              </w:tabs>
              <w:snapToGrid w:val="false"/>
              <w:spacing w:lineRule="exact" w:line="340"/>
              <w:jc w:val="center"/>
              <w:rPr>
                <w:i/>
                <w:i/>
                <w:szCs w:val="27"/>
              </w:rPr>
            </w:pPr>
            <w:r>
              <w:rPr>
                <w:i/>
                <w:szCs w:val="27"/>
              </w:rPr>
              <w:t>個</w:t>
            </w:r>
          </w:p>
        </w:tc>
        <w:tc>
          <w:tcPr>
            <w:tcW w:w="638"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75</w:t>
            </w:r>
          </w:p>
          <w:p>
            <w:pPr>
              <w:pStyle w:val="F21"/>
              <w:tabs>
                <w:tab w:val="clear" w:pos="567"/>
              </w:tabs>
              <w:snapToGrid w:val="false"/>
              <w:spacing w:lineRule="exact" w:line="340"/>
              <w:jc w:val="center"/>
              <w:rPr>
                <w:i/>
                <w:i/>
                <w:szCs w:val="27"/>
              </w:rPr>
            </w:pPr>
            <w:r>
              <w:rPr>
                <w:i/>
                <w:szCs w:val="27"/>
              </w:rPr>
              <w:t>個</w:t>
            </w:r>
          </w:p>
        </w:tc>
        <w:tc>
          <w:tcPr>
            <w:tcW w:w="639" w:type="dxa"/>
            <w:tcBorders/>
            <w:vAlign w:val="center"/>
          </w:tcPr>
          <w:p>
            <w:pPr>
              <w:pStyle w:val="F21"/>
              <w:tabs>
                <w:tab w:val="clear" w:pos="567"/>
              </w:tabs>
              <w:snapToGrid w:val="false"/>
              <w:spacing w:lineRule="exact" w:line="340"/>
              <w:jc w:val="center"/>
              <w:rPr>
                <w:i/>
                <w:i/>
                <w:szCs w:val="27"/>
              </w:rPr>
            </w:pPr>
            <w:r>
              <w:rPr>
                <w:i/>
                <w:szCs w:val="27"/>
              </w:rPr>
              <w:t>第</w:t>
            </w:r>
          </w:p>
          <w:p>
            <w:pPr>
              <w:pStyle w:val="F21"/>
              <w:tabs>
                <w:tab w:val="clear" w:pos="567"/>
              </w:tabs>
              <w:snapToGrid w:val="false"/>
              <w:spacing w:lineRule="exact" w:line="340"/>
              <w:jc w:val="center"/>
              <w:rPr>
                <w:i/>
                <w:i/>
                <w:szCs w:val="27"/>
              </w:rPr>
            </w:pPr>
            <w:r>
              <w:rPr>
                <w:i/>
                <w:szCs w:val="27"/>
              </w:rPr>
              <w:t>90</w:t>
            </w:r>
          </w:p>
          <w:p>
            <w:pPr>
              <w:pStyle w:val="F21"/>
              <w:tabs>
                <w:tab w:val="clear" w:pos="567"/>
              </w:tabs>
              <w:snapToGrid w:val="false"/>
              <w:spacing w:lineRule="exact" w:line="340"/>
              <w:jc w:val="center"/>
              <w:rPr>
                <w:i/>
                <w:i/>
                <w:szCs w:val="27"/>
              </w:rPr>
            </w:pPr>
            <w:r>
              <w:rPr>
                <w:i/>
                <w:szCs w:val="27"/>
              </w:rPr>
              <w:t>個</w:t>
            </w:r>
          </w:p>
        </w:tc>
      </w:tr>
      <w:tr>
        <w:trPr/>
        <w:tc>
          <w:tcPr>
            <w:tcW w:w="1564" w:type="dxa"/>
            <w:vMerge w:val="continue"/>
            <w:tcBorders/>
            <w:vAlign w:val="center"/>
          </w:tcPr>
          <w:p>
            <w:pPr>
              <w:pStyle w:val="F21"/>
              <w:tabs>
                <w:tab w:val="clear" w:pos="567"/>
              </w:tabs>
              <w:overflowPunct w:val="true"/>
              <w:snapToGrid w:val="false"/>
              <w:spacing w:lineRule="exact" w:line="340"/>
              <w:jc w:val="center"/>
              <w:rPr>
                <w:i/>
                <w:i/>
                <w:szCs w:val="27"/>
              </w:rPr>
            </w:pPr>
            <w:r>
              <w:rPr>
                <w:i/>
                <w:szCs w:val="27"/>
              </w:rPr>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百分值</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百分值</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百分值</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港島東</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14</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79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77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26</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90</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港島西</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84</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140</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76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133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80</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138</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九龍中</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41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107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22</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91</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九龍東</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116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49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16</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62</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九龍西</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123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27</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132</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新界東</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136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117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6</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118</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新界西</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60</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19</w:t>
            </w:r>
          </w:p>
        </w:tc>
      </w:tr>
    </w:tbl>
    <w:p>
      <w:pPr>
        <w:pStyle w:val="F21"/>
        <w:overflowPunct w:val="true"/>
        <w:snapToGrid w:val="false"/>
        <w:rPr>
          <w:szCs w:val="27"/>
        </w:rPr>
      </w:pPr>
      <w:r>
        <w:rPr>
          <w:szCs w:val="27"/>
        </w:rPr>
      </w:r>
    </w:p>
    <w:p>
      <w:pPr>
        <w:pStyle w:val="F21"/>
        <w:overflowPunct w:val="true"/>
        <w:snapToGrid w:val="false"/>
        <w:rPr>
          <w:szCs w:val="27"/>
        </w:rPr>
      </w:pPr>
      <w:r>
        <w:rPr>
          <w:szCs w:val="27"/>
        </w:rPr>
        <w:t>(</w:t>
      </w:r>
      <w:r>
        <w:rPr>
          <w:szCs w:val="27"/>
        </w:rPr>
        <w:t>二</w:t>
      </w:r>
      <w:r>
        <w:rPr>
          <w:szCs w:val="27"/>
        </w:rPr>
        <w:t>)</w:t>
      </w:r>
      <w:r>
        <w:rPr>
          <w:szCs w:val="27"/>
        </w:rPr>
        <w:t>超聲波掃描</w:t>
      </w:r>
    </w:p>
    <w:p>
      <w:pPr>
        <w:pStyle w:val="F21"/>
        <w:overflowPunct w:val="true"/>
        <w:snapToGrid w:val="false"/>
        <w:rPr>
          <w:szCs w:val="27"/>
        </w:rPr>
      </w:pPr>
      <w:r>
        <w:rPr>
          <w:szCs w:val="27"/>
        </w:rPr>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1564"/>
        <w:gridCol w:w="638"/>
        <w:gridCol w:w="638"/>
        <w:gridCol w:w="638"/>
        <w:gridCol w:w="638"/>
        <w:gridCol w:w="638"/>
        <w:gridCol w:w="638"/>
        <w:gridCol w:w="638"/>
        <w:gridCol w:w="638"/>
        <w:gridCol w:w="638"/>
        <w:gridCol w:w="637"/>
        <w:gridCol w:w="638"/>
        <w:gridCol w:w="639"/>
      </w:tblGrid>
      <w:tr>
        <w:trPr/>
        <w:tc>
          <w:tcPr>
            <w:tcW w:w="1564" w:type="dxa"/>
            <w:vMerge w:val="restart"/>
            <w:tcBorders/>
            <w:vAlign w:val="center"/>
          </w:tcPr>
          <w:p>
            <w:pPr>
              <w:pStyle w:val="F21"/>
              <w:tabs>
                <w:tab w:val="clear" w:pos="567"/>
              </w:tabs>
              <w:snapToGrid w:val="false"/>
              <w:spacing w:lineRule="exact" w:line="340"/>
              <w:jc w:val="center"/>
              <w:rPr>
                <w:i/>
                <w:i/>
                <w:szCs w:val="27"/>
              </w:rPr>
            </w:pPr>
            <w:r>
              <w:rPr>
                <w:i/>
                <w:szCs w:val="27"/>
              </w:rPr>
              <w:t>聯網</w:t>
            </w:r>
          </w:p>
        </w:tc>
        <w:tc>
          <w:tcPr>
            <w:tcW w:w="2552" w:type="dxa"/>
            <w:gridSpan w:val="4"/>
            <w:tcBorders/>
            <w:vAlign w:val="center"/>
          </w:tcPr>
          <w:p>
            <w:pPr>
              <w:pStyle w:val="F21"/>
              <w:tabs>
                <w:tab w:val="clear" w:pos="567"/>
              </w:tabs>
              <w:snapToGrid w:val="false"/>
              <w:spacing w:lineRule="exact" w:line="340"/>
              <w:jc w:val="center"/>
              <w:rPr>
                <w:i/>
                <w:i/>
                <w:szCs w:val="27"/>
              </w:rPr>
            </w:pPr>
            <w:r>
              <w:rPr>
                <w:i/>
                <w:szCs w:val="27"/>
              </w:rPr>
              <w:t>2010</w:t>
            </w:r>
            <w:r>
              <w:rPr>
                <w:i/>
                <w:szCs w:val="27"/>
              </w:rPr>
              <w:t>年</w:t>
            </w:r>
            <w:r>
              <w:rPr>
                <w:i/>
                <w:szCs w:val="27"/>
              </w:rPr>
              <w:t>7</w:t>
            </w:r>
            <w:r>
              <w:rPr>
                <w:i/>
                <w:szCs w:val="27"/>
              </w:rPr>
              <w:t>月</w:t>
            </w:r>
            <w:r>
              <w:rPr>
                <w:i/>
                <w:szCs w:val="27"/>
              </w:rPr>
              <w:t>1</w:t>
            </w:r>
            <w:r>
              <w:rPr>
                <w:i/>
                <w:szCs w:val="27"/>
              </w:rPr>
              <w:t>日至</w:t>
            </w:r>
            <w:r>
              <w:rPr>
                <w:i/>
                <w:szCs w:val="27"/>
              </w:rPr>
              <w:t>2011</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spacing w:lineRule="exact" w:line="340"/>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snapToGrid w:val="false"/>
              <w:spacing w:lineRule="exact" w:line="340"/>
              <w:jc w:val="center"/>
              <w:rPr>
                <w:i/>
                <w:i/>
                <w:szCs w:val="27"/>
              </w:rPr>
            </w:pPr>
            <w:r>
              <w:rPr>
                <w:i/>
                <w:szCs w:val="27"/>
              </w:rPr>
              <w:t>2011</w:t>
            </w:r>
            <w:r>
              <w:rPr>
                <w:i/>
                <w:szCs w:val="27"/>
              </w:rPr>
              <w:t>年</w:t>
            </w:r>
            <w:r>
              <w:rPr>
                <w:i/>
                <w:szCs w:val="27"/>
              </w:rPr>
              <w:t>7</w:t>
            </w:r>
            <w:r>
              <w:rPr>
                <w:i/>
                <w:szCs w:val="27"/>
              </w:rPr>
              <w:t>月</w:t>
            </w:r>
            <w:r>
              <w:rPr>
                <w:i/>
                <w:szCs w:val="27"/>
              </w:rPr>
              <w:t>1</w:t>
            </w:r>
            <w:r>
              <w:rPr>
                <w:i/>
                <w:szCs w:val="27"/>
              </w:rPr>
              <w:t>日至</w:t>
            </w:r>
            <w:r>
              <w:rPr>
                <w:i/>
                <w:szCs w:val="27"/>
              </w:rPr>
              <w:t>2012</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spacing w:lineRule="exact" w:line="340"/>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snapToGrid w:val="false"/>
              <w:spacing w:lineRule="exact" w:line="340"/>
              <w:jc w:val="center"/>
              <w:rPr>
                <w:i/>
                <w:i/>
                <w:szCs w:val="27"/>
              </w:rPr>
            </w:pPr>
            <w:r>
              <w:rPr>
                <w:i/>
                <w:szCs w:val="27"/>
              </w:rPr>
              <w:t>2012</w:t>
            </w:r>
            <w:r>
              <w:rPr>
                <w:i/>
                <w:szCs w:val="27"/>
              </w:rPr>
              <w:t>年</w:t>
            </w:r>
            <w:r>
              <w:rPr>
                <w:i/>
                <w:szCs w:val="27"/>
              </w:rPr>
              <w:t>7</w:t>
            </w:r>
            <w:r>
              <w:rPr>
                <w:i/>
                <w:szCs w:val="27"/>
              </w:rPr>
              <w:t>月</w:t>
            </w:r>
            <w:r>
              <w:rPr>
                <w:i/>
                <w:szCs w:val="27"/>
              </w:rPr>
              <w:t>1</w:t>
            </w:r>
            <w:r>
              <w:rPr>
                <w:i/>
                <w:szCs w:val="27"/>
              </w:rPr>
              <w:t>日至</w:t>
            </w:r>
            <w:r>
              <w:rPr>
                <w:i/>
                <w:szCs w:val="27"/>
              </w:rPr>
              <w:t>2013</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spacing w:lineRule="exact" w:line="340"/>
              <w:jc w:val="center"/>
              <w:rPr>
                <w:i/>
                <w:i/>
                <w:szCs w:val="27"/>
              </w:rPr>
            </w:pPr>
            <w:r>
              <w:rPr>
                <w:i/>
                <w:szCs w:val="27"/>
              </w:rPr>
              <w:t>輪候時間</w:t>
            </w:r>
            <w:r>
              <w:rPr>
                <w:i/>
                <w:szCs w:val="27"/>
              </w:rPr>
              <w:t>(</w:t>
            </w:r>
            <w:r>
              <w:rPr>
                <w:i/>
                <w:szCs w:val="27"/>
              </w:rPr>
              <w:t>日</w:t>
            </w:r>
            <w:r>
              <w:rPr>
                <w:i/>
                <w:szCs w:val="27"/>
              </w:rPr>
              <w:t>)</w:t>
            </w:r>
          </w:p>
        </w:tc>
      </w:tr>
      <w:tr>
        <w:trPr/>
        <w:tc>
          <w:tcPr>
            <w:tcW w:w="1564" w:type="dxa"/>
            <w:vMerge w:val="continue"/>
            <w:tcBorders/>
            <w:vAlign w:val="center"/>
          </w:tcPr>
          <w:p>
            <w:pPr>
              <w:pStyle w:val="F21"/>
              <w:tabs>
                <w:tab w:val="clear" w:pos="567"/>
              </w:tabs>
              <w:overflowPunct w:val="true"/>
              <w:snapToGrid w:val="false"/>
              <w:spacing w:lineRule="exact" w:line="340"/>
              <w:jc w:val="center"/>
              <w:rPr>
                <w:i/>
                <w:i/>
                <w:szCs w:val="27"/>
              </w:rPr>
            </w:pPr>
            <w:r>
              <w:rPr>
                <w:i/>
                <w:szCs w:val="27"/>
              </w:rPr>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25</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50</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75</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90</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25</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50</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75</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90</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25</w:t>
            </w:r>
          </w:p>
          <w:p>
            <w:pPr>
              <w:pStyle w:val="F21"/>
              <w:tabs>
                <w:tab w:val="clear" w:pos="567"/>
              </w:tabs>
              <w:overflowPunct w:val="true"/>
              <w:snapToGrid w:val="false"/>
              <w:spacing w:lineRule="exact" w:line="340"/>
              <w:jc w:val="center"/>
              <w:rPr>
                <w:i/>
                <w:i/>
                <w:szCs w:val="27"/>
              </w:rPr>
            </w:pPr>
            <w:r>
              <w:rPr>
                <w:i/>
                <w:szCs w:val="27"/>
              </w:rPr>
              <w:t>個</w:t>
            </w:r>
          </w:p>
        </w:tc>
        <w:tc>
          <w:tcPr>
            <w:tcW w:w="637"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50</w:t>
            </w:r>
          </w:p>
          <w:p>
            <w:pPr>
              <w:pStyle w:val="F21"/>
              <w:tabs>
                <w:tab w:val="clear" w:pos="567"/>
              </w:tabs>
              <w:overflowPunct w:val="true"/>
              <w:snapToGrid w:val="false"/>
              <w:spacing w:lineRule="exact" w:line="340"/>
              <w:jc w:val="center"/>
              <w:rPr>
                <w:i/>
                <w:i/>
                <w:szCs w:val="27"/>
              </w:rPr>
            </w:pPr>
            <w:r>
              <w:rPr>
                <w:i/>
                <w:szCs w:val="27"/>
              </w:rPr>
              <w:t>個</w:t>
            </w:r>
          </w:p>
        </w:tc>
        <w:tc>
          <w:tcPr>
            <w:tcW w:w="638"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75</w:t>
            </w:r>
          </w:p>
          <w:p>
            <w:pPr>
              <w:pStyle w:val="F21"/>
              <w:tabs>
                <w:tab w:val="clear" w:pos="567"/>
              </w:tabs>
              <w:overflowPunct w:val="true"/>
              <w:snapToGrid w:val="false"/>
              <w:spacing w:lineRule="exact" w:line="340"/>
              <w:jc w:val="center"/>
              <w:rPr>
                <w:i/>
                <w:i/>
                <w:szCs w:val="27"/>
              </w:rPr>
            </w:pPr>
            <w:r>
              <w:rPr>
                <w:i/>
                <w:szCs w:val="27"/>
              </w:rPr>
              <w:t>個</w:t>
            </w:r>
          </w:p>
        </w:tc>
        <w:tc>
          <w:tcPr>
            <w:tcW w:w="639" w:type="dxa"/>
            <w:tcBorders/>
            <w:vAlign w:val="center"/>
          </w:tcPr>
          <w:p>
            <w:pPr>
              <w:pStyle w:val="F21"/>
              <w:tabs>
                <w:tab w:val="clear" w:pos="567"/>
              </w:tabs>
              <w:overflowPunct w:val="true"/>
              <w:snapToGrid w:val="false"/>
              <w:spacing w:lineRule="exact" w:line="340"/>
              <w:jc w:val="center"/>
              <w:rPr>
                <w:i/>
                <w:i/>
                <w:szCs w:val="27"/>
              </w:rPr>
            </w:pPr>
            <w:r>
              <w:rPr>
                <w:i/>
                <w:szCs w:val="27"/>
              </w:rPr>
              <w:t>第</w:t>
            </w:r>
          </w:p>
          <w:p>
            <w:pPr>
              <w:pStyle w:val="F21"/>
              <w:tabs>
                <w:tab w:val="clear" w:pos="567"/>
              </w:tabs>
              <w:overflowPunct w:val="true"/>
              <w:snapToGrid w:val="false"/>
              <w:spacing w:lineRule="exact" w:line="340"/>
              <w:jc w:val="center"/>
              <w:rPr>
                <w:i/>
                <w:i/>
                <w:szCs w:val="27"/>
              </w:rPr>
            </w:pPr>
            <w:r>
              <w:rPr>
                <w:i/>
                <w:szCs w:val="27"/>
              </w:rPr>
              <w:t>90</w:t>
            </w:r>
          </w:p>
          <w:p>
            <w:pPr>
              <w:pStyle w:val="F21"/>
              <w:tabs>
                <w:tab w:val="clear" w:pos="567"/>
              </w:tabs>
              <w:overflowPunct w:val="true"/>
              <w:snapToGrid w:val="false"/>
              <w:spacing w:lineRule="exact" w:line="340"/>
              <w:jc w:val="center"/>
              <w:rPr>
                <w:i/>
                <w:i/>
                <w:szCs w:val="27"/>
              </w:rPr>
            </w:pPr>
            <w:r>
              <w:rPr>
                <w:i/>
                <w:szCs w:val="27"/>
              </w:rPr>
              <w:t>個</w:t>
            </w:r>
          </w:p>
        </w:tc>
      </w:tr>
      <w:tr>
        <w:trPr/>
        <w:tc>
          <w:tcPr>
            <w:tcW w:w="1564" w:type="dxa"/>
            <w:vMerge w:val="continue"/>
            <w:tcBorders/>
            <w:vAlign w:val="center"/>
          </w:tcPr>
          <w:p>
            <w:pPr>
              <w:pStyle w:val="F21"/>
              <w:tabs>
                <w:tab w:val="clear" w:pos="567"/>
              </w:tabs>
              <w:overflowPunct w:val="true"/>
              <w:snapToGrid w:val="false"/>
              <w:spacing w:lineRule="exact" w:line="340"/>
              <w:jc w:val="center"/>
              <w:rPr>
                <w:i/>
                <w:i/>
                <w:szCs w:val="27"/>
              </w:rPr>
            </w:pPr>
            <w:r>
              <w:rPr>
                <w:i/>
                <w:szCs w:val="27"/>
              </w:rPr>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百分值</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百分值</w:t>
            </w:r>
          </w:p>
        </w:tc>
        <w:tc>
          <w:tcPr>
            <w:tcW w:w="2552" w:type="dxa"/>
            <w:gridSpan w:val="4"/>
            <w:tcBorders/>
            <w:vAlign w:val="center"/>
          </w:tcPr>
          <w:p>
            <w:pPr>
              <w:pStyle w:val="F21"/>
              <w:tabs>
                <w:tab w:val="clear" w:pos="567"/>
              </w:tabs>
              <w:overflowPunct w:val="true"/>
              <w:snapToGrid w:val="false"/>
              <w:spacing w:lineRule="exact" w:line="340"/>
              <w:jc w:val="center"/>
              <w:rPr>
                <w:i/>
                <w:i/>
                <w:szCs w:val="27"/>
              </w:rPr>
            </w:pPr>
            <w:r>
              <w:rPr>
                <w:i/>
                <w:szCs w:val="27"/>
              </w:rPr>
              <w:t>百分值</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港島東</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183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119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191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40</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125</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195</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港島西</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87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122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41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128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42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98</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143</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九龍中</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10</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113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307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14</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85</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184</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17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76</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170</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九龍東</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182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350</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211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385</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&lt;1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48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209</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408</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九龍西</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46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139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214</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68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153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221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73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181</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268</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新界東</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118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232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157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239</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36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161</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268</w:t>
            </w:r>
          </w:p>
        </w:tc>
      </w:tr>
      <w:tr>
        <w:trPr/>
        <w:tc>
          <w:tcPr>
            <w:tcW w:w="1564" w:type="dxa"/>
            <w:tcBorders/>
          </w:tcPr>
          <w:p>
            <w:pPr>
              <w:pStyle w:val="F21"/>
              <w:tabs>
                <w:tab w:val="clear" w:pos="567"/>
              </w:tabs>
              <w:overflowPunct w:val="true"/>
              <w:snapToGrid w:val="false"/>
              <w:spacing w:lineRule="exact" w:line="340"/>
              <w:jc w:val="center"/>
              <w:rPr>
                <w:szCs w:val="27"/>
              </w:rPr>
            </w:pPr>
            <w:r>
              <w:rPr>
                <w:szCs w:val="27"/>
              </w:rPr>
              <w:t>新界西</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33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93</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267</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106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226</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2</w:t>
            </w:r>
          </w:p>
        </w:tc>
        <w:tc>
          <w:tcPr>
            <w:tcW w:w="637" w:type="dxa"/>
            <w:tcBorders/>
          </w:tcPr>
          <w:p>
            <w:pPr>
              <w:pStyle w:val="F21"/>
              <w:tabs>
                <w:tab w:val="clear" w:pos="567"/>
              </w:tabs>
              <w:overflowPunct w:val="true"/>
              <w:snapToGrid w:val="false"/>
              <w:spacing w:lineRule="exact" w:line="340"/>
              <w:ind w:right="113" w:hanging="0"/>
              <w:jc w:val="right"/>
              <w:rPr>
                <w:szCs w:val="27"/>
              </w:rPr>
            </w:pPr>
            <w:r>
              <w:rPr>
                <w:szCs w:val="27"/>
              </w:rPr>
              <w:t>18</w:t>
            </w:r>
          </w:p>
        </w:tc>
        <w:tc>
          <w:tcPr>
            <w:tcW w:w="638" w:type="dxa"/>
            <w:tcBorders/>
          </w:tcPr>
          <w:p>
            <w:pPr>
              <w:pStyle w:val="F21"/>
              <w:tabs>
                <w:tab w:val="clear" w:pos="567"/>
              </w:tabs>
              <w:overflowPunct w:val="true"/>
              <w:snapToGrid w:val="false"/>
              <w:spacing w:lineRule="exact" w:line="340"/>
              <w:ind w:right="113" w:hanging="0"/>
              <w:jc w:val="right"/>
              <w:rPr>
                <w:szCs w:val="27"/>
              </w:rPr>
            </w:pPr>
            <w:r>
              <w:rPr>
                <w:szCs w:val="27"/>
              </w:rPr>
              <w:t>88</w:t>
            </w:r>
          </w:p>
        </w:tc>
        <w:tc>
          <w:tcPr>
            <w:tcW w:w="639" w:type="dxa"/>
            <w:tcBorders/>
          </w:tcPr>
          <w:p>
            <w:pPr>
              <w:pStyle w:val="F21"/>
              <w:tabs>
                <w:tab w:val="clear" w:pos="567"/>
              </w:tabs>
              <w:overflowPunct w:val="true"/>
              <w:snapToGrid w:val="false"/>
              <w:spacing w:lineRule="exact" w:line="340"/>
              <w:ind w:right="113" w:hanging="0"/>
              <w:jc w:val="right"/>
              <w:rPr>
                <w:szCs w:val="27"/>
              </w:rPr>
            </w:pPr>
            <w:r>
              <w:rPr>
                <w:szCs w:val="27"/>
              </w:rPr>
              <w:t>173</w:t>
            </w:r>
          </w:p>
        </w:tc>
      </w:tr>
    </w:tbl>
    <w:p>
      <w:pPr>
        <w:pStyle w:val="F21"/>
        <w:snapToGrid w:val="false"/>
        <w:rPr>
          <w:szCs w:val="27"/>
        </w:rPr>
      </w:pPr>
      <w:r>
        <w:rPr>
          <w:szCs w:val="27"/>
        </w:rPr>
        <w:t>(</w:t>
      </w:r>
      <w:r>
        <w:rPr>
          <w:szCs w:val="27"/>
        </w:rPr>
        <w:t>三</w:t>
      </w:r>
      <w:r>
        <w:rPr>
          <w:szCs w:val="27"/>
        </w:rPr>
        <w:t>)</w:t>
      </w:r>
      <w:r>
        <w:rPr>
          <w:szCs w:val="27"/>
        </w:rPr>
        <w:t>乳房</w:t>
      </w:r>
      <w:r>
        <w:rPr>
          <w:szCs w:val="27"/>
        </w:rPr>
        <w:t>X</w:t>
      </w:r>
      <w:r>
        <w:rPr>
          <w:szCs w:val="27"/>
        </w:rPr>
        <w:t>光造影</w:t>
      </w:r>
    </w:p>
    <w:p>
      <w:pPr>
        <w:pStyle w:val="F21"/>
        <w:snapToGrid w:val="false"/>
        <w:rPr>
          <w:szCs w:val="27"/>
        </w:rPr>
      </w:pPr>
      <w:r>
        <w:rPr>
          <w:szCs w:val="27"/>
        </w:rPr>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1564"/>
        <w:gridCol w:w="638"/>
        <w:gridCol w:w="638"/>
        <w:gridCol w:w="638"/>
        <w:gridCol w:w="638"/>
        <w:gridCol w:w="638"/>
        <w:gridCol w:w="638"/>
        <w:gridCol w:w="638"/>
        <w:gridCol w:w="638"/>
        <w:gridCol w:w="638"/>
        <w:gridCol w:w="637"/>
        <w:gridCol w:w="638"/>
        <w:gridCol w:w="639"/>
      </w:tblGrid>
      <w:tr>
        <w:trPr/>
        <w:tc>
          <w:tcPr>
            <w:tcW w:w="1564" w:type="dxa"/>
            <w:vMerge w:val="restart"/>
            <w:tcBorders/>
            <w:vAlign w:val="center"/>
          </w:tcPr>
          <w:p>
            <w:pPr>
              <w:pStyle w:val="F21"/>
              <w:tabs>
                <w:tab w:val="clear" w:pos="567"/>
              </w:tabs>
              <w:snapToGrid w:val="false"/>
              <w:jc w:val="center"/>
              <w:rPr>
                <w:i/>
                <w:i/>
                <w:szCs w:val="27"/>
              </w:rPr>
            </w:pPr>
            <w:r>
              <w:rPr>
                <w:i/>
                <w:szCs w:val="27"/>
              </w:rPr>
              <w:t>聯網</w:t>
            </w:r>
          </w:p>
        </w:tc>
        <w:tc>
          <w:tcPr>
            <w:tcW w:w="2552" w:type="dxa"/>
            <w:gridSpan w:val="4"/>
            <w:tcBorders/>
            <w:vAlign w:val="center"/>
          </w:tcPr>
          <w:p>
            <w:pPr>
              <w:pStyle w:val="F21"/>
              <w:tabs>
                <w:tab w:val="clear" w:pos="567"/>
              </w:tabs>
              <w:snapToGrid w:val="false"/>
              <w:jc w:val="center"/>
              <w:rPr>
                <w:i/>
                <w:i/>
                <w:szCs w:val="27"/>
              </w:rPr>
            </w:pPr>
            <w:r>
              <w:rPr>
                <w:i/>
                <w:szCs w:val="27"/>
              </w:rPr>
              <w:t>2010</w:t>
            </w:r>
            <w:r>
              <w:rPr>
                <w:i/>
                <w:szCs w:val="27"/>
              </w:rPr>
              <w:t>年</w:t>
            </w:r>
            <w:r>
              <w:rPr>
                <w:i/>
                <w:szCs w:val="27"/>
              </w:rPr>
              <w:t>7</w:t>
            </w:r>
            <w:r>
              <w:rPr>
                <w:i/>
                <w:szCs w:val="27"/>
              </w:rPr>
              <w:t>月</w:t>
            </w:r>
            <w:r>
              <w:rPr>
                <w:i/>
                <w:szCs w:val="27"/>
              </w:rPr>
              <w:t>1</w:t>
            </w:r>
            <w:r>
              <w:rPr>
                <w:i/>
                <w:szCs w:val="27"/>
              </w:rPr>
              <w:t>日至</w:t>
            </w:r>
            <w:r>
              <w:rPr>
                <w:i/>
                <w:szCs w:val="27"/>
              </w:rPr>
              <w:t>2011</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snapToGrid w:val="false"/>
              <w:jc w:val="center"/>
              <w:rPr>
                <w:i/>
                <w:i/>
                <w:szCs w:val="27"/>
              </w:rPr>
            </w:pPr>
            <w:r>
              <w:rPr>
                <w:i/>
                <w:szCs w:val="27"/>
              </w:rPr>
              <w:t>2011</w:t>
            </w:r>
            <w:r>
              <w:rPr>
                <w:i/>
                <w:szCs w:val="27"/>
              </w:rPr>
              <w:t>年</w:t>
            </w:r>
            <w:r>
              <w:rPr>
                <w:i/>
                <w:szCs w:val="27"/>
              </w:rPr>
              <w:t>7</w:t>
            </w:r>
            <w:r>
              <w:rPr>
                <w:i/>
                <w:szCs w:val="27"/>
              </w:rPr>
              <w:t>月</w:t>
            </w:r>
            <w:r>
              <w:rPr>
                <w:i/>
                <w:szCs w:val="27"/>
              </w:rPr>
              <w:t>1</w:t>
            </w:r>
            <w:r>
              <w:rPr>
                <w:i/>
                <w:szCs w:val="27"/>
              </w:rPr>
              <w:t>日至</w:t>
            </w:r>
            <w:r>
              <w:rPr>
                <w:i/>
                <w:szCs w:val="27"/>
              </w:rPr>
              <w:t>2012</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snapToGrid w:val="false"/>
              <w:jc w:val="center"/>
              <w:rPr>
                <w:i/>
                <w:i/>
                <w:szCs w:val="27"/>
              </w:rPr>
            </w:pPr>
            <w:r>
              <w:rPr>
                <w:i/>
                <w:szCs w:val="27"/>
              </w:rPr>
              <w:t>2012</w:t>
            </w:r>
            <w:r>
              <w:rPr>
                <w:i/>
                <w:szCs w:val="27"/>
              </w:rPr>
              <w:t>年</w:t>
            </w:r>
            <w:r>
              <w:rPr>
                <w:i/>
                <w:szCs w:val="27"/>
              </w:rPr>
              <w:t>7</w:t>
            </w:r>
            <w:r>
              <w:rPr>
                <w:i/>
                <w:szCs w:val="27"/>
              </w:rPr>
              <w:t>月</w:t>
            </w:r>
            <w:r>
              <w:rPr>
                <w:i/>
                <w:szCs w:val="27"/>
              </w:rPr>
              <w:t>1</w:t>
            </w:r>
            <w:r>
              <w:rPr>
                <w:i/>
                <w:szCs w:val="27"/>
              </w:rPr>
              <w:t>日至</w:t>
            </w:r>
            <w:r>
              <w:rPr>
                <w:i/>
                <w:szCs w:val="27"/>
              </w:rPr>
              <w:t>2013</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jc w:val="center"/>
              <w:rPr>
                <w:i/>
                <w:i/>
                <w:szCs w:val="27"/>
              </w:rPr>
            </w:pPr>
            <w:r>
              <w:rPr>
                <w:i/>
                <w:szCs w:val="27"/>
              </w:rPr>
              <w:t>輪候時間</w:t>
            </w:r>
            <w:r>
              <w:rPr>
                <w:i/>
                <w:szCs w:val="27"/>
              </w:rPr>
              <w:t>(</w:t>
            </w:r>
            <w:r>
              <w:rPr>
                <w:i/>
                <w:szCs w:val="27"/>
              </w:rPr>
              <w:t>日</w:t>
            </w:r>
            <w:r>
              <w:rPr>
                <w:i/>
                <w:szCs w:val="27"/>
              </w:rPr>
              <w:t>)</w:t>
            </w:r>
          </w:p>
        </w:tc>
      </w:tr>
      <w:tr>
        <w:trPr/>
        <w:tc>
          <w:tcPr>
            <w:tcW w:w="1564" w:type="dxa"/>
            <w:vMerge w:val="continue"/>
            <w:tcBorders/>
            <w:vAlign w:val="center"/>
          </w:tcPr>
          <w:p>
            <w:pPr>
              <w:pStyle w:val="F21"/>
              <w:tabs>
                <w:tab w:val="clear" w:pos="567"/>
              </w:tabs>
              <w:overflowPunct w:val="true"/>
              <w:snapToGrid w:val="false"/>
              <w:jc w:val="center"/>
              <w:rPr>
                <w:i/>
                <w:i/>
                <w:szCs w:val="27"/>
              </w:rPr>
            </w:pPr>
            <w:r>
              <w:rPr>
                <w:i/>
                <w:szCs w:val="27"/>
              </w:rPr>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25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50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75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90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25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50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75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90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25</w:t>
            </w:r>
          </w:p>
          <w:p>
            <w:pPr>
              <w:pStyle w:val="F21"/>
              <w:tabs>
                <w:tab w:val="clear" w:pos="567"/>
              </w:tabs>
              <w:overflowPunct w:val="true"/>
              <w:snapToGrid w:val="false"/>
              <w:jc w:val="center"/>
              <w:rPr>
                <w:i/>
                <w:i/>
                <w:szCs w:val="27"/>
              </w:rPr>
            </w:pPr>
            <w:r>
              <w:rPr>
                <w:i/>
                <w:szCs w:val="27"/>
              </w:rPr>
              <w:t>個</w:t>
            </w:r>
          </w:p>
        </w:tc>
        <w:tc>
          <w:tcPr>
            <w:tcW w:w="637"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50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75</w:t>
            </w:r>
          </w:p>
          <w:p>
            <w:pPr>
              <w:pStyle w:val="F21"/>
              <w:tabs>
                <w:tab w:val="clear" w:pos="567"/>
              </w:tabs>
              <w:overflowPunct w:val="true"/>
              <w:snapToGrid w:val="false"/>
              <w:jc w:val="center"/>
              <w:rPr>
                <w:i/>
                <w:i/>
                <w:szCs w:val="27"/>
              </w:rPr>
            </w:pPr>
            <w:r>
              <w:rPr>
                <w:i/>
                <w:szCs w:val="27"/>
              </w:rPr>
              <w:t>個</w:t>
            </w:r>
          </w:p>
        </w:tc>
        <w:tc>
          <w:tcPr>
            <w:tcW w:w="639"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90</w:t>
            </w:r>
          </w:p>
          <w:p>
            <w:pPr>
              <w:pStyle w:val="F21"/>
              <w:tabs>
                <w:tab w:val="clear" w:pos="567"/>
              </w:tabs>
              <w:overflowPunct w:val="true"/>
              <w:snapToGrid w:val="false"/>
              <w:jc w:val="center"/>
              <w:rPr>
                <w:i/>
                <w:i/>
                <w:szCs w:val="27"/>
              </w:rPr>
            </w:pPr>
            <w:r>
              <w:rPr>
                <w:i/>
                <w:szCs w:val="27"/>
              </w:rPr>
              <w:t>個</w:t>
            </w:r>
          </w:p>
        </w:tc>
      </w:tr>
      <w:tr>
        <w:trPr/>
        <w:tc>
          <w:tcPr>
            <w:tcW w:w="1564" w:type="dxa"/>
            <w:vMerge w:val="continue"/>
            <w:tcBorders/>
            <w:vAlign w:val="center"/>
          </w:tcPr>
          <w:p>
            <w:pPr>
              <w:pStyle w:val="F21"/>
              <w:tabs>
                <w:tab w:val="clear" w:pos="567"/>
              </w:tabs>
              <w:snapToGrid w:val="false"/>
              <w:jc w:val="center"/>
              <w:rPr>
                <w:i/>
                <w:i/>
                <w:szCs w:val="27"/>
              </w:rPr>
            </w:pPr>
            <w:r>
              <w:rPr>
                <w:i/>
                <w:szCs w:val="27"/>
              </w:rPr>
            </w:r>
          </w:p>
        </w:tc>
        <w:tc>
          <w:tcPr>
            <w:tcW w:w="2552" w:type="dxa"/>
            <w:gridSpan w:val="4"/>
            <w:tcBorders/>
            <w:vAlign w:val="center"/>
          </w:tcPr>
          <w:p>
            <w:pPr>
              <w:pStyle w:val="F21"/>
              <w:tabs>
                <w:tab w:val="clear" w:pos="567"/>
              </w:tabs>
              <w:snapToGrid w:val="false"/>
              <w:jc w:val="center"/>
              <w:rPr>
                <w:i/>
                <w:i/>
                <w:szCs w:val="27"/>
              </w:rPr>
            </w:pPr>
            <w:r>
              <w:rPr>
                <w:i/>
                <w:szCs w:val="27"/>
              </w:rPr>
              <w:t>百分值</w:t>
            </w:r>
          </w:p>
        </w:tc>
        <w:tc>
          <w:tcPr>
            <w:tcW w:w="2552" w:type="dxa"/>
            <w:gridSpan w:val="4"/>
            <w:tcBorders/>
            <w:vAlign w:val="center"/>
          </w:tcPr>
          <w:p>
            <w:pPr>
              <w:pStyle w:val="F21"/>
              <w:tabs>
                <w:tab w:val="clear" w:pos="567"/>
              </w:tabs>
              <w:snapToGrid w:val="false"/>
              <w:jc w:val="center"/>
              <w:rPr>
                <w:i/>
                <w:i/>
                <w:szCs w:val="27"/>
              </w:rPr>
            </w:pPr>
            <w:r>
              <w:rPr>
                <w:i/>
                <w:szCs w:val="27"/>
              </w:rPr>
              <w:t>百分值</w:t>
            </w:r>
          </w:p>
        </w:tc>
        <w:tc>
          <w:tcPr>
            <w:tcW w:w="2552" w:type="dxa"/>
            <w:gridSpan w:val="4"/>
            <w:tcBorders/>
            <w:vAlign w:val="center"/>
          </w:tcPr>
          <w:p>
            <w:pPr>
              <w:pStyle w:val="F21"/>
              <w:tabs>
                <w:tab w:val="clear" w:pos="567"/>
              </w:tabs>
              <w:snapToGrid w:val="false"/>
              <w:jc w:val="center"/>
              <w:rPr>
                <w:i/>
                <w:i/>
                <w:szCs w:val="27"/>
              </w:rPr>
            </w:pPr>
            <w:r>
              <w:rPr>
                <w:i/>
                <w:szCs w:val="27"/>
              </w:rPr>
              <w:t>百分值</w:t>
            </w:r>
          </w:p>
        </w:tc>
      </w:tr>
      <w:tr>
        <w:trPr/>
        <w:tc>
          <w:tcPr>
            <w:tcW w:w="1564" w:type="dxa"/>
            <w:tcBorders/>
          </w:tcPr>
          <w:p>
            <w:pPr>
              <w:pStyle w:val="F21"/>
              <w:tabs>
                <w:tab w:val="clear" w:pos="567"/>
              </w:tabs>
              <w:snapToGrid w:val="false"/>
              <w:jc w:val="center"/>
              <w:rPr>
                <w:szCs w:val="27"/>
              </w:rPr>
            </w:pPr>
            <w:r>
              <w:rPr>
                <w:szCs w:val="27"/>
              </w:rPr>
              <w:t>港島東</w:t>
            </w:r>
          </w:p>
        </w:tc>
        <w:tc>
          <w:tcPr>
            <w:tcW w:w="638" w:type="dxa"/>
            <w:tcBorders/>
          </w:tcPr>
          <w:p>
            <w:pPr>
              <w:pStyle w:val="F21"/>
              <w:tabs>
                <w:tab w:val="clear" w:pos="567"/>
              </w:tabs>
              <w:overflowPunct w:val="true"/>
              <w:snapToGrid w:val="false"/>
              <w:ind w:right="113" w:hanging="0"/>
              <w:jc w:val="right"/>
              <w:rPr>
                <w:szCs w:val="27"/>
              </w:rPr>
            </w:pPr>
            <w:r>
              <w:rPr>
                <w:szCs w:val="27"/>
              </w:rPr>
              <w:t>79</w:t>
            </w:r>
          </w:p>
        </w:tc>
        <w:tc>
          <w:tcPr>
            <w:tcW w:w="638" w:type="dxa"/>
            <w:tcBorders/>
          </w:tcPr>
          <w:p>
            <w:pPr>
              <w:pStyle w:val="F21"/>
              <w:tabs>
                <w:tab w:val="clear" w:pos="567"/>
              </w:tabs>
              <w:overflowPunct w:val="true"/>
              <w:snapToGrid w:val="false"/>
              <w:ind w:right="113" w:hanging="0"/>
              <w:jc w:val="right"/>
              <w:rPr>
                <w:szCs w:val="27"/>
              </w:rPr>
            </w:pPr>
            <w:r>
              <w:rPr>
                <w:szCs w:val="27"/>
              </w:rPr>
              <w:t>237</w:t>
            </w:r>
          </w:p>
        </w:tc>
        <w:tc>
          <w:tcPr>
            <w:tcW w:w="638" w:type="dxa"/>
            <w:tcBorders/>
          </w:tcPr>
          <w:p>
            <w:pPr>
              <w:pStyle w:val="F21"/>
              <w:tabs>
                <w:tab w:val="clear" w:pos="567"/>
              </w:tabs>
              <w:overflowPunct w:val="true"/>
              <w:snapToGrid w:val="false"/>
              <w:ind w:right="113" w:hanging="0"/>
              <w:jc w:val="right"/>
              <w:rPr>
                <w:szCs w:val="27"/>
              </w:rPr>
            </w:pPr>
            <w:r>
              <w:rPr>
                <w:szCs w:val="27"/>
              </w:rPr>
              <w:t>379</w:t>
            </w:r>
          </w:p>
        </w:tc>
        <w:tc>
          <w:tcPr>
            <w:tcW w:w="638" w:type="dxa"/>
            <w:tcBorders/>
          </w:tcPr>
          <w:p>
            <w:pPr>
              <w:pStyle w:val="F21"/>
              <w:tabs>
                <w:tab w:val="clear" w:pos="567"/>
              </w:tabs>
              <w:overflowPunct w:val="true"/>
              <w:snapToGrid w:val="false"/>
              <w:ind w:right="113" w:hanging="0"/>
              <w:jc w:val="right"/>
              <w:rPr>
                <w:szCs w:val="27"/>
              </w:rPr>
            </w:pPr>
            <w:r>
              <w:rPr>
                <w:szCs w:val="27"/>
              </w:rPr>
              <w:t>498</w:t>
            </w:r>
          </w:p>
        </w:tc>
        <w:tc>
          <w:tcPr>
            <w:tcW w:w="638" w:type="dxa"/>
            <w:tcBorders/>
          </w:tcPr>
          <w:p>
            <w:pPr>
              <w:pStyle w:val="F21"/>
              <w:tabs>
                <w:tab w:val="clear" w:pos="567"/>
              </w:tabs>
              <w:overflowPunct w:val="true"/>
              <w:snapToGrid w:val="false"/>
              <w:ind w:right="113" w:hanging="0"/>
              <w:jc w:val="right"/>
              <w:rPr>
                <w:szCs w:val="27"/>
              </w:rPr>
            </w:pPr>
            <w:r>
              <w:rPr>
                <w:szCs w:val="27"/>
              </w:rPr>
              <w:t>50</w:t>
            </w:r>
          </w:p>
        </w:tc>
        <w:tc>
          <w:tcPr>
            <w:tcW w:w="638" w:type="dxa"/>
            <w:tcBorders/>
          </w:tcPr>
          <w:p>
            <w:pPr>
              <w:pStyle w:val="F21"/>
              <w:tabs>
                <w:tab w:val="clear" w:pos="567"/>
              </w:tabs>
              <w:overflowPunct w:val="true"/>
              <w:snapToGrid w:val="false"/>
              <w:ind w:right="113" w:hanging="0"/>
              <w:jc w:val="right"/>
              <w:rPr>
                <w:szCs w:val="27"/>
              </w:rPr>
            </w:pPr>
            <w:r>
              <w:rPr>
                <w:szCs w:val="27"/>
              </w:rPr>
              <w:t>294</w:t>
            </w:r>
          </w:p>
        </w:tc>
        <w:tc>
          <w:tcPr>
            <w:tcW w:w="638" w:type="dxa"/>
            <w:tcBorders/>
          </w:tcPr>
          <w:p>
            <w:pPr>
              <w:pStyle w:val="F21"/>
              <w:tabs>
                <w:tab w:val="clear" w:pos="567"/>
              </w:tabs>
              <w:overflowPunct w:val="true"/>
              <w:snapToGrid w:val="false"/>
              <w:ind w:right="113" w:hanging="0"/>
              <w:jc w:val="right"/>
              <w:rPr>
                <w:szCs w:val="27"/>
              </w:rPr>
            </w:pPr>
            <w:r>
              <w:rPr>
                <w:szCs w:val="27"/>
              </w:rPr>
              <w:t>393</w:t>
            </w:r>
          </w:p>
        </w:tc>
        <w:tc>
          <w:tcPr>
            <w:tcW w:w="638" w:type="dxa"/>
            <w:tcBorders/>
          </w:tcPr>
          <w:p>
            <w:pPr>
              <w:pStyle w:val="F21"/>
              <w:tabs>
                <w:tab w:val="clear" w:pos="567"/>
              </w:tabs>
              <w:overflowPunct w:val="true"/>
              <w:snapToGrid w:val="false"/>
              <w:ind w:right="113" w:hanging="0"/>
              <w:jc w:val="right"/>
              <w:rPr>
                <w:szCs w:val="27"/>
              </w:rPr>
            </w:pPr>
            <w:r>
              <w:rPr>
                <w:szCs w:val="27"/>
              </w:rPr>
              <w:t>510</w:t>
            </w:r>
          </w:p>
        </w:tc>
        <w:tc>
          <w:tcPr>
            <w:tcW w:w="638" w:type="dxa"/>
            <w:tcBorders/>
          </w:tcPr>
          <w:p>
            <w:pPr>
              <w:pStyle w:val="F21"/>
              <w:tabs>
                <w:tab w:val="clear" w:pos="567"/>
              </w:tabs>
              <w:overflowPunct w:val="true"/>
              <w:snapToGrid w:val="false"/>
              <w:ind w:right="113" w:hanging="0"/>
              <w:jc w:val="right"/>
              <w:rPr>
                <w:szCs w:val="27"/>
              </w:rPr>
            </w:pPr>
            <w:r>
              <w:rPr>
                <w:szCs w:val="27"/>
              </w:rPr>
              <w:t>161</w:t>
            </w:r>
          </w:p>
        </w:tc>
        <w:tc>
          <w:tcPr>
            <w:tcW w:w="637" w:type="dxa"/>
            <w:tcBorders/>
          </w:tcPr>
          <w:p>
            <w:pPr>
              <w:pStyle w:val="F21"/>
              <w:tabs>
                <w:tab w:val="clear" w:pos="567"/>
              </w:tabs>
              <w:overflowPunct w:val="true"/>
              <w:snapToGrid w:val="false"/>
              <w:ind w:right="113" w:hanging="0"/>
              <w:jc w:val="right"/>
              <w:rPr>
                <w:szCs w:val="27"/>
              </w:rPr>
            </w:pPr>
            <w:r>
              <w:rPr>
                <w:szCs w:val="27"/>
              </w:rPr>
              <w:t>350</w:t>
            </w:r>
          </w:p>
        </w:tc>
        <w:tc>
          <w:tcPr>
            <w:tcW w:w="638" w:type="dxa"/>
            <w:tcBorders/>
          </w:tcPr>
          <w:p>
            <w:pPr>
              <w:pStyle w:val="F21"/>
              <w:tabs>
                <w:tab w:val="clear" w:pos="567"/>
              </w:tabs>
              <w:overflowPunct w:val="true"/>
              <w:snapToGrid w:val="false"/>
              <w:ind w:right="113" w:hanging="0"/>
              <w:jc w:val="right"/>
              <w:rPr>
                <w:szCs w:val="27"/>
              </w:rPr>
            </w:pPr>
            <w:r>
              <w:rPr>
                <w:szCs w:val="27"/>
              </w:rPr>
              <w:t>404</w:t>
            </w:r>
          </w:p>
        </w:tc>
        <w:tc>
          <w:tcPr>
            <w:tcW w:w="639" w:type="dxa"/>
            <w:tcBorders/>
          </w:tcPr>
          <w:p>
            <w:pPr>
              <w:pStyle w:val="F21"/>
              <w:tabs>
                <w:tab w:val="clear" w:pos="567"/>
              </w:tabs>
              <w:overflowPunct w:val="true"/>
              <w:snapToGrid w:val="false"/>
              <w:ind w:right="113" w:hanging="0"/>
              <w:jc w:val="right"/>
              <w:rPr>
                <w:szCs w:val="27"/>
              </w:rPr>
            </w:pPr>
            <w:r>
              <w:rPr>
                <w:szCs w:val="27"/>
              </w:rPr>
              <w:t>582</w:t>
            </w:r>
          </w:p>
        </w:tc>
      </w:tr>
      <w:tr>
        <w:trPr/>
        <w:tc>
          <w:tcPr>
            <w:tcW w:w="1564" w:type="dxa"/>
            <w:tcBorders/>
          </w:tcPr>
          <w:p>
            <w:pPr>
              <w:pStyle w:val="F21"/>
              <w:tabs>
                <w:tab w:val="clear" w:pos="567"/>
              </w:tabs>
              <w:snapToGrid w:val="false"/>
              <w:jc w:val="center"/>
              <w:rPr>
                <w:szCs w:val="27"/>
              </w:rPr>
            </w:pPr>
            <w:r>
              <w:rPr>
                <w:szCs w:val="27"/>
              </w:rPr>
              <w:t>港島西</w:t>
            </w:r>
          </w:p>
        </w:tc>
        <w:tc>
          <w:tcPr>
            <w:tcW w:w="638" w:type="dxa"/>
            <w:tcBorders/>
          </w:tcPr>
          <w:p>
            <w:pPr>
              <w:pStyle w:val="F21"/>
              <w:tabs>
                <w:tab w:val="clear" w:pos="567"/>
              </w:tabs>
              <w:overflowPunct w:val="true"/>
              <w:snapToGrid w:val="false"/>
              <w:ind w:right="113" w:hanging="0"/>
              <w:jc w:val="right"/>
              <w:rPr>
                <w:szCs w:val="27"/>
              </w:rPr>
            </w:pPr>
            <w:r>
              <w:rPr>
                <w:szCs w:val="27"/>
              </w:rPr>
              <w:t>7</w:t>
            </w:r>
          </w:p>
        </w:tc>
        <w:tc>
          <w:tcPr>
            <w:tcW w:w="638" w:type="dxa"/>
            <w:tcBorders/>
          </w:tcPr>
          <w:p>
            <w:pPr>
              <w:pStyle w:val="F21"/>
              <w:tabs>
                <w:tab w:val="clear" w:pos="567"/>
              </w:tabs>
              <w:overflowPunct w:val="true"/>
              <w:snapToGrid w:val="false"/>
              <w:ind w:right="113" w:hanging="0"/>
              <w:jc w:val="right"/>
              <w:rPr>
                <w:szCs w:val="27"/>
              </w:rPr>
            </w:pPr>
            <w:r>
              <w:rPr>
                <w:szCs w:val="27"/>
              </w:rPr>
              <w:t>198</w:t>
            </w:r>
          </w:p>
        </w:tc>
        <w:tc>
          <w:tcPr>
            <w:tcW w:w="638" w:type="dxa"/>
            <w:tcBorders/>
          </w:tcPr>
          <w:p>
            <w:pPr>
              <w:pStyle w:val="F21"/>
              <w:tabs>
                <w:tab w:val="clear" w:pos="567"/>
              </w:tabs>
              <w:overflowPunct w:val="true"/>
              <w:snapToGrid w:val="false"/>
              <w:ind w:right="113" w:hanging="0"/>
              <w:jc w:val="right"/>
              <w:rPr>
                <w:szCs w:val="27"/>
              </w:rPr>
            </w:pPr>
            <w:r>
              <w:rPr>
                <w:szCs w:val="27"/>
              </w:rPr>
              <w:t>335</w:t>
            </w:r>
          </w:p>
        </w:tc>
        <w:tc>
          <w:tcPr>
            <w:tcW w:w="638" w:type="dxa"/>
            <w:tcBorders/>
          </w:tcPr>
          <w:p>
            <w:pPr>
              <w:pStyle w:val="F21"/>
              <w:tabs>
                <w:tab w:val="clear" w:pos="567"/>
              </w:tabs>
              <w:overflowPunct w:val="true"/>
              <w:snapToGrid w:val="false"/>
              <w:ind w:right="113" w:hanging="0"/>
              <w:jc w:val="right"/>
              <w:rPr>
                <w:szCs w:val="27"/>
              </w:rPr>
            </w:pPr>
            <w:r>
              <w:rPr>
                <w:szCs w:val="27"/>
              </w:rPr>
              <w:t>424</w:t>
            </w:r>
          </w:p>
        </w:tc>
        <w:tc>
          <w:tcPr>
            <w:tcW w:w="638" w:type="dxa"/>
            <w:tcBorders/>
          </w:tcPr>
          <w:p>
            <w:pPr>
              <w:pStyle w:val="F21"/>
              <w:tabs>
                <w:tab w:val="clear" w:pos="567"/>
              </w:tabs>
              <w:overflowPunct w:val="true"/>
              <w:snapToGrid w:val="false"/>
              <w:ind w:right="113" w:hanging="0"/>
              <w:jc w:val="right"/>
              <w:rPr>
                <w:szCs w:val="27"/>
              </w:rPr>
            </w:pPr>
            <w:r>
              <w:rPr>
                <w:szCs w:val="27"/>
              </w:rPr>
              <w:t>8</w:t>
            </w:r>
          </w:p>
        </w:tc>
        <w:tc>
          <w:tcPr>
            <w:tcW w:w="638" w:type="dxa"/>
            <w:tcBorders/>
          </w:tcPr>
          <w:p>
            <w:pPr>
              <w:pStyle w:val="F21"/>
              <w:tabs>
                <w:tab w:val="clear" w:pos="567"/>
              </w:tabs>
              <w:overflowPunct w:val="true"/>
              <w:snapToGrid w:val="false"/>
              <w:ind w:right="113" w:hanging="0"/>
              <w:jc w:val="right"/>
              <w:rPr>
                <w:szCs w:val="27"/>
              </w:rPr>
            </w:pPr>
            <w:r>
              <w:rPr>
                <w:szCs w:val="27"/>
              </w:rPr>
              <w:t>242</w:t>
            </w:r>
          </w:p>
        </w:tc>
        <w:tc>
          <w:tcPr>
            <w:tcW w:w="638" w:type="dxa"/>
            <w:tcBorders/>
          </w:tcPr>
          <w:p>
            <w:pPr>
              <w:pStyle w:val="F21"/>
              <w:tabs>
                <w:tab w:val="clear" w:pos="567"/>
              </w:tabs>
              <w:overflowPunct w:val="true"/>
              <w:snapToGrid w:val="false"/>
              <w:ind w:right="113" w:hanging="0"/>
              <w:jc w:val="right"/>
              <w:rPr>
                <w:szCs w:val="27"/>
              </w:rPr>
            </w:pPr>
            <w:r>
              <w:rPr>
                <w:szCs w:val="27"/>
              </w:rPr>
              <w:t>351</w:t>
            </w:r>
          </w:p>
        </w:tc>
        <w:tc>
          <w:tcPr>
            <w:tcW w:w="638" w:type="dxa"/>
            <w:tcBorders/>
          </w:tcPr>
          <w:p>
            <w:pPr>
              <w:pStyle w:val="F21"/>
              <w:tabs>
                <w:tab w:val="clear" w:pos="567"/>
              </w:tabs>
              <w:overflowPunct w:val="true"/>
              <w:snapToGrid w:val="false"/>
              <w:ind w:right="113" w:hanging="0"/>
              <w:jc w:val="right"/>
              <w:rPr>
                <w:szCs w:val="27"/>
              </w:rPr>
            </w:pPr>
            <w:r>
              <w:rPr>
                <w:szCs w:val="27"/>
              </w:rPr>
              <w:t>406</w:t>
            </w:r>
          </w:p>
        </w:tc>
        <w:tc>
          <w:tcPr>
            <w:tcW w:w="638" w:type="dxa"/>
            <w:tcBorders/>
          </w:tcPr>
          <w:p>
            <w:pPr>
              <w:pStyle w:val="F21"/>
              <w:tabs>
                <w:tab w:val="clear" w:pos="567"/>
              </w:tabs>
              <w:overflowPunct w:val="true"/>
              <w:snapToGrid w:val="false"/>
              <w:ind w:right="113" w:hanging="0"/>
              <w:jc w:val="right"/>
              <w:rPr>
                <w:szCs w:val="27"/>
              </w:rPr>
            </w:pPr>
            <w:r>
              <w:rPr>
                <w:szCs w:val="27"/>
              </w:rPr>
              <w:t>13</w:t>
            </w:r>
          </w:p>
        </w:tc>
        <w:tc>
          <w:tcPr>
            <w:tcW w:w="637" w:type="dxa"/>
            <w:tcBorders/>
          </w:tcPr>
          <w:p>
            <w:pPr>
              <w:pStyle w:val="F21"/>
              <w:tabs>
                <w:tab w:val="clear" w:pos="567"/>
              </w:tabs>
              <w:overflowPunct w:val="true"/>
              <w:snapToGrid w:val="false"/>
              <w:ind w:right="113" w:hanging="0"/>
              <w:jc w:val="right"/>
              <w:rPr>
                <w:szCs w:val="27"/>
              </w:rPr>
            </w:pPr>
            <w:r>
              <w:rPr>
                <w:szCs w:val="27"/>
              </w:rPr>
              <w:t>329</w:t>
            </w:r>
          </w:p>
        </w:tc>
        <w:tc>
          <w:tcPr>
            <w:tcW w:w="638" w:type="dxa"/>
            <w:tcBorders/>
          </w:tcPr>
          <w:p>
            <w:pPr>
              <w:pStyle w:val="F21"/>
              <w:tabs>
                <w:tab w:val="clear" w:pos="567"/>
              </w:tabs>
              <w:overflowPunct w:val="true"/>
              <w:snapToGrid w:val="false"/>
              <w:ind w:right="113" w:hanging="0"/>
              <w:jc w:val="right"/>
              <w:rPr>
                <w:szCs w:val="27"/>
              </w:rPr>
            </w:pPr>
            <w:r>
              <w:rPr>
                <w:szCs w:val="27"/>
              </w:rPr>
              <w:t>395</w:t>
            </w:r>
          </w:p>
        </w:tc>
        <w:tc>
          <w:tcPr>
            <w:tcW w:w="639" w:type="dxa"/>
            <w:tcBorders/>
          </w:tcPr>
          <w:p>
            <w:pPr>
              <w:pStyle w:val="F21"/>
              <w:tabs>
                <w:tab w:val="clear" w:pos="567"/>
              </w:tabs>
              <w:overflowPunct w:val="true"/>
              <w:snapToGrid w:val="false"/>
              <w:ind w:right="113" w:hanging="0"/>
              <w:jc w:val="right"/>
              <w:rPr>
                <w:szCs w:val="27"/>
              </w:rPr>
            </w:pPr>
            <w:r>
              <w:rPr>
                <w:szCs w:val="27"/>
              </w:rPr>
              <w:t>447</w:t>
            </w:r>
          </w:p>
        </w:tc>
      </w:tr>
      <w:tr>
        <w:trPr/>
        <w:tc>
          <w:tcPr>
            <w:tcW w:w="1564" w:type="dxa"/>
            <w:tcBorders/>
          </w:tcPr>
          <w:p>
            <w:pPr>
              <w:pStyle w:val="F21"/>
              <w:tabs>
                <w:tab w:val="clear" w:pos="567"/>
              </w:tabs>
              <w:snapToGrid w:val="false"/>
              <w:jc w:val="center"/>
              <w:rPr>
                <w:szCs w:val="27"/>
              </w:rPr>
            </w:pPr>
            <w:r>
              <w:rPr>
                <w:szCs w:val="27"/>
              </w:rPr>
              <w:t>九龍中</w:t>
            </w:r>
          </w:p>
        </w:tc>
        <w:tc>
          <w:tcPr>
            <w:tcW w:w="638" w:type="dxa"/>
            <w:tcBorders/>
          </w:tcPr>
          <w:p>
            <w:pPr>
              <w:pStyle w:val="F21"/>
              <w:tabs>
                <w:tab w:val="clear" w:pos="567"/>
              </w:tabs>
              <w:overflowPunct w:val="true"/>
              <w:snapToGrid w:val="false"/>
              <w:ind w:right="113" w:hanging="0"/>
              <w:jc w:val="right"/>
              <w:rPr>
                <w:szCs w:val="27"/>
              </w:rPr>
            </w:pPr>
            <w:r>
              <w:rPr>
                <w:szCs w:val="27"/>
              </w:rPr>
              <w:t>36</w:t>
            </w:r>
          </w:p>
        </w:tc>
        <w:tc>
          <w:tcPr>
            <w:tcW w:w="638" w:type="dxa"/>
            <w:tcBorders/>
          </w:tcPr>
          <w:p>
            <w:pPr>
              <w:pStyle w:val="F21"/>
              <w:tabs>
                <w:tab w:val="clear" w:pos="567"/>
              </w:tabs>
              <w:overflowPunct w:val="true"/>
              <w:snapToGrid w:val="false"/>
              <w:ind w:right="113" w:hanging="0"/>
              <w:jc w:val="right"/>
              <w:rPr>
                <w:szCs w:val="27"/>
              </w:rPr>
            </w:pPr>
            <w:r>
              <w:rPr>
                <w:szCs w:val="27"/>
              </w:rPr>
              <w:t>158</w:t>
            </w:r>
          </w:p>
        </w:tc>
        <w:tc>
          <w:tcPr>
            <w:tcW w:w="638" w:type="dxa"/>
            <w:tcBorders/>
          </w:tcPr>
          <w:p>
            <w:pPr>
              <w:pStyle w:val="F21"/>
              <w:tabs>
                <w:tab w:val="clear" w:pos="567"/>
              </w:tabs>
              <w:overflowPunct w:val="true"/>
              <w:snapToGrid w:val="false"/>
              <w:ind w:right="113" w:hanging="0"/>
              <w:jc w:val="right"/>
              <w:rPr>
                <w:szCs w:val="27"/>
              </w:rPr>
            </w:pPr>
            <w:r>
              <w:rPr>
                <w:szCs w:val="27"/>
              </w:rPr>
              <w:t>292</w:t>
            </w:r>
          </w:p>
        </w:tc>
        <w:tc>
          <w:tcPr>
            <w:tcW w:w="638" w:type="dxa"/>
            <w:tcBorders/>
          </w:tcPr>
          <w:p>
            <w:pPr>
              <w:pStyle w:val="F21"/>
              <w:tabs>
                <w:tab w:val="clear" w:pos="567"/>
              </w:tabs>
              <w:overflowPunct w:val="true"/>
              <w:snapToGrid w:val="false"/>
              <w:ind w:right="113" w:hanging="0"/>
              <w:jc w:val="right"/>
              <w:rPr>
                <w:szCs w:val="27"/>
              </w:rPr>
            </w:pPr>
            <w:r>
              <w:rPr>
                <w:szCs w:val="27"/>
              </w:rPr>
              <w:t>360</w:t>
            </w:r>
          </w:p>
        </w:tc>
        <w:tc>
          <w:tcPr>
            <w:tcW w:w="638" w:type="dxa"/>
            <w:tcBorders/>
          </w:tcPr>
          <w:p>
            <w:pPr>
              <w:pStyle w:val="F21"/>
              <w:tabs>
                <w:tab w:val="clear" w:pos="567"/>
              </w:tabs>
              <w:overflowPunct w:val="true"/>
              <w:snapToGrid w:val="false"/>
              <w:ind w:right="113" w:hanging="0"/>
              <w:jc w:val="right"/>
              <w:rPr>
                <w:szCs w:val="27"/>
              </w:rPr>
            </w:pPr>
            <w:r>
              <w:rPr>
                <w:szCs w:val="27"/>
              </w:rPr>
              <w:t>18</w:t>
            </w:r>
          </w:p>
        </w:tc>
        <w:tc>
          <w:tcPr>
            <w:tcW w:w="638" w:type="dxa"/>
            <w:tcBorders/>
          </w:tcPr>
          <w:p>
            <w:pPr>
              <w:pStyle w:val="F21"/>
              <w:tabs>
                <w:tab w:val="clear" w:pos="567"/>
              </w:tabs>
              <w:overflowPunct w:val="true"/>
              <w:snapToGrid w:val="false"/>
              <w:ind w:right="113" w:hanging="0"/>
              <w:jc w:val="right"/>
              <w:rPr>
                <w:szCs w:val="27"/>
              </w:rPr>
            </w:pPr>
            <w:r>
              <w:rPr>
                <w:szCs w:val="27"/>
              </w:rPr>
              <w:t>153</w:t>
            </w:r>
          </w:p>
        </w:tc>
        <w:tc>
          <w:tcPr>
            <w:tcW w:w="638" w:type="dxa"/>
            <w:tcBorders/>
          </w:tcPr>
          <w:p>
            <w:pPr>
              <w:pStyle w:val="F21"/>
              <w:tabs>
                <w:tab w:val="clear" w:pos="567"/>
              </w:tabs>
              <w:overflowPunct w:val="true"/>
              <w:snapToGrid w:val="false"/>
              <w:ind w:right="113" w:hanging="0"/>
              <w:jc w:val="right"/>
              <w:rPr>
                <w:szCs w:val="27"/>
              </w:rPr>
            </w:pPr>
            <w:r>
              <w:rPr>
                <w:szCs w:val="27"/>
              </w:rPr>
              <w:t>285</w:t>
            </w:r>
          </w:p>
        </w:tc>
        <w:tc>
          <w:tcPr>
            <w:tcW w:w="638" w:type="dxa"/>
            <w:tcBorders/>
          </w:tcPr>
          <w:p>
            <w:pPr>
              <w:pStyle w:val="F21"/>
              <w:tabs>
                <w:tab w:val="clear" w:pos="567"/>
              </w:tabs>
              <w:overflowPunct w:val="true"/>
              <w:snapToGrid w:val="false"/>
              <w:ind w:right="113" w:hanging="0"/>
              <w:jc w:val="right"/>
              <w:rPr>
                <w:szCs w:val="27"/>
              </w:rPr>
            </w:pPr>
            <w:r>
              <w:rPr>
                <w:szCs w:val="27"/>
              </w:rPr>
              <w:t>367</w:t>
            </w:r>
          </w:p>
        </w:tc>
        <w:tc>
          <w:tcPr>
            <w:tcW w:w="638" w:type="dxa"/>
            <w:tcBorders/>
          </w:tcPr>
          <w:p>
            <w:pPr>
              <w:pStyle w:val="F21"/>
              <w:tabs>
                <w:tab w:val="clear" w:pos="567"/>
              </w:tabs>
              <w:overflowPunct w:val="true"/>
              <w:snapToGrid w:val="false"/>
              <w:ind w:right="113" w:hanging="0"/>
              <w:jc w:val="right"/>
              <w:rPr>
                <w:szCs w:val="27"/>
              </w:rPr>
            </w:pPr>
            <w:r>
              <w:rPr>
                <w:szCs w:val="27"/>
              </w:rPr>
              <w:t>11</w:t>
            </w:r>
          </w:p>
        </w:tc>
        <w:tc>
          <w:tcPr>
            <w:tcW w:w="637" w:type="dxa"/>
            <w:tcBorders/>
          </w:tcPr>
          <w:p>
            <w:pPr>
              <w:pStyle w:val="F21"/>
              <w:tabs>
                <w:tab w:val="clear" w:pos="567"/>
              </w:tabs>
              <w:overflowPunct w:val="true"/>
              <w:snapToGrid w:val="false"/>
              <w:ind w:right="113" w:hanging="0"/>
              <w:jc w:val="right"/>
              <w:rPr>
                <w:szCs w:val="27"/>
              </w:rPr>
            </w:pPr>
            <w:r>
              <w:rPr>
                <w:szCs w:val="27"/>
              </w:rPr>
              <w:t>154</w:t>
            </w:r>
          </w:p>
        </w:tc>
        <w:tc>
          <w:tcPr>
            <w:tcW w:w="638" w:type="dxa"/>
            <w:tcBorders/>
          </w:tcPr>
          <w:p>
            <w:pPr>
              <w:pStyle w:val="F21"/>
              <w:tabs>
                <w:tab w:val="clear" w:pos="567"/>
              </w:tabs>
              <w:overflowPunct w:val="true"/>
              <w:snapToGrid w:val="false"/>
              <w:ind w:right="113" w:hanging="0"/>
              <w:jc w:val="right"/>
              <w:rPr>
                <w:szCs w:val="27"/>
              </w:rPr>
            </w:pPr>
            <w:r>
              <w:rPr>
                <w:szCs w:val="27"/>
              </w:rPr>
              <w:t>278</w:t>
            </w:r>
          </w:p>
        </w:tc>
        <w:tc>
          <w:tcPr>
            <w:tcW w:w="639" w:type="dxa"/>
            <w:tcBorders/>
          </w:tcPr>
          <w:p>
            <w:pPr>
              <w:pStyle w:val="F21"/>
              <w:tabs>
                <w:tab w:val="clear" w:pos="567"/>
              </w:tabs>
              <w:overflowPunct w:val="true"/>
              <w:snapToGrid w:val="false"/>
              <w:ind w:right="113" w:hanging="0"/>
              <w:jc w:val="right"/>
              <w:rPr>
                <w:szCs w:val="27"/>
              </w:rPr>
            </w:pPr>
            <w:r>
              <w:rPr>
                <w:szCs w:val="27"/>
              </w:rPr>
              <w:t>375</w:t>
            </w:r>
          </w:p>
        </w:tc>
      </w:tr>
      <w:tr>
        <w:trPr/>
        <w:tc>
          <w:tcPr>
            <w:tcW w:w="1564" w:type="dxa"/>
            <w:tcBorders/>
          </w:tcPr>
          <w:p>
            <w:pPr>
              <w:pStyle w:val="F21"/>
              <w:tabs>
                <w:tab w:val="clear" w:pos="567"/>
              </w:tabs>
              <w:snapToGrid w:val="false"/>
              <w:jc w:val="center"/>
              <w:rPr>
                <w:szCs w:val="27"/>
              </w:rPr>
            </w:pPr>
            <w:r>
              <w:rPr>
                <w:szCs w:val="27"/>
              </w:rPr>
              <w:t>九龍東</w:t>
            </w:r>
          </w:p>
        </w:tc>
        <w:tc>
          <w:tcPr>
            <w:tcW w:w="638" w:type="dxa"/>
            <w:tcBorders/>
          </w:tcPr>
          <w:p>
            <w:pPr>
              <w:pStyle w:val="F21"/>
              <w:tabs>
                <w:tab w:val="clear" w:pos="567"/>
              </w:tabs>
              <w:overflowPunct w:val="true"/>
              <w:snapToGrid w:val="false"/>
              <w:ind w:right="113" w:hanging="0"/>
              <w:jc w:val="right"/>
              <w:rPr>
                <w:szCs w:val="27"/>
              </w:rPr>
            </w:pPr>
            <w:r>
              <w:rPr>
                <w:szCs w:val="27"/>
              </w:rPr>
              <w:t>&lt;1</w:t>
            </w:r>
          </w:p>
        </w:tc>
        <w:tc>
          <w:tcPr>
            <w:tcW w:w="638" w:type="dxa"/>
            <w:tcBorders/>
          </w:tcPr>
          <w:p>
            <w:pPr>
              <w:pStyle w:val="F21"/>
              <w:tabs>
                <w:tab w:val="clear" w:pos="567"/>
              </w:tabs>
              <w:overflowPunct w:val="true"/>
              <w:snapToGrid w:val="false"/>
              <w:ind w:right="113" w:hanging="0"/>
              <w:jc w:val="right"/>
              <w:rPr>
                <w:szCs w:val="27"/>
              </w:rPr>
            </w:pPr>
            <w:r>
              <w:rPr>
                <w:szCs w:val="27"/>
              </w:rPr>
              <w:t>117</w:t>
            </w:r>
          </w:p>
        </w:tc>
        <w:tc>
          <w:tcPr>
            <w:tcW w:w="638" w:type="dxa"/>
            <w:tcBorders/>
          </w:tcPr>
          <w:p>
            <w:pPr>
              <w:pStyle w:val="F21"/>
              <w:tabs>
                <w:tab w:val="clear" w:pos="567"/>
              </w:tabs>
              <w:overflowPunct w:val="true"/>
              <w:snapToGrid w:val="false"/>
              <w:ind w:right="113" w:hanging="0"/>
              <w:jc w:val="right"/>
              <w:rPr>
                <w:szCs w:val="27"/>
              </w:rPr>
            </w:pPr>
            <w:r>
              <w:rPr>
                <w:szCs w:val="27"/>
              </w:rPr>
              <w:t>420</w:t>
            </w:r>
          </w:p>
        </w:tc>
        <w:tc>
          <w:tcPr>
            <w:tcW w:w="638" w:type="dxa"/>
            <w:tcBorders/>
          </w:tcPr>
          <w:p>
            <w:pPr>
              <w:pStyle w:val="F21"/>
              <w:tabs>
                <w:tab w:val="clear" w:pos="567"/>
              </w:tabs>
              <w:overflowPunct w:val="true"/>
              <w:snapToGrid w:val="false"/>
              <w:ind w:right="113" w:hanging="0"/>
              <w:jc w:val="right"/>
              <w:rPr>
                <w:szCs w:val="27"/>
              </w:rPr>
            </w:pPr>
            <w:r>
              <w:rPr>
                <w:szCs w:val="27"/>
              </w:rPr>
              <w:t>524</w:t>
            </w:r>
          </w:p>
        </w:tc>
        <w:tc>
          <w:tcPr>
            <w:tcW w:w="638" w:type="dxa"/>
            <w:tcBorders/>
          </w:tcPr>
          <w:p>
            <w:pPr>
              <w:pStyle w:val="F21"/>
              <w:tabs>
                <w:tab w:val="clear" w:pos="567"/>
              </w:tabs>
              <w:overflowPunct w:val="true"/>
              <w:snapToGrid w:val="false"/>
              <w:ind w:right="113" w:hanging="0"/>
              <w:jc w:val="right"/>
              <w:rPr>
                <w:szCs w:val="27"/>
              </w:rPr>
            </w:pPr>
            <w:r>
              <w:rPr>
                <w:szCs w:val="27"/>
              </w:rPr>
              <w:t>&lt;1</w:t>
            </w:r>
          </w:p>
        </w:tc>
        <w:tc>
          <w:tcPr>
            <w:tcW w:w="638" w:type="dxa"/>
            <w:tcBorders/>
          </w:tcPr>
          <w:p>
            <w:pPr>
              <w:pStyle w:val="F21"/>
              <w:tabs>
                <w:tab w:val="clear" w:pos="567"/>
              </w:tabs>
              <w:overflowPunct w:val="true"/>
              <w:snapToGrid w:val="false"/>
              <w:ind w:right="113" w:hanging="0"/>
              <w:jc w:val="right"/>
              <w:rPr>
                <w:szCs w:val="27"/>
              </w:rPr>
            </w:pPr>
            <w:r>
              <w:rPr>
                <w:szCs w:val="27"/>
              </w:rPr>
              <w:t>125</w:t>
            </w:r>
          </w:p>
        </w:tc>
        <w:tc>
          <w:tcPr>
            <w:tcW w:w="638" w:type="dxa"/>
            <w:tcBorders/>
          </w:tcPr>
          <w:p>
            <w:pPr>
              <w:pStyle w:val="F21"/>
              <w:tabs>
                <w:tab w:val="clear" w:pos="567"/>
              </w:tabs>
              <w:overflowPunct w:val="true"/>
              <w:snapToGrid w:val="false"/>
              <w:ind w:right="113" w:hanging="0"/>
              <w:jc w:val="right"/>
              <w:rPr>
                <w:szCs w:val="27"/>
              </w:rPr>
            </w:pPr>
            <w:r>
              <w:rPr>
                <w:szCs w:val="27"/>
              </w:rPr>
              <w:t>538</w:t>
            </w:r>
          </w:p>
        </w:tc>
        <w:tc>
          <w:tcPr>
            <w:tcW w:w="638" w:type="dxa"/>
            <w:tcBorders/>
          </w:tcPr>
          <w:p>
            <w:pPr>
              <w:pStyle w:val="F21"/>
              <w:tabs>
                <w:tab w:val="clear" w:pos="567"/>
              </w:tabs>
              <w:overflowPunct w:val="true"/>
              <w:snapToGrid w:val="false"/>
              <w:ind w:right="113" w:hanging="0"/>
              <w:jc w:val="right"/>
              <w:rPr>
                <w:szCs w:val="27"/>
              </w:rPr>
            </w:pPr>
            <w:r>
              <w:rPr>
                <w:szCs w:val="27"/>
              </w:rPr>
              <w:t>634</w:t>
            </w:r>
          </w:p>
        </w:tc>
        <w:tc>
          <w:tcPr>
            <w:tcW w:w="638" w:type="dxa"/>
            <w:tcBorders/>
          </w:tcPr>
          <w:p>
            <w:pPr>
              <w:pStyle w:val="F21"/>
              <w:tabs>
                <w:tab w:val="clear" w:pos="567"/>
              </w:tabs>
              <w:overflowPunct w:val="true"/>
              <w:snapToGrid w:val="false"/>
              <w:ind w:right="113" w:hanging="0"/>
              <w:jc w:val="right"/>
              <w:rPr>
                <w:szCs w:val="27"/>
              </w:rPr>
            </w:pPr>
            <w:r>
              <w:rPr>
                <w:szCs w:val="27"/>
              </w:rPr>
              <w:t>&lt;1</w:t>
            </w:r>
          </w:p>
        </w:tc>
        <w:tc>
          <w:tcPr>
            <w:tcW w:w="637" w:type="dxa"/>
            <w:tcBorders/>
          </w:tcPr>
          <w:p>
            <w:pPr>
              <w:pStyle w:val="F21"/>
              <w:tabs>
                <w:tab w:val="clear" w:pos="567"/>
              </w:tabs>
              <w:overflowPunct w:val="true"/>
              <w:snapToGrid w:val="false"/>
              <w:ind w:right="113" w:hanging="0"/>
              <w:jc w:val="right"/>
              <w:rPr>
                <w:szCs w:val="27"/>
              </w:rPr>
            </w:pPr>
            <w:r>
              <w:rPr>
                <w:szCs w:val="27"/>
              </w:rPr>
              <w:t>68</w:t>
            </w:r>
          </w:p>
        </w:tc>
        <w:tc>
          <w:tcPr>
            <w:tcW w:w="638" w:type="dxa"/>
            <w:tcBorders/>
          </w:tcPr>
          <w:p>
            <w:pPr>
              <w:pStyle w:val="F21"/>
              <w:tabs>
                <w:tab w:val="clear" w:pos="567"/>
              </w:tabs>
              <w:overflowPunct w:val="true"/>
              <w:snapToGrid w:val="false"/>
              <w:ind w:right="113" w:hanging="0"/>
              <w:jc w:val="right"/>
              <w:rPr>
                <w:szCs w:val="27"/>
              </w:rPr>
            </w:pPr>
            <w:r>
              <w:rPr>
                <w:szCs w:val="27"/>
              </w:rPr>
              <w:t>544</w:t>
            </w:r>
          </w:p>
        </w:tc>
        <w:tc>
          <w:tcPr>
            <w:tcW w:w="639" w:type="dxa"/>
            <w:tcBorders/>
          </w:tcPr>
          <w:p>
            <w:pPr>
              <w:pStyle w:val="F21"/>
              <w:tabs>
                <w:tab w:val="clear" w:pos="567"/>
              </w:tabs>
              <w:overflowPunct w:val="true"/>
              <w:snapToGrid w:val="false"/>
              <w:ind w:right="113" w:hanging="0"/>
              <w:jc w:val="right"/>
              <w:rPr>
                <w:szCs w:val="27"/>
              </w:rPr>
            </w:pPr>
            <w:r>
              <w:rPr>
                <w:szCs w:val="27"/>
              </w:rPr>
              <w:t>663</w:t>
            </w:r>
          </w:p>
        </w:tc>
      </w:tr>
      <w:tr>
        <w:trPr/>
        <w:tc>
          <w:tcPr>
            <w:tcW w:w="1564" w:type="dxa"/>
            <w:tcBorders/>
          </w:tcPr>
          <w:p>
            <w:pPr>
              <w:pStyle w:val="F21"/>
              <w:tabs>
                <w:tab w:val="clear" w:pos="567"/>
              </w:tabs>
              <w:snapToGrid w:val="false"/>
              <w:jc w:val="center"/>
              <w:rPr>
                <w:szCs w:val="27"/>
              </w:rPr>
            </w:pPr>
            <w:r>
              <w:rPr>
                <w:szCs w:val="27"/>
              </w:rPr>
              <w:t>九龍西</w:t>
            </w:r>
          </w:p>
        </w:tc>
        <w:tc>
          <w:tcPr>
            <w:tcW w:w="638" w:type="dxa"/>
            <w:tcBorders/>
          </w:tcPr>
          <w:p>
            <w:pPr>
              <w:pStyle w:val="F21"/>
              <w:tabs>
                <w:tab w:val="clear" w:pos="567"/>
              </w:tabs>
              <w:overflowPunct w:val="true"/>
              <w:snapToGrid w:val="false"/>
              <w:ind w:right="113" w:hanging="0"/>
              <w:jc w:val="right"/>
              <w:rPr>
                <w:szCs w:val="27"/>
              </w:rPr>
            </w:pPr>
            <w:r>
              <w:rPr>
                <w:szCs w:val="27"/>
              </w:rPr>
              <w:t>68</w:t>
            </w:r>
          </w:p>
        </w:tc>
        <w:tc>
          <w:tcPr>
            <w:tcW w:w="638" w:type="dxa"/>
            <w:tcBorders/>
          </w:tcPr>
          <w:p>
            <w:pPr>
              <w:pStyle w:val="F21"/>
              <w:tabs>
                <w:tab w:val="clear" w:pos="567"/>
              </w:tabs>
              <w:overflowPunct w:val="true"/>
              <w:snapToGrid w:val="false"/>
              <w:ind w:right="113" w:hanging="0"/>
              <w:jc w:val="right"/>
              <w:rPr>
                <w:szCs w:val="27"/>
              </w:rPr>
            </w:pPr>
            <w:r>
              <w:rPr>
                <w:szCs w:val="27"/>
              </w:rPr>
              <w:t>232</w:t>
            </w:r>
          </w:p>
        </w:tc>
        <w:tc>
          <w:tcPr>
            <w:tcW w:w="638" w:type="dxa"/>
            <w:tcBorders/>
          </w:tcPr>
          <w:p>
            <w:pPr>
              <w:pStyle w:val="F21"/>
              <w:tabs>
                <w:tab w:val="clear" w:pos="567"/>
              </w:tabs>
              <w:overflowPunct w:val="true"/>
              <w:snapToGrid w:val="false"/>
              <w:ind w:right="113" w:hanging="0"/>
              <w:jc w:val="right"/>
              <w:rPr>
                <w:szCs w:val="27"/>
              </w:rPr>
            </w:pPr>
            <w:r>
              <w:rPr>
                <w:szCs w:val="27"/>
              </w:rPr>
              <w:t>338</w:t>
            </w:r>
          </w:p>
        </w:tc>
        <w:tc>
          <w:tcPr>
            <w:tcW w:w="638" w:type="dxa"/>
            <w:tcBorders/>
          </w:tcPr>
          <w:p>
            <w:pPr>
              <w:pStyle w:val="F21"/>
              <w:tabs>
                <w:tab w:val="clear" w:pos="567"/>
              </w:tabs>
              <w:overflowPunct w:val="true"/>
              <w:snapToGrid w:val="false"/>
              <w:ind w:right="113" w:hanging="0"/>
              <w:jc w:val="right"/>
              <w:rPr>
                <w:szCs w:val="27"/>
              </w:rPr>
            </w:pPr>
            <w:r>
              <w:rPr>
                <w:szCs w:val="27"/>
              </w:rPr>
              <w:t>383</w:t>
            </w:r>
          </w:p>
        </w:tc>
        <w:tc>
          <w:tcPr>
            <w:tcW w:w="638" w:type="dxa"/>
            <w:tcBorders/>
          </w:tcPr>
          <w:p>
            <w:pPr>
              <w:pStyle w:val="F21"/>
              <w:tabs>
                <w:tab w:val="clear" w:pos="567"/>
              </w:tabs>
              <w:overflowPunct w:val="true"/>
              <w:snapToGrid w:val="false"/>
              <w:ind w:right="113" w:hanging="0"/>
              <w:jc w:val="right"/>
              <w:rPr>
                <w:szCs w:val="27"/>
              </w:rPr>
            </w:pPr>
            <w:r>
              <w:rPr>
                <w:szCs w:val="27"/>
              </w:rPr>
              <w:t>30</w:t>
            </w:r>
          </w:p>
        </w:tc>
        <w:tc>
          <w:tcPr>
            <w:tcW w:w="638" w:type="dxa"/>
            <w:tcBorders/>
          </w:tcPr>
          <w:p>
            <w:pPr>
              <w:pStyle w:val="F21"/>
              <w:tabs>
                <w:tab w:val="clear" w:pos="567"/>
              </w:tabs>
              <w:overflowPunct w:val="true"/>
              <w:snapToGrid w:val="false"/>
              <w:ind w:right="113" w:hanging="0"/>
              <w:jc w:val="right"/>
              <w:rPr>
                <w:szCs w:val="27"/>
              </w:rPr>
            </w:pPr>
            <w:r>
              <w:rPr>
                <w:szCs w:val="27"/>
              </w:rPr>
              <w:t>184</w:t>
            </w:r>
          </w:p>
        </w:tc>
        <w:tc>
          <w:tcPr>
            <w:tcW w:w="638" w:type="dxa"/>
            <w:tcBorders/>
          </w:tcPr>
          <w:p>
            <w:pPr>
              <w:pStyle w:val="F21"/>
              <w:tabs>
                <w:tab w:val="clear" w:pos="567"/>
              </w:tabs>
              <w:overflowPunct w:val="true"/>
              <w:snapToGrid w:val="false"/>
              <w:ind w:right="113" w:hanging="0"/>
              <w:jc w:val="right"/>
              <w:rPr>
                <w:szCs w:val="27"/>
              </w:rPr>
            </w:pPr>
            <w:r>
              <w:rPr>
                <w:szCs w:val="27"/>
              </w:rPr>
              <w:t>346</w:t>
            </w:r>
          </w:p>
        </w:tc>
        <w:tc>
          <w:tcPr>
            <w:tcW w:w="638" w:type="dxa"/>
            <w:tcBorders/>
          </w:tcPr>
          <w:p>
            <w:pPr>
              <w:pStyle w:val="F21"/>
              <w:tabs>
                <w:tab w:val="clear" w:pos="567"/>
              </w:tabs>
              <w:overflowPunct w:val="true"/>
              <w:snapToGrid w:val="false"/>
              <w:ind w:right="113" w:hanging="0"/>
              <w:jc w:val="right"/>
              <w:rPr>
                <w:szCs w:val="27"/>
              </w:rPr>
            </w:pPr>
            <w:r>
              <w:rPr>
                <w:szCs w:val="27"/>
              </w:rPr>
              <w:t>407</w:t>
            </w:r>
          </w:p>
        </w:tc>
        <w:tc>
          <w:tcPr>
            <w:tcW w:w="638" w:type="dxa"/>
            <w:tcBorders/>
          </w:tcPr>
          <w:p>
            <w:pPr>
              <w:pStyle w:val="F21"/>
              <w:tabs>
                <w:tab w:val="clear" w:pos="567"/>
              </w:tabs>
              <w:overflowPunct w:val="true"/>
              <w:snapToGrid w:val="false"/>
              <w:ind w:right="113" w:hanging="0"/>
              <w:jc w:val="right"/>
              <w:rPr>
                <w:szCs w:val="27"/>
              </w:rPr>
            </w:pPr>
            <w:r>
              <w:rPr>
                <w:szCs w:val="27"/>
              </w:rPr>
              <w:t>69</w:t>
            </w:r>
          </w:p>
        </w:tc>
        <w:tc>
          <w:tcPr>
            <w:tcW w:w="637" w:type="dxa"/>
            <w:tcBorders/>
          </w:tcPr>
          <w:p>
            <w:pPr>
              <w:pStyle w:val="F21"/>
              <w:tabs>
                <w:tab w:val="clear" w:pos="567"/>
              </w:tabs>
              <w:overflowPunct w:val="true"/>
              <w:snapToGrid w:val="false"/>
              <w:ind w:right="113" w:hanging="0"/>
              <w:jc w:val="right"/>
              <w:rPr>
                <w:szCs w:val="27"/>
              </w:rPr>
            </w:pPr>
            <w:r>
              <w:rPr>
                <w:szCs w:val="27"/>
              </w:rPr>
              <w:t>227</w:t>
            </w:r>
          </w:p>
        </w:tc>
        <w:tc>
          <w:tcPr>
            <w:tcW w:w="638" w:type="dxa"/>
            <w:tcBorders/>
          </w:tcPr>
          <w:p>
            <w:pPr>
              <w:pStyle w:val="F21"/>
              <w:tabs>
                <w:tab w:val="clear" w:pos="567"/>
              </w:tabs>
              <w:overflowPunct w:val="true"/>
              <w:snapToGrid w:val="false"/>
              <w:ind w:right="113" w:hanging="0"/>
              <w:jc w:val="right"/>
              <w:rPr>
                <w:szCs w:val="27"/>
              </w:rPr>
            </w:pPr>
            <w:r>
              <w:rPr>
                <w:szCs w:val="27"/>
              </w:rPr>
              <w:t>404</w:t>
            </w:r>
          </w:p>
        </w:tc>
        <w:tc>
          <w:tcPr>
            <w:tcW w:w="639" w:type="dxa"/>
            <w:tcBorders/>
          </w:tcPr>
          <w:p>
            <w:pPr>
              <w:pStyle w:val="F21"/>
              <w:tabs>
                <w:tab w:val="clear" w:pos="567"/>
              </w:tabs>
              <w:overflowPunct w:val="true"/>
              <w:snapToGrid w:val="false"/>
              <w:ind w:right="113" w:hanging="0"/>
              <w:jc w:val="right"/>
              <w:rPr>
                <w:szCs w:val="27"/>
              </w:rPr>
            </w:pPr>
            <w:r>
              <w:rPr>
                <w:szCs w:val="27"/>
              </w:rPr>
              <w:t>512</w:t>
            </w:r>
          </w:p>
        </w:tc>
      </w:tr>
      <w:tr>
        <w:trPr/>
        <w:tc>
          <w:tcPr>
            <w:tcW w:w="1564" w:type="dxa"/>
            <w:tcBorders/>
          </w:tcPr>
          <w:p>
            <w:pPr>
              <w:pStyle w:val="F21"/>
              <w:tabs>
                <w:tab w:val="clear" w:pos="567"/>
              </w:tabs>
              <w:snapToGrid w:val="false"/>
              <w:jc w:val="center"/>
              <w:rPr>
                <w:szCs w:val="27"/>
              </w:rPr>
            </w:pPr>
            <w:r>
              <w:rPr>
                <w:szCs w:val="27"/>
              </w:rPr>
              <w:t>新界東</w:t>
            </w:r>
          </w:p>
        </w:tc>
        <w:tc>
          <w:tcPr>
            <w:tcW w:w="638" w:type="dxa"/>
            <w:tcBorders/>
          </w:tcPr>
          <w:p>
            <w:pPr>
              <w:pStyle w:val="F21"/>
              <w:tabs>
                <w:tab w:val="clear" w:pos="567"/>
              </w:tabs>
              <w:overflowPunct w:val="true"/>
              <w:snapToGrid w:val="false"/>
              <w:ind w:right="113" w:hanging="0"/>
              <w:jc w:val="right"/>
              <w:rPr>
                <w:szCs w:val="27"/>
              </w:rPr>
            </w:pPr>
            <w:r>
              <w:rPr>
                <w:szCs w:val="27"/>
              </w:rPr>
              <w:t>132</w:t>
            </w:r>
          </w:p>
        </w:tc>
        <w:tc>
          <w:tcPr>
            <w:tcW w:w="638" w:type="dxa"/>
            <w:tcBorders/>
          </w:tcPr>
          <w:p>
            <w:pPr>
              <w:pStyle w:val="F21"/>
              <w:tabs>
                <w:tab w:val="clear" w:pos="567"/>
              </w:tabs>
              <w:overflowPunct w:val="true"/>
              <w:snapToGrid w:val="false"/>
              <w:ind w:right="113" w:hanging="0"/>
              <w:jc w:val="right"/>
              <w:rPr>
                <w:szCs w:val="27"/>
              </w:rPr>
            </w:pPr>
            <w:r>
              <w:rPr>
                <w:szCs w:val="27"/>
              </w:rPr>
              <w:t>230</w:t>
            </w:r>
          </w:p>
        </w:tc>
        <w:tc>
          <w:tcPr>
            <w:tcW w:w="638" w:type="dxa"/>
            <w:tcBorders/>
          </w:tcPr>
          <w:p>
            <w:pPr>
              <w:pStyle w:val="F21"/>
              <w:tabs>
                <w:tab w:val="clear" w:pos="567"/>
              </w:tabs>
              <w:overflowPunct w:val="true"/>
              <w:snapToGrid w:val="false"/>
              <w:ind w:right="113" w:hanging="0"/>
              <w:jc w:val="right"/>
              <w:rPr>
                <w:szCs w:val="27"/>
              </w:rPr>
            </w:pPr>
            <w:r>
              <w:rPr>
                <w:szCs w:val="27"/>
              </w:rPr>
              <w:t>384</w:t>
            </w:r>
          </w:p>
        </w:tc>
        <w:tc>
          <w:tcPr>
            <w:tcW w:w="638" w:type="dxa"/>
            <w:tcBorders/>
          </w:tcPr>
          <w:p>
            <w:pPr>
              <w:pStyle w:val="F21"/>
              <w:tabs>
                <w:tab w:val="clear" w:pos="567"/>
              </w:tabs>
              <w:overflowPunct w:val="true"/>
              <w:snapToGrid w:val="false"/>
              <w:ind w:right="113" w:hanging="0"/>
              <w:jc w:val="right"/>
              <w:rPr>
                <w:szCs w:val="27"/>
              </w:rPr>
            </w:pPr>
            <w:r>
              <w:rPr>
                <w:szCs w:val="27"/>
              </w:rPr>
              <w:t>606</w:t>
            </w:r>
          </w:p>
        </w:tc>
        <w:tc>
          <w:tcPr>
            <w:tcW w:w="638" w:type="dxa"/>
            <w:tcBorders/>
          </w:tcPr>
          <w:p>
            <w:pPr>
              <w:pStyle w:val="F21"/>
              <w:tabs>
                <w:tab w:val="clear" w:pos="567"/>
              </w:tabs>
              <w:overflowPunct w:val="true"/>
              <w:snapToGrid w:val="false"/>
              <w:ind w:right="113" w:hanging="0"/>
              <w:jc w:val="right"/>
              <w:rPr>
                <w:szCs w:val="27"/>
              </w:rPr>
            </w:pPr>
            <w:r>
              <w:rPr>
                <w:szCs w:val="27"/>
              </w:rPr>
              <w:t>107</w:t>
            </w:r>
          </w:p>
        </w:tc>
        <w:tc>
          <w:tcPr>
            <w:tcW w:w="638" w:type="dxa"/>
            <w:tcBorders/>
          </w:tcPr>
          <w:p>
            <w:pPr>
              <w:pStyle w:val="F21"/>
              <w:tabs>
                <w:tab w:val="clear" w:pos="567"/>
              </w:tabs>
              <w:overflowPunct w:val="true"/>
              <w:snapToGrid w:val="false"/>
              <w:ind w:right="113" w:hanging="0"/>
              <w:jc w:val="right"/>
              <w:rPr>
                <w:szCs w:val="27"/>
              </w:rPr>
            </w:pPr>
            <w:r>
              <w:rPr>
                <w:szCs w:val="27"/>
              </w:rPr>
              <w:t>273</w:t>
            </w:r>
          </w:p>
        </w:tc>
        <w:tc>
          <w:tcPr>
            <w:tcW w:w="638" w:type="dxa"/>
            <w:tcBorders/>
          </w:tcPr>
          <w:p>
            <w:pPr>
              <w:pStyle w:val="F21"/>
              <w:tabs>
                <w:tab w:val="clear" w:pos="567"/>
              </w:tabs>
              <w:overflowPunct w:val="true"/>
              <w:snapToGrid w:val="false"/>
              <w:ind w:right="113" w:hanging="0"/>
              <w:jc w:val="right"/>
              <w:rPr>
                <w:szCs w:val="27"/>
              </w:rPr>
            </w:pPr>
            <w:r>
              <w:rPr>
                <w:szCs w:val="27"/>
              </w:rPr>
              <w:t>476</w:t>
            </w:r>
          </w:p>
        </w:tc>
        <w:tc>
          <w:tcPr>
            <w:tcW w:w="638" w:type="dxa"/>
            <w:tcBorders/>
          </w:tcPr>
          <w:p>
            <w:pPr>
              <w:pStyle w:val="F21"/>
              <w:tabs>
                <w:tab w:val="clear" w:pos="567"/>
              </w:tabs>
              <w:overflowPunct w:val="true"/>
              <w:snapToGrid w:val="false"/>
              <w:ind w:right="113" w:hanging="0"/>
              <w:jc w:val="right"/>
              <w:rPr>
                <w:szCs w:val="27"/>
              </w:rPr>
            </w:pPr>
            <w:r>
              <w:rPr>
                <w:szCs w:val="27"/>
              </w:rPr>
              <w:t>552</w:t>
            </w:r>
          </w:p>
        </w:tc>
        <w:tc>
          <w:tcPr>
            <w:tcW w:w="638" w:type="dxa"/>
            <w:tcBorders/>
          </w:tcPr>
          <w:p>
            <w:pPr>
              <w:pStyle w:val="F21"/>
              <w:tabs>
                <w:tab w:val="clear" w:pos="567"/>
              </w:tabs>
              <w:overflowPunct w:val="true"/>
              <w:snapToGrid w:val="false"/>
              <w:ind w:right="113" w:hanging="0"/>
              <w:jc w:val="right"/>
              <w:rPr>
                <w:szCs w:val="27"/>
              </w:rPr>
            </w:pPr>
            <w:r>
              <w:rPr>
                <w:szCs w:val="27"/>
              </w:rPr>
              <w:t>119</w:t>
            </w:r>
          </w:p>
        </w:tc>
        <w:tc>
          <w:tcPr>
            <w:tcW w:w="637" w:type="dxa"/>
            <w:tcBorders/>
          </w:tcPr>
          <w:p>
            <w:pPr>
              <w:pStyle w:val="F21"/>
              <w:tabs>
                <w:tab w:val="clear" w:pos="567"/>
              </w:tabs>
              <w:overflowPunct w:val="true"/>
              <w:snapToGrid w:val="false"/>
              <w:ind w:right="113" w:hanging="0"/>
              <w:jc w:val="right"/>
              <w:rPr>
                <w:szCs w:val="27"/>
              </w:rPr>
            </w:pPr>
            <w:r>
              <w:rPr>
                <w:szCs w:val="27"/>
              </w:rPr>
              <w:t>335</w:t>
            </w:r>
          </w:p>
        </w:tc>
        <w:tc>
          <w:tcPr>
            <w:tcW w:w="638" w:type="dxa"/>
            <w:tcBorders/>
          </w:tcPr>
          <w:p>
            <w:pPr>
              <w:pStyle w:val="F21"/>
              <w:tabs>
                <w:tab w:val="clear" w:pos="567"/>
              </w:tabs>
              <w:overflowPunct w:val="true"/>
              <w:snapToGrid w:val="false"/>
              <w:ind w:right="113" w:hanging="0"/>
              <w:jc w:val="right"/>
              <w:rPr>
                <w:szCs w:val="27"/>
              </w:rPr>
            </w:pPr>
            <w:r>
              <w:rPr>
                <w:szCs w:val="27"/>
              </w:rPr>
              <w:t>554</w:t>
            </w:r>
          </w:p>
        </w:tc>
        <w:tc>
          <w:tcPr>
            <w:tcW w:w="639" w:type="dxa"/>
            <w:tcBorders/>
          </w:tcPr>
          <w:p>
            <w:pPr>
              <w:pStyle w:val="F21"/>
              <w:tabs>
                <w:tab w:val="clear" w:pos="567"/>
              </w:tabs>
              <w:overflowPunct w:val="true"/>
              <w:snapToGrid w:val="false"/>
              <w:ind w:right="113" w:hanging="0"/>
              <w:jc w:val="right"/>
              <w:rPr>
                <w:szCs w:val="27"/>
              </w:rPr>
            </w:pPr>
            <w:r>
              <w:rPr>
                <w:szCs w:val="27"/>
              </w:rPr>
              <w:t>601</w:t>
            </w:r>
          </w:p>
        </w:tc>
      </w:tr>
      <w:tr>
        <w:trPr/>
        <w:tc>
          <w:tcPr>
            <w:tcW w:w="1564" w:type="dxa"/>
            <w:tcBorders/>
          </w:tcPr>
          <w:p>
            <w:pPr>
              <w:pStyle w:val="F21"/>
              <w:tabs>
                <w:tab w:val="clear" w:pos="567"/>
              </w:tabs>
              <w:snapToGrid w:val="false"/>
              <w:jc w:val="center"/>
              <w:rPr>
                <w:szCs w:val="27"/>
              </w:rPr>
            </w:pPr>
            <w:r>
              <w:rPr>
                <w:szCs w:val="27"/>
              </w:rPr>
              <w:t>新界西</w:t>
            </w:r>
          </w:p>
        </w:tc>
        <w:tc>
          <w:tcPr>
            <w:tcW w:w="638" w:type="dxa"/>
            <w:tcBorders/>
          </w:tcPr>
          <w:p>
            <w:pPr>
              <w:pStyle w:val="F21"/>
              <w:tabs>
                <w:tab w:val="clear" w:pos="567"/>
              </w:tabs>
              <w:overflowPunct w:val="true"/>
              <w:snapToGrid w:val="false"/>
              <w:ind w:right="113" w:hanging="0"/>
              <w:jc w:val="right"/>
              <w:rPr>
                <w:szCs w:val="27"/>
              </w:rPr>
            </w:pPr>
            <w:r>
              <w:rPr>
                <w:szCs w:val="27"/>
              </w:rPr>
              <w:t>9</w:t>
            </w:r>
          </w:p>
        </w:tc>
        <w:tc>
          <w:tcPr>
            <w:tcW w:w="638" w:type="dxa"/>
            <w:tcBorders/>
          </w:tcPr>
          <w:p>
            <w:pPr>
              <w:pStyle w:val="F21"/>
              <w:tabs>
                <w:tab w:val="clear" w:pos="567"/>
              </w:tabs>
              <w:overflowPunct w:val="true"/>
              <w:snapToGrid w:val="false"/>
              <w:ind w:right="113" w:hanging="0"/>
              <w:jc w:val="right"/>
              <w:rPr>
                <w:szCs w:val="27"/>
              </w:rPr>
            </w:pPr>
            <w:r>
              <w:rPr>
                <w:szCs w:val="27"/>
              </w:rPr>
              <w:t>173</w:t>
            </w:r>
          </w:p>
        </w:tc>
        <w:tc>
          <w:tcPr>
            <w:tcW w:w="638" w:type="dxa"/>
            <w:tcBorders/>
          </w:tcPr>
          <w:p>
            <w:pPr>
              <w:pStyle w:val="F21"/>
              <w:tabs>
                <w:tab w:val="clear" w:pos="567"/>
              </w:tabs>
              <w:overflowPunct w:val="true"/>
              <w:snapToGrid w:val="false"/>
              <w:ind w:right="113" w:hanging="0"/>
              <w:jc w:val="right"/>
              <w:rPr>
                <w:szCs w:val="27"/>
              </w:rPr>
            </w:pPr>
            <w:r>
              <w:rPr>
                <w:szCs w:val="27"/>
              </w:rPr>
              <w:t>373</w:t>
            </w:r>
          </w:p>
        </w:tc>
        <w:tc>
          <w:tcPr>
            <w:tcW w:w="638" w:type="dxa"/>
            <w:tcBorders/>
          </w:tcPr>
          <w:p>
            <w:pPr>
              <w:pStyle w:val="F21"/>
              <w:tabs>
                <w:tab w:val="clear" w:pos="567"/>
              </w:tabs>
              <w:overflowPunct w:val="true"/>
              <w:snapToGrid w:val="false"/>
              <w:ind w:right="113" w:hanging="0"/>
              <w:jc w:val="right"/>
              <w:rPr>
                <w:szCs w:val="27"/>
              </w:rPr>
            </w:pPr>
            <w:r>
              <w:rPr>
                <w:szCs w:val="27"/>
              </w:rPr>
              <w:t>433</w:t>
            </w:r>
          </w:p>
        </w:tc>
        <w:tc>
          <w:tcPr>
            <w:tcW w:w="638" w:type="dxa"/>
            <w:tcBorders/>
          </w:tcPr>
          <w:p>
            <w:pPr>
              <w:pStyle w:val="F21"/>
              <w:tabs>
                <w:tab w:val="clear" w:pos="567"/>
              </w:tabs>
              <w:overflowPunct w:val="true"/>
              <w:snapToGrid w:val="false"/>
              <w:ind w:right="113" w:hanging="0"/>
              <w:jc w:val="right"/>
              <w:rPr>
                <w:szCs w:val="27"/>
              </w:rPr>
            </w:pPr>
            <w:r>
              <w:rPr>
                <w:szCs w:val="27"/>
              </w:rPr>
              <w:t>8</w:t>
            </w:r>
          </w:p>
        </w:tc>
        <w:tc>
          <w:tcPr>
            <w:tcW w:w="638" w:type="dxa"/>
            <w:tcBorders/>
          </w:tcPr>
          <w:p>
            <w:pPr>
              <w:pStyle w:val="F21"/>
              <w:tabs>
                <w:tab w:val="clear" w:pos="567"/>
              </w:tabs>
              <w:overflowPunct w:val="true"/>
              <w:snapToGrid w:val="false"/>
              <w:ind w:right="113" w:hanging="0"/>
              <w:jc w:val="right"/>
              <w:rPr>
                <w:szCs w:val="27"/>
              </w:rPr>
            </w:pPr>
            <w:r>
              <w:rPr>
                <w:szCs w:val="27"/>
              </w:rPr>
              <w:t>145</w:t>
            </w:r>
          </w:p>
        </w:tc>
        <w:tc>
          <w:tcPr>
            <w:tcW w:w="638" w:type="dxa"/>
            <w:tcBorders/>
          </w:tcPr>
          <w:p>
            <w:pPr>
              <w:pStyle w:val="F21"/>
              <w:tabs>
                <w:tab w:val="clear" w:pos="567"/>
              </w:tabs>
              <w:overflowPunct w:val="true"/>
              <w:snapToGrid w:val="false"/>
              <w:ind w:right="113" w:hanging="0"/>
              <w:jc w:val="right"/>
              <w:rPr>
                <w:szCs w:val="27"/>
              </w:rPr>
            </w:pPr>
            <w:r>
              <w:rPr>
                <w:szCs w:val="27"/>
              </w:rPr>
              <w:t>392</w:t>
            </w:r>
          </w:p>
        </w:tc>
        <w:tc>
          <w:tcPr>
            <w:tcW w:w="638" w:type="dxa"/>
            <w:tcBorders/>
          </w:tcPr>
          <w:p>
            <w:pPr>
              <w:pStyle w:val="F21"/>
              <w:tabs>
                <w:tab w:val="clear" w:pos="567"/>
              </w:tabs>
              <w:overflowPunct w:val="true"/>
              <w:snapToGrid w:val="false"/>
              <w:ind w:right="113" w:hanging="0"/>
              <w:jc w:val="right"/>
              <w:rPr>
                <w:szCs w:val="27"/>
              </w:rPr>
            </w:pPr>
            <w:r>
              <w:rPr>
                <w:szCs w:val="27"/>
              </w:rPr>
              <w:t>537</w:t>
            </w:r>
          </w:p>
        </w:tc>
        <w:tc>
          <w:tcPr>
            <w:tcW w:w="638" w:type="dxa"/>
            <w:tcBorders/>
          </w:tcPr>
          <w:p>
            <w:pPr>
              <w:pStyle w:val="F21"/>
              <w:tabs>
                <w:tab w:val="clear" w:pos="567"/>
              </w:tabs>
              <w:overflowPunct w:val="true"/>
              <w:snapToGrid w:val="false"/>
              <w:ind w:right="113" w:hanging="0"/>
              <w:jc w:val="right"/>
              <w:rPr>
                <w:szCs w:val="27"/>
              </w:rPr>
            </w:pPr>
            <w:r>
              <w:rPr>
                <w:szCs w:val="27"/>
              </w:rPr>
              <w:t>8</w:t>
            </w:r>
          </w:p>
        </w:tc>
        <w:tc>
          <w:tcPr>
            <w:tcW w:w="637" w:type="dxa"/>
            <w:tcBorders/>
          </w:tcPr>
          <w:p>
            <w:pPr>
              <w:pStyle w:val="F21"/>
              <w:tabs>
                <w:tab w:val="clear" w:pos="567"/>
              </w:tabs>
              <w:overflowPunct w:val="true"/>
              <w:snapToGrid w:val="false"/>
              <w:ind w:right="113" w:hanging="0"/>
              <w:jc w:val="right"/>
              <w:rPr>
                <w:szCs w:val="27"/>
              </w:rPr>
            </w:pPr>
            <w:r>
              <w:rPr>
                <w:szCs w:val="27"/>
              </w:rPr>
              <w:t>44</w:t>
            </w:r>
          </w:p>
        </w:tc>
        <w:tc>
          <w:tcPr>
            <w:tcW w:w="638" w:type="dxa"/>
            <w:tcBorders/>
          </w:tcPr>
          <w:p>
            <w:pPr>
              <w:pStyle w:val="F21"/>
              <w:tabs>
                <w:tab w:val="clear" w:pos="567"/>
              </w:tabs>
              <w:overflowPunct w:val="true"/>
              <w:snapToGrid w:val="false"/>
              <w:ind w:right="113" w:hanging="0"/>
              <w:jc w:val="right"/>
              <w:rPr>
                <w:szCs w:val="27"/>
              </w:rPr>
            </w:pPr>
            <w:r>
              <w:rPr>
                <w:szCs w:val="27"/>
              </w:rPr>
              <w:t>433</w:t>
            </w:r>
          </w:p>
        </w:tc>
        <w:tc>
          <w:tcPr>
            <w:tcW w:w="639" w:type="dxa"/>
            <w:tcBorders/>
          </w:tcPr>
          <w:p>
            <w:pPr>
              <w:pStyle w:val="F21"/>
              <w:tabs>
                <w:tab w:val="clear" w:pos="567"/>
              </w:tabs>
              <w:overflowPunct w:val="true"/>
              <w:snapToGrid w:val="false"/>
              <w:ind w:right="113" w:hanging="0"/>
              <w:jc w:val="right"/>
              <w:rPr>
                <w:szCs w:val="27"/>
              </w:rPr>
            </w:pPr>
            <w:r>
              <w:rPr>
                <w:szCs w:val="27"/>
              </w:rPr>
              <w:t>616</w:t>
            </w:r>
          </w:p>
        </w:tc>
      </w:tr>
    </w:tbl>
    <w:p>
      <w:pPr>
        <w:pStyle w:val="F21"/>
        <w:snapToGrid w:val="false"/>
        <w:rPr>
          <w:szCs w:val="27"/>
        </w:rPr>
      </w:pPr>
      <w:r>
        <w:rPr>
          <w:szCs w:val="27"/>
        </w:rPr>
      </w:r>
    </w:p>
    <w:p>
      <w:pPr>
        <w:pStyle w:val="F21"/>
        <w:snapToGrid w:val="false"/>
        <w:rPr>
          <w:szCs w:val="27"/>
        </w:rPr>
      </w:pPr>
      <w:r>
        <w:rPr>
          <w:szCs w:val="27"/>
        </w:rPr>
        <w:t>(</w:t>
      </w:r>
      <w:r>
        <w:rPr>
          <w:szCs w:val="27"/>
        </w:rPr>
        <w:t>四</w:t>
      </w:r>
      <w:r>
        <w:rPr>
          <w:szCs w:val="27"/>
        </w:rPr>
        <w:t>)</w:t>
      </w:r>
      <w:r>
        <w:rPr>
          <w:szCs w:val="27"/>
        </w:rPr>
        <w:t>磁力共振掃描</w:t>
      </w:r>
    </w:p>
    <w:p>
      <w:pPr>
        <w:pStyle w:val="F21"/>
        <w:snapToGrid w:val="false"/>
        <w:rPr>
          <w:szCs w:val="27"/>
        </w:rPr>
      </w:pPr>
      <w:r>
        <w:rPr>
          <w:szCs w:val="27"/>
        </w:rPr>
      </w:r>
    </w:p>
    <w:tbl>
      <w:tblPr>
        <w:tblStyle w:val="a3"/>
        <w:tblW w:w="9221" w:type="dxa"/>
        <w:jc w:val="left"/>
        <w:tblInd w:w="0" w:type="dxa"/>
        <w:tblCellMar>
          <w:top w:w="0" w:type="dxa"/>
          <w:left w:w="108" w:type="dxa"/>
          <w:bottom w:w="0" w:type="dxa"/>
          <w:right w:w="108" w:type="dxa"/>
        </w:tblCellMar>
        <w:tblLook w:val="04a0" w:noHBand="0" w:noVBand="1" w:firstColumn="1" w:lastRow="0" w:lastColumn="0" w:firstRow="1"/>
      </w:tblPr>
      <w:tblGrid>
        <w:gridCol w:w="1564"/>
        <w:gridCol w:w="638"/>
        <w:gridCol w:w="638"/>
        <w:gridCol w:w="638"/>
        <w:gridCol w:w="638"/>
        <w:gridCol w:w="638"/>
        <w:gridCol w:w="638"/>
        <w:gridCol w:w="638"/>
        <w:gridCol w:w="638"/>
        <w:gridCol w:w="638"/>
        <w:gridCol w:w="637"/>
        <w:gridCol w:w="638"/>
        <w:gridCol w:w="639"/>
      </w:tblGrid>
      <w:tr>
        <w:trPr/>
        <w:tc>
          <w:tcPr>
            <w:tcW w:w="1564" w:type="dxa"/>
            <w:vMerge w:val="restart"/>
            <w:tcBorders/>
            <w:vAlign w:val="center"/>
          </w:tcPr>
          <w:p>
            <w:pPr>
              <w:pStyle w:val="F21"/>
              <w:tabs>
                <w:tab w:val="clear" w:pos="567"/>
              </w:tabs>
              <w:snapToGrid w:val="false"/>
              <w:jc w:val="center"/>
              <w:rPr>
                <w:i/>
                <w:i/>
                <w:szCs w:val="27"/>
              </w:rPr>
            </w:pPr>
            <w:r>
              <w:rPr>
                <w:i/>
                <w:szCs w:val="27"/>
              </w:rPr>
              <w:t>聯網</w:t>
            </w:r>
          </w:p>
        </w:tc>
        <w:tc>
          <w:tcPr>
            <w:tcW w:w="2552" w:type="dxa"/>
            <w:gridSpan w:val="4"/>
            <w:tcBorders/>
            <w:vAlign w:val="center"/>
          </w:tcPr>
          <w:p>
            <w:pPr>
              <w:pStyle w:val="F21"/>
              <w:tabs>
                <w:tab w:val="clear" w:pos="567"/>
              </w:tabs>
              <w:snapToGrid w:val="false"/>
              <w:jc w:val="center"/>
              <w:rPr>
                <w:i/>
                <w:i/>
                <w:szCs w:val="27"/>
              </w:rPr>
            </w:pPr>
            <w:r>
              <w:rPr>
                <w:i/>
                <w:szCs w:val="27"/>
              </w:rPr>
              <w:t>2010</w:t>
            </w:r>
            <w:r>
              <w:rPr>
                <w:i/>
                <w:szCs w:val="27"/>
              </w:rPr>
              <w:t>年</w:t>
            </w:r>
            <w:r>
              <w:rPr>
                <w:i/>
                <w:szCs w:val="27"/>
              </w:rPr>
              <w:t>7</w:t>
            </w:r>
            <w:r>
              <w:rPr>
                <w:i/>
                <w:szCs w:val="27"/>
              </w:rPr>
              <w:t>月</w:t>
            </w:r>
            <w:r>
              <w:rPr>
                <w:i/>
                <w:szCs w:val="27"/>
              </w:rPr>
              <w:t>1</w:t>
            </w:r>
            <w:r>
              <w:rPr>
                <w:i/>
                <w:szCs w:val="27"/>
              </w:rPr>
              <w:t>日至</w:t>
            </w:r>
            <w:r>
              <w:rPr>
                <w:i/>
                <w:szCs w:val="27"/>
              </w:rPr>
              <w:t>2011</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snapToGrid w:val="false"/>
              <w:jc w:val="center"/>
              <w:rPr>
                <w:i/>
                <w:i/>
                <w:szCs w:val="27"/>
              </w:rPr>
            </w:pPr>
            <w:r>
              <w:rPr>
                <w:i/>
                <w:szCs w:val="27"/>
              </w:rPr>
              <w:t>2011</w:t>
            </w:r>
            <w:r>
              <w:rPr>
                <w:i/>
                <w:szCs w:val="27"/>
              </w:rPr>
              <w:t>年</w:t>
            </w:r>
            <w:r>
              <w:rPr>
                <w:i/>
                <w:szCs w:val="27"/>
              </w:rPr>
              <w:t>7</w:t>
            </w:r>
            <w:r>
              <w:rPr>
                <w:i/>
                <w:szCs w:val="27"/>
              </w:rPr>
              <w:t>月</w:t>
            </w:r>
            <w:r>
              <w:rPr>
                <w:i/>
                <w:szCs w:val="27"/>
              </w:rPr>
              <w:t>1</w:t>
            </w:r>
            <w:r>
              <w:rPr>
                <w:i/>
                <w:szCs w:val="27"/>
              </w:rPr>
              <w:t>日至</w:t>
            </w:r>
            <w:r>
              <w:rPr>
                <w:i/>
                <w:szCs w:val="27"/>
              </w:rPr>
              <w:t>2012</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jc w:val="center"/>
              <w:rPr>
                <w:i/>
                <w:i/>
                <w:szCs w:val="27"/>
              </w:rPr>
            </w:pPr>
            <w:r>
              <w:rPr>
                <w:i/>
                <w:szCs w:val="27"/>
              </w:rPr>
              <w:t>輪候時間</w:t>
            </w:r>
            <w:r>
              <w:rPr>
                <w:i/>
                <w:szCs w:val="27"/>
              </w:rPr>
              <w:t>(</w:t>
            </w:r>
            <w:r>
              <w:rPr>
                <w:i/>
                <w:szCs w:val="27"/>
              </w:rPr>
              <w:t>日</w:t>
            </w:r>
            <w:r>
              <w:rPr>
                <w:i/>
                <w:szCs w:val="27"/>
              </w:rPr>
              <w:t>)</w:t>
            </w:r>
          </w:p>
        </w:tc>
        <w:tc>
          <w:tcPr>
            <w:tcW w:w="2552" w:type="dxa"/>
            <w:gridSpan w:val="4"/>
            <w:tcBorders/>
            <w:vAlign w:val="center"/>
          </w:tcPr>
          <w:p>
            <w:pPr>
              <w:pStyle w:val="F21"/>
              <w:tabs>
                <w:tab w:val="clear" w:pos="567"/>
              </w:tabs>
              <w:snapToGrid w:val="false"/>
              <w:jc w:val="center"/>
              <w:rPr>
                <w:i/>
                <w:i/>
                <w:szCs w:val="27"/>
              </w:rPr>
            </w:pPr>
            <w:r>
              <w:rPr>
                <w:i/>
                <w:szCs w:val="27"/>
              </w:rPr>
              <w:t>2012</w:t>
            </w:r>
            <w:r>
              <w:rPr>
                <w:i/>
                <w:szCs w:val="27"/>
              </w:rPr>
              <w:t>年</w:t>
            </w:r>
            <w:r>
              <w:rPr>
                <w:i/>
                <w:szCs w:val="27"/>
              </w:rPr>
              <w:t>7</w:t>
            </w:r>
            <w:r>
              <w:rPr>
                <w:i/>
                <w:szCs w:val="27"/>
              </w:rPr>
              <w:t>月</w:t>
            </w:r>
            <w:r>
              <w:rPr>
                <w:i/>
                <w:szCs w:val="27"/>
              </w:rPr>
              <w:t>1</w:t>
            </w:r>
            <w:r>
              <w:rPr>
                <w:i/>
                <w:szCs w:val="27"/>
              </w:rPr>
              <w:t>日至</w:t>
            </w:r>
            <w:r>
              <w:rPr>
                <w:i/>
                <w:szCs w:val="27"/>
              </w:rPr>
              <w:t>2013</w:t>
            </w:r>
            <w:r>
              <w:rPr>
                <w:i/>
                <w:szCs w:val="27"/>
              </w:rPr>
              <w:t>年</w:t>
            </w:r>
            <w:r>
              <w:rPr>
                <w:i/>
                <w:szCs w:val="27"/>
              </w:rPr>
              <w:t>6</w:t>
            </w:r>
            <w:r>
              <w:rPr>
                <w:i/>
                <w:szCs w:val="27"/>
              </w:rPr>
              <w:t>月</w:t>
            </w:r>
            <w:r>
              <w:rPr>
                <w:i/>
                <w:szCs w:val="27"/>
              </w:rPr>
              <w:t>30</w:t>
            </w:r>
            <w:r>
              <w:rPr>
                <w:i/>
                <w:szCs w:val="27"/>
              </w:rPr>
              <w:t>日</w:t>
            </w:r>
          </w:p>
          <w:p>
            <w:pPr>
              <w:pStyle w:val="F21"/>
              <w:tabs>
                <w:tab w:val="clear" w:pos="567"/>
              </w:tabs>
              <w:snapToGrid w:val="false"/>
              <w:jc w:val="center"/>
              <w:rPr>
                <w:i/>
                <w:i/>
                <w:szCs w:val="27"/>
              </w:rPr>
            </w:pPr>
            <w:r>
              <w:rPr>
                <w:i/>
                <w:szCs w:val="27"/>
              </w:rPr>
              <w:t>輪候時間</w:t>
            </w:r>
            <w:r>
              <w:rPr>
                <w:i/>
                <w:szCs w:val="27"/>
              </w:rPr>
              <w:t>(</w:t>
            </w:r>
            <w:r>
              <w:rPr>
                <w:i/>
                <w:szCs w:val="27"/>
              </w:rPr>
              <w:t>日</w:t>
            </w:r>
            <w:r>
              <w:rPr>
                <w:i/>
                <w:szCs w:val="27"/>
              </w:rPr>
              <w:t>)</w:t>
            </w:r>
          </w:p>
        </w:tc>
      </w:tr>
      <w:tr>
        <w:trPr/>
        <w:tc>
          <w:tcPr>
            <w:tcW w:w="1564" w:type="dxa"/>
            <w:vMerge w:val="continue"/>
            <w:tcBorders/>
            <w:vAlign w:val="center"/>
          </w:tcPr>
          <w:p>
            <w:pPr>
              <w:pStyle w:val="F21"/>
              <w:tabs>
                <w:tab w:val="clear" w:pos="567"/>
              </w:tabs>
              <w:overflowPunct w:val="true"/>
              <w:snapToGrid w:val="false"/>
              <w:jc w:val="center"/>
              <w:rPr>
                <w:i/>
                <w:i/>
                <w:szCs w:val="27"/>
              </w:rPr>
            </w:pPr>
            <w:r>
              <w:rPr>
                <w:i/>
                <w:szCs w:val="27"/>
              </w:rPr>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25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50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75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90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25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50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75</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90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25</w:t>
            </w:r>
          </w:p>
          <w:p>
            <w:pPr>
              <w:pStyle w:val="F21"/>
              <w:tabs>
                <w:tab w:val="clear" w:pos="567"/>
              </w:tabs>
              <w:overflowPunct w:val="true"/>
              <w:snapToGrid w:val="false"/>
              <w:jc w:val="center"/>
              <w:rPr>
                <w:i/>
                <w:i/>
                <w:szCs w:val="27"/>
              </w:rPr>
            </w:pPr>
            <w:r>
              <w:rPr>
                <w:i/>
                <w:szCs w:val="27"/>
              </w:rPr>
              <w:t>個</w:t>
            </w:r>
          </w:p>
        </w:tc>
        <w:tc>
          <w:tcPr>
            <w:tcW w:w="637"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50</w:t>
            </w:r>
          </w:p>
          <w:p>
            <w:pPr>
              <w:pStyle w:val="F21"/>
              <w:tabs>
                <w:tab w:val="clear" w:pos="567"/>
              </w:tabs>
              <w:overflowPunct w:val="true"/>
              <w:snapToGrid w:val="false"/>
              <w:jc w:val="center"/>
              <w:rPr>
                <w:i/>
                <w:i/>
                <w:szCs w:val="27"/>
              </w:rPr>
            </w:pPr>
            <w:r>
              <w:rPr>
                <w:i/>
                <w:szCs w:val="27"/>
              </w:rPr>
              <w:t>個</w:t>
            </w:r>
          </w:p>
        </w:tc>
        <w:tc>
          <w:tcPr>
            <w:tcW w:w="638"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75</w:t>
            </w:r>
          </w:p>
          <w:p>
            <w:pPr>
              <w:pStyle w:val="F21"/>
              <w:tabs>
                <w:tab w:val="clear" w:pos="567"/>
              </w:tabs>
              <w:overflowPunct w:val="true"/>
              <w:snapToGrid w:val="false"/>
              <w:jc w:val="center"/>
              <w:rPr>
                <w:i/>
                <w:i/>
                <w:szCs w:val="27"/>
              </w:rPr>
            </w:pPr>
            <w:r>
              <w:rPr>
                <w:i/>
                <w:szCs w:val="27"/>
              </w:rPr>
              <w:t>個</w:t>
            </w:r>
          </w:p>
        </w:tc>
        <w:tc>
          <w:tcPr>
            <w:tcW w:w="639" w:type="dxa"/>
            <w:tcBorders/>
            <w:vAlign w:val="center"/>
          </w:tcPr>
          <w:p>
            <w:pPr>
              <w:pStyle w:val="F21"/>
              <w:tabs>
                <w:tab w:val="clear" w:pos="567"/>
              </w:tabs>
              <w:overflowPunct w:val="true"/>
              <w:snapToGrid w:val="false"/>
              <w:jc w:val="center"/>
              <w:rPr>
                <w:i/>
                <w:i/>
                <w:szCs w:val="27"/>
              </w:rPr>
            </w:pPr>
            <w:r>
              <w:rPr>
                <w:i/>
                <w:szCs w:val="27"/>
              </w:rPr>
              <w:t>第</w:t>
            </w:r>
          </w:p>
          <w:p>
            <w:pPr>
              <w:pStyle w:val="F21"/>
              <w:tabs>
                <w:tab w:val="clear" w:pos="567"/>
              </w:tabs>
              <w:overflowPunct w:val="true"/>
              <w:snapToGrid w:val="false"/>
              <w:jc w:val="center"/>
              <w:rPr>
                <w:i/>
                <w:i/>
                <w:szCs w:val="27"/>
              </w:rPr>
            </w:pPr>
            <w:r>
              <w:rPr>
                <w:i/>
                <w:szCs w:val="27"/>
              </w:rPr>
              <w:t>90</w:t>
            </w:r>
          </w:p>
          <w:p>
            <w:pPr>
              <w:pStyle w:val="F21"/>
              <w:tabs>
                <w:tab w:val="clear" w:pos="567"/>
              </w:tabs>
              <w:overflowPunct w:val="true"/>
              <w:snapToGrid w:val="false"/>
              <w:jc w:val="center"/>
              <w:rPr>
                <w:i/>
                <w:i/>
                <w:szCs w:val="27"/>
              </w:rPr>
            </w:pPr>
            <w:r>
              <w:rPr>
                <w:i/>
                <w:szCs w:val="27"/>
              </w:rPr>
              <w:t>個</w:t>
            </w:r>
          </w:p>
        </w:tc>
      </w:tr>
      <w:tr>
        <w:trPr/>
        <w:tc>
          <w:tcPr>
            <w:tcW w:w="1564" w:type="dxa"/>
            <w:vMerge w:val="continue"/>
            <w:tcBorders/>
            <w:vAlign w:val="center"/>
          </w:tcPr>
          <w:p>
            <w:pPr>
              <w:pStyle w:val="F21"/>
              <w:tabs>
                <w:tab w:val="clear" w:pos="567"/>
              </w:tabs>
              <w:snapToGrid w:val="false"/>
              <w:jc w:val="center"/>
              <w:rPr>
                <w:i/>
                <w:i/>
                <w:szCs w:val="27"/>
              </w:rPr>
            </w:pPr>
            <w:r>
              <w:rPr>
                <w:i/>
                <w:szCs w:val="27"/>
              </w:rPr>
            </w:r>
          </w:p>
        </w:tc>
        <w:tc>
          <w:tcPr>
            <w:tcW w:w="2552" w:type="dxa"/>
            <w:gridSpan w:val="4"/>
            <w:tcBorders/>
            <w:vAlign w:val="center"/>
          </w:tcPr>
          <w:p>
            <w:pPr>
              <w:pStyle w:val="F21"/>
              <w:tabs>
                <w:tab w:val="clear" w:pos="567"/>
              </w:tabs>
              <w:snapToGrid w:val="false"/>
              <w:jc w:val="center"/>
              <w:rPr>
                <w:i/>
                <w:i/>
                <w:szCs w:val="27"/>
              </w:rPr>
            </w:pPr>
            <w:r>
              <w:rPr>
                <w:i/>
                <w:szCs w:val="27"/>
              </w:rPr>
              <w:t>百分值</w:t>
            </w:r>
          </w:p>
        </w:tc>
        <w:tc>
          <w:tcPr>
            <w:tcW w:w="2552" w:type="dxa"/>
            <w:gridSpan w:val="4"/>
            <w:tcBorders/>
            <w:vAlign w:val="center"/>
          </w:tcPr>
          <w:p>
            <w:pPr>
              <w:pStyle w:val="F21"/>
              <w:tabs>
                <w:tab w:val="clear" w:pos="567"/>
              </w:tabs>
              <w:snapToGrid w:val="false"/>
              <w:jc w:val="center"/>
              <w:rPr>
                <w:i/>
                <w:i/>
                <w:szCs w:val="27"/>
              </w:rPr>
            </w:pPr>
            <w:r>
              <w:rPr>
                <w:i/>
                <w:szCs w:val="27"/>
              </w:rPr>
              <w:t>百分值</w:t>
            </w:r>
          </w:p>
        </w:tc>
        <w:tc>
          <w:tcPr>
            <w:tcW w:w="2552" w:type="dxa"/>
            <w:gridSpan w:val="4"/>
            <w:tcBorders/>
            <w:vAlign w:val="center"/>
          </w:tcPr>
          <w:p>
            <w:pPr>
              <w:pStyle w:val="F21"/>
              <w:tabs>
                <w:tab w:val="clear" w:pos="567"/>
              </w:tabs>
              <w:snapToGrid w:val="false"/>
              <w:jc w:val="center"/>
              <w:rPr>
                <w:i/>
                <w:i/>
                <w:szCs w:val="27"/>
              </w:rPr>
            </w:pPr>
            <w:r>
              <w:rPr>
                <w:i/>
                <w:szCs w:val="27"/>
              </w:rPr>
              <w:t>百分值</w:t>
            </w:r>
          </w:p>
        </w:tc>
      </w:tr>
      <w:tr>
        <w:trPr/>
        <w:tc>
          <w:tcPr>
            <w:tcW w:w="1564" w:type="dxa"/>
            <w:tcBorders/>
          </w:tcPr>
          <w:p>
            <w:pPr>
              <w:pStyle w:val="F21"/>
              <w:tabs>
                <w:tab w:val="clear" w:pos="567"/>
              </w:tabs>
              <w:snapToGrid w:val="false"/>
              <w:jc w:val="center"/>
              <w:rPr>
                <w:szCs w:val="27"/>
              </w:rPr>
            </w:pPr>
            <w:r>
              <w:rPr>
                <w:szCs w:val="27"/>
              </w:rPr>
              <w:t>港島東</w:t>
            </w:r>
          </w:p>
        </w:tc>
        <w:tc>
          <w:tcPr>
            <w:tcW w:w="638" w:type="dxa"/>
            <w:tcBorders/>
          </w:tcPr>
          <w:p>
            <w:pPr>
              <w:pStyle w:val="F21"/>
              <w:tabs>
                <w:tab w:val="clear" w:pos="567"/>
              </w:tabs>
              <w:overflowPunct w:val="true"/>
              <w:snapToGrid w:val="false"/>
              <w:ind w:right="113" w:hanging="0"/>
              <w:jc w:val="right"/>
              <w:rPr>
                <w:szCs w:val="27"/>
              </w:rPr>
            </w:pPr>
            <w:r>
              <w:rPr>
                <w:szCs w:val="27"/>
              </w:rPr>
              <w:t>6</w:t>
            </w:r>
          </w:p>
        </w:tc>
        <w:tc>
          <w:tcPr>
            <w:tcW w:w="638" w:type="dxa"/>
            <w:tcBorders/>
          </w:tcPr>
          <w:p>
            <w:pPr>
              <w:pStyle w:val="F21"/>
              <w:tabs>
                <w:tab w:val="clear" w:pos="567"/>
              </w:tabs>
              <w:overflowPunct w:val="true"/>
              <w:snapToGrid w:val="false"/>
              <w:ind w:right="113" w:hanging="0"/>
              <w:jc w:val="right"/>
              <w:rPr>
                <w:szCs w:val="27"/>
              </w:rPr>
            </w:pPr>
            <w:r>
              <w:rPr>
                <w:szCs w:val="27"/>
              </w:rPr>
              <w:t>87</w:t>
            </w:r>
          </w:p>
        </w:tc>
        <w:tc>
          <w:tcPr>
            <w:tcW w:w="638" w:type="dxa"/>
            <w:tcBorders/>
          </w:tcPr>
          <w:p>
            <w:pPr>
              <w:pStyle w:val="F21"/>
              <w:tabs>
                <w:tab w:val="clear" w:pos="567"/>
              </w:tabs>
              <w:overflowPunct w:val="true"/>
              <w:snapToGrid w:val="false"/>
              <w:ind w:right="113" w:hanging="0"/>
              <w:jc w:val="right"/>
              <w:rPr>
                <w:szCs w:val="27"/>
              </w:rPr>
            </w:pPr>
            <w:r>
              <w:rPr>
                <w:szCs w:val="27"/>
              </w:rPr>
              <w:t>198</w:t>
            </w:r>
          </w:p>
        </w:tc>
        <w:tc>
          <w:tcPr>
            <w:tcW w:w="638" w:type="dxa"/>
            <w:tcBorders/>
          </w:tcPr>
          <w:p>
            <w:pPr>
              <w:pStyle w:val="F21"/>
              <w:tabs>
                <w:tab w:val="clear" w:pos="567"/>
              </w:tabs>
              <w:overflowPunct w:val="true"/>
              <w:snapToGrid w:val="false"/>
              <w:ind w:right="113" w:hanging="0"/>
              <w:jc w:val="right"/>
              <w:rPr>
                <w:szCs w:val="27"/>
              </w:rPr>
            </w:pPr>
            <w:r>
              <w:rPr>
                <w:szCs w:val="27"/>
              </w:rPr>
              <w:t>385</w:t>
            </w:r>
          </w:p>
        </w:tc>
        <w:tc>
          <w:tcPr>
            <w:tcW w:w="638" w:type="dxa"/>
            <w:tcBorders/>
          </w:tcPr>
          <w:p>
            <w:pPr>
              <w:pStyle w:val="F21"/>
              <w:tabs>
                <w:tab w:val="clear" w:pos="567"/>
              </w:tabs>
              <w:overflowPunct w:val="true"/>
              <w:snapToGrid w:val="false"/>
              <w:ind w:right="113" w:hanging="0"/>
              <w:jc w:val="right"/>
              <w:rPr>
                <w:szCs w:val="27"/>
              </w:rPr>
            </w:pPr>
            <w:r>
              <w:rPr>
                <w:szCs w:val="27"/>
              </w:rPr>
              <w:t>6</w:t>
            </w:r>
          </w:p>
        </w:tc>
        <w:tc>
          <w:tcPr>
            <w:tcW w:w="638" w:type="dxa"/>
            <w:tcBorders/>
          </w:tcPr>
          <w:p>
            <w:pPr>
              <w:pStyle w:val="F21"/>
              <w:tabs>
                <w:tab w:val="clear" w:pos="567"/>
              </w:tabs>
              <w:overflowPunct w:val="true"/>
              <w:snapToGrid w:val="false"/>
              <w:ind w:right="113" w:hanging="0"/>
              <w:jc w:val="right"/>
              <w:rPr>
                <w:szCs w:val="27"/>
              </w:rPr>
            </w:pPr>
            <w:r>
              <w:rPr>
                <w:szCs w:val="27"/>
              </w:rPr>
              <w:t>62</w:t>
            </w:r>
          </w:p>
        </w:tc>
        <w:tc>
          <w:tcPr>
            <w:tcW w:w="638" w:type="dxa"/>
            <w:tcBorders/>
          </w:tcPr>
          <w:p>
            <w:pPr>
              <w:pStyle w:val="F21"/>
              <w:tabs>
                <w:tab w:val="clear" w:pos="567"/>
              </w:tabs>
              <w:overflowPunct w:val="true"/>
              <w:snapToGrid w:val="false"/>
              <w:ind w:right="113" w:hanging="0"/>
              <w:jc w:val="right"/>
              <w:rPr>
                <w:szCs w:val="27"/>
              </w:rPr>
            </w:pPr>
            <w:r>
              <w:rPr>
                <w:szCs w:val="27"/>
              </w:rPr>
              <w:t>227</w:t>
            </w:r>
          </w:p>
        </w:tc>
        <w:tc>
          <w:tcPr>
            <w:tcW w:w="638" w:type="dxa"/>
            <w:tcBorders/>
          </w:tcPr>
          <w:p>
            <w:pPr>
              <w:pStyle w:val="F21"/>
              <w:tabs>
                <w:tab w:val="clear" w:pos="567"/>
              </w:tabs>
              <w:overflowPunct w:val="true"/>
              <w:snapToGrid w:val="false"/>
              <w:ind w:right="113" w:hanging="0"/>
              <w:jc w:val="right"/>
              <w:rPr>
                <w:szCs w:val="27"/>
              </w:rPr>
            </w:pPr>
            <w:r>
              <w:rPr>
                <w:szCs w:val="27"/>
              </w:rPr>
              <w:t>407</w:t>
            </w:r>
          </w:p>
        </w:tc>
        <w:tc>
          <w:tcPr>
            <w:tcW w:w="638" w:type="dxa"/>
            <w:tcBorders/>
          </w:tcPr>
          <w:p>
            <w:pPr>
              <w:pStyle w:val="F21"/>
              <w:tabs>
                <w:tab w:val="clear" w:pos="567"/>
              </w:tabs>
              <w:overflowPunct w:val="true"/>
              <w:snapToGrid w:val="false"/>
              <w:ind w:right="113" w:hanging="0"/>
              <w:jc w:val="right"/>
              <w:rPr>
                <w:szCs w:val="27"/>
              </w:rPr>
            </w:pPr>
            <w:r>
              <w:rPr>
                <w:szCs w:val="27"/>
              </w:rPr>
              <w:t>6</w:t>
            </w:r>
          </w:p>
        </w:tc>
        <w:tc>
          <w:tcPr>
            <w:tcW w:w="637" w:type="dxa"/>
            <w:tcBorders/>
          </w:tcPr>
          <w:p>
            <w:pPr>
              <w:pStyle w:val="F21"/>
              <w:tabs>
                <w:tab w:val="clear" w:pos="567"/>
              </w:tabs>
              <w:overflowPunct w:val="true"/>
              <w:snapToGrid w:val="false"/>
              <w:ind w:right="113" w:hanging="0"/>
              <w:jc w:val="right"/>
              <w:rPr>
                <w:szCs w:val="27"/>
              </w:rPr>
            </w:pPr>
            <w:r>
              <w:rPr>
                <w:szCs w:val="27"/>
              </w:rPr>
              <w:t>86</w:t>
            </w:r>
          </w:p>
        </w:tc>
        <w:tc>
          <w:tcPr>
            <w:tcW w:w="638" w:type="dxa"/>
            <w:tcBorders/>
          </w:tcPr>
          <w:p>
            <w:pPr>
              <w:pStyle w:val="F21"/>
              <w:tabs>
                <w:tab w:val="clear" w:pos="567"/>
              </w:tabs>
              <w:overflowPunct w:val="true"/>
              <w:snapToGrid w:val="false"/>
              <w:ind w:right="113" w:hanging="0"/>
              <w:jc w:val="right"/>
              <w:rPr>
                <w:szCs w:val="27"/>
              </w:rPr>
            </w:pPr>
            <w:r>
              <w:rPr>
                <w:szCs w:val="27"/>
              </w:rPr>
              <w:t>194</w:t>
            </w:r>
          </w:p>
        </w:tc>
        <w:tc>
          <w:tcPr>
            <w:tcW w:w="639" w:type="dxa"/>
            <w:tcBorders/>
          </w:tcPr>
          <w:p>
            <w:pPr>
              <w:pStyle w:val="F21"/>
              <w:tabs>
                <w:tab w:val="clear" w:pos="567"/>
              </w:tabs>
              <w:overflowPunct w:val="true"/>
              <w:snapToGrid w:val="false"/>
              <w:ind w:right="113" w:hanging="0"/>
              <w:jc w:val="right"/>
              <w:rPr>
                <w:szCs w:val="27"/>
              </w:rPr>
            </w:pPr>
            <w:r>
              <w:rPr>
                <w:szCs w:val="27"/>
              </w:rPr>
              <w:t>443</w:t>
            </w:r>
          </w:p>
        </w:tc>
      </w:tr>
      <w:tr>
        <w:trPr/>
        <w:tc>
          <w:tcPr>
            <w:tcW w:w="1564" w:type="dxa"/>
            <w:tcBorders/>
          </w:tcPr>
          <w:p>
            <w:pPr>
              <w:pStyle w:val="F21"/>
              <w:tabs>
                <w:tab w:val="clear" w:pos="567"/>
              </w:tabs>
              <w:snapToGrid w:val="false"/>
              <w:jc w:val="center"/>
              <w:rPr>
                <w:szCs w:val="27"/>
              </w:rPr>
            </w:pPr>
            <w:r>
              <w:rPr>
                <w:szCs w:val="27"/>
              </w:rPr>
              <w:t>港島西</w:t>
            </w:r>
          </w:p>
        </w:tc>
        <w:tc>
          <w:tcPr>
            <w:tcW w:w="638" w:type="dxa"/>
            <w:tcBorders/>
          </w:tcPr>
          <w:p>
            <w:pPr>
              <w:pStyle w:val="F21"/>
              <w:tabs>
                <w:tab w:val="clear" w:pos="567"/>
              </w:tabs>
              <w:overflowPunct w:val="true"/>
              <w:snapToGrid w:val="false"/>
              <w:ind w:right="113" w:hanging="0"/>
              <w:jc w:val="right"/>
              <w:rPr>
                <w:szCs w:val="27"/>
              </w:rPr>
            </w:pPr>
            <w:r>
              <w:rPr>
                <w:szCs w:val="27"/>
              </w:rPr>
              <w:t>46</w:t>
            </w:r>
          </w:p>
        </w:tc>
        <w:tc>
          <w:tcPr>
            <w:tcW w:w="638" w:type="dxa"/>
            <w:tcBorders/>
          </w:tcPr>
          <w:p>
            <w:pPr>
              <w:pStyle w:val="F21"/>
              <w:tabs>
                <w:tab w:val="clear" w:pos="567"/>
              </w:tabs>
              <w:overflowPunct w:val="true"/>
              <w:snapToGrid w:val="false"/>
              <w:ind w:right="113" w:hanging="0"/>
              <w:jc w:val="right"/>
              <w:rPr>
                <w:szCs w:val="27"/>
              </w:rPr>
            </w:pPr>
            <w:r>
              <w:rPr>
                <w:szCs w:val="27"/>
              </w:rPr>
              <w:t>94</w:t>
            </w:r>
          </w:p>
        </w:tc>
        <w:tc>
          <w:tcPr>
            <w:tcW w:w="638" w:type="dxa"/>
            <w:tcBorders/>
          </w:tcPr>
          <w:p>
            <w:pPr>
              <w:pStyle w:val="F21"/>
              <w:tabs>
                <w:tab w:val="clear" w:pos="567"/>
              </w:tabs>
              <w:overflowPunct w:val="true"/>
              <w:snapToGrid w:val="false"/>
              <w:ind w:right="113" w:hanging="0"/>
              <w:jc w:val="right"/>
              <w:rPr>
                <w:szCs w:val="27"/>
              </w:rPr>
            </w:pPr>
            <w:r>
              <w:rPr>
                <w:szCs w:val="27"/>
              </w:rPr>
              <w:t>126</w:t>
            </w:r>
          </w:p>
        </w:tc>
        <w:tc>
          <w:tcPr>
            <w:tcW w:w="638" w:type="dxa"/>
            <w:tcBorders/>
          </w:tcPr>
          <w:p>
            <w:pPr>
              <w:pStyle w:val="F21"/>
              <w:tabs>
                <w:tab w:val="clear" w:pos="567"/>
              </w:tabs>
              <w:overflowPunct w:val="true"/>
              <w:snapToGrid w:val="false"/>
              <w:ind w:right="113" w:hanging="0"/>
              <w:jc w:val="right"/>
              <w:rPr>
                <w:szCs w:val="27"/>
              </w:rPr>
            </w:pPr>
            <w:r>
              <w:rPr>
                <w:szCs w:val="27"/>
              </w:rPr>
              <w:t>138</w:t>
            </w:r>
          </w:p>
        </w:tc>
        <w:tc>
          <w:tcPr>
            <w:tcW w:w="638" w:type="dxa"/>
            <w:tcBorders/>
          </w:tcPr>
          <w:p>
            <w:pPr>
              <w:pStyle w:val="F21"/>
              <w:tabs>
                <w:tab w:val="clear" w:pos="567"/>
              </w:tabs>
              <w:overflowPunct w:val="true"/>
              <w:snapToGrid w:val="false"/>
              <w:ind w:right="113" w:hanging="0"/>
              <w:jc w:val="right"/>
              <w:rPr>
                <w:szCs w:val="27"/>
              </w:rPr>
            </w:pPr>
            <w:r>
              <w:rPr>
                <w:szCs w:val="27"/>
              </w:rPr>
              <w:t>61</w:t>
            </w:r>
          </w:p>
        </w:tc>
        <w:tc>
          <w:tcPr>
            <w:tcW w:w="638" w:type="dxa"/>
            <w:tcBorders/>
          </w:tcPr>
          <w:p>
            <w:pPr>
              <w:pStyle w:val="F21"/>
              <w:tabs>
                <w:tab w:val="clear" w:pos="567"/>
              </w:tabs>
              <w:overflowPunct w:val="true"/>
              <w:snapToGrid w:val="false"/>
              <w:ind w:right="113" w:hanging="0"/>
              <w:jc w:val="right"/>
              <w:rPr>
                <w:szCs w:val="27"/>
              </w:rPr>
            </w:pPr>
            <w:r>
              <w:rPr>
                <w:szCs w:val="27"/>
              </w:rPr>
              <w:t>106</w:t>
            </w:r>
          </w:p>
        </w:tc>
        <w:tc>
          <w:tcPr>
            <w:tcW w:w="638" w:type="dxa"/>
            <w:tcBorders/>
          </w:tcPr>
          <w:p>
            <w:pPr>
              <w:pStyle w:val="F21"/>
              <w:tabs>
                <w:tab w:val="clear" w:pos="567"/>
              </w:tabs>
              <w:overflowPunct w:val="true"/>
              <w:snapToGrid w:val="false"/>
              <w:ind w:right="113" w:hanging="0"/>
              <w:jc w:val="right"/>
              <w:rPr>
                <w:szCs w:val="27"/>
              </w:rPr>
            </w:pPr>
            <w:r>
              <w:rPr>
                <w:szCs w:val="27"/>
              </w:rPr>
              <w:t>143</w:t>
            </w:r>
          </w:p>
        </w:tc>
        <w:tc>
          <w:tcPr>
            <w:tcW w:w="638" w:type="dxa"/>
            <w:tcBorders/>
          </w:tcPr>
          <w:p>
            <w:pPr>
              <w:pStyle w:val="F21"/>
              <w:tabs>
                <w:tab w:val="clear" w:pos="567"/>
              </w:tabs>
              <w:overflowPunct w:val="true"/>
              <w:snapToGrid w:val="false"/>
              <w:ind w:right="113" w:hanging="0"/>
              <w:jc w:val="right"/>
              <w:rPr>
                <w:szCs w:val="27"/>
              </w:rPr>
            </w:pPr>
            <w:r>
              <w:rPr>
                <w:szCs w:val="27"/>
              </w:rPr>
              <w:t>161</w:t>
            </w:r>
          </w:p>
        </w:tc>
        <w:tc>
          <w:tcPr>
            <w:tcW w:w="638" w:type="dxa"/>
            <w:tcBorders/>
          </w:tcPr>
          <w:p>
            <w:pPr>
              <w:pStyle w:val="F21"/>
              <w:tabs>
                <w:tab w:val="clear" w:pos="567"/>
              </w:tabs>
              <w:overflowPunct w:val="true"/>
              <w:snapToGrid w:val="false"/>
              <w:ind w:right="113" w:hanging="0"/>
              <w:jc w:val="right"/>
              <w:rPr>
                <w:szCs w:val="27"/>
              </w:rPr>
            </w:pPr>
            <w:r>
              <w:rPr>
                <w:szCs w:val="27"/>
              </w:rPr>
              <w:t>76</w:t>
            </w:r>
          </w:p>
        </w:tc>
        <w:tc>
          <w:tcPr>
            <w:tcW w:w="637" w:type="dxa"/>
            <w:tcBorders/>
          </w:tcPr>
          <w:p>
            <w:pPr>
              <w:pStyle w:val="F21"/>
              <w:tabs>
                <w:tab w:val="clear" w:pos="567"/>
              </w:tabs>
              <w:overflowPunct w:val="true"/>
              <w:snapToGrid w:val="false"/>
              <w:ind w:right="113" w:hanging="0"/>
              <w:jc w:val="right"/>
              <w:rPr>
                <w:szCs w:val="27"/>
              </w:rPr>
            </w:pPr>
            <w:r>
              <w:rPr>
                <w:szCs w:val="27"/>
              </w:rPr>
              <w:t>116</w:t>
            </w:r>
          </w:p>
        </w:tc>
        <w:tc>
          <w:tcPr>
            <w:tcW w:w="638" w:type="dxa"/>
            <w:tcBorders/>
          </w:tcPr>
          <w:p>
            <w:pPr>
              <w:pStyle w:val="F21"/>
              <w:tabs>
                <w:tab w:val="clear" w:pos="567"/>
              </w:tabs>
              <w:overflowPunct w:val="true"/>
              <w:snapToGrid w:val="false"/>
              <w:ind w:right="113" w:hanging="0"/>
              <w:jc w:val="right"/>
              <w:rPr>
                <w:szCs w:val="27"/>
              </w:rPr>
            </w:pPr>
            <w:r>
              <w:rPr>
                <w:szCs w:val="27"/>
              </w:rPr>
              <w:t>179</w:t>
            </w:r>
          </w:p>
        </w:tc>
        <w:tc>
          <w:tcPr>
            <w:tcW w:w="639" w:type="dxa"/>
            <w:tcBorders/>
          </w:tcPr>
          <w:p>
            <w:pPr>
              <w:pStyle w:val="F21"/>
              <w:tabs>
                <w:tab w:val="clear" w:pos="567"/>
              </w:tabs>
              <w:overflowPunct w:val="true"/>
              <w:snapToGrid w:val="false"/>
              <w:ind w:right="113" w:hanging="0"/>
              <w:jc w:val="right"/>
              <w:rPr>
                <w:szCs w:val="27"/>
              </w:rPr>
            </w:pPr>
            <w:r>
              <w:rPr>
                <w:szCs w:val="27"/>
              </w:rPr>
              <w:t>234</w:t>
            </w:r>
          </w:p>
        </w:tc>
      </w:tr>
      <w:tr>
        <w:trPr/>
        <w:tc>
          <w:tcPr>
            <w:tcW w:w="1564" w:type="dxa"/>
            <w:tcBorders/>
          </w:tcPr>
          <w:p>
            <w:pPr>
              <w:pStyle w:val="F21"/>
              <w:tabs>
                <w:tab w:val="clear" w:pos="567"/>
              </w:tabs>
              <w:snapToGrid w:val="false"/>
              <w:jc w:val="center"/>
              <w:rPr>
                <w:szCs w:val="27"/>
              </w:rPr>
            </w:pPr>
            <w:r>
              <w:rPr>
                <w:szCs w:val="27"/>
              </w:rPr>
              <w:t>九龍中</w:t>
            </w:r>
          </w:p>
        </w:tc>
        <w:tc>
          <w:tcPr>
            <w:tcW w:w="638" w:type="dxa"/>
            <w:tcBorders/>
          </w:tcPr>
          <w:p>
            <w:pPr>
              <w:pStyle w:val="F21"/>
              <w:tabs>
                <w:tab w:val="clear" w:pos="567"/>
              </w:tabs>
              <w:overflowPunct w:val="true"/>
              <w:snapToGrid w:val="false"/>
              <w:ind w:right="113" w:hanging="0"/>
              <w:jc w:val="right"/>
              <w:rPr>
                <w:szCs w:val="27"/>
              </w:rPr>
            </w:pPr>
            <w:r>
              <w:rPr>
                <w:szCs w:val="27"/>
              </w:rPr>
              <w:t>16</w:t>
            </w:r>
          </w:p>
        </w:tc>
        <w:tc>
          <w:tcPr>
            <w:tcW w:w="638" w:type="dxa"/>
            <w:tcBorders/>
          </w:tcPr>
          <w:p>
            <w:pPr>
              <w:pStyle w:val="F21"/>
              <w:tabs>
                <w:tab w:val="clear" w:pos="567"/>
              </w:tabs>
              <w:overflowPunct w:val="true"/>
              <w:snapToGrid w:val="false"/>
              <w:ind w:right="113" w:hanging="0"/>
              <w:jc w:val="right"/>
              <w:rPr>
                <w:szCs w:val="27"/>
              </w:rPr>
            </w:pPr>
            <w:r>
              <w:rPr>
                <w:szCs w:val="27"/>
              </w:rPr>
              <w:t>107</w:t>
            </w:r>
          </w:p>
        </w:tc>
        <w:tc>
          <w:tcPr>
            <w:tcW w:w="638" w:type="dxa"/>
            <w:tcBorders/>
          </w:tcPr>
          <w:p>
            <w:pPr>
              <w:pStyle w:val="F21"/>
              <w:tabs>
                <w:tab w:val="clear" w:pos="567"/>
              </w:tabs>
              <w:overflowPunct w:val="true"/>
              <w:snapToGrid w:val="false"/>
              <w:ind w:right="113" w:hanging="0"/>
              <w:jc w:val="right"/>
              <w:rPr>
                <w:szCs w:val="27"/>
              </w:rPr>
            </w:pPr>
            <w:r>
              <w:rPr>
                <w:szCs w:val="27"/>
              </w:rPr>
              <w:t>186</w:t>
            </w:r>
          </w:p>
        </w:tc>
        <w:tc>
          <w:tcPr>
            <w:tcW w:w="638" w:type="dxa"/>
            <w:tcBorders/>
          </w:tcPr>
          <w:p>
            <w:pPr>
              <w:pStyle w:val="F21"/>
              <w:tabs>
                <w:tab w:val="clear" w:pos="567"/>
              </w:tabs>
              <w:overflowPunct w:val="true"/>
              <w:snapToGrid w:val="false"/>
              <w:ind w:right="113" w:hanging="0"/>
              <w:jc w:val="right"/>
              <w:rPr>
                <w:szCs w:val="27"/>
              </w:rPr>
            </w:pPr>
            <w:r>
              <w:rPr>
                <w:szCs w:val="27"/>
              </w:rPr>
              <w:t>225</w:t>
            </w:r>
          </w:p>
        </w:tc>
        <w:tc>
          <w:tcPr>
            <w:tcW w:w="638" w:type="dxa"/>
            <w:tcBorders/>
          </w:tcPr>
          <w:p>
            <w:pPr>
              <w:pStyle w:val="F21"/>
              <w:tabs>
                <w:tab w:val="clear" w:pos="567"/>
              </w:tabs>
              <w:overflowPunct w:val="true"/>
              <w:snapToGrid w:val="false"/>
              <w:ind w:right="113" w:hanging="0"/>
              <w:jc w:val="right"/>
              <w:rPr>
                <w:szCs w:val="27"/>
              </w:rPr>
            </w:pPr>
            <w:r>
              <w:rPr>
                <w:szCs w:val="27"/>
              </w:rPr>
              <w:t>27</w:t>
            </w:r>
          </w:p>
        </w:tc>
        <w:tc>
          <w:tcPr>
            <w:tcW w:w="638" w:type="dxa"/>
            <w:tcBorders/>
          </w:tcPr>
          <w:p>
            <w:pPr>
              <w:pStyle w:val="F21"/>
              <w:tabs>
                <w:tab w:val="clear" w:pos="567"/>
              </w:tabs>
              <w:overflowPunct w:val="true"/>
              <w:snapToGrid w:val="false"/>
              <w:ind w:right="113" w:hanging="0"/>
              <w:jc w:val="right"/>
              <w:rPr>
                <w:szCs w:val="27"/>
              </w:rPr>
            </w:pPr>
            <w:r>
              <w:rPr>
                <w:szCs w:val="27"/>
              </w:rPr>
              <w:t>47</w:t>
            </w:r>
          </w:p>
        </w:tc>
        <w:tc>
          <w:tcPr>
            <w:tcW w:w="638" w:type="dxa"/>
            <w:tcBorders/>
          </w:tcPr>
          <w:p>
            <w:pPr>
              <w:pStyle w:val="F21"/>
              <w:tabs>
                <w:tab w:val="clear" w:pos="567"/>
              </w:tabs>
              <w:overflowPunct w:val="true"/>
              <w:snapToGrid w:val="false"/>
              <w:ind w:right="113" w:hanging="0"/>
              <w:jc w:val="right"/>
              <w:rPr>
                <w:szCs w:val="27"/>
              </w:rPr>
            </w:pPr>
            <w:r>
              <w:rPr>
                <w:szCs w:val="27"/>
              </w:rPr>
              <w:t>132</w:t>
            </w:r>
          </w:p>
        </w:tc>
        <w:tc>
          <w:tcPr>
            <w:tcW w:w="638" w:type="dxa"/>
            <w:tcBorders/>
          </w:tcPr>
          <w:p>
            <w:pPr>
              <w:pStyle w:val="F21"/>
              <w:tabs>
                <w:tab w:val="clear" w:pos="567"/>
              </w:tabs>
              <w:overflowPunct w:val="true"/>
              <w:snapToGrid w:val="false"/>
              <w:ind w:right="113" w:hanging="0"/>
              <w:jc w:val="right"/>
              <w:rPr>
                <w:szCs w:val="27"/>
              </w:rPr>
            </w:pPr>
            <w:r>
              <w:rPr>
                <w:szCs w:val="27"/>
              </w:rPr>
              <w:t>275</w:t>
            </w:r>
          </w:p>
        </w:tc>
        <w:tc>
          <w:tcPr>
            <w:tcW w:w="638" w:type="dxa"/>
            <w:tcBorders/>
          </w:tcPr>
          <w:p>
            <w:pPr>
              <w:pStyle w:val="F21"/>
              <w:tabs>
                <w:tab w:val="clear" w:pos="567"/>
              </w:tabs>
              <w:overflowPunct w:val="true"/>
              <w:snapToGrid w:val="false"/>
              <w:ind w:right="113" w:hanging="0"/>
              <w:jc w:val="right"/>
              <w:rPr>
                <w:szCs w:val="27"/>
              </w:rPr>
            </w:pPr>
            <w:r>
              <w:rPr>
                <w:szCs w:val="27"/>
              </w:rPr>
              <w:t>34</w:t>
            </w:r>
          </w:p>
        </w:tc>
        <w:tc>
          <w:tcPr>
            <w:tcW w:w="637" w:type="dxa"/>
            <w:tcBorders/>
          </w:tcPr>
          <w:p>
            <w:pPr>
              <w:pStyle w:val="F21"/>
              <w:tabs>
                <w:tab w:val="clear" w:pos="567"/>
              </w:tabs>
              <w:overflowPunct w:val="true"/>
              <w:snapToGrid w:val="false"/>
              <w:ind w:right="113" w:hanging="0"/>
              <w:jc w:val="right"/>
              <w:rPr>
                <w:szCs w:val="27"/>
              </w:rPr>
            </w:pPr>
            <w:r>
              <w:rPr>
                <w:szCs w:val="27"/>
              </w:rPr>
              <w:t>68</w:t>
            </w:r>
          </w:p>
        </w:tc>
        <w:tc>
          <w:tcPr>
            <w:tcW w:w="638" w:type="dxa"/>
            <w:tcBorders/>
          </w:tcPr>
          <w:p>
            <w:pPr>
              <w:pStyle w:val="F21"/>
              <w:tabs>
                <w:tab w:val="clear" w:pos="567"/>
              </w:tabs>
              <w:overflowPunct w:val="true"/>
              <w:snapToGrid w:val="false"/>
              <w:ind w:right="113" w:hanging="0"/>
              <w:jc w:val="right"/>
              <w:rPr>
                <w:szCs w:val="27"/>
              </w:rPr>
            </w:pPr>
            <w:r>
              <w:rPr>
                <w:szCs w:val="27"/>
              </w:rPr>
              <w:t>124</w:t>
            </w:r>
          </w:p>
        </w:tc>
        <w:tc>
          <w:tcPr>
            <w:tcW w:w="639" w:type="dxa"/>
            <w:tcBorders/>
          </w:tcPr>
          <w:p>
            <w:pPr>
              <w:pStyle w:val="F21"/>
              <w:tabs>
                <w:tab w:val="clear" w:pos="567"/>
              </w:tabs>
              <w:overflowPunct w:val="true"/>
              <w:snapToGrid w:val="false"/>
              <w:ind w:right="113" w:hanging="0"/>
              <w:jc w:val="right"/>
              <w:rPr>
                <w:szCs w:val="27"/>
              </w:rPr>
            </w:pPr>
            <w:r>
              <w:rPr>
                <w:szCs w:val="27"/>
              </w:rPr>
              <w:t>293</w:t>
            </w:r>
          </w:p>
        </w:tc>
      </w:tr>
      <w:tr>
        <w:trPr/>
        <w:tc>
          <w:tcPr>
            <w:tcW w:w="1564" w:type="dxa"/>
            <w:tcBorders/>
          </w:tcPr>
          <w:p>
            <w:pPr>
              <w:pStyle w:val="F21"/>
              <w:tabs>
                <w:tab w:val="clear" w:pos="567"/>
              </w:tabs>
              <w:snapToGrid w:val="false"/>
              <w:jc w:val="center"/>
              <w:rPr>
                <w:szCs w:val="27"/>
              </w:rPr>
            </w:pPr>
            <w:r>
              <w:rPr>
                <w:szCs w:val="27"/>
              </w:rPr>
              <w:t>九龍東</w:t>
            </w:r>
          </w:p>
        </w:tc>
        <w:tc>
          <w:tcPr>
            <w:tcW w:w="638" w:type="dxa"/>
            <w:tcBorders/>
          </w:tcPr>
          <w:p>
            <w:pPr>
              <w:pStyle w:val="F21"/>
              <w:tabs>
                <w:tab w:val="clear" w:pos="567"/>
              </w:tabs>
              <w:overflowPunct w:val="true"/>
              <w:snapToGrid w:val="false"/>
              <w:ind w:right="113" w:hanging="0"/>
              <w:jc w:val="right"/>
              <w:rPr>
                <w:szCs w:val="27"/>
              </w:rPr>
            </w:pPr>
            <w:r>
              <w:rPr>
                <w:szCs w:val="27"/>
              </w:rPr>
              <w:t>34</w:t>
            </w:r>
          </w:p>
        </w:tc>
        <w:tc>
          <w:tcPr>
            <w:tcW w:w="638" w:type="dxa"/>
            <w:tcBorders/>
          </w:tcPr>
          <w:p>
            <w:pPr>
              <w:pStyle w:val="F21"/>
              <w:tabs>
                <w:tab w:val="clear" w:pos="567"/>
              </w:tabs>
              <w:overflowPunct w:val="true"/>
              <w:snapToGrid w:val="false"/>
              <w:ind w:right="113" w:hanging="0"/>
              <w:jc w:val="right"/>
              <w:rPr>
                <w:szCs w:val="27"/>
              </w:rPr>
            </w:pPr>
            <w:r>
              <w:rPr>
                <w:szCs w:val="27"/>
              </w:rPr>
              <w:t>99</w:t>
            </w:r>
          </w:p>
        </w:tc>
        <w:tc>
          <w:tcPr>
            <w:tcW w:w="638" w:type="dxa"/>
            <w:tcBorders/>
          </w:tcPr>
          <w:p>
            <w:pPr>
              <w:pStyle w:val="F21"/>
              <w:tabs>
                <w:tab w:val="clear" w:pos="567"/>
              </w:tabs>
              <w:overflowPunct w:val="true"/>
              <w:snapToGrid w:val="false"/>
              <w:ind w:right="113" w:hanging="0"/>
              <w:jc w:val="right"/>
              <w:rPr>
                <w:szCs w:val="27"/>
              </w:rPr>
            </w:pPr>
            <w:r>
              <w:rPr>
                <w:szCs w:val="27"/>
              </w:rPr>
              <w:t>221</w:t>
            </w:r>
          </w:p>
        </w:tc>
        <w:tc>
          <w:tcPr>
            <w:tcW w:w="638" w:type="dxa"/>
            <w:tcBorders/>
          </w:tcPr>
          <w:p>
            <w:pPr>
              <w:pStyle w:val="F21"/>
              <w:tabs>
                <w:tab w:val="clear" w:pos="567"/>
              </w:tabs>
              <w:overflowPunct w:val="true"/>
              <w:snapToGrid w:val="false"/>
              <w:ind w:right="113" w:hanging="0"/>
              <w:jc w:val="right"/>
              <w:rPr>
                <w:szCs w:val="27"/>
              </w:rPr>
            </w:pPr>
            <w:r>
              <w:rPr>
                <w:szCs w:val="27"/>
              </w:rPr>
              <w:t>312</w:t>
            </w:r>
          </w:p>
        </w:tc>
        <w:tc>
          <w:tcPr>
            <w:tcW w:w="638" w:type="dxa"/>
            <w:tcBorders/>
          </w:tcPr>
          <w:p>
            <w:pPr>
              <w:pStyle w:val="F21"/>
              <w:tabs>
                <w:tab w:val="clear" w:pos="567"/>
              </w:tabs>
              <w:overflowPunct w:val="true"/>
              <w:snapToGrid w:val="false"/>
              <w:ind w:right="113" w:hanging="0"/>
              <w:jc w:val="right"/>
              <w:rPr>
                <w:szCs w:val="27"/>
              </w:rPr>
            </w:pPr>
            <w:r>
              <w:rPr>
                <w:szCs w:val="27"/>
              </w:rPr>
              <w:t>23</w:t>
            </w:r>
          </w:p>
        </w:tc>
        <w:tc>
          <w:tcPr>
            <w:tcW w:w="638" w:type="dxa"/>
            <w:tcBorders/>
          </w:tcPr>
          <w:p>
            <w:pPr>
              <w:pStyle w:val="F21"/>
              <w:tabs>
                <w:tab w:val="clear" w:pos="567"/>
              </w:tabs>
              <w:overflowPunct w:val="true"/>
              <w:snapToGrid w:val="false"/>
              <w:ind w:right="113" w:hanging="0"/>
              <w:jc w:val="right"/>
              <w:rPr>
                <w:szCs w:val="27"/>
              </w:rPr>
            </w:pPr>
            <w:r>
              <w:rPr>
                <w:szCs w:val="27"/>
              </w:rPr>
              <w:t>59</w:t>
            </w:r>
          </w:p>
        </w:tc>
        <w:tc>
          <w:tcPr>
            <w:tcW w:w="638" w:type="dxa"/>
            <w:tcBorders/>
          </w:tcPr>
          <w:p>
            <w:pPr>
              <w:pStyle w:val="F21"/>
              <w:tabs>
                <w:tab w:val="clear" w:pos="567"/>
              </w:tabs>
              <w:overflowPunct w:val="true"/>
              <w:snapToGrid w:val="false"/>
              <w:ind w:right="113" w:hanging="0"/>
              <w:jc w:val="right"/>
              <w:rPr>
                <w:szCs w:val="27"/>
              </w:rPr>
            </w:pPr>
            <w:r>
              <w:rPr>
                <w:szCs w:val="27"/>
              </w:rPr>
              <w:t>322</w:t>
            </w:r>
          </w:p>
        </w:tc>
        <w:tc>
          <w:tcPr>
            <w:tcW w:w="638" w:type="dxa"/>
            <w:tcBorders/>
          </w:tcPr>
          <w:p>
            <w:pPr>
              <w:pStyle w:val="F21"/>
              <w:tabs>
                <w:tab w:val="clear" w:pos="567"/>
              </w:tabs>
              <w:overflowPunct w:val="true"/>
              <w:snapToGrid w:val="false"/>
              <w:ind w:right="113" w:hanging="0"/>
              <w:jc w:val="right"/>
              <w:rPr>
                <w:szCs w:val="27"/>
              </w:rPr>
            </w:pPr>
            <w:r>
              <w:rPr>
                <w:szCs w:val="27"/>
              </w:rPr>
              <w:t>520</w:t>
            </w:r>
          </w:p>
        </w:tc>
        <w:tc>
          <w:tcPr>
            <w:tcW w:w="638" w:type="dxa"/>
            <w:tcBorders/>
          </w:tcPr>
          <w:p>
            <w:pPr>
              <w:pStyle w:val="F21"/>
              <w:tabs>
                <w:tab w:val="clear" w:pos="567"/>
              </w:tabs>
              <w:overflowPunct w:val="true"/>
              <w:snapToGrid w:val="false"/>
              <w:ind w:right="113" w:hanging="0"/>
              <w:jc w:val="right"/>
              <w:rPr>
                <w:szCs w:val="27"/>
              </w:rPr>
            </w:pPr>
            <w:r>
              <w:rPr>
                <w:szCs w:val="27"/>
              </w:rPr>
              <w:t>35</w:t>
            </w:r>
          </w:p>
        </w:tc>
        <w:tc>
          <w:tcPr>
            <w:tcW w:w="637" w:type="dxa"/>
            <w:tcBorders/>
          </w:tcPr>
          <w:p>
            <w:pPr>
              <w:pStyle w:val="F21"/>
              <w:tabs>
                <w:tab w:val="clear" w:pos="567"/>
              </w:tabs>
              <w:overflowPunct w:val="true"/>
              <w:snapToGrid w:val="false"/>
              <w:ind w:right="113" w:hanging="0"/>
              <w:jc w:val="right"/>
              <w:rPr>
                <w:szCs w:val="27"/>
              </w:rPr>
            </w:pPr>
            <w:r>
              <w:rPr>
                <w:szCs w:val="27"/>
              </w:rPr>
              <w:t>87</w:t>
            </w:r>
          </w:p>
        </w:tc>
        <w:tc>
          <w:tcPr>
            <w:tcW w:w="638" w:type="dxa"/>
            <w:tcBorders/>
          </w:tcPr>
          <w:p>
            <w:pPr>
              <w:pStyle w:val="F21"/>
              <w:tabs>
                <w:tab w:val="clear" w:pos="567"/>
              </w:tabs>
              <w:overflowPunct w:val="true"/>
              <w:snapToGrid w:val="false"/>
              <w:ind w:right="113" w:hanging="0"/>
              <w:jc w:val="right"/>
              <w:rPr>
                <w:szCs w:val="27"/>
              </w:rPr>
            </w:pPr>
            <w:r>
              <w:rPr>
                <w:szCs w:val="27"/>
              </w:rPr>
              <w:t>313</w:t>
            </w:r>
          </w:p>
        </w:tc>
        <w:tc>
          <w:tcPr>
            <w:tcW w:w="639" w:type="dxa"/>
            <w:tcBorders/>
          </w:tcPr>
          <w:p>
            <w:pPr>
              <w:pStyle w:val="F21"/>
              <w:tabs>
                <w:tab w:val="clear" w:pos="567"/>
              </w:tabs>
              <w:overflowPunct w:val="true"/>
              <w:snapToGrid w:val="false"/>
              <w:ind w:right="113" w:hanging="0"/>
              <w:jc w:val="right"/>
              <w:rPr>
                <w:szCs w:val="27"/>
              </w:rPr>
            </w:pPr>
            <w:r>
              <w:rPr>
                <w:szCs w:val="27"/>
              </w:rPr>
              <w:t>614</w:t>
            </w:r>
          </w:p>
        </w:tc>
      </w:tr>
      <w:tr>
        <w:trPr/>
        <w:tc>
          <w:tcPr>
            <w:tcW w:w="1564" w:type="dxa"/>
            <w:tcBorders/>
          </w:tcPr>
          <w:p>
            <w:pPr>
              <w:pStyle w:val="F21"/>
              <w:tabs>
                <w:tab w:val="clear" w:pos="567"/>
              </w:tabs>
              <w:snapToGrid w:val="false"/>
              <w:jc w:val="center"/>
              <w:rPr>
                <w:szCs w:val="27"/>
              </w:rPr>
            </w:pPr>
            <w:r>
              <w:rPr>
                <w:szCs w:val="27"/>
              </w:rPr>
              <w:t>九龍西</w:t>
            </w:r>
          </w:p>
        </w:tc>
        <w:tc>
          <w:tcPr>
            <w:tcW w:w="638" w:type="dxa"/>
            <w:tcBorders/>
          </w:tcPr>
          <w:p>
            <w:pPr>
              <w:pStyle w:val="F21"/>
              <w:tabs>
                <w:tab w:val="clear" w:pos="567"/>
              </w:tabs>
              <w:overflowPunct w:val="true"/>
              <w:snapToGrid w:val="false"/>
              <w:ind w:right="113" w:hanging="0"/>
              <w:jc w:val="right"/>
              <w:rPr>
                <w:szCs w:val="27"/>
              </w:rPr>
            </w:pPr>
            <w:r>
              <w:rPr>
                <w:szCs w:val="27"/>
              </w:rPr>
              <w:t>8</w:t>
            </w:r>
          </w:p>
        </w:tc>
        <w:tc>
          <w:tcPr>
            <w:tcW w:w="638" w:type="dxa"/>
            <w:tcBorders/>
          </w:tcPr>
          <w:p>
            <w:pPr>
              <w:pStyle w:val="F21"/>
              <w:tabs>
                <w:tab w:val="clear" w:pos="567"/>
              </w:tabs>
              <w:overflowPunct w:val="true"/>
              <w:snapToGrid w:val="false"/>
              <w:ind w:right="113" w:hanging="0"/>
              <w:jc w:val="right"/>
              <w:rPr>
                <w:szCs w:val="27"/>
              </w:rPr>
            </w:pPr>
            <w:r>
              <w:rPr>
                <w:szCs w:val="27"/>
              </w:rPr>
              <w:t>87</w:t>
            </w:r>
          </w:p>
        </w:tc>
        <w:tc>
          <w:tcPr>
            <w:tcW w:w="638" w:type="dxa"/>
            <w:tcBorders/>
          </w:tcPr>
          <w:p>
            <w:pPr>
              <w:pStyle w:val="F21"/>
              <w:tabs>
                <w:tab w:val="clear" w:pos="567"/>
              </w:tabs>
              <w:overflowPunct w:val="true"/>
              <w:snapToGrid w:val="false"/>
              <w:ind w:right="113" w:hanging="0"/>
              <w:jc w:val="right"/>
              <w:rPr>
                <w:szCs w:val="27"/>
              </w:rPr>
            </w:pPr>
            <w:r>
              <w:rPr>
                <w:szCs w:val="27"/>
              </w:rPr>
              <w:t>258</w:t>
            </w:r>
          </w:p>
        </w:tc>
        <w:tc>
          <w:tcPr>
            <w:tcW w:w="638" w:type="dxa"/>
            <w:tcBorders/>
          </w:tcPr>
          <w:p>
            <w:pPr>
              <w:pStyle w:val="F21"/>
              <w:tabs>
                <w:tab w:val="clear" w:pos="567"/>
              </w:tabs>
              <w:overflowPunct w:val="true"/>
              <w:snapToGrid w:val="false"/>
              <w:ind w:right="113" w:hanging="0"/>
              <w:jc w:val="right"/>
              <w:rPr>
                <w:szCs w:val="27"/>
              </w:rPr>
            </w:pPr>
            <w:r>
              <w:rPr>
                <w:szCs w:val="27"/>
              </w:rPr>
              <w:t>390</w:t>
            </w:r>
          </w:p>
        </w:tc>
        <w:tc>
          <w:tcPr>
            <w:tcW w:w="638" w:type="dxa"/>
            <w:tcBorders/>
          </w:tcPr>
          <w:p>
            <w:pPr>
              <w:pStyle w:val="F21"/>
              <w:tabs>
                <w:tab w:val="clear" w:pos="567"/>
              </w:tabs>
              <w:overflowPunct w:val="true"/>
              <w:snapToGrid w:val="false"/>
              <w:ind w:right="113" w:hanging="0"/>
              <w:jc w:val="right"/>
              <w:rPr>
                <w:szCs w:val="27"/>
              </w:rPr>
            </w:pPr>
            <w:r>
              <w:rPr>
                <w:szCs w:val="27"/>
              </w:rPr>
              <w:t>7</w:t>
            </w:r>
          </w:p>
        </w:tc>
        <w:tc>
          <w:tcPr>
            <w:tcW w:w="638" w:type="dxa"/>
            <w:tcBorders/>
          </w:tcPr>
          <w:p>
            <w:pPr>
              <w:pStyle w:val="F21"/>
              <w:tabs>
                <w:tab w:val="clear" w:pos="567"/>
              </w:tabs>
              <w:overflowPunct w:val="true"/>
              <w:snapToGrid w:val="false"/>
              <w:ind w:right="113" w:hanging="0"/>
              <w:jc w:val="right"/>
              <w:rPr>
                <w:szCs w:val="27"/>
              </w:rPr>
            </w:pPr>
            <w:r>
              <w:rPr>
                <w:szCs w:val="27"/>
              </w:rPr>
              <w:t>93</w:t>
            </w:r>
          </w:p>
        </w:tc>
        <w:tc>
          <w:tcPr>
            <w:tcW w:w="638" w:type="dxa"/>
            <w:tcBorders/>
          </w:tcPr>
          <w:p>
            <w:pPr>
              <w:pStyle w:val="F21"/>
              <w:tabs>
                <w:tab w:val="clear" w:pos="567"/>
              </w:tabs>
              <w:overflowPunct w:val="true"/>
              <w:snapToGrid w:val="false"/>
              <w:ind w:right="113" w:hanging="0"/>
              <w:jc w:val="right"/>
              <w:rPr>
                <w:szCs w:val="27"/>
              </w:rPr>
            </w:pPr>
            <w:r>
              <w:rPr>
                <w:szCs w:val="27"/>
              </w:rPr>
              <w:t>243</w:t>
            </w:r>
          </w:p>
        </w:tc>
        <w:tc>
          <w:tcPr>
            <w:tcW w:w="638" w:type="dxa"/>
            <w:tcBorders/>
          </w:tcPr>
          <w:p>
            <w:pPr>
              <w:pStyle w:val="F21"/>
              <w:tabs>
                <w:tab w:val="clear" w:pos="567"/>
              </w:tabs>
              <w:overflowPunct w:val="true"/>
              <w:snapToGrid w:val="false"/>
              <w:ind w:right="113" w:hanging="0"/>
              <w:jc w:val="right"/>
              <w:rPr>
                <w:szCs w:val="27"/>
              </w:rPr>
            </w:pPr>
            <w:r>
              <w:rPr>
                <w:szCs w:val="27"/>
              </w:rPr>
              <w:t>319</w:t>
            </w:r>
          </w:p>
        </w:tc>
        <w:tc>
          <w:tcPr>
            <w:tcW w:w="638" w:type="dxa"/>
            <w:tcBorders/>
          </w:tcPr>
          <w:p>
            <w:pPr>
              <w:pStyle w:val="F21"/>
              <w:tabs>
                <w:tab w:val="clear" w:pos="567"/>
              </w:tabs>
              <w:overflowPunct w:val="true"/>
              <w:snapToGrid w:val="false"/>
              <w:ind w:right="113" w:hanging="0"/>
              <w:jc w:val="right"/>
              <w:rPr>
                <w:szCs w:val="27"/>
              </w:rPr>
            </w:pPr>
            <w:r>
              <w:rPr>
                <w:szCs w:val="27"/>
              </w:rPr>
              <w:t>18</w:t>
            </w:r>
          </w:p>
        </w:tc>
        <w:tc>
          <w:tcPr>
            <w:tcW w:w="637" w:type="dxa"/>
            <w:tcBorders/>
          </w:tcPr>
          <w:p>
            <w:pPr>
              <w:pStyle w:val="F21"/>
              <w:tabs>
                <w:tab w:val="clear" w:pos="567"/>
              </w:tabs>
              <w:overflowPunct w:val="true"/>
              <w:snapToGrid w:val="false"/>
              <w:ind w:right="113" w:hanging="0"/>
              <w:jc w:val="right"/>
              <w:rPr>
                <w:szCs w:val="27"/>
              </w:rPr>
            </w:pPr>
            <w:r>
              <w:rPr>
                <w:szCs w:val="27"/>
              </w:rPr>
              <w:t>98</w:t>
            </w:r>
          </w:p>
        </w:tc>
        <w:tc>
          <w:tcPr>
            <w:tcW w:w="638" w:type="dxa"/>
            <w:tcBorders/>
          </w:tcPr>
          <w:p>
            <w:pPr>
              <w:pStyle w:val="F21"/>
              <w:tabs>
                <w:tab w:val="clear" w:pos="567"/>
              </w:tabs>
              <w:overflowPunct w:val="true"/>
              <w:snapToGrid w:val="false"/>
              <w:ind w:right="113" w:hanging="0"/>
              <w:jc w:val="right"/>
              <w:rPr>
                <w:szCs w:val="27"/>
              </w:rPr>
            </w:pPr>
            <w:r>
              <w:rPr>
                <w:szCs w:val="27"/>
              </w:rPr>
              <w:t>203</w:t>
            </w:r>
          </w:p>
        </w:tc>
        <w:tc>
          <w:tcPr>
            <w:tcW w:w="639" w:type="dxa"/>
            <w:tcBorders/>
          </w:tcPr>
          <w:p>
            <w:pPr>
              <w:pStyle w:val="F21"/>
              <w:tabs>
                <w:tab w:val="clear" w:pos="567"/>
              </w:tabs>
              <w:overflowPunct w:val="true"/>
              <w:snapToGrid w:val="false"/>
              <w:ind w:right="113" w:hanging="0"/>
              <w:jc w:val="right"/>
              <w:rPr>
                <w:szCs w:val="27"/>
              </w:rPr>
            </w:pPr>
            <w:r>
              <w:rPr>
                <w:szCs w:val="27"/>
              </w:rPr>
              <w:t>357</w:t>
            </w:r>
          </w:p>
        </w:tc>
      </w:tr>
      <w:tr>
        <w:trPr/>
        <w:tc>
          <w:tcPr>
            <w:tcW w:w="1564" w:type="dxa"/>
            <w:tcBorders/>
          </w:tcPr>
          <w:p>
            <w:pPr>
              <w:pStyle w:val="F21"/>
              <w:tabs>
                <w:tab w:val="clear" w:pos="567"/>
              </w:tabs>
              <w:snapToGrid w:val="false"/>
              <w:jc w:val="center"/>
              <w:rPr>
                <w:szCs w:val="27"/>
              </w:rPr>
            </w:pPr>
            <w:r>
              <w:rPr>
                <w:szCs w:val="27"/>
              </w:rPr>
              <w:t>新界東</w:t>
            </w:r>
          </w:p>
        </w:tc>
        <w:tc>
          <w:tcPr>
            <w:tcW w:w="638" w:type="dxa"/>
            <w:tcBorders/>
          </w:tcPr>
          <w:p>
            <w:pPr>
              <w:pStyle w:val="F21"/>
              <w:tabs>
                <w:tab w:val="clear" w:pos="567"/>
              </w:tabs>
              <w:overflowPunct w:val="true"/>
              <w:snapToGrid w:val="false"/>
              <w:ind w:right="113" w:hanging="0"/>
              <w:jc w:val="right"/>
              <w:rPr>
                <w:szCs w:val="27"/>
              </w:rPr>
            </w:pPr>
            <w:r>
              <w:rPr>
                <w:szCs w:val="27"/>
              </w:rPr>
              <w:t>2</w:t>
            </w:r>
          </w:p>
        </w:tc>
        <w:tc>
          <w:tcPr>
            <w:tcW w:w="638" w:type="dxa"/>
            <w:tcBorders/>
          </w:tcPr>
          <w:p>
            <w:pPr>
              <w:pStyle w:val="F21"/>
              <w:tabs>
                <w:tab w:val="clear" w:pos="567"/>
              </w:tabs>
              <w:overflowPunct w:val="true"/>
              <w:snapToGrid w:val="false"/>
              <w:ind w:right="113" w:hanging="0"/>
              <w:jc w:val="right"/>
              <w:rPr>
                <w:szCs w:val="27"/>
              </w:rPr>
            </w:pPr>
            <w:r>
              <w:rPr>
                <w:szCs w:val="27"/>
              </w:rPr>
              <w:t>45</w:t>
            </w:r>
          </w:p>
        </w:tc>
        <w:tc>
          <w:tcPr>
            <w:tcW w:w="638" w:type="dxa"/>
            <w:tcBorders/>
          </w:tcPr>
          <w:p>
            <w:pPr>
              <w:pStyle w:val="F21"/>
              <w:tabs>
                <w:tab w:val="clear" w:pos="567"/>
              </w:tabs>
              <w:overflowPunct w:val="true"/>
              <w:snapToGrid w:val="false"/>
              <w:ind w:right="113" w:hanging="0"/>
              <w:jc w:val="right"/>
              <w:rPr>
                <w:szCs w:val="27"/>
              </w:rPr>
            </w:pPr>
            <w:r>
              <w:rPr>
                <w:szCs w:val="27"/>
              </w:rPr>
              <w:t>240</w:t>
            </w:r>
          </w:p>
        </w:tc>
        <w:tc>
          <w:tcPr>
            <w:tcW w:w="638" w:type="dxa"/>
            <w:tcBorders/>
          </w:tcPr>
          <w:p>
            <w:pPr>
              <w:pStyle w:val="F21"/>
              <w:tabs>
                <w:tab w:val="clear" w:pos="567"/>
              </w:tabs>
              <w:overflowPunct w:val="true"/>
              <w:snapToGrid w:val="false"/>
              <w:ind w:right="113" w:hanging="0"/>
              <w:jc w:val="right"/>
              <w:rPr>
                <w:szCs w:val="27"/>
              </w:rPr>
            </w:pPr>
            <w:r>
              <w:rPr>
                <w:szCs w:val="27"/>
              </w:rPr>
              <w:t>502</w:t>
            </w:r>
          </w:p>
        </w:tc>
        <w:tc>
          <w:tcPr>
            <w:tcW w:w="638" w:type="dxa"/>
            <w:tcBorders/>
          </w:tcPr>
          <w:p>
            <w:pPr>
              <w:pStyle w:val="F21"/>
              <w:tabs>
                <w:tab w:val="clear" w:pos="567"/>
              </w:tabs>
              <w:overflowPunct w:val="true"/>
              <w:snapToGrid w:val="false"/>
              <w:ind w:right="113" w:hanging="0"/>
              <w:jc w:val="right"/>
              <w:rPr>
                <w:szCs w:val="27"/>
              </w:rPr>
            </w:pPr>
            <w:r>
              <w:rPr>
                <w:szCs w:val="27"/>
              </w:rPr>
              <w:t>3</w:t>
            </w:r>
          </w:p>
        </w:tc>
        <w:tc>
          <w:tcPr>
            <w:tcW w:w="638" w:type="dxa"/>
            <w:tcBorders/>
          </w:tcPr>
          <w:p>
            <w:pPr>
              <w:pStyle w:val="F21"/>
              <w:tabs>
                <w:tab w:val="clear" w:pos="567"/>
              </w:tabs>
              <w:overflowPunct w:val="true"/>
              <w:snapToGrid w:val="false"/>
              <w:ind w:right="113" w:hanging="0"/>
              <w:jc w:val="right"/>
              <w:rPr>
                <w:szCs w:val="27"/>
              </w:rPr>
            </w:pPr>
            <w:r>
              <w:rPr>
                <w:szCs w:val="27"/>
              </w:rPr>
              <w:t>73</w:t>
            </w:r>
          </w:p>
        </w:tc>
        <w:tc>
          <w:tcPr>
            <w:tcW w:w="638" w:type="dxa"/>
            <w:tcBorders/>
          </w:tcPr>
          <w:p>
            <w:pPr>
              <w:pStyle w:val="F21"/>
              <w:tabs>
                <w:tab w:val="clear" w:pos="567"/>
              </w:tabs>
              <w:overflowPunct w:val="true"/>
              <w:snapToGrid w:val="false"/>
              <w:ind w:right="113" w:hanging="0"/>
              <w:jc w:val="right"/>
              <w:rPr>
                <w:szCs w:val="27"/>
              </w:rPr>
            </w:pPr>
            <w:r>
              <w:rPr>
                <w:szCs w:val="27"/>
              </w:rPr>
              <w:t>237</w:t>
            </w:r>
          </w:p>
        </w:tc>
        <w:tc>
          <w:tcPr>
            <w:tcW w:w="638" w:type="dxa"/>
            <w:tcBorders/>
          </w:tcPr>
          <w:p>
            <w:pPr>
              <w:pStyle w:val="F21"/>
              <w:tabs>
                <w:tab w:val="clear" w:pos="567"/>
              </w:tabs>
              <w:overflowPunct w:val="true"/>
              <w:snapToGrid w:val="false"/>
              <w:ind w:right="113" w:hanging="0"/>
              <w:jc w:val="right"/>
              <w:rPr>
                <w:szCs w:val="27"/>
              </w:rPr>
            </w:pPr>
            <w:r>
              <w:rPr>
                <w:szCs w:val="27"/>
              </w:rPr>
              <w:t>496</w:t>
            </w:r>
          </w:p>
        </w:tc>
        <w:tc>
          <w:tcPr>
            <w:tcW w:w="638" w:type="dxa"/>
            <w:tcBorders/>
          </w:tcPr>
          <w:p>
            <w:pPr>
              <w:pStyle w:val="F21"/>
              <w:tabs>
                <w:tab w:val="clear" w:pos="567"/>
              </w:tabs>
              <w:overflowPunct w:val="true"/>
              <w:snapToGrid w:val="false"/>
              <w:ind w:right="113" w:hanging="0"/>
              <w:jc w:val="right"/>
              <w:rPr>
                <w:szCs w:val="27"/>
              </w:rPr>
            </w:pPr>
            <w:r>
              <w:rPr>
                <w:szCs w:val="27"/>
              </w:rPr>
              <w:t>6</w:t>
            </w:r>
          </w:p>
        </w:tc>
        <w:tc>
          <w:tcPr>
            <w:tcW w:w="637" w:type="dxa"/>
            <w:tcBorders/>
          </w:tcPr>
          <w:p>
            <w:pPr>
              <w:pStyle w:val="F21"/>
              <w:tabs>
                <w:tab w:val="clear" w:pos="567"/>
              </w:tabs>
              <w:overflowPunct w:val="true"/>
              <w:snapToGrid w:val="false"/>
              <w:ind w:right="113" w:hanging="0"/>
              <w:jc w:val="right"/>
              <w:rPr>
                <w:szCs w:val="27"/>
              </w:rPr>
            </w:pPr>
            <w:r>
              <w:rPr>
                <w:szCs w:val="27"/>
              </w:rPr>
              <w:t>62</w:t>
            </w:r>
          </w:p>
        </w:tc>
        <w:tc>
          <w:tcPr>
            <w:tcW w:w="638" w:type="dxa"/>
            <w:tcBorders/>
          </w:tcPr>
          <w:p>
            <w:pPr>
              <w:pStyle w:val="F21"/>
              <w:tabs>
                <w:tab w:val="clear" w:pos="567"/>
              </w:tabs>
              <w:overflowPunct w:val="true"/>
              <w:snapToGrid w:val="false"/>
              <w:ind w:right="113" w:hanging="0"/>
              <w:jc w:val="right"/>
              <w:rPr>
                <w:szCs w:val="27"/>
              </w:rPr>
            </w:pPr>
            <w:r>
              <w:rPr>
                <w:szCs w:val="27"/>
              </w:rPr>
              <w:t>218</w:t>
            </w:r>
          </w:p>
        </w:tc>
        <w:tc>
          <w:tcPr>
            <w:tcW w:w="639" w:type="dxa"/>
            <w:tcBorders/>
          </w:tcPr>
          <w:p>
            <w:pPr>
              <w:pStyle w:val="F21"/>
              <w:tabs>
                <w:tab w:val="clear" w:pos="567"/>
              </w:tabs>
              <w:overflowPunct w:val="true"/>
              <w:snapToGrid w:val="false"/>
              <w:ind w:right="113" w:hanging="0"/>
              <w:jc w:val="right"/>
              <w:rPr>
                <w:szCs w:val="27"/>
              </w:rPr>
            </w:pPr>
            <w:r>
              <w:rPr>
                <w:szCs w:val="27"/>
              </w:rPr>
              <w:t>536</w:t>
            </w:r>
          </w:p>
        </w:tc>
      </w:tr>
      <w:tr>
        <w:trPr/>
        <w:tc>
          <w:tcPr>
            <w:tcW w:w="1564" w:type="dxa"/>
            <w:tcBorders/>
          </w:tcPr>
          <w:p>
            <w:pPr>
              <w:pStyle w:val="F21"/>
              <w:tabs>
                <w:tab w:val="clear" w:pos="567"/>
              </w:tabs>
              <w:snapToGrid w:val="false"/>
              <w:jc w:val="center"/>
              <w:rPr>
                <w:szCs w:val="27"/>
              </w:rPr>
            </w:pPr>
            <w:r>
              <w:rPr>
                <w:szCs w:val="27"/>
              </w:rPr>
              <w:t>新界西</w:t>
            </w:r>
          </w:p>
        </w:tc>
        <w:tc>
          <w:tcPr>
            <w:tcW w:w="638" w:type="dxa"/>
            <w:tcBorders/>
          </w:tcPr>
          <w:p>
            <w:pPr>
              <w:pStyle w:val="F21"/>
              <w:tabs>
                <w:tab w:val="clear" w:pos="567"/>
              </w:tabs>
              <w:overflowPunct w:val="true"/>
              <w:snapToGrid w:val="false"/>
              <w:ind w:right="113" w:hanging="0"/>
              <w:jc w:val="right"/>
              <w:rPr>
                <w:szCs w:val="27"/>
              </w:rPr>
            </w:pPr>
            <w:r>
              <w:rPr>
                <w:szCs w:val="27"/>
              </w:rPr>
              <w:t>3</w:t>
            </w:r>
          </w:p>
        </w:tc>
        <w:tc>
          <w:tcPr>
            <w:tcW w:w="638" w:type="dxa"/>
            <w:tcBorders/>
          </w:tcPr>
          <w:p>
            <w:pPr>
              <w:pStyle w:val="F21"/>
              <w:tabs>
                <w:tab w:val="clear" w:pos="567"/>
              </w:tabs>
              <w:overflowPunct w:val="true"/>
              <w:snapToGrid w:val="false"/>
              <w:ind w:right="113" w:hanging="0"/>
              <w:jc w:val="right"/>
              <w:rPr>
                <w:szCs w:val="27"/>
              </w:rPr>
            </w:pPr>
            <w:r>
              <w:rPr>
                <w:szCs w:val="27"/>
              </w:rPr>
              <w:t>20</w:t>
            </w:r>
          </w:p>
        </w:tc>
        <w:tc>
          <w:tcPr>
            <w:tcW w:w="638" w:type="dxa"/>
            <w:tcBorders/>
          </w:tcPr>
          <w:p>
            <w:pPr>
              <w:pStyle w:val="F21"/>
              <w:tabs>
                <w:tab w:val="clear" w:pos="567"/>
              </w:tabs>
              <w:overflowPunct w:val="true"/>
              <w:snapToGrid w:val="false"/>
              <w:ind w:right="113" w:hanging="0"/>
              <w:jc w:val="right"/>
              <w:rPr>
                <w:szCs w:val="27"/>
              </w:rPr>
            </w:pPr>
            <w:r>
              <w:rPr>
                <w:szCs w:val="27"/>
              </w:rPr>
              <w:t>137</w:t>
            </w:r>
          </w:p>
        </w:tc>
        <w:tc>
          <w:tcPr>
            <w:tcW w:w="638" w:type="dxa"/>
            <w:tcBorders/>
          </w:tcPr>
          <w:p>
            <w:pPr>
              <w:pStyle w:val="F21"/>
              <w:tabs>
                <w:tab w:val="clear" w:pos="567"/>
              </w:tabs>
              <w:overflowPunct w:val="true"/>
              <w:snapToGrid w:val="false"/>
              <w:ind w:right="113" w:hanging="0"/>
              <w:jc w:val="right"/>
              <w:rPr>
                <w:szCs w:val="27"/>
              </w:rPr>
            </w:pPr>
            <w:r>
              <w:rPr>
                <w:szCs w:val="27"/>
              </w:rPr>
              <w:t>515</w:t>
            </w:r>
          </w:p>
        </w:tc>
        <w:tc>
          <w:tcPr>
            <w:tcW w:w="638" w:type="dxa"/>
            <w:tcBorders/>
          </w:tcPr>
          <w:p>
            <w:pPr>
              <w:pStyle w:val="F21"/>
              <w:tabs>
                <w:tab w:val="clear" w:pos="567"/>
              </w:tabs>
              <w:overflowPunct w:val="true"/>
              <w:snapToGrid w:val="false"/>
              <w:ind w:right="113" w:hanging="0"/>
              <w:jc w:val="right"/>
              <w:rPr>
                <w:szCs w:val="27"/>
              </w:rPr>
            </w:pPr>
            <w:r>
              <w:rPr>
                <w:szCs w:val="27"/>
              </w:rPr>
              <w:t>3</w:t>
            </w:r>
          </w:p>
        </w:tc>
        <w:tc>
          <w:tcPr>
            <w:tcW w:w="638" w:type="dxa"/>
            <w:tcBorders/>
          </w:tcPr>
          <w:p>
            <w:pPr>
              <w:pStyle w:val="F21"/>
              <w:tabs>
                <w:tab w:val="clear" w:pos="567"/>
              </w:tabs>
              <w:overflowPunct w:val="true"/>
              <w:snapToGrid w:val="false"/>
              <w:ind w:right="113" w:hanging="0"/>
              <w:jc w:val="right"/>
              <w:rPr>
                <w:szCs w:val="27"/>
              </w:rPr>
            </w:pPr>
            <w:r>
              <w:rPr>
                <w:szCs w:val="27"/>
              </w:rPr>
              <w:t>34</w:t>
            </w:r>
          </w:p>
        </w:tc>
        <w:tc>
          <w:tcPr>
            <w:tcW w:w="638" w:type="dxa"/>
            <w:tcBorders/>
          </w:tcPr>
          <w:p>
            <w:pPr>
              <w:pStyle w:val="F21"/>
              <w:tabs>
                <w:tab w:val="clear" w:pos="567"/>
              </w:tabs>
              <w:overflowPunct w:val="true"/>
              <w:snapToGrid w:val="false"/>
              <w:ind w:right="113" w:hanging="0"/>
              <w:jc w:val="right"/>
              <w:rPr>
                <w:szCs w:val="27"/>
              </w:rPr>
            </w:pPr>
            <w:r>
              <w:rPr>
                <w:szCs w:val="27"/>
              </w:rPr>
              <w:t>276</w:t>
            </w:r>
          </w:p>
        </w:tc>
        <w:tc>
          <w:tcPr>
            <w:tcW w:w="638" w:type="dxa"/>
            <w:tcBorders/>
          </w:tcPr>
          <w:p>
            <w:pPr>
              <w:pStyle w:val="F21"/>
              <w:tabs>
                <w:tab w:val="clear" w:pos="567"/>
              </w:tabs>
              <w:overflowPunct w:val="true"/>
              <w:snapToGrid w:val="false"/>
              <w:ind w:right="113" w:hanging="0"/>
              <w:jc w:val="right"/>
              <w:rPr>
                <w:szCs w:val="27"/>
              </w:rPr>
            </w:pPr>
            <w:r>
              <w:rPr>
                <w:szCs w:val="27"/>
              </w:rPr>
              <w:t>755</w:t>
            </w:r>
          </w:p>
        </w:tc>
        <w:tc>
          <w:tcPr>
            <w:tcW w:w="638" w:type="dxa"/>
            <w:tcBorders/>
          </w:tcPr>
          <w:p>
            <w:pPr>
              <w:pStyle w:val="F21"/>
              <w:tabs>
                <w:tab w:val="clear" w:pos="567"/>
              </w:tabs>
              <w:overflowPunct w:val="true"/>
              <w:snapToGrid w:val="false"/>
              <w:ind w:right="113" w:hanging="0"/>
              <w:jc w:val="right"/>
              <w:rPr>
                <w:szCs w:val="27"/>
              </w:rPr>
            </w:pPr>
            <w:r>
              <w:rPr>
                <w:szCs w:val="27"/>
              </w:rPr>
              <w:t>2</w:t>
            </w:r>
          </w:p>
        </w:tc>
        <w:tc>
          <w:tcPr>
            <w:tcW w:w="637" w:type="dxa"/>
            <w:tcBorders/>
          </w:tcPr>
          <w:p>
            <w:pPr>
              <w:pStyle w:val="F21"/>
              <w:tabs>
                <w:tab w:val="clear" w:pos="567"/>
              </w:tabs>
              <w:overflowPunct w:val="true"/>
              <w:snapToGrid w:val="false"/>
              <w:ind w:right="113" w:hanging="0"/>
              <w:jc w:val="right"/>
              <w:rPr>
                <w:szCs w:val="27"/>
              </w:rPr>
            </w:pPr>
            <w:r>
              <w:rPr>
                <w:szCs w:val="27"/>
              </w:rPr>
              <w:t>9</w:t>
            </w:r>
          </w:p>
        </w:tc>
        <w:tc>
          <w:tcPr>
            <w:tcW w:w="638" w:type="dxa"/>
            <w:tcBorders/>
          </w:tcPr>
          <w:p>
            <w:pPr>
              <w:pStyle w:val="F21"/>
              <w:tabs>
                <w:tab w:val="clear" w:pos="567"/>
              </w:tabs>
              <w:overflowPunct w:val="true"/>
              <w:snapToGrid w:val="false"/>
              <w:ind w:right="113" w:hanging="0"/>
              <w:jc w:val="right"/>
              <w:rPr>
                <w:szCs w:val="27"/>
              </w:rPr>
            </w:pPr>
            <w:r>
              <w:rPr>
                <w:szCs w:val="27"/>
              </w:rPr>
              <w:t>198</w:t>
            </w:r>
          </w:p>
        </w:tc>
        <w:tc>
          <w:tcPr>
            <w:tcW w:w="639" w:type="dxa"/>
            <w:tcBorders/>
          </w:tcPr>
          <w:p>
            <w:pPr>
              <w:pStyle w:val="F21"/>
              <w:tabs>
                <w:tab w:val="clear" w:pos="567"/>
              </w:tabs>
              <w:overflowPunct w:val="true"/>
              <w:snapToGrid w:val="false"/>
              <w:ind w:right="113" w:hanging="0"/>
              <w:jc w:val="right"/>
              <w:rPr>
                <w:szCs w:val="27"/>
              </w:rPr>
            </w:pPr>
            <w:r>
              <w:rPr>
                <w:szCs w:val="27"/>
              </w:rPr>
              <w:t>539</w:t>
            </w:r>
          </w:p>
        </w:tc>
      </w:tr>
    </w:tbl>
    <w:p>
      <w:pPr>
        <w:pStyle w:val="F21"/>
        <w:snapToGrid w:val="false"/>
        <w:rPr>
          <w:szCs w:val="27"/>
        </w:rPr>
      </w:pPr>
      <w:r>
        <w:rPr>
          <w:szCs w:val="27"/>
        </w:rPr>
      </w:r>
    </w:p>
    <w:p>
      <w:pPr>
        <w:pStyle w:val="F21"/>
        <w:snapToGrid w:val="false"/>
        <w:spacing w:lineRule="auto" w:line="240"/>
        <w:rPr>
          <w:sz w:val="20"/>
          <w:szCs w:val="20"/>
        </w:rPr>
      </w:pPr>
      <w:r>
        <w:rPr>
          <w:sz w:val="20"/>
          <w:szCs w:val="20"/>
        </w:rPr>
        <w:t>註：</w:t>
      </w:r>
    </w:p>
    <w:p>
      <w:pPr>
        <w:pStyle w:val="F21"/>
        <w:snapToGrid w:val="false"/>
        <w:spacing w:lineRule="auto" w:line="240"/>
        <w:rPr>
          <w:sz w:val="20"/>
          <w:szCs w:val="20"/>
        </w:rPr>
      </w:pPr>
      <w:r>
        <w:rPr>
          <w:sz w:val="20"/>
          <w:szCs w:val="20"/>
        </w:rPr>
      </w:r>
    </w:p>
    <w:p>
      <w:pPr>
        <w:pStyle w:val="F21"/>
        <w:snapToGrid w:val="false"/>
        <w:spacing w:lineRule="auto" w:line="240"/>
        <w:rPr>
          <w:sz w:val="20"/>
          <w:szCs w:val="20"/>
        </w:rPr>
      </w:pPr>
      <w:r>
        <w:rPr>
          <w:sz w:val="20"/>
          <w:szCs w:val="20"/>
        </w:rPr>
        <w:t>&lt;1</w:t>
      </w:r>
      <w:r>
        <w:rPr>
          <w:sz w:val="20"/>
          <w:szCs w:val="20"/>
        </w:rPr>
        <w:t>即</w:t>
      </w:r>
      <w:r>
        <w:rPr>
          <w:sz w:val="20"/>
          <w:szCs w:val="20"/>
        </w:rPr>
        <w:t>1</w:t>
      </w:r>
      <w:r>
        <w:rPr>
          <w:sz w:val="20"/>
          <w:szCs w:val="20"/>
        </w:rPr>
        <w:t>日內</w:t>
      </w:r>
    </w:p>
    <w:p>
      <w:pPr>
        <w:pStyle w:val="F21"/>
        <w:snapToGrid w:val="false"/>
        <w:spacing w:lineRule="auto" w:line="240"/>
        <w:rPr>
          <w:sz w:val="20"/>
          <w:szCs w:val="20"/>
        </w:rPr>
      </w:pPr>
      <w:r>
        <w:rPr>
          <w:sz w:val="20"/>
          <w:szCs w:val="20"/>
        </w:rPr>
      </w:r>
    </w:p>
    <w:p>
      <w:pPr>
        <w:pStyle w:val="F21"/>
        <w:spacing w:lineRule="atLeast" w:line="380"/>
        <w:rPr>
          <w:sz w:val="20"/>
          <w:szCs w:val="20"/>
        </w:rPr>
      </w:pPr>
      <w:bookmarkStart w:id="31" w:name="wrq09"/>
      <w:r>
        <w:rPr>
          <w:rFonts w:cs="Times New Roman" w:eastAsia="華康中黑體"/>
          <w:b/>
        </w:rPr>
        <w:t>香港國際機場的收費</w:t>
      </w:r>
      <w:r>
        <w:br w:type="page"/>
      </w:r>
    </w:p>
    <w:p>
      <w:pPr>
        <w:pStyle w:val="Normal"/>
        <w:spacing w:lineRule="atLeast" w:line="380"/>
        <w:rPr>
          <w:b/>
          <w:b/>
        </w:rPr>
      </w:pPr>
      <w:bookmarkStart w:id="32" w:name="wrq09"/>
      <w:r>
        <w:rPr>
          <w:b/>
        </w:rPr>
        <w:t>Fees Charged by Hong Kong International Airport</w:t>
      </w:r>
      <w:bookmarkEnd w:id="32"/>
    </w:p>
    <w:p>
      <w:pPr>
        <w:pStyle w:val="F21"/>
        <w:spacing w:lineRule="atLeast" w:line="380"/>
        <w:rPr/>
      </w:pPr>
      <w:r>
        <w:rPr/>
      </w:r>
    </w:p>
    <w:p>
      <w:pPr>
        <w:pStyle w:val="F21"/>
        <w:spacing w:lineRule="atLeast" w:line="380"/>
        <w:rPr>
          <w:i/>
          <w:i/>
        </w:rPr>
      </w:pPr>
      <w:r>
        <w:rPr>
          <w:rFonts w:eastAsia="華康中黑體"/>
          <w:b/>
        </w:rPr>
        <w:t>9.</w:t>
      </w:r>
      <w:r>
        <w:rPr/>
        <w:tab/>
      </w:r>
      <w:r>
        <w:rPr>
          <w:rFonts w:eastAsia="華康中黑體"/>
          <w:b/>
        </w:rPr>
        <w:t>易志明議員</w:t>
      </w:r>
      <w:r>
        <w:rPr/>
        <w:t>：</w:t>
      </w:r>
      <w:r>
        <w:rPr>
          <w:i/>
        </w:rPr>
        <w:t>主席，有商界人士向本人反映，近年珠江三角洲</w:t>
      </w:r>
      <w:r>
        <w:rPr>
          <w:i/>
        </w:rPr>
        <w:t>(“</w:t>
      </w:r>
      <w:r>
        <w:rPr>
          <w:i/>
        </w:rPr>
        <w:t>珠三角”</w:t>
      </w:r>
      <w:r>
        <w:rPr>
          <w:i/>
        </w:rPr>
        <w:t>)</w:t>
      </w:r>
      <w:r>
        <w:rPr>
          <w:i/>
        </w:rPr>
        <w:t>地區內的機場發展迅速，將會衝擊香港的航空樞紐地位。他們又指出，香港國際機場所提供的服務及設施的收費水平</w:t>
      </w:r>
      <w:r>
        <w:rPr>
          <w:i/>
        </w:rPr>
        <w:t>(</w:t>
      </w:r>
      <w:r>
        <w:rPr>
          <w:i/>
        </w:rPr>
        <w:t>例如着陸費、停泊費、客運大樓費、以及辦公室、食肆和零售店的租金</w:t>
      </w:r>
      <w:r>
        <w:rPr>
          <w:i/>
        </w:rPr>
        <w:t>)</w:t>
      </w:r>
      <w:r>
        <w:rPr>
          <w:i/>
        </w:rPr>
        <w:t>，居於珠三角地區內機場的榜首，加重空運業的經營成本及負擔。就此，政府可否告知本會：</w:t>
      </w:r>
    </w:p>
    <w:p>
      <w:pPr>
        <w:pStyle w:val="F21"/>
        <w:spacing w:lineRule="atLeast" w:line="380"/>
        <w:rPr>
          <w:i/>
          <w:i/>
        </w:rPr>
      </w:pPr>
      <w:r>
        <w:rPr>
          <w:i/>
        </w:rPr>
      </w:r>
    </w:p>
    <w:p>
      <w:pPr>
        <w:pStyle w:val="F21"/>
        <w:spacing w:lineRule="atLeast" w:line="380"/>
        <w:ind w:left="1417" w:hanging="850"/>
        <w:rPr>
          <w:i/>
          <w:i/>
        </w:rPr>
      </w:pPr>
      <w:r>
        <w:rPr>
          <w:i/>
        </w:rPr>
        <w:t>(</w:t>
      </w:r>
      <w:r>
        <w:rPr>
          <w:i/>
        </w:rPr>
        <w:t>一</w:t>
      </w:r>
      <w:r>
        <w:rPr>
          <w:i/>
        </w:rPr>
        <w:t>)</w:t>
        <w:tab/>
      </w:r>
      <w:r>
        <w:rPr>
          <w:i/>
        </w:rPr>
        <w:t>是否知悉，過去</w:t>
      </w:r>
      <w:r>
        <w:rPr>
          <w:i/>
        </w:rPr>
        <w:t>3</w:t>
      </w:r>
      <w:r>
        <w:rPr>
          <w:i/>
        </w:rPr>
        <w:t>年，機場的收費</w:t>
      </w:r>
      <w:r>
        <w:rPr>
          <w:i/>
        </w:rPr>
        <w:t>(</w:t>
      </w:r>
      <w:r>
        <w:rPr>
          <w:i/>
        </w:rPr>
        <w:t>包括着陸費、停泊費和客運大樓費</w:t>
      </w:r>
      <w:r>
        <w:rPr>
          <w:i/>
        </w:rPr>
        <w:t>)</w:t>
      </w:r>
      <w:r>
        <w:rPr>
          <w:i/>
        </w:rPr>
        <w:t>，與珠三角地區各機場的收費如何比較；</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二</w:t>
      </w:r>
      <w:r>
        <w:rPr>
          <w:i/>
        </w:rPr>
        <w:t>)</w:t>
        <w:tab/>
      </w:r>
      <w:r>
        <w:rPr>
          <w:i/>
        </w:rPr>
        <w:t>鑒於有意見認為，由於機場的保安服務被機場管理局</w:t>
      </w:r>
      <w:r>
        <w:rPr>
          <w:i/>
        </w:rPr>
        <w:t>(“</w:t>
      </w:r>
      <w:r>
        <w:rPr>
          <w:i/>
        </w:rPr>
        <w:t>機管局”</w:t>
      </w:r>
      <w:r>
        <w:rPr>
          <w:i/>
        </w:rPr>
        <w:t>)</w:t>
      </w:r>
      <w:r>
        <w:rPr>
          <w:i/>
        </w:rPr>
        <w:t>旗下的機場保安有限公司壟斷，以致保安收費近年不斷飆升，而據悉機場保安有限公司曾就一份兩年期的服務合約，要求超過</w:t>
      </w:r>
      <w:r>
        <w:rPr>
          <w:i/>
        </w:rPr>
        <w:t>25%</w:t>
      </w:r>
      <w:r>
        <w:rPr>
          <w:i/>
        </w:rPr>
        <w:t>的收費加幅，當局是否知悉該公司釐定收費的準則；及</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三</w:t>
      </w:r>
      <w:r>
        <w:rPr>
          <w:i/>
        </w:rPr>
        <w:t>)</w:t>
        <w:tab/>
      </w:r>
      <w:r>
        <w:rPr>
          <w:i/>
        </w:rPr>
        <w:t>鑒於有意見認為香港國際機場作為香港的主要基礎設施，機管局不應單以商業原則營運機場，就各項服務賺取最高利潤，當局會否因應機場是基礎設施，具支援香港整體經濟發展的作用，要求機管局檢討現時各項服務的收費水平是否物有所值以及在珠三角內是否具競爭力，並研究全面降低有關收費的可行性，以推動香港經濟的持續發展；如會，詳情為何；如否，原因為何？</w:t>
      </w:r>
    </w:p>
    <w:p>
      <w:pPr>
        <w:pStyle w:val="F21"/>
        <w:spacing w:lineRule="atLeast" w:line="380"/>
        <w:rPr>
          <w:i/>
          <w:i/>
        </w:rPr>
      </w:pPr>
      <w:r>
        <w:rPr>
          <w:i/>
        </w:rPr>
      </w:r>
    </w:p>
    <w:p>
      <w:pPr>
        <w:pStyle w:val="F21"/>
        <w:spacing w:lineRule="atLeast" w:line="380"/>
        <w:rPr>
          <w:i/>
          <w:i/>
        </w:rPr>
      </w:pPr>
      <w:r>
        <w:rPr>
          <w:i/>
        </w:rPr>
      </w:r>
    </w:p>
    <w:p>
      <w:pPr>
        <w:pStyle w:val="F21"/>
        <w:spacing w:lineRule="atLeast" w:line="380"/>
        <w:rPr/>
      </w:pPr>
      <w:r>
        <w:rPr>
          <w:rFonts w:eastAsia="華康中黑體"/>
          <w:b/>
        </w:rPr>
        <w:t>運輸及房屋局局長</w:t>
      </w:r>
      <w:r>
        <w:rPr/>
        <w:t>：主席，就易志明議員質詢的各個部分，現答覆如下：</w:t>
      </w:r>
    </w:p>
    <w:p>
      <w:pPr>
        <w:pStyle w:val="F21"/>
        <w:spacing w:lineRule="atLeast" w:line="380"/>
        <w:rPr/>
      </w:pPr>
      <w:r>
        <w:rPr/>
      </w:r>
    </w:p>
    <w:p>
      <w:pPr>
        <w:pStyle w:val="Style14"/>
        <w:spacing w:lineRule="atLeast" w:line="380"/>
        <w:rPr>
          <w:i w:val="false"/>
          <w:i w:val="false"/>
        </w:rPr>
      </w:pPr>
      <w:r>
        <w:rPr>
          <w:i w:val="false"/>
        </w:rPr>
        <w:t>(</w:t>
      </w:r>
      <w:r>
        <w:rPr>
          <w:i w:val="false"/>
        </w:rPr>
        <w:t>一</w:t>
      </w:r>
      <w:r>
        <w:rPr>
          <w:i w:val="false"/>
        </w:rPr>
        <w:t>)</w:t>
      </w:r>
      <w:r>
        <w:rPr>
          <w:i w:val="false"/>
        </w:rPr>
        <w:t>及</w:t>
      </w:r>
      <w:r>
        <w:rPr>
          <w:i w:val="false"/>
        </w:rPr>
        <w:t>(</w:t>
      </w:r>
      <w:r>
        <w:rPr>
          <w:i w:val="false"/>
        </w:rPr>
        <w:t>三</w:t>
      </w:r>
      <w:r>
        <w:rPr>
          <w:i w:val="false"/>
        </w:rPr>
        <w:t>)</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機管局一直致力鞏固香港國際機場的國際及區域航空樞紐地位，推動香港經濟持續增長。</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根據《機場管理局條例》</w:t>
      </w:r>
      <w:r>
        <w:rPr>
          <w:i w:val="false"/>
        </w:rPr>
        <w:t>(</w:t>
      </w:r>
      <w:r>
        <w:rPr>
          <w:i w:val="false"/>
        </w:rPr>
        <w:t>第</w:t>
      </w:r>
      <w:r>
        <w:rPr>
          <w:i w:val="false"/>
        </w:rPr>
        <w:t>483</w:t>
      </w:r>
      <w:r>
        <w:rPr>
          <w:i w:val="false"/>
        </w:rPr>
        <w:t>章</w:t>
      </w:r>
      <w:r>
        <w:rPr>
          <w:i w:val="false"/>
        </w:rPr>
        <w:t>)</w:t>
      </w:r>
      <w:r>
        <w:rPr>
          <w:i w:val="false"/>
        </w:rPr>
        <w:t>，機管局按照審慎的商業原則，處理其業務及訂定香港國際機場的收費水平，並須在切實可行的範圍內盡量確保其收入以跨年計算，少足以應付其開支。在這前提下，機管局依循用者自付、公平、透明的原則釐定機場收費標準，而並非以賺取最高利潤為首要考慮。</w:t>
      </w:r>
    </w:p>
    <w:p>
      <w:pPr>
        <w:pStyle w:val="Style14"/>
        <w:rPr>
          <w:i w:val="false"/>
          <w:i w:val="false"/>
        </w:rPr>
      </w:pPr>
      <w:r>
        <w:rPr>
          <w:i w:val="false"/>
        </w:rPr>
      </w:r>
    </w:p>
    <w:p>
      <w:pPr>
        <w:pStyle w:val="Style14"/>
        <w:rPr>
          <w:i w:val="false"/>
          <w:i w:val="false"/>
        </w:rPr>
      </w:pPr>
      <w:r>
        <w:rPr>
          <w:i w:val="false"/>
        </w:rPr>
        <w:tab/>
      </w:r>
      <w:r>
        <w:rPr>
          <w:i w:val="false"/>
        </w:rPr>
        <w:t>機管局於</w:t>
      </w:r>
      <w:r>
        <w:rPr>
          <w:i w:val="false"/>
        </w:rPr>
        <w:t>2012</w:t>
      </w:r>
      <w:r>
        <w:rPr>
          <w:i w:val="false"/>
        </w:rPr>
        <w:t>年</w:t>
      </w:r>
      <w:r>
        <w:rPr>
          <w:i w:val="false"/>
        </w:rPr>
        <w:t>8</w:t>
      </w:r>
      <w:r>
        <w:rPr>
          <w:i w:val="false"/>
        </w:rPr>
        <w:t>月委託顧問公司</w:t>
      </w:r>
      <w:r>
        <w:rPr>
          <w:i w:val="false"/>
        </w:rPr>
        <w:t>LeighFisher</w:t>
      </w:r>
      <w:r>
        <w:rPr>
          <w:rStyle w:val="FootnoteAnchor"/>
          <w:i w:val="false"/>
        </w:rPr>
        <w:footnoteReference w:customMarkFollows="1" w:id="5"/>
        <w:t>(1)</w:t>
      </w:r>
      <w:r>
        <w:rPr>
          <w:i w:val="false"/>
        </w:rPr>
        <w:t>進行調查，比較全球</w:t>
      </w:r>
      <w:r>
        <w:rPr>
          <w:i w:val="false"/>
        </w:rPr>
        <w:t>55</w:t>
      </w:r>
      <w:r>
        <w:rPr>
          <w:i w:val="false"/>
        </w:rPr>
        <w:t>個國際機場的收費水平，當中包括香港國際機場和另外</w:t>
      </w:r>
      <w:r>
        <w:rPr>
          <w:i w:val="false"/>
        </w:rPr>
        <w:t>3</w:t>
      </w:r>
      <w:r>
        <w:rPr>
          <w:i w:val="false"/>
        </w:rPr>
        <w:t>個珠三角地區的國際機場，分別是廣州白雲國際機場、深圳寶安國際機場及澳門國際機場。</w:t>
      </w:r>
    </w:p>
    <w:p>
      <w:pPr>
        <w:pStyle w:val="Style14"/>
        <w:rPr>
          <w:i w:val="false"/>
          <w:i w:val="false"/>
        </w:rPr>
      </w:pPr>
      <w:r>
        <w:rPr>
          <w:i w:val="false"/>
        </w:rPr>
      </w:r>
    </w:p>
    <w:p>
      <w:pPr>
        <w:pStyle w:val="Style14"/>
        <w:rPr>
          <w:i w:val="false"/>
          <w:i w:val="false"/>
        </w:rPr>
      </w:pPr>
      <w:r>
        <w:rPr>
          <w:i w:val="false"/>
        </w:rPr>
        <w:tab/>
      </w:r>
      <w:r>
        <w:rPr>
          <w:i w:val="false"/>
        </w:rPr>
        <w:t>顧問的調查結果顯示，香港國際機場的收費水平遠較世界上多個國際機場和珠三角的國際機場為低。按機場撇除稅項的整體收費水平</w:t>
      </w:r>
      <w:r>
        <w:rPr>
          <w:rStyle w:val="FootnoteAnchor"/>
          <w:i w:val="false"/>
        </w:rPr>
        <w:footnoteReference w:customMarkFollows="1" w:id="6"/>
        <w:t>(2)</w:t>
      </w:r>
      <w:r>
        <w:rPr>
          <w:i w:val="false"/>
        </w:rPr>
        <w:t>由高至低排列，香港國際機場的整體收費水平在</w:t>
      </w:r>
      <w:r>
        <w:rPr>
          <w:i w:val="false"/>
        </w:rPr>
        <w:t>55</w:t>
      </w:r>
      <w:r>
        <w:rPr>
          <w:i w:val="false"/>
        </w:rPr>
        <w:t>個國際機場中排名第</w:t>
      </w:r>
      <w:r>
        <w:rPr>
          <w:i w:val="false"/>
        </w:rPr>
        <w:t>54</w:t>
      </w:r>
      <w:r>
        <w:rPr>
          <w:i w:val="false"/>
        </w:rPr>
        <w:t>，廣州白雲國際機場和深圳寶安國際機場的收費水平則並列排名第</w:t>
      </w:r>
      <w:r>
        <w:rPr>
          <w:i w:val="false"/>
        </w:rPr>
        <w:t>22</w:t>
      </w:r>
      <w:r>
        <w:rPr>
          <w:i w:val="false"/>
        </w:rPr>
        <w:t>，澳門國際機場排名第</w:t>
      </w:r>
      <w:r>
        <w:rPr>
          <w:i w:val="false"/>
        </w:rPr>
        <w:t>47</w:t>
      </w:r>
      <w:r>
        <w:rPr>
          <w:i w:val="false"/>
        </w:rPr>
        <w:t>。調查結果反映現時香港國際機場的收費在各國際機場中甚具競爭力，並無需要考慮調低機場收費。</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根據《香港航空保安計劃》，機管局須於香港國際機場提供航空保安服務，以保障航機及乘客等免受非法侵擾。機場保安有限公司是機管局的附屬公司，由機管局及特區政府合資擁有，以收回成本及非牟利方式經營，為香港國際機場提供航空保安服務。</w:t>
      </w:r>
    </w:p>
    <w:p>
      <w:pPr>
        <w:pStyle w:val="Style14"/>
        <w:rPr>
          <w:i w:val="false"/>
          <w:i w:val="false"/>
        </w:rPr>
      </w:pPr>
      <w:r>
        <w:rPr>
          <w:i w:val="false"/>
        </w:rPr>
      </w:r>
    </w:p>
    <w:p>
      <w:pPr>
        <w:pStyle w:val="Style14"/>
        <w:rPr>
          <w:i w:val="false"/>
          <w:i w:val="false"/>
        </w:rPr>
      </w:pPr>
      <w:r>
        <w:rPr>
          <w:i w:val="false"/>
        </w:rPr>
        <w:tab/>
      </w:r>
      <w:r>
        <w:rPr>
          <w:i w:val="false"/>
        </w:rPr>
        <w:t>機場保安公司表示，由於自</w:t>
      </w:r>
      <w:r>
        <w:rPr>
          <w:i w:val="false"/>
        </w:rPr>
        <w:t>2011</w:t>
      </w:r>
      <w:r>
        <w:rPr>
          <w:i w:val="false"/>
        </w:rPr>
        <w:t>年起員工工資和租金等營運成本持續上升，因此公司需要就航空保安服務的收費作出調整。我們得悉，機場保安公司近期正就其航空保安服務的收費進行調整，並與香港國際機場內各營運者積極溝通磋商，以期在收費水平上取得共識。當局會繼續留意有關討論的結果。</w:t>
      </w:r>
    </w:p>
    <w:p>
      <w:pPr>
        <w:pStyle w:val="F21"/>
        <w:rPr>
          <w:szCs w:val="27"/>
        </w:rPr>
      </w:pPr>
      <w:r>
        <w:rPr>
          <w:szCs w:val="27"/>
        </w:rPr>
      </w:r>
    </w:p>
    <w:p>
      <w:pPr>
        <w:pStyle w:val="F21"/>
        <w:rPr>
          <w:szCs w:val="27"/>
        </w:rPr>
      </w:pPr>
      <w:r>
        <w:rPr>
          <w:szCs w:val="27"/>
        </w:rPr>
      </w:r>
    </w:p>
    <w:p>
      <w:pPr>
        <w:pStyle w:val="F21"/>
        <w:spacing w:lineRule="atLeast" w:line="370"/>
        <w:rPr>
          <w:rFonts w:eastAsia="華康中黑體" w:cs="Times New Roman"/>
          <w:b/>
          <w:b/>
        </w:rPr>
      </w:pPr>
      <w:bookmarkStart w:id="33" w:name="wrq10"/>
      <w:r>
        <w:rPr>
          <w:rFonts w:cs="Times New Roman" w:eastAsia="華康中黑體"/>
          <w:b/>
        </w:rPr>
        <w:t>外匯基金的投資管理</w:t>
      </w:r>
    </w:p>
    <w:p>
      <w:pPr>
        <w:pStyle w:val="Normal"/>
        <w:spacing w:lineRule="atLeast" w:line="370"/>
        <w:rPr>
          <w:b/>
          <w:b/>
        </w:rPr>
      </w:pPr>
      <w:bookmarkStart w:id="34" w:name="wrq10"/>
      <w:r>
        <w:rPr>
          <w:b/>
        </w:rPr>
        <w:t>Investments Management of Exchange Fund</w:t>
      </w:r>
      <w:bookmarkEnd w:id="34"/>
    </w:p>
    <w:p>
      <w:pPr>
        <w:pStyle w:val="F21"/>
        <w:spacing w:lineRule="atLeast" w:line="370"/>
        <w:rPr/>
      </w:pPr>
      <w:r>
        <w:rPr/>
      </w:r>
    </w:p>
    <w:p>
      <w:pPr>
        <w:pStyle w:val="F21"/>
        <w:spacing w:lineRule="atLeast" w:line="370"/>
        <w:rPr>
          <w:i/>
          <w:i/>
        </w:rPr>
      </w:pPr>
      <w:r>
        <w:rPr>
          <w:rFonts w:eastAsia="華康中黑體"/>
          <w:b/>
        </w:rPr>
        <w:t>10.</w:t>
      </w:r>
      <w:r>
        <w:rPr/>
        <w:tab/>
      </w:r>
      <w:r>
        <w:rPr>
          <w:rFonts w:eastAsia="華康中黑體"/>
          <w:b/>
          <w:szCs w:val="27"/>
        </w:rPr>
        <w:t>謝偉銓議員</w:t>
      </w:r>
      <w:r>
        <w:rPr>
          <w:szCs w:val="27"/>
        </w:rPr>
        <w:t>：</w:t>
      </w:r>
      <w:r>
        <w:rPr>
          <w:i/>
          <w:szCs w:val="27"/>
        </w:rPr>
        <w:t>主席</w:t>
      </w:r>
      <w:r>
        <w:rPr>
          <w:i/>
        </w:rPr>
        <w:t>，據上月的報道，香港金融管理局</w:t>
      </w:r>
      <w:r>
        <w:rPr>
          <w:i/>
        </w:rPr>
        <w:t>(“</w:t>
      </w:r>
      <w:r>
        <w:rPr>
          <w:i/>
        </w:rPr>
        <w:t>金管局”</w:t>
      </w:r>
      <w:r>
        <w:rPr>
          <w:i/>
        </w:rPr>
        <w:t>)</w:t>
      </w:r>
      <w:r>
        <w:rPr>
          <w:i/>
        </w:rPr>
        <w:t>決定動用外匯基金約</w:t>
      </w:r>
      <w:r>
        <w:rPr>
          <w:i/>
        </w:rPr>
        <w:t>12</w:t>
      </w:r>
      <w:r>
        <w:rPr>
          <w:i/>
        </w:rPr>
        <w:t>億</w:t>
      </w:r>
      <w:r>
        <w:rPr>
          <w:i/>
        </w:rPr>
        <w:t>5,800</w:t>
      </w:r>
      <w:r>
        <w:rPr>
          <w:i/>
        </w:rPr>
        <w:t>萬港元，與倫敦一個發展商合組聯營公司，共同發展倫敦梅費爾區的一個地產項目。關於外匯基金的投資管理事宜，政府可否告知本會：</w:t>
      </w:r>
    </w:p>
    <w:p>
      <w:pPr>
        <w:pStyle w:val="F21"/>
        <w:spacing w:lineRule="atLeast" w:line="370"/>
        <w:rPr>
          <w:i/>
          <w:i/>
        </w:rPr>
      </w:pPr>
      <w:r>
        <w:rPr>
          <w:i/>
        </w:rPr>
      </w:r>
    </w:p>
    <w:p>
      <w:pPr>
        <w:pStyle w:val="F21"/>
        <w:spacing w:lineRule="atLeast" w:line="370"/>
        <w:ind w:left="1417" w:hanging="850"/>
        <w:rPr>
          <w:i/>
          <w:i/>
        </w:rPr>
      </w:pPr>
      <w:r>
        <w:rPr>
          <w:i/>
        </w:rPr>
        <w:t>(</w:t>
      </w:r>
      <w:r>
        <w:rPr>
          <w:i/>
        </w:rPr>
        <w:t>一</w:t>
      </w:r>
      <w:r>
        <w:rPr>
          <w:i/>
        </w:rPr>
        <w:t>)</w:t>
        <w:tab/>
      </w:r>
      <w:r>
        <w:rPr>
          <w:i/>
        </w:rPr>
        <w:t>金管局預計本港哪些行業</w:t>
      </w:r>
      <w:r>
        <w:rPr>
          <w:i/>
        </w:rPr>
        <w:t>(</w:t>
      </w:r>
      <w:r>
        <w:rPr>
          <w:i/>
        </w:rPr>
        <w:t>包括專業服務</w:t>
      </w:r>
      <w:r>
        <w:rPr>
          <w:i/>
        </w:rPr>
        <w:t>)</w:t>
      </w:r>
      <w:r>
        <w:rPr>
          <w:i/>
        </w:rPr>
        <w:t>將有機會參與或受惠於上述地產項目，以及有關的詳情和經濟效益為何；</w:t>
      </w:r>
    </w:p>
    <w:p>
      <w:pPr>
        <w:pStyle w:val="F21"/>
        <w:spacing w:lineRule="atLeast" w:line="370"/>
        <w:ind w:left="1417" w:hanging="850"/>
        <w:rPr>
          <w:i/>
          <w:i/>
        </w:rPr>
      </w:pPr>
      <w:r>
        <w:rPr>
          <w:i/>
        </w:rPr>
      </w:r>
    </w:p>
    <w:p>
      <w:pPr>
        <w:pStyle w:val="F21"/>
        <w:spacing w:lineRule="atLeast" w:line="370"/>
        <w:ind w:left="1417" w:hanging="850"/>
        <w:rPr>
          <w:i/>
          <w:i/>
        </w:rPr>
      </w:pPr>
      <w:r>
        <w:rPr>
          <w:i/>
        </w:rPr>
        <w:t>(</w:t>
      </w:r>
      <w:r>
        <w:rPr>
          <w:i/>
        </w:rPr>
        <w:t>二</w:t>
      </w:r>
      <w:r>
        <w:rPr>
          <w:i/>
        </w:rPr>
        <w:t>)</w:t>
        <w:tab/>
      </w:r>
      <w:r>
        <w:rPr>
          <w:i/>
        </w:rPr>
        <w:t>按投資項目的範疇劃分，過去</w:t>
      </w:r>
      <w:r>
        <w:rPr>
          <w:i/>
        </w:rPr>
        <w:t>5</w:t>
      </w:r>
      <w:r>
        <w:rPr>
          <w:i/>
        </w:rPr>
        <w:t>年，每年外匯基金在本港和海外的投資項目的投資總額和總收益分別為何；</w:t>
      </w:r>
    </w:p>
    <w:p>
      <w:pPr>
        <w:pStyle w:val="F21"/>
        <w:spacing w:lineRule="atLeast" w:line="370"/>
        <w:ind w:left="1417" w:hanging="850"/>
        <w:rPr>
          <w:i/>
          <w:i/>
        </w:rPr>
      </w:pPr>
      <w:r>
        <w:rPr>
          <w:i/>
        </w:rPr>
      </w:r>
    </w:p>
    <w:p>
      <w:pPr>
        <w:pStyle w:val="F21"/>
        <w:spacing w:lineRule="atLeast" w:line="370"/>
        <w:ind w:left="1417" w:hanging="850"/>
        <w:rPr>
          <w:i/>
          <w:i/>
        </w:rPr>
      </w:pPr>
      <w:r>
        <w:rPr>
          <w:i/>
        </w:rPr>
        <w:t>(</w:t>
      </w:r>
      <w:r>
        <w:rPr>
          <w:i/>
        </w:rPr>
        <w:t>三</w:t>
      </w:r>
      <w:r>
        <w:rPr>
          <w:i/>
        </w:rPr>
        <w:t>)</w:t>
        <w:tab/>
      </w:r>
      <w:r>
        <w:rPr>
          <w:i/>
        </w:rPr>
        <w:t>過去</w:t>
      </w:r>
      <w:r>
        <w:rPr>
          <w:i/>
        </w:rPr>
        <w:t>10</w:t>
      </w:r>
      <w:r>
        <w:rPr>
          <w:i/>
        </w:rPr>
        <w:t>年，外匯基金在本地和海外的投資項目中，預計和實際投資回報的最大、最小和平均差距分別為何；金管局有否檢討為何出現該等差距；若有檢討，結果為何，以及有何改善措施和建議；若沒有檢討，原因為何；</w:t>
      </w:r>
    </w:p>
    <w:p>
      <w:pPr>
        <w:pStyle w:val="F21"/>
        <w:spacing w:lineRule="atLeast" w:line="370"/>
        <w:ind w:left="1417" w:hanging="850"/>
        <w:rPr>
          <w:i/>
          <w:i/>
        </w:rPr>
      </w:pPr>
      <w:r>
        <w:rPr>
          <w:i/>
        </w:rPr>
      </w:r>
    </w:p>
    <w:p>
      <w:pPr>
        <w:pStyle w:val="F21"/>
        <w:spacing w:lineRule="atLeast" w:line="370"/>
        <w:ind w:left="1417" w:hanging="850"/>
        <w:rPr>
          <w:i/>
          <w:i/>
        </w:rPr>
      </w:pPr>
      <w:r>
        <w:rPr>
          <w:i/>
        </w:rPr>
        <w:t>(</w:t>
      </w:r>
      <w:r>
        <w:rPr>
          <w:i/>
        </w:rPr>
        <w:t>四</w:t>
      </w:r>
      <w:r>
        <w:rPr>
          <w:i/>
        </w:rPr>
        <w:t>)</w:t>
        <w:tab/>
      </w:r>
      <w:r>
        <w:rPr>
          <w:i/>
        </w:rPr>
        <w:t>金管局以何準則和考慮因素決定是否動用外匯基金投資於個別項目，以及本地和海外的投資項目有否不同的準則和考慮因素；若有，詳情及原因為何；金管局在作出投資決定時有否考慮對本港各行業的影響和帶來的得益；及</w:t>
      </w:r>
    </w:p>
    <w:p>
      <w:pPr>
        <w:pStyle w:val="F21"/>
        <w:spacing w:lineRule="atLeast" w:line="370"/>
        <w:ind w:left="1417" w:hanging="850"/>
        <w:rPr>
          <w:i/>
          <w:i/>
        </w:rPr>
      </w:pPr>
      <w:r>
        <w:rPr>
          <w:i/>
        </w:rPr>
      </w:r>
    </w:p>
    <w:p>
      <w:pPr>
        <w:pStyle w:val="F21"/>
        <w:spacing w:lineRule="atLeast" w:line="370"/>
        <w:ind w:left="1417" w:hanging="850"/>
        <w:rPr>
          <w:i/>
          <w:i/>
        </w:rPr>
      </w:pPr>
      <w:r>
        <w:rPr>
          <w:i/>
        </w:rPr>
        <w:t>(</w:t>
      </w:r>
      <w:r>
        <w:rPr>
          <w:i/>
        </w:rPr>
        <w:t>五</w:t>
      </w:r>
      <w:r>
        <w:rPr>
          <w:i/>
        </w:rPr>
        <w:t>)</w:t>
        <w:tab/>
      </w:r>
      <w:r>
        <w:rPr>
          <w:i/>
        </w:rPr>
        <w:t>金管局有否定期檢討外匯基金投資的項目，對香港整體經濟和各行業帶來的經濟效益；若有檢討，詳情為何，以及有何已落實推行和有待研究的改善建議？</w:t>
      </w:r>
    </w:p>
    <w:p>
      <w:pPr>
        <w:pStyle w:val="F21"/>
        <w:spacing w:lineRule="atLeast" w:line="370"/>
        <w:rPr>
          <w:i/>
          <w:i/>
        </w:rPr>
      </w:pPr>
      <w:r>
        <w:rPr>
          <w:i/>
        </w:rPr>
      </w:r>
    </w:p>
    <w:p>
      <w:pPr>
        <w:pStyle w:val="F21"/>
        <w:spacing w:lineRule="atLeast" w:line="370"/>
        <w:rPr>
          <w:i/>
          <w:i/>
        </w:rPr>
      </w:pPr>
      <w:r>
        <w:rPr>
          <w:i/>
        </w:rPr>
      </w:r>
    </w:p>
    <w:p>
      <w:pPr>
        <w:pStyle w:val="F21"/>
        <w:spacing w:lineRule="atLeast" w:line="370"/>
        <w:rPr/>
      </w:pPr>
      <w:r>
        <w:rPr>
          <w:rFonts w:eastAsia="華康中黑體"/>
          <w:b/>
        </w:rPr>
        <w:t>財政司司長</w:t>
      </w:r>
      <w:r>
        <w:rPr/>
        <w:t>：主席，外匯基金是根據《外匯基金條例》成立，其法定目的是保持香港貨幣及金融體系穩定健全。</w:t>
      </w:r>
    </w:p>
    <w:p>
      <w:pPr>
        <w:pStyle w:val="F21"/>
        <w:spacing w:lineRule="atLeast" w:line="370"/>
        <w:rPr/>
      </w:pPr>
      <w:r>
        <w:rPr/>
      </w:r>
    </w:p>
    <w:p>
      <w:pPr>
        <w:pStyle w:val="F21"/>
        <w:spacing w:lineRule="atLeast" w:line="370"/>
        <w:rPr/>
      </w:pPr>
      <w:r>
        <w:rPr/>
        <w:tab/>
      </w:r>
      <w:r>
        <w:rPr/>
        <w:t>外匯基金投資的目標包括保障資本；確保整體貨幣基礎在任何時候都由流通性極高的美元資產提供十足支持；確保流動資金足以維持貨幣及金融穩定；以及在不違反上述的情況下盡量爭取投資回報，以保障基金的長期購買力。</w:t>
      </w:r>
    </w:p>
    <w:p>
      <w:pPr>
        <w:pStyle w:val="F21"/>
        <w:rPr/>
      </w:pPr>
      <w:r>
        <w:rPr/>
      </w:r>
    </w:p>
    <w:p>
      <w:pPr>
        <w:pStyle w:val="F21"/>
        <w:spacing w:lineRule="atLeast" w:line="370"/>
        <w:rPr/>
      </w:pPr>
      <w:r>
        <w:rPr/>
        <w:tab/>
      </w:r>
      <w:r>
        <w:rPr/>
        <w:t>外匯基金資產主要分為</w:t>
      </w:r>
      <w:r>
        <w:rPr/>
        <w:t>3</w:t>
      </w:r>
      <w:r>
        <w:rPr/>
        <w:t>個組合：</w:t>
      </w:r>
      <w:r>
        <w:rPr>
          <w:szCs w:val="27"/>
        </w:rPr>
        <w:t>“</w:t>
      </w:r>
      <w:r>
        <w:rPr/>
        <w:t>支持組合</w:t>
      </w:r>
      <w:r>
        <w:rPr>
          <w:szCs w:val="27"/>
        </w:rPr>
        <w:t>”</w:t>
      </w:r>
      <w:r>
        <w:rPr/>
        <w:t>、</w:t>
      </w:r>
      <w:r>
        <w:rPr>
          <w:szCs w:val="27"/>
        </w:rPr>
        <w:t>“</w:t>
      </w:r>
      <w:r>
        <w:rPr/>
        <w:t>投資組合</w:t>
      </w:r>
      <w:r>
        <w:rPr>
          <w:szCs w:val="27"/>
        </w:rPr>
        <w:t>”</w:t>
      </w:r>
      <w:r>
        <w:rPr/>
        <w:t>及</w:t>
      </w:r>
      <w:r>
        <w:rPr>
          <w:szCs w:val="27"/>
        </w:rPr>
        <w:t>“</w:t>
      </w:r>
      <w:r>
        <w:rPr/>
        <w:t>長期增長組合</w:t>
      </w:r>
      <w:r>
        <w:rPr>
          <w:szCs w:val="27"/>
        </w:rPr>
        <w:t>”</w:t>
      </w:r>
      <w:r>
        <w:rPr/>
        <w:t>。在貨幣發行局的制度下，我們須向</w:t>
      </w:r>
      <w:r>
        <w:rPr>
          <w:szCs w:val="27"/>
        </w:rPr>
        <w:t>“</w:t>
      </w:r>
      <w:r>
        <w:rPr/>
        <w:t>貨幣基礎</w:t>
      </w:r>
      <w:r>
        <w:rPr>
          <w:szCs w:val="27"/>
        </w:rPr>
        <w:t>”</w:t>
      </w:r>
      <w:r>
        <w:rPr/>
        <w:t>提供十足的美元資產支持，因此</w:t>
      </w:r>
      <w:r>
        <w:rPr>
          <w:szCs w:val="27"/>
        </w:rPr>
        <w:t>“</w:t>
      </w:r>
      <w:r>
        <w:rPr/>
        <w:t>支持組合</w:t>
      </w:r>
      <w:r>
        <w:rPr>
          <w:szCs w:val="27"/>
        </w:rPr>
        <w:t>”</w:t>
      </w:r>
      <w:r>
        <w:rPr/>
        <w:t>只擁有優質、短期和極高流動性的美元債務工具。</w:t>
      </w:r>
      <w:r>
        <w:rPr>
          <w:szCs w:val="27"/>
        </w:rPr>
        <w:t>“</w:t>
      </w:r>
      <w:r>
        <w:rPr/>
        <w:t>投資組合</w:t>
      </w:r>
      <w:r>
        <w:rPr>
          <w:szCs w:val="27"/>
        </w:rPr>
        <w:t>”</w:t>
      </w:r>
      <w:r>
        <w:rPr/>
        <w:t>的資產比</w:t>
      </w:r>
      <w:r>
        <w:rPr>
          <w:szCs w:val="27"/>
        </w:rPr>
        <w:t>“</w:t>
      </w:r>
      <w:r>
        <w:rPr/>
        <w:t>支持組合</w:t>
      </w:r>
      <w:r>
        <w:rPr>
          <w:szCs w:val="27"/>
        </w:rPr>
        <w:t>”</w:t>
      </w:r>
      <w:r>
        <w:rPr/>
        <w:t>多元化，但亦保持高度安全性和流動性，以提供足夠資金去達致維持金融及貨幣穩定的法定目的。至於</w:t>
      </w:r>
      <w:r>
        <w:rPr>
          <w:szCs w:val="27"/>
        </w:rPr>
        <w:t>“</w:t>
      </w:r>
      <w:r>
        <w:rPr/>
        <w:t>長期增長組合</w:t>
      </w:r>
      <w:r>
        <w:rPr>
          <w:szCs w:val="27"/>
        </w:rPr>
        <w:t>”</w:t>
      </w:r>
      <w:r>
        <w:rPr/>
        <w:t>，主要是在保持香港貨幣及金融體系穩定健全的大前提下，提高外匯基金的中長期回報。</w:t>
      </w:r>
    </w:p>
    <w:p>
      <w:pPr>
        <w:pStyle w:val="F21"/>
        <w:spacing w:lineRule="atLeast" w:line="370"/>
        <w:rPr/>
      </w:pPr>
      <w:r>
        <w:rPr/>
      </w:r>
    </w:p>
    <w:p>
      <w:pPr>
        <w:pStyle w:val="F21"/>
        <w:spacing w:lineRule="atLeast" w:line="370"/>
        <w:rPr/>
      </w:pPr>
      <w:r>
        <w:rPr/>
        <w:tab/>
      </w:r>
      <w:r>
        <w:rPr/>
        <w:t>因應外匯基金的法定目的，投資主要集中於海外金融和實業資產。除了為策略性需要如於</w:t>
      </w:r>
      <w:r>
        <w:rPr/>
        <w:t>1998</w:t>
      </w:r>
      <w:r>
        <w:rPr/>
        <w:t>年為應付亞洲金融風暴而購入的港股，金管局自用的辦公室之外，外匯基金基本上沒有在香港作出投資。</w:t>
      </w:r>
    </w:p>
    <w:p>
      <w:pPr>
        <w:pStyle w:val="F21"/>
        <w:spacing w:lineRule="atLeast" w:line="370"/>
        <w:rPr/>
      </w:pPr>
      <w:r>
        <w:rPr/>
      </w:r>
    </w:p>
    <w:p>
      <w:pPr>
        <w:pStyle w:val="F21"/>
        <w:spacing w:lineRule="atLeast" w:line="370"/>
        <w:rPr/>
      </w:pPr>
      <w:r>
        <w:rPr/>
        <w:tab/>
      </w:r>
      <w:r>
        <w:rPr/>
        <w:t>我就質詢各部分答覆如下：</w:t>
      </w:r>
    </w:p>
    <w:p>
      <w:pPr>
        <w:pStyle w:val="F21"/>
        <w:spacing w:lineRule="atLeast" w:line="370"/>
        <w:rPr/>
      </w:pPr>
      <w:r>
        <w:rPr/>
      </w:r>
    </w:p>
    <w:p>
      <w:pPr>
        <w:pStyle w:val="Style14"/>
        <w:spacing w:lineRule="atLeast" w:line="370"/>
        <w:rPr>
          <w:i w:val="false"/>
          <w:i w:val="false"/>
        </w:rPr>
      </w:pPr>
      <w:r>
        <w:rPr>
          <w:i w:val="false"/>
        </w:rPr>
        <w:t>(</w:t>
      </w:r>
      <w:r>
        <w:rPr>
          <w:i w:val="false"/>
        </w:rPr>
        <w:t>一</w:t>
      </w:r>
      <w:r>
        <w:rPr>
          <w:i w:val="false"/>
        </w:rPr>
        <w:t>)</w:t>
        <w:tab/>
      </w:r>
      <w:r>
        <w:rPr>
          <w:i w:val="false"/>
        </w:rPr>
        <w:t>如所有外匯基金的海外投資項目，金管局在作出投資決定前，必定已經進行了全面的前期審視，嚴謹的風險管控及審慎的項目管理，亦聘用熟悉當地事務的獨立法律、稅務及物業交易顧問提供專業意見。</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二</w:t>
      </w:r>
      <w:r>
        <w:rPr>
          <w:i w:val="false"/>
        </w:rPr>
        <w:t>)</w:t>
      </w:r>
      <w:r>
        <w:rPr>
          <w:i w:val="false"/>
        </w:rPr>
        <w:t>及</w:t>
      </w:r>
      <w:r>
        <w:rPr>
          <w:i w:val="false"/>
        </w:rPr>
        <w:t>(</w:t>
      </w:r>
      <w:r>
        <w:rPr>
          <w:i w:val="false"/>
        </w:rPr>
        <w:t>三</w:t>
      </w:r>
      <w:r>
        <w:rPr>
          <w:i w:val="false"/>
        </w:rPr>
        <w:t>)</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外匯基金基本上沒有在香港作出投資。</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就</w:t>
      </w:r>
      <w:r>
        <w:rPr>
          <w:i w:val="false"/>
          <w:szCs w:val="27"/>
        </w:rPr>
        <w:t>“</w:t>
      </w:r>
      <w:r>
        <w:rPr>
          <w:i w:val="false"/>
        </w:rPr>
        <w:t>長期增長組合</w:t>
      </w:r>
      <w:r>
        <w:rPr>
          <w:i w:val="false"/>
          <w:szCs w:val="27"/>
        </w:rPr>
        <w:t>”</w:t>
      </w:r>
      <w:r>
        <w:rPr>
          <w:i w:val="false"/>
        </w:rPr>
        <w:t>下的海外投資項目而言，金管局會對每個項目的風險及回報，包括預期投資回報，進行全面深入分析，定期監察及檢討項目的進度及表現，並作出適當跟進。該組合自</w:t>
      </w:r>
      <w:r>
        <w:rPr>
          <w:i w:val="false"/>
        </w:rPr>
        <w:t>2009</w:t>
      </w:r>
      <w:r>
        <w:rPr>
          <w:i w:val="false"/>
        </w:rPr>
        <w:t>年開始投資至</w:t>
      </w:r>
      <w:r>
        <w:rPr>
          <w:i w:val="false"/>
        </w:rPr>
        <w:t>2011</w:t>
      </w:r>
      <w:r>
        <w:rPr>
          <w:i w:val="false"/>
        </w:rPr>
        <w:t>年年底及</w:t>
      </w:r>
      <w:r>
        <w:rPr>
          <w:i w:val="false"/>
        </w:rPr>
        <w:t>2012</w:t>
      </w:r>
      <w:r>
        <w:rPr>
          <w:i w:val="false"/>
        </w:rPr>
        <w:t>年年底的內部回報率以年率計算分別為</w:t>
      </w:r>
      <w:r>
        <w:rPr>
          <w:i w:val="false"/>
        </w:rPr>
        <w:t>9%</w:t>
      </w:r>
      <w:r>
        <w:rPr>
          <w:i w:val="false"/>
        </w:rPr>
        <w:t>和</w:t>
      </w:r>
      <w:r>
        <w:rPr>
          <w:i w:val="false"/>
        </w:rPr>
        <w:t>10%</w:t>
      </w:r>
      <w:r>
        <w:rPr>
          <w:i w:val="false"/>
        </w:rPr>
        <w:t>，而投資總值在</w:t>
      </w:r>
      <w:r>
        <w:rPr>
          <w:i w:val="false"/>
        </w:rPr>
        <w:t>2011</w:t>
      </w:r>
      <w:r>
        <w:rPr>
          <w:i w:val="false"/>
        </w:rPr>
        <w:t>年年底及</w:t>
      </w:r>
      <w:r>
        <w:rPr>
          <w:i w:val="false"/>
        </w:rPr>
        <w:t>2012</w:t>
      </w:r>
      <w:r>
        <w:rPr>
          <w:i w:val="false"/>
        </w:rPr>
        <w:t>年年底分別為</w:t>
      </w:r>
      <w:r>
        <w:rPr>
          <w:i w:val="false"/>
        </w:rPr>
        <w:t>342</w:t>
      </w:r>
      <w:r>
        <w:rPr>
          <w:i w:val="false"/>
        </w:rPr>
        <w:t>億港元和</w:t>
      </w:r>
      <w:r>
        <w:rPr>
          <w:i w:val="false"/>
        </w:rPr>
        <w:t>606</w:t>
      </w:r>
      <w:r>
        <w:rPr>
          <w:i w:val="false"/>
        </w:rPr>
        <w:t>億港元。我們認為不適宜對具體項目的預計及實際投資回報作出評論。</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四</w:t>
      </w:r>
      <w:r>
        <w:rPr>
          <w:i w:val="false"/>
        </w:rPr>
        <w:t>)</w:t>
      </w:r>
      <w:r>
        <w:rPr>
          <w:i w:val="false"/>
        </w:rPr>
        <w:t>及</w:t>
      </w:r>
      <w:r>
        <w:rPr>
          <w:i w:val="false"/>
        </w:rPr>
        <w:t>(</w:t>
      </w:r>
      <w:r>
        <w:rPr>
          <w:i w:val="false"/>
        </w:rPr>
        <w:t>五</w:t>
      </w:r>
      <w:r>
        <w:rPr>
          <w:i w:val="false"/>
        </w:rPr>
        <w:t>)</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金管局根據外匯基金的投資目標作出投資決定。對投資目標以外的效益，金管局沒有作出評估。</w:t>
      </w:r>
    </w:p>
    <w:p>
      <w:pPr>
        <w:pStyle w:val="F21"/>
        <w:rPr/>
      </w:pPr>
      <w:r>
        <w:rPr/>
      </w:r>
    </w:p>
    <w:p>
      <w:pPr>
        <w:pStyle w:val="F21"/>
        <w:rPr>
          <w:rFonts w:eastAsia="華康中黑體" w:cs="Times New Roman"/>
          <w:b/>
          <w:b/>
        </w:rPr>
      </w:pPr>
      <w:bookmarkStart w:id="35" w:name="wrq11"/>
      <w:r>
        <w:rPr>
          <w:rFonts w:cs="Times New Roman" w:eastAsia="華康中黑體"/>
          <w:b/>
        </w:rPr>
        <w:t>土地供應督導委員會</w:t>
      </w:r>
    </w:p>
    <w:p>
      <w:pPr>
        <w:pStyle w:val="Normal"/>
        <w:rPr>
          <w:b/>
          <w:b/>
        </w:rPr>
      </w:pPr>
      <w:bookmarkStart w:id="36" w:name="wrq11"/>
      <w:r>
        <w:rPr>
          <w:b/>
        </w:rPr>
        <w:t>Steering Committee on Land Supply</w:t>
      </w:r>
      <w:bookmarkEnd w:id="36"/>
    </w:p>
    <w:p>
      <w:pPr>
        <w:pStyle w:val="F21"/>
        <w:rPr/>
      </w:pPr>
      <w:r>
        <w:rPr/>
      </w:r>
    </w:p>
    <w:p>
      <w:pPr>
        <w:pStyle w:val="F21"/>
        <w:rPr>
          <w:i/>
          <w:i/>
        </w:rPr>
      </w:pPr>
      <w:r>
        <w:rPr>
          <w:rFonts w:eastAsia="華康中黑體"/>
          <w:b/>
        </w:rPr>
        <w:t>11.</w:t>
      </w:r>
      <w:r>
        <w:rPr/>
        <w:tab/>
      </w:r>
      <w:r>
        <w:rPr>
          <w:rFonts w:eastAsia="華康中黑體"/>
          <w:b/>
          <w:szCs w:val="27"/>
        </w:rPr>
        <w:t>涂謹申議員</w:t>
      </w:r>
      <w:r>
        <w:rPr>
          <w:szCs w:val="27"/>
        </w:rPr>
        <w:t>：</w:t>
      </w:r>
      <w:r>
        <w:rPr>
          <w:i/>
          <w:szCs w:val="27"/>
        </w:rPr>
        <w:t>主席</w:t>
      </w:r>
      <w:r>
        <w:rPr>
          <w:i/>
        </w:rPr>
        <w:t>，行政長官在</w:t>
      </w:r>
      <w:r>
        <w:rPr>
          <w:i/>
        </w:rPr>
        <w:t>2013</w:t>
      </w:r>
      <w:r>
        <w:rPr>
          <w:i/>
        </w:rPr>
        <w:t>年施政報告中表示，財政司司長領導的“房屋用地供應督導小組”，將改組為“土地供應督導委員會”</w:t>
      </w:r>
      <w:r>
        <w:rPr>
          <w:i/>
        </w:rPr>
        <w:t>(“</w:t>
      </w:r>
      <w:r>
        <w:rPr>
          <w:i/>
        </w:rPr>
        <w:t>委員會”</w:t>
      </w:r>
      <w:r>
        <w:rPr>
          <w:i/>
        </w:rPr>
        <w:t>)</w:t>
      </w:r>
      <w:r>
        <w:rPr>
          <w:i/>
        </w:rPr>
        <w:t>，全面統籌全港所有不同用途土地的開發和供應計劃，調動供應，以應對需求變化。就此，政府可否告知本會：</w:t>
      </w:r>
    </w:p>
    <w:p>
      <w:pPr>
        <w:pStyle w:val="F21"/>
        <w:rPr>
          <w:i/>
          <w:i/>
        </w:rPr>
      </w:pPr>
      <w:r>
        <w:rPr>
          <w:i/>
        </w:rPr>
      </w:r>
    </w:p>
    <w:p>
      <w:pPr>
        <w:pStyle w:val="F21"/>
        <w:ind w:left="1417" w:hanging="850"/>
        <w:rPr>
          <w:i/>
          <w:i/>
        </w:rPr>
      </w:pPr>
      <w:r>
        <w:rPr>
          <w:i/>
        </w:rPr>
        <w:t>(</w:t>
      </w:r>
      <w:r>
        <w:rPr>
          <w:i/>
        </w:rPr>
        <w:t>一</w:t>
      </w:r>
      <w:r>
        <w:rPr>
          <w:i/>
        </w:rPr>
        <w:t>)</w:t>
        <w:tab/>
      </w:r>
      <w:r>
        <w:rPr>
          <w:i/>
        </w:rPr>
        <w:t>委員會的成員組合，以及在去年召開了多少次會議；</w:t>
      </w:r>
    </w:p>
    <w:p>
      <w:pPr>
        <w:pStyle w:val="F21"/>
        <w:ind w:left="1417" w:hanging="850"/>
        <w:rPr>
          <w:i/>
          <w:i/>
        </w:rPr>
      </w:pPr>
      <w:r>
        <w:rPr>
          <w:i/>
        </w:rPr>
      </w:r>
    </w:p>
    <w:p>
      <w:pPr>
        <w:pStyle w:val="F21"/>
        <w:ind w:left="1417" w:hanging="850"/>
        <w:rPr>
          <w:i/>
          <w:i/>
        </w:rPr>
      </w:pPr>
      <w:r>
        <w:rPr>
          <w:i/>
        </w:rPr>
        <w:t>(</w:t>
      </w:r>
      <w:r>
        <w:rPr>
          <w:i/>
        </w:rPr>
        <w:t>二</w:t>
      </w:r>
      <w:r>
        <w:rPr>
          <w:i/>
        </w:rPr>
        <w:t>)</w:t>
        <w:tab/>
      </w:r>
      <w:r>
        <w:rPr>
          <w:i/>
        </w:rPr>
        <w:t>委員會在去年有否就增加短、中期的住宅土地供應提出具體的措施和建議個別土地作此用途；若有，未來</w:t>
      </w:r>
      <w:r>
        <w:rPr>
          <w:i/>
        </w:rPr>
        <w:t>5</w:t>
      </w:r>
      <w:r>
        <w:rPr>
          <w:i/>
        </w:rPr>
        <w:t>年每年會有多少幅土地可作住宅用地，以及可供興建多少住宅單位；</w:t>
      </w:r>
    </w:p>
    <w:p>
      <w:pPr>
        <w:pStyle w:val="F21"/>
        <w:ind w:left="1417" w:hanging="850"/>
        <w:rPr>
          <w:i/>
          <w:i/>
        </w:rPr>
      </w:pPr>
      <w:r>
        <w:rPr>
          <w:i/>
        </w:rPr>
      </w:r>
    </w:p>
    <w:p>
      <w:pPr>
        <w:pStyle w:val="F21"/>
        <w:ind w:left="1417" w:hanging="850"/>
        <w:rPr>
          <w:i/>
          <w:i/>
        </w:rPr>
      </w:pPr>
      <w:r>
        <w:rPr>
          <w:i/>
        </w:rPr>
        <w:t>(</w:t>
      </w:r>
      <w:r>
        <w:rPr>
          <w:i/>
        </w:rPr>
        <w:t>三</w:t>
      </w:r>
      <w:r>
        <w:rPr>
          <w:i/>
        </w:rPr>
        <w:t>)</w:t>
        <w:tab/>
      </w:r>
      <w:r>
        <w:rPr>
          <w:i/>
        </w:rPr>
        <w:t>委員會有否就本年度第四季的賣地計劃提出建議；若有，詳情為何；委員會有否評估住宅土地供應的各主要來源</w:t>
      </w:r>
      <w:r>
        <w:rPr>
          <w:i/>
        </w:rPr>
        <w:t>(</w:t>
      </w:r>
      <w:r>
        <w:rPr>
          <w:i/>
        </w:rPr>
        <w:t>包括政府賣地計劃、鐵路物業發展項目、市區重建項目、地契修訂／換地或其他私人發展項目</w:t>
      </w:r>
      <w:r>
        <w:rPr>
          <w:i/>
        </w:rPr>
        <w:t>)</w:t>
      </w:r>
      <w:r>
        <w:rPr>
          <w:i/>
        </w:rPr>
        <w:t>，在本年度可供應多少個住宅單位，以及該等數字與政府在本年年初時預計本年度土地供應可供興建</w:t>
      </w:r>
      <w:r>
        <w:rPr>
          <w:i/>
        </w:rPr>
        <w:t>25 800</w:t>
      </w:r>
      <w:r>
        <w:rPr>
          <w:i/>
        </w:rPr>
        <w:t>個私人住宅單位的目標如何比較，以及有否評估下一年度住宅土地及單位的供應情況為何；</w:t>
      </w:r>
    </w:p>
    <w:p>
      <w:pPr>
        <w:pStyle w:val="F21"/>
        <w:rPr>
          <w:i/>
          <w:i/>
        </w:rPr>
      </w:pPr>
      <w:r>
        <w:rPr>
          <w:i/>
        </w:rPr>
      </w:r>
    </w:p>
    <w:p>
      <w:pPr>
        <w:pStyle w:val="F21"/>
        <w:ind w:left="1417" w:hanging="850"/>
        <w:rPr>
          <w:i/>
          <w:i/>
        </w:rPr>
      </w:pPr>
      <w:r>
        <w:rPr>
          <w:i/>
        </w:rPr>
        <w:t>(</w:t>
      </w:r>
      <w:r>
        <w:rPr>
          <w:i/>
        </w:rPr>
        <w:t>四</w:t>
      </w:r>
      <w:r>
        <w:rPr>
          <w:i/>
        </w:rPr>
        <w:t>)</w:t>
        <w:tab/>
      </w:r>
      <w:r>
        <w:rPr>
          <w:i/>
        </w:rPr>
        <w:t>鑒於政府曾預計</w:t>
      </w:r>
      <w:r>
        <w:rPr>
          <w:i/>
        </w:rPr>
        <w:t>2013</w:t>
      </w:r>
      <w:r>
        <w:rPr>
          <w:i/>
        </w:rPr>
        <w:t>年可供出售的一手單位數目有</w:t>
      </w:r>
      <w:r>
        <w:rPr>
          <w:i/>
        </w:rPr>
        <w:t>24 000</w:t>
      </w:r>
      <w:r>
        <w:rPr>
          <w:i/>
        </w:rPr>
        <w:t>個</w:t>
      </w:r>
      <w:r>
        <w:rPr>
          <w:i/>
        </w:rPr>
        <w:t>(</w:t>
      </w:r>
      <w:r>
        <w:rPr>
          <w:i/>
        </w:rPr>
        <w:t>包括政府加快審批的</w:t>
      </w:r>
      <w:r>
        <w:rPr>
          <w:i/>
        </w:rPr>
        <w:t>12 000</w:t>
      </w:r>
      <w:r>
        <w:rPr>
          <w:i/>
        </w:rPr>
        <w:t>個預售樓花單位、</w:t>
      </w:r>
      <w:r>
        <w:rPr>
          <w:i/>
        </w:rPr>
        <w:t>8 000</w:t>
      </w:r>
      <w:r>
        <w:rPr>
          <w:i/>
        </w:rPr>
        <w:t>個可即時推出的樓花單位，以及</w:t>
      </w:r>
      <w:r>
        <w:rPr>
          <w:i/>
        </w:rPr>
        <w:t>4 000</w:t>
      </w:r>
      <w:r>
        <w:rPr>
          <w:i/>
        </w:rPr>
        <w:t>個貨尾單位</w:t>
      </w:r>
      <w:r>
        <w:rPr>
          <w:i/>
        </w:rPr>
        <w:t>)</w:t>
      </w:r>
      <w:r>
        <w:rPr>
          <w:i/>
        </w:rPr>
        <w:t>，委員會有否評估上述</w:t>
      </w:r>
      <w:r>
        <w:rPr>
          <w:i/>
        </w:rPr>
        <w:t>24 000</w:t>
      </w:r>
      <w:r>
        <w:rPr>
          <w:i/>
        </w:rPr>
        <w:t>個一手單位現時是否全數可供出售，以及當中已售出的單位數目；若評估結果為只有部分單位可供出售，原因為何；</w:t>
      </w:r>
    </w:p>
    <w:p>
      <w:pPr>
        <w:pStyle w:val="F21"/>
        <w:ind w:left="1417" w:hanging="850"/>
        <w:rPr>
          <w:i/>
          <w:i/>
        </w:rPr>
      </w:pPr>
      <w:r>
        <w:rPr>
          <w:i/>
        </w:rPr>
      </w:r>
    </w:p>
    <w:p>
      <w:pPr>
        <w:pStyle w:val="F21"/>
        <w:ind w:left="1417" w:hanging="850"/>
        <w:rPr>
          <w:i/>
          <w:i/>
        </w:rPr>
      </w:pPr>
      <w:r>
        <w:rPr>
          <w:i/>
        </w:rPr>
        <w:t>(</w:t>
      </w:r>
      <w:r>
        <w:rPr>
          <w:i/>
        </w:rPr>
        <w:t>五</w:t>
      </w:r>
      <w:r>
        <w:rPr>
          <w:i/>
        </w:rPr>
        <w:t>)</w:t>
        <w:tab/>
      </w:r>
      <w:r>
        <w:rPr>
          <w:i/>
        </w:rPr>
        <w:t>委員會在去年有否就增加中、長期公營房屋的土地供應提出具體的措施和建議個別土地作此用途；若有，在</w:t>
      </w:r>
      <w:r>
        <w:rPr>
          <w:i/>
        </w:rPr>
        <w:t>2017-2018</w:t>
      </w:r>
      <w:r>
        <w:rPr>
          <w:i/>
        </w:rPr>
        <w:t>年度起的</w:t>
      </w:r>
      <w:r>
        <w:rPr>
          <w:i/>
        </w:rPr>
        <w:t>5</w:t>
      </w:r>
      <w:r>
        <w:rPr>
          <w:i/>
        </w:rPr>
        <w:t>年內，每年預計建成的公共租住房屋及居者有其屋計劃單位的數目分別為何；及</w:t>
      </w:r>
    </w:p>
    <w:p>
      <w:pPr>
        <w:pStyle w:val="F21"/>
        <w:ind w:left="1417" w:hanging="850"/>
        <w:rPr>
          <w:i/>
          <w:i/>
        </w:rPr>
      </w:pPr>
      <w:r>
        <w:rPr>
          <w:i/>
        </w:rPr>
      </w:r>
    </w:p>
    <w:p>
      <w:pPr>
        <w:pStyle w:val="F21"/>
        <w:spacing w:lineRule="atLeast" w:line="370"/>
        <w:ind w:left="1417" w:hanging="850"/>
        <w:rPr>
          <w:i/>
          <w:i/>
        </w:rPr>
      </w:pPr>
      <w:r>
        <w:rPr>
          <w:i/>
        </w:rPr>
        <w:t>(</w:t>
      </w:r>
      <w:r>
        <w:rPr>
          <w:i/>
        </w:rPr>
        <w:t>六</w:t>
      </w:r>
      <w:r>
        <w:rPr>
          <w:i/>
        </w:rPr>
        <w:t>)</w:t>
        <w:tab/>
      </w:r>
      <w:r>
        <w:rPr>
          <w:i/>
        </w:rPr>
        <w:t>委員會有否評估本年度賣地計劃中商業用地的供應情況；委員會是否知悉搬遷九龍東兩個行動區內現有的政府設施，以及機場島北商業區等計劃的進度為何；委員會有否評估位於中環、旺角及灣仔的政府部門可於何時在其他地區重置，以增加該等地區的辦公室用地供應？</w:t>
      </w:r>
    </w:p>
    <w:p>
      <w:pPr>
        <w:pStyle w:val="F21"/>
        <w:spacing w:lineRule="atLeast" w:line="370"/>
        <w:rPr>
          <w:i/>
          <w:i/>
        </w:rPr>
      </w:pPr>
      <w:r>
        <w:rPr>
          <w:i/>
        </w:rPr>
      </w:r>
    </w:p>
    <w:p>
      <w:pPr>
        <w:pStyle w:val="F21"/>
        <w:spacing w:lineRule="atLeast" w:line="370"/>
        <w:rPr>
          <w:i/>
          <w:i/>
        </w:rPr>
      </w:pPr>
      <w:r>
        <w:rPr>
          <w:i/>
        </w:rPr>
      </w:r>
    </w:p>
    <w:p>
      <w:pPr>
        <w:pStyle w:val="F21"/>
        <w:spacing w:lineRule="atLeast" w:line="370"/>
        <w:rPr/>
      </w:pPr>
      <w:r>
        <w:rPr>
          <w:rFonts w:eastAsia="華康中黑體"/>
          <w:b/>
        </w:rPr>
        <w:t>發展局局長</w:t>
      </w:r>
      <w:r>
        <w:rPr/>
        <w:t>：主席，就質詢的</w:t>
      </w:r>
      <w:r>
        <w:rPr/>
        <w:t>6</w:t>
      </w:r>
      <w:r>
        <w:rPr/>
        <w:t>個部分，我答覆如下：</w:t>
      </w:r>
    </w:p>
    <w:p>
      <w:pPr>
        <w:pStyle w:val="F21"/>
        <w:spacing w:lineRule="atLeast" w:line="370"/>
        <w:rPr/>
      </w:pPr>
      <w:r>
        <w:rPr/>
      </w:r>
    </w:p>
    <w:p>
      <w:pPr>
        <w:pStyle w:val="Style14"/>
        <w:spacing w:lineRule="atLeast" w:line="370"/>
        <w:rPr>
          <w:i w:val="false"/>
          <w:i w:val="false"/>
        </w:rPr>
      </w:pPr>
      <w:r>
        <w:rPr>
          <w:i w:val="false"/>
        </w:rPr>
        <w:t>(</w:t>
      </w:r>
      <w:r>
        <w:rPr>
          <w:i w:val="false"/>
        </w:rPr>
        <w:t>一</w:t>
      </w:r>
      <w:r>
        <w:rPr>
          <w:i w:val="false"/>
        </w:rPr>
        <w:t>)</w:t>
        <w:tab/>
      </w:r>
      <w:r>
        <w:rPr>
          <w:i w:val="false"/>
        </w:rPr>
        <w:t>委員會由財政司司長擔任主席，發展局提供秘書處服務，各相關政策局局長和部門首長按會議議程出席會議。委員會負責全面統籌全港不同類別用途土地</w:t>
      </w:r>
      <w:r>
        <w:rPr>
          <w:i w:val="false"/>
        </w:rPr>
        <w:t>(</w:t>
      </w:r>
      <w:r>
        <w:rPr>
          <w:i w:val="false"/>
        </w:rPr>
        <w:t>包括房屋用地</w:t>
      </w:r>
      <w:r>
        <w:rPr>
          <w:i w:val="false"/>
        </w:rPr>
        <w:t>)</w:t>
      </w:r>
      <w:r>
        <w:rPr>
          <w:i w:val="false"/>
        </w:rPr>
        <w:t>的開發和供應。委員會</w:t>
      </w:r>
      <w:r>
        <w:rPr>
          <w:i w:val="false"/>
        </w:rPr>
        <w:t>(</w:t>
      </w:r>
      <w:r>
        <w:rPr>
          <w:i w:val="false"/>
        </w:rPr>
        <w:t>包括改組前的</w:t>
      </w:r>
      <w:r>
        <w:rPr>
          <w:i w:val="false"/>
          <w:szCs w:val="27"/>
        </w:rPr>
        <w:t>“</w:t>
      </w:r>
      <w:r>
        <w:rPr>
          <w:i w:val="false"/>
        </w:rPr>
        <w:t>房屋用地供應督導小組</w:t>
      </w:r>
      <w:r>
        <w:rPr>
          <w:i w:val="false"/>
          <w:szCs w:val="27"/>
        </w:rPr>
        <w:t>”</w:t>
      </w:r>
      <w:r>
        <w:rPr>
          <w:i w:val="false"/>
          <w:szCs w:val="27"/>
        </w:rPr>
        <w:t>)</w:t>
      </w:r>
      <w:r>
        <w:rPr>
          <w:i w:val="false"/>
        </w:rPr>
        <w:t>由</w:t>
      </w:r>
      <w:r>
        <w:rPr>
          <w:i w:val="false"/>
        </w:rPr>
        <w:t>2010</w:t>
      </w:r>
      <w:r>
        <w:rPr>
          <w:i w:val="false"/>
        </w:rPr>
        <w:t>年年底成立至今，一共召開了</w:t>
      </w:r>
      <w:r>
        <w:rPr>
          <w:i w:val="false"/>
        </w:rPr>
        <w:t>15</w:t>
      </w:r>
      <w:r>
        <w:rPr>
          <w:i w:val="false"/>
        </w:rPr>
        <w:t>次會議。</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二</w:t>
      </w:r>
      <w:r>
        <w:rPr>
          <w:i w:val="false"/>
        </w:rPr>
        <w:t>)</w:t>
        <w:tab/>
      </w:r>
      <w:r>
        <w:rPr>
          <w:i w:val="false"/>
        </w:rPr>
        <w:t>為應付香港市民的住屋和其他用地需要，</w:t>
      </w:r>
      <w:r>
        <w:rPr>
          <w:i w:val="false"/>
        </w:rPr>
        <w:t>2013</w:t>
      </w:r>
      <w:r>
        <w:rPr>
          <w:i w:val="false"/>
        </w:rPr>
        <w:t>年施政報告清楚交代了現屆政府增加土地供應的藍圖，包括</w:t>
      </w:r>
      <w:r>
        <w:rPr>
          <w:i w:val="false"/>
        </w:rPr>
        <w:t>10</w:t>
      </w:r>
      <w:r>
        <w:rPr>
          <w:i w:val="false"/>
        </w:rPr>
        <w:t>項增加短、中期房屋土地供應的措施，以及各項長遠土地發展項目。政府致力以多管齊下的策略，持續及有系統地採取一系列措施，盡量善用現有已開發的土地，並同時開拓可供發展用途的新增土地。</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委員會負責統籌各項土地供應措施的制訂和落實，包括協調各政策局／政府部門持續進行各項土地用途檢討工作，例如在政府、機構及社區用地、綠化地帶、工業用地和其他非住宅用途地帶內，以及空置或正作短期租約或其他臨時用途的政府土地中，尋找適合作房屋用途的土地；在規劃和基建設施許可及不會引致不可接受的環境影響的情況下，透過放寬住宅土地的地積比率及高度限制，適度提高發展密度；以及將原來用途未能落實的土地，盡快改作房屋和其他社會有更迫切需要的用途等。</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各項增加土地供應的工作已陸續取得成果，我們在全港各區物色了不少可考慮改作住宅用途的用地。當局會在個別用地按需要完成研究並確定發展可行性後，諮詢相關持份者，並盡快進行城市規劃及其他相關程序，把合適的土地改作住宅或其他用途。其中可供住宅發展的用地會按政府內部既定機制分別撥作興建公營房屋或安排出售作私人住宅發展，以達到房屋土地供應目標。</w:t>
      </w:r>
    </w:p>
    <w:p>
      <w:pPr>
        <w:pStyle w:val="Style14"/>
        <w:rPr>
          <w:i w:val="false"/>
          <w:i w:val="false"/>
        </w:rPr>
      </w:pPr>
      <w:r>
        <w:rPr>
          <w:i w:val="false"/>
        </w:rPr>
      </w:r>
    </w:p>
    <w:p>
      <w:pPr>
        <w:pStyle w:val="Style14"/>
        <w:spacing w:lineRule="atLeast" w:line="350"/>
        <w:rPr>
          <w:i w:val="false"/>
          <w:i w:val="false"/>
        </w:rPr>
      </w:pPr>
      <w:r>
        <w:rPr>
          <w:i w:val="false"/>
        </w:rPr>
        <w:t>(</w:t>
      </w:r>
      <w:r>
        <w:rPr>
          <w:i w:val="false"/>
        </w:rPr>
        <w:t>三</w:t>
      </w:r>
      <w:r>
        <w:rPr>
          <w:i w:val="false"/>
        </w:rPr>
        <w:t>)</w:t>
        <w:tab/>
      </w:r>
      <w:r>
        <w:rPr>
          <w:i w:val="false"/>
        </w:rPr>
        <w:t>如上述，委員會負責統籌土地開發和供應工作，而可供私人住宅發展的用地會透過發展局制訂的政府賣地計劃出售。當局將於本月內公布</w:t>
      </w:r>
      <w:r>
        <w:rPr>
          <w:i w:val="false"/>
        </w:rPr>
        <w:t>2013-2014</w:t>
      </w:r>
      <w:r>
        <w:rPr>
          <w:i w:val="false"/>
        </w:rPr>
        <w:t>年度第四季度賣地計劃的詳情。除政府主導的賣地計劃外，當局亦會緊密留意其他私人住宅土地供應來源的情況，包括鐵路物業發展項目、市區重建局</w:t>
      </w:r>
      <w:r>
        <w:rPr>
          <w:i w:val="false"/>
        </w:rPr>
        <w:t>(</w:t>
      </w:r>
      <w:r>
        <w:rPr>
          <w:i w:val="false"/>
          <w:szCs w:val="27"/>
        </w:rPr>
        <w:t>“</w:t>
      </w:r>
      <w:r>
        <w:rPr>
          <w:i w:val="false"/>
        </w:rPr>
        <w:t>市建局</w:t>
      </w:r>
      <w:r>
        <w:rPr>
          <w:i w:val="false"/>
          <w:szCs w:val="27"/>
        </w:rPr>
        <w:t>”</w:t>
      </w:r>
      <w:r>
        <w:rPr>
          <w:i w:val="false"/>
        </w:rPr>
        <w:t>)</w:t>
      </w:r>
      <w:r>
        <w:rPr>
          <w:i w:val="false"/>
        </w:rPr>
        <w:t>的重建項目和私人發展項目</w:t>
      </w:r>
      <w:r>
        <w:rPr>
          <w:i w:val="false"/>
        </w:rPr>
        <w:t>(</w:t>
      </w:r>
      <w:r>
        <w:rPr>
          <w:i w:val="false"/>
        </w:rPr>
        <w:t>包括須修訂土地契約／換地的私人發展項目和無須修訂土地契約／換地的私人重建項目</w:t>
      </w:r>
      <w:r>
        <w:rPr>
          <w:i w:val="false"/>
        </w:rPr>
        <w:t>)</w:t>
      </w:r>
      <w:r>
        <w:rPr>
          <w:i w:val="false"/>
        </w:rPr>
        <w:t>。</w:t>
      </w:r>
    </w:p>
    <w:p>
      <w:pPr>
        <w:pStyle w:val="Style14"/>
        <w:spacing w:lineRule="atLeast" w:line="350"/>
        <w:rPr>
          <w:i w:val="false"/>
          <w:i w:val="false"/>
        </w:rPr>
      </w:pPr>
      <w:r>
        <w:rPr>
          <w:i w:val="false"/>
        </w:rPr>
      </w:r>
    </w:p>
    <w:p>
      <w:pPr>
        <w:pStyle w:val="Style14"/>
        <w:spacing w:lineRule="atLeast" w:line="350"/>
        <w:rPr>
          <w:i w:val="false"/>
          <w:i w:val="false"/>
        </w:rPr>
      </w:pPr>
      <w:r>
        <w:rPr>
          <w:i w:val="false"/>
        </w:rPr>
        <w:tab/>
      </w:r>
      <w:r>
        <w:rPr>
          <w:i w:val="false"/>
        </w:rPr>
        <w:t>政府在私人住宅土地供應方面的目標，是維持每年平均提供可供興建約</w:t>
      </w:r>
      <w:r>
        <w:rPr>
          <w:i w:val="false"/>
        </w:rPr>
        <w:t>2</w:t>
      </w:r>
      <w:r>
        <w:rPr>
          <w:i w:val="false"/>
        </w:rPr>
        <w:t>萬個單位的土地。每年實際的土地供應量，除了政府賣地計劃由政府掌握外，其他私人住宅土地來源提供的供應要視乎相關的機構、公司和業權人推行項目的進度。政府在</w:t>
      </w:r>
      <w:r>
        <w:rPr>
          <w:i w:val="false"/>
        </w:rPr>
        <w:t>2013</w:t>
      </w:r>
      <w:r>
        <w:rPr>
          <w:i w:val="false"/>
        </w:rPr>
        <w:t>年</w:t>
      </w:r>
      <w:r>
        <w:rPr>
          <w:i w:val="false"/>
        </w:rPr>
        <w:t>2</w:t>
      </w:r>
      <w:r>
        <w:rPr>
          <w:i w:val="false"/>
        </w:rPr>
        <w:t>月</w:t>
      </w:r>
      <w:r>
        <w:rPr>
          <w:i w:val="false"/>
        </w:rPr>
        <w:t>28</w:t>
      </w:r>
      <w:r>
        <w:rPr>
          <w:i w:val="false"/>
        </w:rPr>
        <w:t>日公布</w:t>
      </w:r>
      <w:r>
        <w:rPr>
          <w:i w:val="false"/>
        </w:rPr>
        <w:t>2013-2014</w:t>
      </w:r>
      <w:r>
        <w:rPr>
          <w:i w:val="false"/>
        </w:rPr>
        <w:t>年度賣地計劃時，綜合不同私人住宅土地供應來源，估算該年度可作私人住宅發展的房屋土地，可供興建的單位數量約為</w:t>
      </w:r>
      <w:r>
        <w:rPr>
          <w:i w:val="false"/>
        </w:rPr>
        <w:t>25 800</w:t>
      </w:r>
      <w:r>
        <w:rPr>
          <w:i w:val="false"/>
        </w:rPr>
        <w:t>個。</w:t>
      </w:r>
    </w:p>
    <w:p>
      <w:pPr>
        <w:pStyle w:val="Style14"/>
        <w:spacing w:lineRule="atLeast" w:line="350"/>
        <w:rPr>
          <w:i w:val="false"/>
          <w:i w:val="false"/>
        </w:rPr>
      </w:pPr>
      <w:r>
        <w:rPr>
          <w:i w:val="false"/>
        </w:rPr>
      </w:r>
    </w:p>
    <w:p>
      <w:pPr>
        <w:pStyle w:val="Style14"/>
        <w:spacing w:lineRule="atLeast" w:line="350"/>
        <w:rPr>
          <w:i w:val="false"/>
          <w:i w:val="false"/>
        </w:rPr>
      </w:pPr>
      <w:r>
        <w:rPr>
          <w:i w:val="false"/>
        </w:rPr>
        <w:tab/>
      </w:r>
      <w:r>
        <w:rPr>
          <w:i w:val="false"/>
        </w:rPr>
        <w:t>政府積極透過賣地計劃把土地推出市場。</w:t>
      </w:r>
      <w:r>
        <w:rPr>
          <w:i w:val="false"/>
        </w:rPr>
        <w:t>2013-2014</w:t>
      </w:r>
      <w:r>
        <w:rPr>
          <w:i w:val="false"/>
        </w:rPr>
        <w:t>年度首</w:t>
      </w:r>
      <w:r>
        <w:rPr>
          <w:i w:val="false"/>
        </w:rPr>
        <w:t>3</w:t>
      </w:r>
      <w:r>
        <w:rPr>
          <w:i w:val="false"/>
        </w:rPr>
        <w:t>季度已售／將售的住宅用地共</w:t>
      </w:r>
      <w:r>
        <w:rPr>
          <w:i w:val="false"/>
        </w:rPr>
        <w:t>24</w:t>
      </w:r>
      <w:r>
        <w:rPr>
          <w:i w:val="false"/>
        </w:rPr>
        <w:t>幅，可供興建單位數字</w:t>
      </w:r>
      <w:r>
        <w:rPr>
          <w:i w:val="false"/>
        </w:rPr>
        <w:t>(</w:t>
      </w:r>
      <w:r>
        <w:rPr>
          <w:i w:val="false"/>
        </w:rPr>
        <w:t>約</w:t>
      </w:r>
      <w:r>
        <w:rPr>
          <w:i w:val="false"/>
        </w:rPr>
        <w:t>8 200</w:t>
      </w:r>
      <w:r>
        <w:rPr>
          <w:i w:val="false"/>
        </w:rPr>
        <w:t>個</w:t>
      </w:r>
      <w:r>
        <w:rPr>
          <w:i w:val="false"/>
        </w:rPr>
        <w:t>)</w:t>
      </w:r>
      <w:r>
        <w:rPr>
          <w:i w:val="false"/>
        </w:rPr>
        <w:t>已相當於整個</w:t>
      </w:r>
      <w:r>
        <w:rPr>
          <w:i w:val="false"/>
        </w:rPr>
        <w:t>2012-2013</w:t>
      </w:r>
      <w:r>
        <w:rPr>
          <w:i w:val="false"/>
        </w:rPr>
        <w:t>年度政府賣地可供興建的單位數目。這顯示了政府增加私人房屋土地供應的決心。至於其他私人住宅土地供應來源，包括鐵路物業發展項目、市建局重建項目、私人發展項目等，正如上文所說，須視乎有關機構、公司和業權人的項目推展進度。</w:t>
      </w:r>
    </w:p>
    <w:p>
      <w:pPr>
        <w:pStyle w:val="Style14"/>
        <w:spacing w:lineRule="atLeast" w:line="350"/>
        <w:rPr>
          <w:i w:val="false"/>
          <w:i w:val="false"/>
        </w:rPr>
      </w:pPr>
      <w:r>
        <w:rPr>
          <w:i w:val="false"/>
        </w:rPr>
      </w:r>
    </w:p>
    <w:p>
      <w:pPr>
        <w:pStyle w:val="Style14"/>
        <w:spacing w:lineRule="atLeast" w:line="350"/>
        <w:rPr>
          <w:i w:val="false"/>
          <w:i w:val="false"/>
        </w:rPr>
      </w:pPr>
      <w:r>
        <w:rPr>
          <w:i w:val="false"/>
        </w:rPr>
        <w:tab/>
      </w:r>
      <w:r>
        <w:rPr>
          <w:i w:val="false"/>
        </w:rPr>
        <w:t>一如以往，政府會在明年年初公布</w:t>
      </w:r>
      <w:r>
        <w:rPr>
          <w:i w:val="false"/>
        </w:rPr>
        <w:t>2014-2015</w:t>
      </w:r>
      <w:r>
        <w:rPr>
          <w:i w:val="false"/>
        </w:rPr>
        <w:t>年度賣地計劃時，總結</w:t>
      </w:r>
      <w:r>
        <w:rPr>
          <w:i w:val="false"/>
        </w:rPr>
        <w:t>2013-2014</w:t>
      </w:r>
      <w:r>
        <w:rPr>
          <w:i w:val="false"/>
        </w:rPr>
        <w:t>年度不同來源的私人房屋土地供應情況，並估算</w:t>
      </w:r>
      <w:r>
        <w:rPr>
          <w:i w:val="false"/>
        </w:rPr>
        <w:t>2014-2015</w:t>
      </w:r>
      <w:r>
        <w:rPr>
          <w:i w:val="false"/>
        </w:rPr>
        <w:t>年度可供應市場作私人住宅發展的土地供應量。</w:t>
      </w:r>
    </w:p>
    <w:p>
      <w:pPr>
        <w:pStyle w:val="Style14"/>
        <w:spacing w:lineRule="atLeast" w:line="350"/>
        <w:rPr>
          <w:i w:val="false"/>
          <w:i w:val="false"/>
        </w:rPr>
      </w:pPr>
      <w:r>
        <w:rPr>
          <w:i w:val="false"/>
        </w:rPr>
      </w:r>
    </w:p>
    <w:p>
      <w:pPr>
        <w:pStyle w:val="Style14"/>
        <w:spacing w:lineRule="atLeast" w:line="350"/>
        <w:rPr>
          <w:i w:val="false"/>
          <w:i w:val="false"/>
        </w:rPr>
      </w:pPr>
      <w:r>
        <w:rPr>
          <w:i w:val="false"/>
        </w:rPr>
        <w:t>(</w:t>
      </w:r>
      <w:r>
        <w:rPr>
          <w:i w:val="false"/>
        </w:rPr>
        <w:t>四</w:t>
      </w:r>
      <w:r>
        <w:rPr>
          <w:i w:val="false"/>
        </w:rPr>
        <w:t>)</w:t>
        <w:tab/>
      </w:r>
      <w:r>
        <w:rPr>
          <w:i w:val="false"/>
        </w:rPr>
        <w:t>質詢提及預計</w:t>
      </w:r>
      <w:r>
        <w:rPr>
          <w:i w:val="false"/>
        </w:rPr>
        <w:t>2013</w:t>
      </w:r>
      <w:r>
        <w:rPr>
          <w:i w:val="false"/>
        </w:rPr>
        <w:t>年可推出市場出售的</w:t>
      </w:r>
      <w:r>
        <w:rPr>
          <w:i w:val="false"/>
        </w:rPr>
        <w:t>24 000</w:t>
      </w:r>
      <w:r>
        <w:rPr>
          <w:i w:val="false"/>
        </w:rPr>
        <w:t>個一手私人住宅單位數目，是根據</w:t>
      </w:r>
      <w:r>
        <w:rPr>
          <w:i w:val="false"/>
        </w:rPr>
        <w:t>2012</w:t>
      </w:r>
      <w:r>
        <w:rPr>
          <w:i w:val="false"/>
        </w:rPr>
        <w:t>年年底政府處理預售樓花申請的紀錄等資料而作出的估算。政府並無評估個別項目的銷售進度。由於發展商會視乎市場的情況調整其銷售步伐，不一定會在</w:t>
      </w:r>
      <w:r>
        <w:rPr>
          <w:i w:val="false"/>
        </w:rPr>
        <w:t>2013</w:t>
      </w:r>
      <w:r>
        <w:rPr>
          <w:i w:val="false"/>
        </w:rPr>
        <w:t>年全數推出這些單位，因此實際供應量須視乎發展商的銷售時間和策略。根據土地註冊處的資料，截至</w:t>
      </w:r>
      <w:r>
        <w:rPr>
          <w:i w:val="false"/>
        </w:rPr>
        <w:t>2013</w:t>
      </w:r>
      <w:r>
        <w:rPr>
          <w:i w:val="false"/>
        </w:rPr>
        <w:t>年</w:t>
      </w:r>
      <w:r>
        <w:rPr>
          <w:i w:val="false"/>
        </w:rPr>
        <w:t>11</w:t>
      </w:r>
      <w:r>
        <w:rPr>
          <w:i w:val="false"/>
        </w:rPr>
        <w:t>月，今年錄得的一手成交數目約為</w:t>
      </w:r>
      <w:r>
        <w:rPr>
          <w:i w:val="false"/>
        </w:rPr>
        <w:t>9 000</w:t>
      </w:r>
      <w:r>
        <w:rPr>
          <w:i w:val="false"/>
        </w:rPr>
        <w:t>宗。</w:t>
      </w:r>
    </w:p>
    <w:p>
      <w:pPr>
        <w:pStyle w:val="Style14"/>
        <w:rPr>
          <w:i w:val="false"/>
          <w:i w:val="false"/>
        </w:rPr>
      </w:pPr>
      <w:r>
        <w:rPr>
          <w:i w:val="false"/>
        </w:rPr>
        <w:t>(</w:t>
      </w:r>
      <w:r>
        <w:rPr>
          <w:i w:val="false"/>
        </w:rPr>
        <w:t>五</w:t>
      </w:r>
      <w:r>
        <w:rPr>
          <w:i w:val="false"/>
        </w:rPr>
        <w:t>)</w:t>
        <w:tab/>
      </w:r>
      <w:r>
        <w:rPr>
          <w:i w:val="false"/>
        </w:rPr>
        <w:t>如上述，委員會負責統籌土地開發和供應工作，而適合作公營房屋發展的用地會撥予香港房屋委員會。上述由委員會統籌的土地供應工作，亦會增加可供發展公營房屋的土地供應。根據運輸及房屋局的資料，透過香港房屋委員會與有關政策局和部門的緊密合作，政府已物色足夠土地，在</w:t>
      </w:r>
      <w:r>
        <w:rPr>
          <w:i w:val="false"/>
        </w:rPr>
        <w:t>2017-2018</w:t>
      </w:r>
      <w:r>
        <w:rPr>
          <w:i w:val="false"/>
        </w:rPr>
        <w:t>至</w:t>
      </w:r>
      <w:r>
        <w:rPr>
          <w:i w:val="false"/>
        </w:rPr>
        <w:t>2021-2022</w:t>
      </w:r>
      <w:r>
        <w:rPr>
          <w:i w:val="false"/>
        </w:rPr>
        <w:t>年度的</w:t>
      </w:r>
      <w:r>
        <w:rPr>
          <w:i w:val="false"/>
        </w:rPr>
        <w:t>5</w:t>
      </w:r>
      <w:r>
        <w:rPr>
          <w:i w:val="false"/>
        </w:rPr>
        <w:t>年內，合共興建約</w:t>
      </w:r>
      <w:r>
        <w:rPr>
          <w:i w:val="false"/>
        </w:rPr>
        <w:t>10</w:t>
      </w:r>
      <w:r>
        <w:rPr>
          <w:i w:val="false"/>
        </w:rPr>
        <w:t>萬個公共租住房屋單位及在</w:t>
      </w:r>
      <w:r>
        <w:rPr>
          <w:i w:val="false"/>
        </w:rPr>
        <w:t>2016-2017</w:t>
      </w:r>
      <w:r>
        <w:rPr>
          <w:i w:val="false"/>
        </w:rPr>
        <w:t>至</w:t>
      </w:r>
      <w:r>
        <w:rPr>
          <w:i w:val="false"/>
        </w:rPr>
        <w:t>2019-2020</w:t>
      </w:r>
      <w:r>
        <w:rPr>
          <w:i w:val="false"/>
        </w:rPr>
        <w:t>年度內，合共興建約</w:t>
      </w:r>
      <w:r>
        <w:rPr>
          <w:i w:val="false"/>
        </w:rPr>
        <w:t>17 000</w:t>
      </w:r>
      <w:r>
        <w:rPr>
          <w:i w:val="false"/>
        </w:rPr>
        <w:t>個居者有其屋計劃單位。能否把籌劃中的公營房屋盡早建成，關鍵之一是土地供應及發展計劃能否順利得到區議會和地區人士的支持。</w:t>
      </w:r>
      <w:r>
        <w:br w:type="page"/>
      </w:r>
    </w:p>
    <w:p>
      <w:pPr>
        <w:pStyle w:val="Style14"/>
        <w:rPr>
          <w:i w:val="false"/>
          <w:i w:val="false"/>
        </w:rPr>
      </w:pPr>
      <w:r>
        <w:rPr>
          <w:i w:val="false"/>
        </w:rPr>
      </w:r>
    </w:p>
    <w:p>
      <w:pPr>
        <w:pStyle w:val="Style14"/>
        <w:rPr>
          <w:i w:val="false"/>
          <w:i w:val="false"/>
        </w:rPr>
      </w:pPr>
      <w:r>
        <w:rPr>
          <w:i w:val="false"/>
        </w:rPr>
        <w:t>(</w:t>
      </w:r>
      <w:r>
        <w:rPr>
          <w:i w:val="false"/>
        </w:rPr>
        <w:t>六</w:t>
      </w:r>
      <w:r>
        <w:rPr>
          <w:i w:val="false"/>
        </w:rPr>
        <w:t>)</w:t>
        <w:tab/>
      </w:r>
      <w:r>
        <w:rPr>
          <w:i w:val="false"/>
        </w:rPr>
        <w:t>委員會統籌的土地開發及供應工作，亦包括商業／商貿土地供應。政府自</w:t>
      </w:r>
      <w:r>
        <w:rPr>
          <w:i w:val="false"/>
        </w:rPr>
        <w:t>2010-2011</w:t>
      </w:r>
      <w:r>
        <w:rPr>
          <w:i w:val="false"/>
        </w:rPr>
        <w:t>年度起恢復主動賣地至</w:t>
      </w:r>
      <w:r>
        <w:rPr>
          <w:i w:val="false"/>
        </w:rPr>
        <w:t>2012-2013</w:t>
      </w:r>
      <w:r>
        <w:rPr>
          <w:i w:val="false"/>
        </w:rPr>
        <w:t>年度，一共售出</w:t>
      </w:r>
      <w:r>
        <w:rPr>
          <w:i w:val="false"/>
        </w:rPr>
        <w:t>10</w:t>
      </w:r>
      <w:r>
        <w:rPr>
          <w:i w:val="false"/>
        </w:rPr>
        <w:t>幅商業／商貿用地，可提供約</w:t>
      </w:r>
      <w:r>
        <w:rPr>
          <w:i w:val="false"/>
        </w:rPr>
        <w:t>43</w:t>
      </w:r>
      <w:r>
        <w:rPr>
          <w:i w:val="false"/>
        </w:rPr>
        <w:t>萬平方米總樓面面積。而在</w:t>
      </w:r>
      <w:r>
        <w:rPr>
          <w:i w:val="false"/>
        </w:rPr>
        <w:t>2013-2014</w:t>
      </w:r>
      <w:r>
        <w:rPr>
          <w:i w:val="false"/>
        </w:rPr>
        <w:t>年度首</w:t>
      </w:r>
      <w:r>
        <w:rPr>
          <w:i w:val="false"/>
        </w:rPr>
        <w:t>3</w:t>
      </w:r>
      <w:r>
        <w:rPr>
          <w:i w:val="false"/>
        </w:rPr>
        <w:t>季度已售／將售</w:t>
      </w:r>
      <w:r>
        <w:rPr>
          <w:i w:val="false"/>
        </w:rPr>
        <w:t>3</w:t>
      </w:r>
      <w:r>
        <w:rPr>
          <w:i w:val="false"/>
        </w:rPr>
        <w:t>幅商業／商貿用地，可提供約</w:t>
      </w:r>
      <w:r>
        <w:rPr>
          <w:i w:val="false"/>
        </w:rPr>
        <w:t>13</w:t>
      </w:r>
      <w:r>
        <w:rPr>
          <w:i w:val="false"/>
        </w:rPr>
        <w:t>萬平方米總樓面面積。至於質詢提及的九龍東行動區、機場島北商業區，以及重置核心商業區內現有政府辦公室，有關進展如下：</w:t>
      </w:r>
    </w:p>
    <w:p>
      <w:pPr>
        <w:pStyle w:val="F21"/>
        <w:rPr/>
      </w:pPr>
      <w:r>
        <w:rPr/>
      </w:r>
    </w:p>
    <w:p>
      <w:pPr>
        <w:pStyle w:val="F21"/>
        <w:ind w:left="1985" w:hanging="567"/>
        <w:rPr/>
      </w:pPr>
      <w:r>
        <w:rPr/>
        <w:t>(i)</w:t>
        <w:tab/>
      </w:r>
      <w:r>
        <w:rPr/>
        <w:t>發展局現正與有關部門緊密合作，研究重置九龍東兩個行動區現有的設施，當中包括驗車中心、廢物回收中心及駕駛學院，以騰出地方作發展，供不同用途及活動使用，促進九龍東轉型。起動九龍東辦事處現正進行重置有關設施的施工前期工作，並已開展</w:t>
      </w:r>
      <w:r>
        <w:rPr>
          <w:szCs w:val="27"/>
        </w:rPr>
        <w:t>“</w:t>
      </w:r>
      <w:r>
        <w:rPr/>
        <w:t>飛躍啟德</w:t>
      </w:r>
      <w:r>
        <w:rPr>
          <w:szCs w:val="27"/>
        </w:rPr>
        <w:t>”</w:t>
      </w:r>
      <w:r>
        <w:rPr/>
        <w:t>項目的預備工作，通過舉辦國際比賽，為九龍東發展徵集原創概念和整體城市規劃及設計建議。比賽已於</w:t>
      </w:r>
      <w:r>
        <w:rPr/>
        <w:t>2013</w:t>
      </w:r>
      <w:r>
        <w:rPr/>
        <w:t>年</w:t>
      </w:r>
      <w:r>
        <w:rPr/>
        <w:t>11</w:t>
      </w:r>
      <w:r>
        <w:rPr/>
        <w:t>月</w:t>
      </w:r>
      <w:r>
        <w:rPr/>
        <w:t>28</w:t>
      </w:r>
      <w:r>
        <w:rPr/>
        <w:t>日推出，結果將於</w:t>
      </w:r>
      <w:r>
        <w:rPr/>
        <w:t>2014</w:t>
      </w:r>
      <w:r>
        <w:rPr/>
        <w:t>年年底公布。在發展九龍東時，起動九龍東辦事處會一併考慮前機場跑道末端、觀塘渡輪碼頭行動區及兩者之間水域的規劃及設計。</w:t>
      </w:r>
    </w:p>
    <w:p>
      <w:pPr>
        <w:pStyle w:val="F21"/>
        <w:ind w:left="1985" w:hanging="567"/>
        <w:rPr/>
      </w:pPr>
      <w:r>
        <w:rPr/>
      </w:r>
    </w:p>
    <w:p>
      <w:pPr>
        <w:pStyle w:val="F21"/>
        <w:spacing w:lineRule="atLeast" w:line="380"/>
        <w:ind w:left="1985" w:hanging="567"/>
        <w:rPr/>
      </w:pPr>
      <w:r>
        <w:rPr/>
        <w:t>(ii)</w:t>
        <w:tab/>
      </w:r>
      <w:r>
        <w:rPr/>
        <w:t>為了支持香港的長遠經濟發展，政府會確保機場島上的土地得以充分利用。根據運輸及房屋局的資料，香港機場管理局</w:t>
      </w:r>
      <w:r>
        <w:rPr/>
        <w:t>(</w:t>
      </w:r>
      <w:r>
        <w:rPr>
          <w:szCs w:val="27"/>
        </w:rPr>
        <w:t>“</w:t>
      </w:r>
      <w:r>
        <w:rPr/>
        <w:t>機管局</w:t>
      </w:r>
      <w:r>
        <w:rPr>
          <w:szCs w:val="27"/>
        </w:rPr>
        <w:t>”</w:t>
      </w:r>
      <w:r>
        <w:rPr>
          <w:szCs w:val="27"/>
        </w:rPr>
        <w:t>)</w:t>
      </w:r>
      <w:r>
        <w:rPr/>
        <w:t>正研究機場島北商業區的發展策略，預算今年年底完成具體規劃工作。政府會聯同機管局加快推動機場島北商業區的發展。在發展該區的同時，政府會考慮香港國際機場未來的擴展計劃，包括三跑道系統的規劃，以及與大嶼山發展的協同效應等，使機場島北商業區的發展可以發揮最大的效益。</w:t>
      </w:r>
    </w:p>
    <w:p>
      <w:pPr>
        <w:pStyle w:val="F21"/>
        <w:spacing w:lineRule="atLeast" w:line="380"/>
        <w:ind w:left="1985" w:hanging="567"/>
        <w:rPr/>
      </w:pPr>
      <w:r>
        <w:rPr/>
      </w:r>
    </w:p>
    <w:p>
      <w:pPr>
        <w:pStyle w:val="F21"/>
        <w:spacing w:lineRule="atLeast" w:line="380"/>
        <w:ind w:left="1985" w:hanging="567"/>
        <w:rPr/>
      </w:pPr>
      <w:r>
        <w:rPr>
          <w:spacing w:val="14"/>
        </w:rPr>
        <w:t>(iii)</w:t>
      </w:r>
      <w:r>
        <w:rPr/>
        <w:tab/>
      </w:r>
      <w:r>
        <w:rPr/>
        <w:t>政府的現行政策是在可行情況下，把沒有地域限制的政府辦公室遷離高價值地區，包括核心商業區，以增加市場上的辦公室供應。近期的項目包括出售香港花園道</w:t>
      </w:r>
      <w:r>
        <w:rPr/>
        <w:t>3</w:t>
      </w:r>
      <w:r>
        <w:rPr/>
        <w:t>號花旗銀行大廈</w:t>
      </w:r>
      <w:r>
        <w:rPr/>
        <w:t>3</w:t>
      </w:r>
      <w:r>
        <w:rPr/>
        <w:t>樓部分地方，以及</w:t>
      </w:r>
      <w:r>
        <w:rPr/>
        <w:t>4</w:t>
      </w:r>
      <w:r>
        <w:rPr/>
        <w:t>樓、</w:t>
      </w:r>
      <w:r>
        <w:rPr/>
        <w:t>5</w:t>
      </w:r>
      <w:r>
        <w:rPr/>
        <w:t>樓和</w:t>
      </w:r>
      <w:r>
        <w:rPr/>
        <w:t>6</w:t>
      </w:r>
      <w:r>
        <w:rPr/>
        <w:t>樓全層的政府物業。在未來數年的主要項目包括搬遷位於旺角的工業貿易署大樓</w:t>
      </w:r>
      <w:r>
        <w:rPr/>
        <w:t>(</w:t>
      </w:r>
      <w:r>
        <w:rPr/>
        <w:t>預期位於啟德發展區的工業貿易大樓在</w:t>
      </w:r>
      <w:r>
        <w:rPr/>
        <w:t>2015</w:t>
      </w:r>
      <w:r>
        <w:rPr/>
        <w:t>年建成時搬遷</w:t>
      </w:r>
      <w:r>
        <w:rPr/>
        <w:t>)</w:t>
      </w:r>
      <w:r>
        <w:rPr/>
        <w:t>，以及將律政司辦公室遷往前中區政府合署</w:t>
      </w:r>
      <w:r>
        <w:rPr/>
        <w:t>(</w:t>
      </w:r>
      <w:r>
        <w:rPr/>
        <w:t>預期於</w:t>
      </w:r>
      <w:r>
        <w:rPr/>
        <w:t>2017</w:t>
      </w:r>
      <w:r>
        <w:rPr/>
        <w:t>年年底左右騰出位於金鐘的租賃物業</w:t>
      </w:r>
      <w:r>
        <w:rPr/>
        <w:t>)</w:t>
      </w:r>
      <w:r>
        <w:rPr/>
        <w:t>。至於分階段重置灣仔海旁</w:t>
      </w:r>
      <w:r>
        <w:rPr/>
        <w:t>3</w:t>
      </w:r>
      <w:r>
        <w:rPr/>
        <w:t>座政府辦公大樓，政府計劃把部分部門遷往籌劃中的西九龍政府大樓</w:t>
      </w:r>
      <w:r>
        <w:rPr/>
        <w:t>(</w:t>
      </w:r>
      <w:r>
        <w:rPr/>
        <w:t>預期於</w:t>
      </w:r>
      <w:r>
        <w:rPr/>
        <w:t>2018-2019</w:t>
      </w:r>
      <w:r>
        <w:rPr/>
        <w:t>年度建成</w:t>
      </w:r>
      <w:r>
        <w:rPr/>
        <w:t>)</w:t>
      </w:r>
      <w:r>
        <w:rPr/>
        <w:t>。我們亦計劃興建其他大樓作重置之用。視乎資源分配和技術可行性報告的建議，工程可於</w:t>
      </w:r>
      <w:r>
        <w:rPr/>
        <w:t>2016-2017</w:t>
      </w:r>
      <w:r>
        <w:rPr/>
        <w:t>年度起陸續展開，首座大樓預期於</w:t>
      </w:r>
      <w:r>
        <w:rPr/>
        <w:t>2019-2020</w:t>
      </w:r>
      <w:r>
        <w:rPr/>
        <w:t>年度落成。屆時我們會將騰空的樓面分階段出租，以增加灣仔甲級辦公室的供應，並在完成整個重置計劃後，考慮在適當時候出售大樓。</w:t>
      </w:r>
    </w:p>
    <w:p>
      <w:pPr>
        <w:pStyle w:val="F21"/>
        <w:spacing w:lineRule="atLeast" w:line="380"/>
        <w:rPr/>
      </w:pPr>
      <w:r>
        <w:rPr/>
      </w:r>
    </w:p>
    <w:p>
      <w:pPr>
        <w:pStyle w:val="F21"/>
        <w:spacing w:lineRule="atLeast" w:line="380"/>
        <w:rPr/>
      </w:pPr>
      <w:r>
        <w:rPr/>
      </w:r>
    </w:p>
    <w:p>
      <w:pPr>
        <w:pStyle w:val="F21"/>
        <w:spacing w:lineRule="atLeast" w:line="380"/>
        <w:rPr>
          <w:rFonts w:eastAsia="華康中黑體" w:cs="Times New Roman"/>
          <w:b/>
          <w:b/>
        </w:rPr>
      </w:pPr>
      <w:bookmarkStart w:id="37" w:name="wrq12"/>
      <w:r>
        <w:rPr>
          <w:rFonts w:cs="Times New Roman" w:eastAsia="華康中黑體"/>
          <w:b/>
        </w:rPr>
        <w:t>香港六大優勢產業</w:t>
      </w:r>
    </w:p>
    <w:p>
      <w:pPr>
        <w:pStyle w:val="Normal"/>
        <w:spacing w:lineRule="atLeast" w:line="380"/>
        <w:rPr>
          <w:b/>
          <w:b/>
        </w:rPr>
      </w:pPr>
      <w:bookmarkStart w:id="38" w:name="wrq12"/>
      <w:r>
        <w:rPr>
          <w:b/>
        </w:rPr>
        <w:t>Six Industries that Hong Kong Enjoys Clear Advantages</w:t>
      </w:r>
      <w:bookmarkEnd w:id="38"/>
    </w:p>
    <w:p>
      <w:pPr>
        <w:pStyle w:val="F21"/>
        <w:spacing w:lineRule="atLeast" w:line="380"/>
        <w:rPr/>
      </w:pPr>
      <w:r>
        <w:rPr/>
      </w:r>
    </w:p>
    <w:p>
      <w:pPr>
        <w:pStyle w:val="F21"/>
        <w:spacing w:lineRule="atLeast" w:line="380"/>
        <w:rPr>
          <w:i/>
          <w:i/>
        </w:rPr>
      </w:pPr>
      <w:r>
        <w:rPr>
          <w:rFonts w:eastAsia="華康中黑體"/>
          <w:b/>
        </w:rPr>
        <w:t>12.</w:t>
      </w:r>
      <w:r>
        <w:rPr/>
        <w:tab/>
      </w:r>
      <w:r>
        <w:rPr>
          <w:rFonts w:eastAsia="華康中黑體"/>
          <w:b/>
          <w:szCs w:val="27"/>
        </w:rPr>
        <w:t>陳健波議員</w:t>
      </w:r>
      <w:r>
        <w:rPr>
          <w:szCs w:val="27"/>
        </w:rPr>
        <w:t>：</w:t>
      </w:r>
      <w:r>
        <w:rPr>
          <w:i/>
          <w:szCs w:val="27"/>
        </w:rPr>
        <w:t>主席</w:t>
      </w:r>
      <w:r>
        <w:rPr>
          <w:i/>
        </w:rPr>
        <w:t>，上屆政府提出發展六大優勢產業，即檢測和認證產業、醫療產業、創新科技產業、文化及創意產業、環保產業及教育產業，推動香港走向知識型經濟。就此，政府可否告知本會：</w:t>
      </w:r>
    </w:p>
    <w:p>
      <w:pPr>
        <w:pStyle w:val="F21"/>
        <w:spacing w:lineRule="atLeast" w:line="380"/>
        <w:rPr>
          <w:i/>
          <w:i/>
        </w:rPr>
      </w:pPr>
      <w:r>
        <w:rPr>
          <w:i/>
        </w:rPr>
      </w:r>
    </w:p>
    <w:p>
      <w:pPr>
        <w:pStyle w:val="F21"/>
        <w:spacing w:lineRule="atLeast" w:line="380"/>
        <w:ind w:left="1417" w:hanging="850"/>
        <w:rPr>
          <w:i/>
          <w:i/>
        </w:rPr>
      </w:pPr>
      <w:r>
        <w:rPr>
          <w:i/>
        </w:rPr>
        <w:t>(</w:t>
      </w:r>
      <w:r>
        <w:rPr>
          <w:i/>
        </w:rPr>
        <w:t>一</w:t>
      </w:r>
      <w:r>
        <w:rPr>
          <w:i/>
        </w:rPr>
        <w:t>)</w:t>
        <w:tab/>
      </w:r>
      <w:r>
        <w:rPr>
          <w:i/>
        </w:rPr>
        <w:t>是否已完成調查六大優勢產業在</w:t>
      </w:r>
      <w:r>
        <w:rPr>
          <w:i/>
        </w:rPr>
        <w:t>2012</w:t>
      </w:r>
      <w:r>
        <w:rPr>
          <w:i/>
        </w:rPr>
        <w:t>年的統計數字；若已完成，數字為何，包括每個產業的就業人數、對本地生產總值貢獻的增加價值等；若否，將於何時完成並公布；</w:t>
      </w:r>
    </w:p>
    <w:p>
      <w:pPr>
        <w:pStyle w:val="F21"/>
        <w:spacing w:lineRule="atLeast" w:line="380"/>
        <w:rPr>
          <w:i/>
          <w:i/>
        </w:rPr>
      </w:pPr>
      <w:r>
        <w:rPr>
          <w:i/>
        </w:rPr>
      </w:r>
    </w:p>
    <w:p>
      <w:pPr>
        <w:pStyle w:val="F21"/>
        <w:ind w:left="1417" w:hanging="850"/>
        <w:rPr>
          <w:i/>
          <w:i/>
        </w:rPr>
      </w:pPr>
      <w:r>
        <w:rPr>
          <w:i/>
        </w:rPr>
        <w:t>(</w:t>
      </w:r>
      <w:r>
        <w:rPr>
          <w:i/>
        </w:rPr>
        <w:t>二</w:t>
      </w:r>
      <w:r>
        <w:rPr>
          <w:i/>
        </w:rPr>
        <w:t>)</w:t>
        <w:tab/>
      </w:r>
      <w:r>
        <w:rPr>
          <w:i/>
        </w:rPr>
        <w:t>鑒於行政長官在</w:t>
      </w:r>
      <w:r>
        <w:rPr>
          <w:i/>
        </w:rPr>
        <w:t>2013</w:t>
      </w:r>
      <w:r>
        <w:rPr>
          <w:i/>
        </w:rPr>
        <w:t>年施政報告中表示，六大優勢產業經過</w:t>
      </w:r>
      <w:r>
        <w:rPr>
          <w:i/>
        </w:rPr>
        <w:t>4</w:t>
      </w:r>
      <w:r>
        <w:rPr>
          <w:i/>
        </w:rPr>
        <w:t>年的推動，過程中有若干問題需要檢討</w:t>
      </w:r>
      <w:r>
        <w:rPr>
          <w:i/>
        </w:rPr>
        <w:t>(</w:t>
      </w:r>
      <w:r>
        <w:rPr>
          <w:i/>
        </w:rPr>
        <w:t>例如醫療人手不足，教育應否作為產業看待等</w:t>
      </w:r>
      <w:r>
        <w:rPr>
          <w:i/>
        </w:rPr>
        <w:t>)</w:t>
      </w:r>
      <w:r>
        <w:rPr>
          <w:i/>
        </w:rPr>
        <w:t>，並表示經濟發展委員會將檢討產業發展策略和政策並訂出建議，該項檢討是否已經完成；若是，檢討的結果和相關建議的詳情為何；若否，初步的檢討結果為何；</w:t>
      </w:r>
    </w:p>
    <w:p>
      <w:pPr>
        <w:pStyle w:val="F21"/>
        <w:ind w:left="1417" w:hanging="850"/>
        <w:rPr>
          <w:i/>
          <w:i/>
        </w:rPr>
      </w:pPr>
      <w:r>
        <w:rPr>
          <w:i/>
        </w:rPr>
      </w:r>
    </w:p>
    <w:p>
      <w:pPr>
        <w:pStyle w:val="F21"/>
        <w:ind w:left="1417" w:hanging="850"/>
        <w:rPr>
          <w:i/>
          <w:i/>
        </w:rPr>
      </w:pPr>
      <w:r>
        <w:rPr>
          <w:i/>
        </w:rPr>
        <w:t>(</w:t>
      </w:r>
      <w:r>
        <w:rPr>
          <w:i/>
        </w:rPr>
        <w:t>三</w:t>
      </w:r>
      <w:r>
        <w:rPr>
          <w:i/>
        </w:rPr>
        <w:t>)</w:t>
        <w:tab/>
      </w:r>
      <w:r>
        <w:rPr>
          <w:i/>
        </w:rPr>
        <w:t>政府對醫療產業及教育產業的長遠定位為何，以及會否放棄推動這兩項產業的發展；鑒於上屆政府恪守“大市場、小政府”的經濟原則，現屆政府會否以“大有為”的策略推動產業發展，以加快香港走向知識型經濟的步伐；及</w:t>
      </w:r>
    </w:p>
    <w:p>
      <w:pPr>
        <w:pStyle w:val="F21"/>
        <w:ind w:left="1417" w:hanging="850"/>
        <w:rPr>
          <w:i/>
          <w:i/>
        </w:rPr>
      </w:pPr>
      <w:r>
        <w:rPr>
          <w:i/>
        </w:rPr>
      </w:r>
    </w:p>
    <w:p>
      <w:pPr>
        <w:pStyle w:val="F21"/>
        <w:ind w:left="1417" w:hanging="850"/>
        <w:rPr>
          <w:i/>
          <w:i/>
        </w:rPr>
      </w:pPr>
      <w:r>
        <w:rPr>
          <w:i/>
        </w:rPr>
        <w:t>(</w:t>
      </w:r>
      <w:r>
        <w:rPr>
          <w:i/>
        </w:rPr>
        <w:t>四</w:t>
      </w:r>
      <w:r>
        <w:rPr>
          <w:i/>
        </w:rPr>
        <w:t>)</w:t>
        <w:tab/>
      </w:r>
      <w:r>
        <w:rPr>
          <w:i/>
        </w:rPr>
        <w:t>鑒於有意見指出香港市場狹小，因此產業能否進佔內地市場至為關鍵，政府有否就六大優勢產業在內地市場的發展機遇進行研究；會否採取具體措施，加強該等產業與內地</w:t>
      </w:r>
      <w:r>
        <w:rPr>
          <w:i/>
        </w:rPr>
        <w:t>(</w:t>
      </w:r>
      <w:r>
        <w:rPr>
          <w:i/>
        </w:rPr>
        <w:t>尤其是珠江三角洲地區</w:t>
      </w:r>
      <w:r>
        <w:rPr>
          <w:i/>
        </w:rPr>
        <w:t>)</w:t>
      </w:r>
      <w:r>
        <w:rPr>
          <w:i/>
        </w:rPr>
        <w:t>的相關產業合作，並協助香港企業開拓內地市場？</w:t>
      </w:r>
    </w:p>
    <w:p>
      <w:pPr>
        <w:pStyle w:val="F21"/>
        <w:rPr>
          <w:i/>
          <w:i/>
        </w:rPr>
      </w:pPr>
      <w:r>
        <w:rPr>
          <w:i/>
        </w:rPr>
      </w:r>
    </w:p>
    <w:p>
      <w:pPr>
        <w:pStyle w:val="F21"/>
        <w:rPr>
          <w:i/>
          <w:i/>
        </w:rPr>
      </w:pPr>
      <w:r>
        <w:rPr>
          <w:i/>
        </w:rPr>
      </w:r>
    </w:p>
    <w:p>
      <w:pPr>
        <w:pStyle w:val="F21"/>
        <w:rPr/>
      </w:pPr>
      <w:r>
        <w:rPr>
          <w:rFonts w:eastAsia="華康中黑體"/>
          <w:b/>
        </w:rPr>
        <w:t>商務及經濟發展局局長</w:t>
      </w:r>
      <w:r>
        <w:rPr/>
        <w:t>：主席，這項質詢涉及多個政策範疇。我已徵詢有關政策局及部門的意見，現答覆如下：</w:t>
      </w:r>
    </w:p>
    <w:p>
      <w:pPr>
        <w:pStyle w:val="F21"/>
        <w:rPr/>
      </w:pPr>
      <w:r>
        <w:rPr/>
      </w:r>
    </w:p>
    <w:p>
      <w:pPr>
        <w:pStyle w:val="Style14"/>
        <w:rPr>
          <w:i w:val="false"/>
          <w:i w:val="false"/>
        </w:rPr>
      </w:pPr>
      <w:r>
        <w:rPr>
          <w:i w:val="false"/>
        </w:rPr>
        <w:t>(</w:t>
      </w:r>
      <w:r>
        <w:rPr>
          <w:i w:val="false"/>
        </w:rPr>
        <w:t>一</w:t>
      </w:r>
      <w:r>
        <w:rPr>
          <w:i w:val="false"/>
        </w:rPr>
        <w:t>)</w:t>
        <w:tab/>
      </w:r>
      <w:r>
        <w:rPr>
          <w:i w:val="false"/>
        </w:rPr>
        <w:t>按照一貫做法，該</w:t>
      </w:r>
      <w:r>
        <w:rPr>
          <w:i w:val="false"/>
        </w:rPr>
        <w:t>6</w:t>
      </w:r>
      <w:r>
        <w:rPr>
          <w:i w:val="false"/>
        </w:rPr>
        <w:t>個產業在</w:t>
      </w:r>
      <w:r>
        <w:rPr>
          <w:i w:val="false"/>
        </w:rPr>
        <w:t>2012</w:t>
      </w:r>
      <w:r>
        <w:rPr>
          <w:i w:val="false"/>
        </w:rPr>
        <w:t>年統計年的經濟貢獻</w:t>
      </w:r>
      <w:r>
        <w:rPr>
          <w:i w:val="false"/>
        </w:rPr>
        <w:t>(</w:t>
      </w:r>
      <w:r>
        <w:rPr>
          <w:i w:val="false"/>
        </w:rPr>
        <w:t>以增加價值量度</w:t>
      </w:r>
      <w:r>
        <w:rPr>
          <w:i w:val="false"/>
        </w:rPr>
        <w:t>)</w:t>
      </w:r>
      <w:r>
        <w:rPr>
          <w:i w:val="false"/>
        </w:rPr>
        <w:t>及就業人數方面的統計數字將於</w:t>
      </w:r>
      <w:r>
        <w:rPr>
          <w:i w:val="false"/>
        </w:rPr>
        <w:t>2014</w:t>
      </w:r>
      <w:r>
        <w:rPr>
          <w:i w:val="false"/>
        </w:rPr>
        <w:t>年</w:t>
      </w:r>
      <w:r>
        <w:rPr>
          <w:i w:val="false"/>
        </w:rPr>
        <w:t>2</w:t>
      </w:r>
      <w:r>
        <w:rPr>
          <w:i w:val="false"/>
        </w:rPr>
        <w:t>月</w:t>
      </w:r>
      <w:r>
        <w:rPr>
          <w:i w:val="false"/>
        </w:rPr>
        <w:t>26</w:t>
      </w:r>
      <w:r>
        <w:rPr>
          <w:i w:val="false"/>
        </w:rPr>
        <w:t>日財政預算案發表時公布。</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由行政長官親自領導的經濟發展委員會</w:t>
      </w:r>
      <w:r>
        <w:rPr>
          <w:i w:val="false"/>
        </w:rPr>
        <w:t>(</w:t>
      </w:r>
      <w:r>
        <w:rPr>
          <w:i w:val="false"/>
          <w:szCs w:val="27"/>
        </w:rPr>
        <w:t>“</w:t>
      </w:r>
      <w:r>
        <w:rPr>
          <w:i w:val="false"/>
        </w:rPr>
        <w:t>經委會</w:t>
      </w:r>
      <w:r>
        <w:rPr>
          <w:i w:val="false"/>
          <w:szCs w:val="27"/>
        </w:rPr>
        <w:t>”</w:t>
      </w:r>
      <w:r>
        <w:rPr>
          <w:i w:val="false"/>
        </w:rPr>
        <w:t>)</w:t>
      </w:r>
      <w:r>
        <w:rPr>
          <w:i w:val="false"/>
        </w:rPr>
        <w:t>以高層次、跨部門、跨界別的模式，研究如何善用香港固有的優厚條件和面對的機遇；並着力研究擴闊經濟基礎及促進長遠發展的整體策略和政策，檢視有助經濟進一步發展的行業。經委會轄下</w:t>
      </w:r>
      <w:r>
        <w:rPr>
          <w:i w:val="false"/>
        </w:rPr>
        <w:t>4</w:t>
      </w:r>
      <w:r>
        <w:rPr>
          <w:i w:val="false"/>
        </w:rPr>
        <w:t>個工作小組分別為：</w:t>
      </w:r>
    </w:p>
    <w:p>
      <w:pPr>
        <w:pStyle w:val="F21"/>
        <w:rPr/>
      </w:pPr>
      <w:r>
        <w:rPr/>
      </w:r>
    </w:p>
    <w:p>
      <w:pPr>
        <w:pStyle w:val="F21"/>
        <w:ind w:left="1985" w:hanging="567"/>
        <w:rPr/>
      </w:pPr>
      <w:r>
        <w:rPr/>
        <w:t>(i)</w:t>
        <w:tab/>
      </w:r>
      <w:r>
        <w:rPr/>
        <w:t>航運業工作小組；</w:t>
      </w:r>
    </w:p>
    <w:p>
      <w:pPr>
        <w:pStyle w:val="F21"/>
        <w:ind w:left="1985" w:hanging="567"/>
        <w:rPr/>
      </w:pPr>
      <w:r>
        <w:rPr/>
      </w:r>
    </w:p>
    <w:p>
      <w:pPr>
        <w:pStyle w:val="F21"/>
        <w:ind w:left="1985" w:hanging="567"/>
        <w:rPr/>
      </w:pPr>
      <w:r>
        <w:rPr/>
        <w:t>(ii)</w:t>
        <w:tab/>
      </w:r>
      <w:r>
        <w:rPr/>
        <w:t>會展及旅遊業工作小組；</w:t>
      </w:r>
    </w:p>
    <w:p>
      <w:pPr>
        <w:pStyle w:val="F21"/>
        <w:ind w:left="1985" w:hanging="567"/>
        <w:rPr/>
      </w:pPr>
      <w:r>
        <w:rPr/>
      </w:r>
    </w:p>
    <w:p>
      <w:pPr>
        <w:pStyle w:val="F21"/>
        <w:ind w:left="1985" w:hanging="567"/>
        <w:rPr/>
      </w:pPr>
      <w:r>
        <w:rPr>
          <w:spacing w:val="14"/>
        </w:rPr>
        <w:t>(iii)</w:t>
      </w:r>
      <w:r>
        <w:rPr/>
        <w:tab/>
      </w:r>
      <w:r>
        <w:rPr/>
        <w:t>製造、高新科技及文化創意產業工作小組；及</w:t>
      </w:r>
    </w:p>
    <w:p>
      <w:pPr>
        <w:pStyle w:val="F21"/>
        <w:ind w:left="1985" w:hanging="567"/>
        <w:rPr/>
      </w:pPr>
      <w:r>
        <w:rPr/>
      </w:r>
    </w:p>
    <w:p>
      <w:pPr>
        <w:pStyle w:val="F21"/>
        <w:ind w:left="1985" w:hanging="567"/>
        <w:rPr/>
      </w:pPr>
      <w:r>
        <w:rPr/>
        <w:t>(iv)</w:t>
        <w:tab/>
      </w:r>
      <w:r>
        <w:rPr/>
        <w:t>專業服務業工作小組。</w:t>
      </w:r>
    </w:p>
    <w:p>
      <w:pPr>
        <w:pStyle w:val="F21"/>
        <w:rPr/>
      </w:pPr>
      <w:r>
        <w:rPr/>
      </w:r>
    </w:p>
    <w:p>
      <w:pPr>
        <w:pStyle w:val="Style14"/>
        <w:spacing w:lineRule="atLeast" w:line="370"/>
        <w:rPr>
          <w:i w:val="false"/>
          <w:i w:val="false"/>
        </w:rPr>
      </w:pPr>
      <w:r>
        <w:rPr>
          <w:i w:val="false"/>
        </w:rPr>
        <w:tab/>
      </w:r>
      <w:r>
        <w:rPr>
          <w:i w:val="false"/>
        </w:rPr>
        <w:t>各工作小組已訂定工作計劃及初步可行的方向或建議，並會進行深化研究，確立有關初步方向或建議的可行性。我們期待經委會盡早向政府作出正式的具體建議。</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三</w:t>
      </w:r>
      <w:r>
        <w:rPr>
          <w:i w:val="false"/>
        </w:rPr>
        <w:t>)</w:t>
        <w:tab/>
      </w:r>
      <w:r>
        <w:rPr>
          <w:i w:val="false"/>
        </w:rPr>
        <w:t>行政長官在</w:t>
      </w:r>
      <w:r>
        <w:rPr>
          <w:i w:val="false"/>
        </w:rPr>
        <w:t>2013</w:t>
      </w:r>
      <w:r>
        <w:rPr>
          <w:i w:val="false"/>
        </w:rPr>
        <w:t>年施政報告中表示，經濟要發展，政府就要</w:t>
      </w:r>
      <w:r>
        <w:rPr>
          <w:i w:val="false"/>
          <w:szCs w:val="27"/>
        </w:rPr>
        <w:t>“</w:t>
      </w:r>
      <w:r>
        <w:rPr>
          <w:i w:val="false"/>
        </w:rPr>
        <w:t>適度有為</w:t>
      </w:r>
      <w:r>
        <w:rPr>
          <w:i w:val="false"/>
          <w:szCs w:val="27"/>
        </w:rPr>
        <w:t>”</w:t>
      </w:r>
      <w:r>
        <w:rPr>
          <w:i w:val="false"/>
        </w:rPr>
        <w:t>。在市場可以發揮優勢的時候，政府不應干預，只要提供公平競爭的平台。政府高度重視香港的產業發展，因為只有促進穩固的經濟發展，使企業蓬勃，才能締造優質就業。</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在教育方面，政府將繼續投放大量資源發展教育，並且透過推動國際化和多元化，鞏固香港作為區域教育樞紐的地位，培育人才提升香港的競爭力，促進香港的長遠發展。</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在醫療方面，香港擁有一個公私營並行的醫療制度。政府一方面會持續對公營醫療作出投資及承擔，使它能保持強固和穩健，並繼續擔當本港醫療系統的基石和全民安全網的角色；另一方面，我們會推動和利便私營醫療發展，以改善公私營醫院服務失衡的情況，以及增加本港醫療系統的整體服務量，從而應付不斷上升的服務需求，及讓有更多具質素的醫療服務供市民選擇。政府會維持這個行之有效的醫療雙軌制度，確保醫療系統均衡和可持續發展。長遠醫療產業發展必須首要滿足本地需求。</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四</w:t>
      </w:r>
      <w:r>
        <w:rPr>
          <w:i w:val="false"/>
        </w:rPr>
        <w:t>)</w:t>
        <w:tab/>
      </w:r>
      <w:r>
        <w:rPr>
          <w:i w:val="false"/>
        </w:rPr>
        <w:t>政府一直致力協助香港企業開拓迅速發展的內地市場。我們藉着在不同範疇的工作，尤其是透過</w:t>
      </w:r>
      <w:r>
        <w:rPr>
          <w:i w:val="false"/>
          <w:szCs w:val="27"/>
        </w:rPr>
        <w:t>“</w:t>
      </w:r>
      <w:r>
        <w:rPr>
          <w:i w:val="false"/>
        </w:rPr>
        <w:t>內地與香港關於建立更緊密經貿關係的安排</w:t>
      </w:r>
      <w:r>
        <w:rPr>
          <w:i w:val="false"/>
          <w:szCs w:val="27"/>
        </w:rPr>
        <w:t>”</w:t>
      </w:r>
      <w:r>
        <w:rPr>
          <w:i w:val="false"/>
        </w:rPr>
        <w:t>(</w:t>
      </w:r>
      <w:r>
        <w:rPr>
          <w:i w:val="false"/>
        </w:rPr>
        <w:t>下稱</w:t>
      </w:r>
      <w:r>
        <w:rPr>
          <w:i w:val="false"/>
          <w:szCs w:val="27"/>
        </w:rPr>
        <w:t>“</w:t>
      </w:r>
      <w:r>
        <w:rPr>
          <w:i w:val="false"/>
        </w:rPr>
        <w:t>CEPA</w:t>
      </w:r>
      <w:r>
        <w:rPr>
          <w:i w:val="false"/>
          <w:szCs w:val="27"/>
        </w:rPr>
        <w:t>”</w:t>
      </w:r>
      <w:r>
        <w:rPr>
          <w:i w:val="false"/>
        </w:rPr>
        <w:t>)</w:t>
      </w:r>
      <w:r>
        <w:rPr>
          <w:i w:val="false"/>
        </w:rPr>
        <w:t>，推動內地與香港進一步加強合作。我們正透過</w:t>
      </w:r>
      <w:r>
        <w:rPr>
          <w:i w:val="false"/>
        </w:rPr>
        <w:t>CEPA</w:t>
      </w:r>
      <w:r>
        <w:rPr>
          <w:i w:val="false"/>
        </w:rPr>
        <w:t>為業界爭取多方面優惠及便利措施、降低准入門檻、放寬業務範圍等，藉以推動優勢產業的發展，為香港邁向多元化和知識型經濟增添新動力。</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以下是有關工作的幾個例子：</w:t>
      </w:r>
    </w:p>
    <w:p>
      <w:pPr>
        <w:pStyle w:val="F21"/>
        <w:spacing w:lineRule="atLeast" w:line="370"/>
        <w:rPr/>
      </w:pPr>
      <w:r>
        <w:rPr/>
      </w:r>
    </w:p>
    <w:p>
      <w:pPr>
        <w:pStyle w:val="F21"/>
        <w:spacing w:lineRule="atLeast" w:line="370"/>
        <w:ind w:left="1985" w:hanging="567"/>
        <w:rPr/>
      </w:pPr>
      <w:r>
        <w:rPr/>
        <w:t>(i)</w:t>
        <w:tab/>
      </w:r>
      <w:r>
        <w:rPr/>
        <w:t>在文化及創意產業方面，政府透過與內地當局爭取市場開放措施，以幫助業界開拓內地市場。就此，香港電影業界透過</w:t>
      </w:r>
      <w:r>
        <w:rPr/>
        <w:t>CEPA</w:t>
      </w:r>
      <w:r>
        <w:rPr/>
        <w:t>獲准與內地夥伴合作拍攝電影，以開拓內地的電影市場；我們亦提供資金資助本地創意產業進行開拓內地市場的計劃和活動；</w:t>
      </w:r>
    </w:p>
    <w:p>
      <w:pPr>
        <w:pStyle w:val="F21"/>
        <w:spacing w:lineRule="atLeast" w:line="370"/>
        <w:ind w:left="1985" w:hanging="567"/>
        <w:rPr/>
      </w:pPr>
      <w:r>
        <w:rPr/>
      </w:r>
    </w:p>
    <w:p>
      <w:pPr>
        <w:pStyle w:val="F21"/>
        <w:spacing w:lineRule="atLeast" w:line="370"/>
        <w:ind w:left="1985" w:hanging="567"/>
        <w:rPr/>
      </w:pPr>
      <w:r>
        <w:rPr/>
        <w:t>(ii)</w:t>
        <w:tab/>
      </w:r>
      <w:r>
        <w:rPr/>
        <w:t>在檢測和認證方面，政府一直與內地當局商議，透過</w:t>
      </w:r>
      <w:r>
        <w:rPr/>
        <w:t>CEPA</w:t>
      </w:r>
      <w:r>
        <w:rPr/>
        <w:t>，讓內地進一步承認香港檢測機構的評定結果。香港的檢測機構現可與內地的認證機構合作，為香港本地加工的產品承擔中國強制性產品認證制度的檢測任務，並以廣東省為試點，為自願性食品認證提供所需的檢測工作。由</w:t>
      </w:r>
      <w:r>
        <w:rPr/>
        <w:t>2014</w:t>
      </w:r>
      <w:r>
        <w:rPr/>
        <w:t>年起，在內地沒有商業存在的香港認證檢測機構僱用的相關人員將獲准在內地提供服務。香港檢測機構所獲准承擔以自願性認證為目的之檢測服務範圍，亦將在廣東省試點放寬至食品以外的其他產品；</w:t>
      </w:r>
    </w:p>
    <w:p>
      <w:pPr>
        <w:pStyle w:val="F21"/>
        <w:spacing w:lineRule="atLeast" w:line="370"/>
        <w:ind w:left="1985" w:hanging="567"/>
        <w:rPr/>
      </w:pPr>
      <w:r>
        <w:rPr/>
      </w:r>
    </w:p>
    <w:p>
      <w:pPr>
        <w:pStyle w:val="F21"/>
        <w:spacing w:lineRule="atLeast" w:line="370"/>
        <w:ind w:left="1985" w:hanging="567"/>
        <w:rPr/>
      </w:pPr>
      <w:r>
        <w:rPr>
          <w:spacing w:val="14"/>
        </w:rPr>
        <w:t>(iii)</w:t>
      </w:r>
      <w:r>
        <w:rPr/>
        <w:tab/>
      </w:r>
      <w:r>
        <w:rPr/>
        <w:t>在創新科技方面，我們已制訂並實施新措施，以配合國家</w:t>
      </w:r>
      <w:r>
        <w:rPr>
          <w:szCs w:val="27"/>
        </w:rPr>
        <w:t>“</w:t>
      </w:r>
      <w:r>
        <w:rPr/>
        <w:t>十二五</w:t>
      </w:r>
      <w:r>
        <w:rPr>
          <w:szCs w:val="27"/>
        </w:rPr>
        <w:t>”</w:t>
      </w:r>
      <w:r>
        <w:rPr/>
        <w:t>規劃下的科技發展，加強香港科技界進一步融入國家創新體系。有關措施包括：推薦香港專家成功加入國家科技計劃專家庫；鼓勵香港科技人員參與國家重大科技項目；建立更多合作平台，例如國家重點實驗室夥伴實驗室、香港國家高新技術產業化</w:t>
      </w:r>
      <w:r>
        <w:rPr/>
        <w:t>(</w:t>
      </w:r>
      <w:r>
        <w:rPr/>
        <w:t>夥伴</w:t>
      </w:r>
      <w:r>
        <w:rPr/>
        <w:t>)</w:t>
      </w:r>
      <w:r>
        <w:rPr/>
        <w:t>基地、國家工程技術研究中心香港分中心等。政府亦向國家重點實驗室夥伴實驗室和國家工程技術研究中心香港分中心提供資助，藉以增強他們的研發能力，以及推動他們與內地夥伴合作；</w:t>
      </w:r>
    </w:p>
    <w:p>
      <w:pPr>
        <w:pStyle w:val="F21"/>
        <w:spacing w:lineRule="atLeast" w:line="370"/>
        <w:ind w:left="1985" w:hanging="567"/>
        <w:rPr/>
      </w:pPr>
      <w:r>
        <w:rPr/>
      </w:r>
    </w:p>
    <w:p>
      <w:pPr>
        <w:pStyle w:val="F21"/>
        <w:spacing w:lineRule="atLeast" w:line="370"/>
        <w:ind w:left="1985" w:hanging="567"/>
        <w:rPr/>
      </w:pPr>
      <w:r>
        <w:rPr/>
        <w:t>(iv)</w:t>
        <w:tab/>
      </w:r>
      <w:r>
        <w:rPr/>
        <w:t>在環保產業方面，政府推出多項措施，支援香港環保業界在內地發展。有關措施包括：在香港及內地的環保博覽會設立</w:t>
      </w:r>
      <w:r>
        <w:rPr>
          <w:szCs w:val="27"/>
        </w:rPr>
        <w:t>“</w:t>
      </w:r>
      <w:r>
        <w:rPr/>
        <w:t>香港館</w:t>
      </w:r>
      <w:r>
        <w:rPr>
          <w:szCs w:val="27"/>
        </w:rPr>
        <w:t>”</w:t>
      </w:r>
      <w:r>
        <w:rPr/>
        <w:t>，資助業界參展，展示香港的環境技術和服務；為業界組織到內地的考察活動，以了解內地最新的環保政策與綠色市場；與內地相關的政府部門落實</w:t>
      </w:r>
      <w:r>
        <w:rPr/>
        <w:t>CEPA</w:t>
      </w:r>
      <w:r>
        <w:rPr/>
        <w:t>開放措施等。</w:t>
      </w:r>
    </w:p>
    <w:p>
      <w:pPr>
        <w:pStyle w:val="F21"/>
        <w:spacing w:lineRule="atLeast" w:line="370"/>
        <w:rPr/>
      </w:pPr>
      <w:r>
        <w:rPr/>
      </w:r>
    </w:p>
    <w:p>
      <w:pPr>
        <w:pStyle w:val="Style14"/>
        <w:spacing w:lineRule="atLeast" w:line="370"/>
        <w:rPr>
          <w:i w:val="false"/>
          <w:i w:val="false"/>
        </w:rPr>
      </w:pPr>
      <w:r>
        <w:rPr>
          <w:i w:val="false"/>
        </w:rPr>
        <w:tab/>
      </w:r>
      <w:r>
        <w:rPr>
          <w:i w:val="false"/>
        </w:rPr>
        <w:t>此外，政府於</w:t>
      </w:r>
      <w:r>
        <w:rPr>
          <w:i w:val="false"/>
        </w:rPr>
        <w:t>2012</w:t>
      </w:r>
      <w:r>
        <w:rPr>
          <w:i w:val="false"/>
        </w:rPr>
        <w:t>年</w:t>
      </w:r>
      <w:r>
        <w:rPr>
          <w:i w:val="false"/>
        </w:rPr>
        <w:t>6</w:t>
      </w:r>
      <w:r>
        <w:rPr>
          <w:i w:val="false"/>
        </w:rPr>
        <w:t>月推出一項總值</w:t>
      </w:r>
      <w:r>
        <w:rPr>
          <w:i w:val="false"/>
        </w:rPr>
        <w:t>10</w:t>
      </w:r>
      <w:r>
        <w:rPr>
          <w:i w:val="false"/>
        </w:rPr>
        <w:t>億元的</w:t>
      </w:r>
      <w:r>
        <w:rPr>
          <w:i w:val="false"/>
          <w:szCs w:val="27"/>
        </w:rPr>
        <w:t>“</w:t>
      </w:r>
      <w:r>
        <w:rPr>
          <w:i w:val="false"/>
        </w:rPr>
        <w:t>發展品牌、升級轉型及拓展內銷市場的專項基金</w:t>
      </w:r>
      <w:r>
        <w:rPr>
          <w:i w:val="false"/>
          <w:szCs w:val="27"/>
        </w:rPr>
        <w:t>”</w:t>
      </w:r>
      <w:r>
        <w:rPr>
          <w:i w:val="false"/>
        </w:rPr>
        <w:t>(</w:t>
      </w:r>
      <w:r>
        <w:rPr>
          <w:i w:val="false"/>
          <w:szCs w:val="27"/>
        </w:rPr>
        <w:t>“</w:t>
      </w:r>
      <w:r>
        <w:rPr>
          <w:i w:val="false"/>
        </w:rPr>
        <w:t>專項基金</w:t>
      </w:r>
      <w:r>
        <w:rPr>
          <w:i w:val="false"/>
          <w:szCs w:val="27"/>
        </w:rPr>
        <w:t>”</w:t>
      </w:r>
      <w:r>
        <w:rPr>
          <w:i w:val="false"/>
        </w:rPr>
        <w:t>)</w:t>
      </w:r>
      <w:r>
        <w:rPr>
          <w:i w:val="false"/>
        </w:rPr>
        <w:t>，協助各行業的香港企業通過發展品牌、升級轉型或拓展內銷，以加強競爭力及促進他們在內地的業務發展。專項基金自成立以來，業界的反應十分踴躍。截至</w:t>
      </w:r>
      <w:r>
        <w:rPr>
          <w:i w:val="false"/>
        </w:rPr>
        <w:t>2013</w:t>
      </w:r>
      <w:r>
        <w:rPr>
          <w:i w:val="false"/>
        </w:rPr>
        <w:t>年</w:t>
      </w:r>
      <w:r>
        <w:rPr>
          <w:i w:val="false"/>
        </w:rPr>
        <w:t>11</w:t>
      </w:r>
      <w:r>
        <w:rPr>
          <w:i w:val="false"/>
        </w:rPr>
        <w:t>月底，我們已批出</w:t>
      </w:r>
      <w:r>
        <w:rPr>
          <w:i w:val="false"/>
        </w:rPr>
        <w:t>137</w:t>
      </w:r>
      <w:r>
        <w:rPr>
          <w:i w:val="false"/>
        </w:rPr>
        <w:t>份企業申請及</w:t>
      </w:r>
      <w:r>
        <w:rPr>
          <w:i w:val="false"/>
        </w:rPr>
        <w:t>28</w:t>
      </w:r>
      <w:r>
        <w:rPr>
          <w:i w:val="false"/>
        </w:rPr>
        <w:t>份機構申請，總資助額約為</w:t>
      </w:r>
      <w:r>
        <w:rPr>
          <w:i w:val="false"/>
        </w:rPr>
        <w:t>1</w:t>
      </w:r>
      <w:r>
        <w:rPr>
          <w:i w:val="false"/>
        </w:rPr>
        <w:t>億</w:t>
      </w:r>
      <w:r>
        <w:rPr>
          <w:i w:val="false"/>
        </w:rPr>
        <w:t>5,100</w:t>
      </w:r>
      <w:r>
        <w:rPr>
          <w:i w:val="false"/>
        </w:rPr>
        <w:t>萬元。</w:t>
      </w:r>
    </w:p>
    <w:p>
      <w:pPr>
        <w:pStyle w:val="Style14"/>
        <w:rPr>
          <w:i w:val="false"/>
          <w:i w:val="false"/>
        </w:rPr>
      </w:pPr>
      <w:r>
        <w:rPr>
          <w:i w:val="false"/>
        </w:rPr>
      </w:r>
    </w:p>
    <w:p>
      <w:pPr>
        <w:pStyle w:val="Style14"/>
        <w:rPr>
          <w:i w:val="false"/>
          <w:i w:val="false"/>
        </w:rPr>
      </w:pPr>
      <w:r>
        <w:rPr>
          <w:i w:val="false"/>
        </w:rPr>
        <w:tab/>
      </w:r>
      <w:r>
        <w:rPr>
          <w:i w:val="false"/>
        </w:rPr>
        <w:t>此外，香港特區政府駐北京辦事處</w:t>
      </w:r>
      <w:r>
        <w:rPr>
          <w:i w:val="false"/>
        </w:rPr>
        <w:t>(</w:t>
      </w:r>
      <w:r>
        <w:rPr>
          <w:i w:val="false"/>
          <w:szCs w:val="27"/>
        </w:rPr>
        <w:t>“</w:t>
      </w:r>
      <w:r>
        <w:rPr>
          <w:i w:val="false"/>
        </w:rPr>
        <w:t>駐京辦</w:t>
      </w:r>
      <w:r>
        <w:rPr>
          <w:i w:val="false"/>
          <w:szCs w:val="27"/>
        </w:rPr>
        <w:t>”</w:t>
      </w:r>
      <w:r>
        <w:rPr>
          <w:i w:val="false"/>
        </w:rPr>
        <w:t>)</w:t>
      </w:r>
      <w:r>
        <w:rPr>
          <w:i w:val="false"/>
        </w:rPr>
        <w:t>亦已就港商關注的全國性政策如稅務和勞務等進行調研，並分析這些政策為香港企業帶來的影響及機遇。駐京辦亦安排專家在內地舉行的講座擔任講者，並編制《專題通訊》向香港商會和企業發放有關研究結果。</w:t>
      </w:r>
    </w:p>
    <w:p>
      <w:pPr>
        <w:pStyle w:val="F21"/>
        <w:rPr>
          <w:szCs w:val="27"/>
        </w:rPr>
      </w:pPr>
      <w:r>
        <w:rPr>
          <w:szCs w:val="27"/>
        </w:rPr>
      </w:r>
    </w:p>
    <w:p>
      <w:pPr>
        <w:pStyle w:val="F21"/>
        <w:rPr/>
      </w:pPr>
      <w:r>
        <w:rPr/>
      </w:r>
    </w:p>
    <w:p>
      <w:pPr>
        <w:pStyle w:val="F21"/>
        <w:rPr>
          <w:rFonts w:eastAsia="華康中黑體" w:cs="Times New Roman"/>
          <w:b/>
          <w:b/>
        </w:rPr>
      </w:pPr>
      <w:bookmarkStart w:id="39" w:name="wrq13"/>
      <w:r>
        <w:rPr>
          <w:rFonts w:cs="Times New Roman" w:eastAsia="華康中黑體"/>
          <w:b/>
        </w:rPr>
        <w:t>因工受傷</w:t>
      </w:r>
    </w:p>
    <w:p>
      <w:pPr>
        <w:pStyle w:val="Normal"/>
        <w:rPr>
          <w:b/>
          <w:b/>
        </w:rPr>
      </w:pPr>
      <w:bookmarkStart w:id="40" w:name="wrq13"/>
      <w:r>
        <w:rPr>
          <w:b/>
        </w:rPr>
        <w:t>Injuries at Work</w:t>
      </w:r>
      <w:bookmarkEnd w:id="40"/>
    </w:p>
    <w:p>
      <w:pPr>
        <w:pStyle w:val="F21"/>
        <w:rPr/>
      </w:pPr>
      <w:r>
        <w:rPr/>
      </w:r>
    </w:p>
    <w:p>
      <w:pPr>
        <w:pStyle w:val="F21"/>
        <w:rPr>
          <w:i/>
          <w:i/>
          <w:szCs w:val="27"/>
        </w:rPr>
      </w:pPr>
      <w:r>
        <w:rPr>
          <w:rFonts w:eastAsia="華康中黑體"/>
          <w:b/>
        </w:rPr>
        <w:t>13.</w:t>
      </w:r>
      <w:r>
        <w:rPr/>
        <w:tab/>
      </w:r>
      <w:r>
        <w:rPr>
          <w:rFonts w:eastAsia="華康中黑體"/>
          <w:b/>
          <w:szCs w:val="27"/>
        </w:rPr>
        <w:t>梁耀忠議員</w:t>
      </w:r>
      <w:r>
        <w:rPr>
          <w:szCs w:val="27"/>
        </w:rPr>
        <w:t>：</w:t>
      </w:r>
      <w:r>
        <w:rPr>
          <w:i/>
          <w:szCs w:val="27"/>
        </w:rPr>
        <w:t>主席，每年有不少僱員因工受傷，當中更有僱員被拖欠在其暫時喪失工作能力期間，僱主須向其支付的按期付款</w:t>
      </w:r>
      <w:r>
        <w:rPr>
          <w:i/>
          <w:szCs w:val="27"/>
        </w:rPr>
        <w:t>(</w:t>
      </w:r>
      <w:r>
        <w:rPr>
          <w:i/>
          <w:szCs w:val="27"/>
        </w:rPr>
        <w:t>下稱“工傷病假錢”</w:t>
      </w:r>
      <w:r>
        <w:rPr>
          <w:i/>
          <w:szCs w:val="27"/>
        </w:rPr>
        <w:t>)</w:t>
      </w:r>
      <w:r>
        <w:rPr>
          <w:i/>
          <w:szCs w:val="27"/>
        </w:rPr>
        <w:t>。就此，政府可否告知本會：</w:t>
      </w:r>
    </w:p>
    <w:p>
      <w:pPr>
        <w:pStyle w:val="F21"/>
        <w:rPr>
          <w:i/>
          <w:i/>
          <w:szCs w:val="27"/>
        </w:rPr>
      </w:pPr>
      <w:r>
        <w:rPr>
          <w:i/>
          <w:szCs w:val="27"/>
        </w:rPr>
      </w:r>
    </w:p>
    <w:p>
      <w:pPr>
        <w:pStyle w:val="F21"/>
        <w:ind w:left="1417" w:hanging="850"/>
        <w:rPr>
          <w:i/>
          <w:i/>
          <w:szCs w:val="27"/>
        </w:rPr>
      </w:pPr>
      <w:r>
        <w:rPr>
          <w:i/>
          <w:szCs w:val="27"/>
        </w:rPr>
        <w:t>(</w:t>
      </w:r>
      <w:r>
        <w:rPr>
          <w:i/>
          <w:szCs w:val="27"/>
        </w:rPr>
        <w:t>一</w:t>
      </w:r>
      <w:r>
        <w:rPr>
          <w:i/>
          <w:szCs w:val="27"/>
        </w:rPr>
        <w:t>)</w:t>
        <w:tab/>
      </w:r>
      <w:r>
        <w:rPr>
          <w:i/>
          <w:szCs w:val="27"/>
        </w:rPr>
        <w:t>過去</w:t>
      </w:r>
      <w:r>
        <w:rPr>
          <w:i/>
          <w:szCs w:val="27"/>
        </w:rPr>
        <w:t>5</w:t>
      </w:r>
      <w:r>
        <w:rPr>
          <w:i/>
          <w:szCs w:val="27"/>
        </w:rPr>
        <w:t>個年度，每年的工傷個案分別按僱員</w:t>
      </w:r>
      <w:r>
        <w:rPr>
          <w:i/>
          <w:szCs w:val="27"/>
        </w:rPr>
        <w:t>(i)</w:t>
      </w:r>
      <w:r>
        <w:rPr>
          <w:i/>
          <w:szCs w:val="27"/>
        </w:rPr>
        <w:t>所屬的年齡組別</w:t>
      </w:r>
      <w:r>
        <w:rPr>
          <w:i/>
          <w:szCs w:val="27"/>
        </w:rPr>
        <w:t>(</w:t>
      </w:r>
      <w:r>
        <w:rPr>
          <w:i/>
          <w:szCs w:val="27"/>
        </w:rPr>
        <w:t>如同載於表一者</w:t>
      </w:r>
      <w:r>
        <w:rPr>
          <w:i/>
          <w:szCs w:val="27"/>
        </w:rPr>
        <w:t>)</w:t>
      </w:r>
      <w:r>
        <w:rPr>
          <w:i/>
          <w:szCs w:val="27"/>
        </w:rPr>
        <w:t>、</w:t>
      </w:r>
      <w:r>
        <w:rPr>
          <w:i/>
          <w:szCs w:val="27"/>
        </w:rPr>
        <w:t>(ii)</w:t>
      </w:r>
      <w:r>
        <w:rPr>
          <w:i/>
          <w:szCs w:val="27"/>
        </w:rPr>
        <w:t>所屬的行業、</w:t>
      </w:r>
      <w:r>
        <w:rPr>
          <w:i/>
          <w:szCs w:val="27"/>
        </w:rPr>
        <w:t>(iii)</w:t>
      </w:r>
      <w:r>
        <w:rPr>
          <w:i/>
          <w:szCs w:val="27"/>
        </w:rPr>
        <w:t>從事的工種，以及</w:t>
      </w:r>
      <w:r>
        <w:rPr>
          <w:i/>
          <w:szCs w:val="27"/>
        </w:rPr>
        <w:t>(iv)</w:t>
      </w:r>
      <w:r>
        <w:rPr>
          <w:i/>
          <w:szCs w:val="27"/>
        </w:rPr>
        <w:t>獲批的工傷病假期間</w:t>
      </w:r>
      <w:r>
        <w:rPr>
          <w:i/>
          <w:szCs w:val="27"/>
        </w:rPr>
        <w:t>(</w:t>
      </w:r>
      <w:r>
        <w:rPr>
          <w:i/>
          <w:szCs w:val="27"/>
        </w:rPr>
        <w:t>如同載於表二者</w:t>
      </w:r>
      <w:r>
        <w:rPr>
          <w:i/>
          <w:szCs w:val="27"/>
        </w:rPr>
        <w:t>)</w:t>
      </w:r>
      <w:r>
        <w:rPr>
          <w:i/>
          <w:szCs w:val="27"/>
        </w:rPr>
        <w:t>劃分的分項數字；</w:t>
      </w:r>
    </w:p>
    <w:p>
      <w:pPr>
        <w:pStyle w:val="F21"/>
        <w:rPr>
          <w:i/>
          <w:i/>
        </w:rPr>
      </w:pPr>
      <w:r>
        <w:rPr>
          <w:i/>
        </w:rPr>
      </w:r>
    </w:p>
    <w:p>
      <w:pPr>
        <w:pStyle w:val="F21"/>
        <w:ind w:left="1417" w:hanging="850"/>
        <w:rPr>
          <w:i/>
          <w:i/>
        </w:rPr>
      </w:pPr>
      <w:r>
        <w:rPr/>
        <w:tab/>
      </w:r>
      <w:r>
        <w:rPr>
          <w:i/>
        </w:rPr>
        <w:t>表一</w:t>
      </w:r>
    </w:p>
    <w:tbl>
      <w:tblPr>
        <w:tblW w:w="7796" w:type="dxa"/>
        <w:jc w:val="left"/>
        <w:tblInd w:w="1499" w:type="dxa"/>
        <w:tblCellMar>
          <w:top w:w="0" w:type="dxa"/>
          <w:left w:w="57" w:type="dxa"/>
          <w:bottom w:w="0" w:type="dxa"/>
          <w:right w:w="57" w:type="dxa"/>
        </w:tblCellMar>
        <w:tblLook w:val="00a0" w:noHBand="0" w:noVBand="0" w:firstColumn="1" w:lastRow="0" w:lastColumn="0" w:firstRow="1"/>
      </w:tblPr>
      <w:tblGrid>
        <w:gridCol w:w="1198"/>
        <w:gridCol w:w="1319"/>
        <w:gridCol w:w="1319"/>
        <w:gridCol w:w="1320"/>
        <w:gridCol w:w="1320"/>
        <w:gridCol w:w="1319"/>
      </w:tblGrid>
      <w:tr>
        <w:trPr>
          <w:tblHeader w:val="true"/>
        </w:trPr>
        <w:tc>
          <w:tcPr>
            <w:tcW w:w="119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tabs>
                <w:tab w:val="clear" w:pos="720"/>
                <w:tab w:val="left" w:pos="233" w:leader="none"/>
              </w:tabs>
              <w:spacing w:lineRule="exact" w:line="440"/>
              <w:ind w:right="-140" w:hanging="0"/>
              <w:jc w:val="left"/>
              <w:rPr>
                <w:i/>
                <w:i/>
                <w:spacing w:val="10"/>
                <w:kern w:val="2"/>
                <w:sz w:val="27"/>
                <w:szCs w:val="27"/>
              </w:rPr>
            </w:pPr>
            <w:r>
              <w:rPr>
                <w:i/>
                <w:spacing w:val="10"/>
                <w:kern w:val="2"/>
                <w:sz w:val="27"/>
                <w:szCs w:val="27"/>
              </w:rPr>
              <w:tab/>
            </w:r>
            <w:r>
              <w:rPr>
                <w:i/>
                <w:spacing w:val="10"/>
                <w:kern w:val="2"/>
                <w:sz w:val="27"/>
                <w:szCs w:val="27"/>
              </w:rPr>
              <w:t>年齡</w:t>
            </w:r>
          </w:p>
        </w:tc>
        <w:tc>
          <w:tcPr>
            <w:tcW w:w="6597" w:type="dxa"/>
            <w:gridSpan w:val="5"/>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t>年度</w:t>
            </w:r>
          </w:p>
        </w:tc>
      </w:tr>
      <w:tr>
        <w:trPr>
          <w:tblHeader w:val="true"/>
        </w:trPr>
        <w:tc>
          <w:tcPr>
            <w:tcW w:w="119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tabs>
                <w:tab w:val="clear" w:pos="720"/>
              </w:tabs>
              <w:spacing w:lineRule="auto" w:line="240"/>
              <w:jc w:val="left"/>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t>2008-2009</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t>2009-2010</w:t>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t>2010-2011</w:t>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t>2011-2012</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t>2012-2013</w:t>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16</w:t>
            </w:r>
            <w:r>
              <w:rPr>
                <w:i/>
                <w:spacing w:val="10"/>
                <w:kern w:val="2"/>
                <w:sz w:val="27"/>
                <w:szCs w:val="27"/>
              </w:rPr>
              <w:t>以下</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16</w:t>
            </w:r>
            <w:r>
              <w:rPr>
                <w:i/>
                <w:spacing w:val="10"/>
                <w:kern w:val="2"/>
                <w:sz w:val="27"/>
                <w:szCs w:val="27"/>
              </w:rPr>
              <w:t>至</w:t>
            </w:r>
            <w:r>
              <w:rPr>
                <w:i/>
                <w:spacing w:val="10"/>
                <w:kern w:val="2"/>
                <w:sz w:val="27"/>
                <w:szCs w:val="27"/>
              </w:rPr>
              <w:t>20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21</w:t>
            </w:r>
            <w:r>
              <w:rPr>
                <w:i/>
                <w:spacing w:val="10"/>
                <w:kern w:val="2"/>
                <w:sz w:val="27"/>
                <w:szCs w:val="27"/>
              </w:rPr>
              <w:t>至</w:t>
            </w:r>
            <w:r>
              <w:rPr>
                <w:i/>
                <w:spacing w:val="10"/>
                <w:kern w:val="2"/>
                <w:sz w:val="27"/>
                <w:szCs w:val="27"/>
              </w:rPr>
              <w:t>25</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26</w:t>
            </w:r>
            <w:r>
              <w:rPr>
                <w:i/>
                <w:spacing w:val="10"/>
                <w:kern w:val="2"/>
                <w:sz w:val="27"/>
                <w:szCs w:val="27"/>
              </w:rPr>
              <w:t>至</w:t>
            </w:r>
            <w:r>
              <w:rPr>
                <w:i/>
                <w:spacing w:val="10"/>
                <w:kern w:val="2"/>
                <w:sz w:val="27"/>
                <w:szCs w:val="27"/>
              </w:rPr>
              <w:t>30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31</w:t>
            </w:r>
            <w:r>
              <w:rPr>
                <w:i/>
                <w:spacing w:val="10"/>
                <w:kern w:val="2"/>
                <w:sz w:val="27"/>
                <w:szCs w:val="27"/>
              </w:rPr>
              <w:t>至</w:t>
            </w:r>
            <w:r>
              <w:rPr>
                <w:i/>
                <w:spacing w:val="10"/>
                <w:kern w:val="2"/>
                <w:sz w:val="27"/>
                <w:szCs w:val="27"/>
              </w:rPr>
              <w:t>35</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36</w:t>
            </w:r>
            <w:r>
              <w:rPr>
                <w:i/>
                <w:spacing w:val="10"/>
                <w:kern w:val="2"/>
                <w:sz w:val="27"/>
                <w:szCs w:val="27"/>
              </w:rPr>
              <w:t>至</w:t>
            </w:r>
            <w:r>
              <w:rPr>
                <w:i/>
                <w:spacing w:val="10"/>
                <w:kern w:val="2"/>
                <w:sz w:val="27"/>
                <w:szCs w:val="27"/>
              </w:rPr>
              <w:t>40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41</w:t>
            </w:r>
            <w:r>
              <w:rPr>
                <w:i/>
                <w:spacing w:val="10"/>
                <w:kern w:val="2"/>
                <w:sz w:val="27"/>
                <w:szCs w:val="27"/>
              </w:rPr>
              <w:t>至</w:t>
            </w:r>
            <w:r>
              <w:rPr>
                <w:i/>
                <w:spacing w:val="10"/>
                <w:kern w:val="2"/>
                <w:sz w:val="27"/>
                <w:szCs w:val="27"/>
              </w:rPr>
              <w:t>45</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46</w:t>
            </w:r>
            <w:r>
              <w:rPr>
                <w:i/>
                <w:spacing w:val="10"/>
                <w:kern w:val="2"/>
                <w:sz w:val="27"/>
                <w:szCs w:val="27"/>
              </w:rPr>
              <w:t>至</w:t>
            </w:r>
            <w:r>
              <w:rPr>
                <w:i/>
                <w:spacing w:val="10"/>
                <w:kern w:val="2"/>
                <w:sz w:val="27"/>
                <w:szCs w:val="27"/>
              </w:rPr>
              <w:t>50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51</w:t>
            </w:r>
            <w:r>
              <w:rPr>
                <w:i/>
                <w:spacing w:val="10"/>
                <w:kern w:val="2"/>
                <w:sz w:val="27"/>
                <w:szCs w:val="27"/>
              </w:rPr>
              <w:t>至</w:t>
            </w:r>
            <w:r>
              <w:rPr>
                <w:i/>
                <w:spacing w:val="10"/>
                <w:kern w:val="2"/>
                <w:sz w:val="27"/>
                <w:szCs w:val="27"/>
              </w:rPr>
              <w:t>55</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56</w:t>
            </w:r>
            <w:r>
              <w:rPr>
                <w:i/>
                <w:spacing w:val="10"/>
                <w:kern w:val="2"/>
                <w:sz w:val="27"/>
                <w:szCs w:val="27"/>
              </w:rPr>
              <w:t>至</w:t>
            </w:r>
            <w:r>
              <w:rPr>
                <w:i/>
                <w:spacing w:val="10"/>
                <w:kern w:val="2"/>
                <w:sz w:val="27"/>
                <w:szCs w:val="27"/>
              </w:rPr>
              <w:t>60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61</w:t>
            </w:r>
            <w:r>
              <w:rPr>
                <w:i/>
                <w:spacing w:val="10"/>
                <w:kern w:val="2"/>
                <w:sz w:val="27"/>
                <w:szCs w:val="27"/>
              </w:rPr>
              <w:t>至</w:t>
            </w:r>
            <w:r>
              <w:rPr>
                <w:i/>
                <w:spacing w:val="10"/>
                <w:kern w:val="2"/>
                <w:sz w:val="27"/>
                <w:szCs w:val="27"/>
              </w:rPr>
              <w:t>65</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66</w:t>
            </w:r>
            <w:r>
              <w:rPr>
                <w:i/>
                <w:spacing w:val="10"/>
                <w:kern w:val="2"/>
                <w:sz w:val="27"/>
                <w:szCs w:val="27"/>
              </w:rPr>
              <w:t>至</w:t>
            </w:r>
            <w:r>
              <w:rPr>
                <w:i/>
                <w:spacing w:val="10"/>
                <w:kern w:val="2"/>
                <w:sz w:val="27"/>
                <w:szCs w:val="27"/>
              </w:rPr>
              <w:t>70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71</w:t>
            </w:r>
            <w:r>
              <w:rPr>
                <w:i/>
                <w:spacing w:val="10"/>
                <w:kern w:val="2"/>
                <w:sz w:val="27"/>
                <w:szCs w:val="27"/>
              </w:rPr>
              <w:t>至</w:t>
            </w:r>
            <w:r>
              <w:rPr>
                <w:i/>
                <w:spacing w:val="10"/>
                <w:kern w:val="2"/>
                <w:sz w:val="27"/>
                <w:szCs w:val="27"/>
              </w:rPr>
              <w:t>75</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76</w:t>
            </w:r>
            <w:r>
              <w:rPr>
                <w:i/>
                <w:spacing w:val="10"/>
                <w:kern w:val="2"/>
                <w:sz w:val="27"/>
                <w:szCs w:val="27"/>
              </w:rPr>
              <w:t>至</w:t>
            </w:r>
            <w:r>
              <w:rPr>
                <w:i/>
                <w:spacing w:val="10"/>
                <w:kern w:val="2"/>
                <w:sz w:val="27"/>
                <w:szCs w:val="27"/>
              </w:rPr>
              <w:t>80</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r>
        <w:trPr/>
        <w:tc>
          <w:tcPr>
            <w:tcW w:w="1198" w:type="dxa"/>
            <w:tcBorders>
              <w:top w:val="single" w:sz="4" w:space="0" w:color="000000"/>
              <w:left w:val="single" w:sz="4" w:space="0" w:color="000000"/>
              <w:bottom w:val="single" w:sz="4" w:space="0" w:color="000000"/>
              <w:right w:val="single" w:sz="4" w:space="0" w:color="000000"/>
            </w:tcBorders>
          </w:tcPr>
          <w:p>
            <w:pPr>
              <w:pStyle w:val="Normal"/>
              <w:spacing w:lineRule="exact" w:line="440"/>
              <w:ind w:right="-140" w:hanging="0"/>
              <w:rPr>
                <w:i/>
                <w:i/>
                <w:spacing w:val="10"/>
                <w:kern w:val="2"/>
                <w:sz w:val="27"/>
                <w:szCs w:val="27"/>
              </w:rPr>
            </w:pPr>
            <w:r>
              <w:rPr>
                <w:i/>
                <w:spacing w:val="10"/>
                <w:kern w:val="2"/>
                <w:sz w:val="27"/>
                <w:szCs w:val="27"/>
              </w:rPr>
              <w:t>80</w:t>
            </w:r>
            <w:r>
              <w:rPr>
                <w:i/>
                <w:spacing w:val="10"/>
                <w:kern w:val="2"/>
                <w:sz w:val="27"/>
                <w:szCs w:val="27"/>
              </w:rPr>
              <w:t>以上</w:t>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20"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c>
          <w:tcPr>
            <w:tcW w:w="1319" w:type="dxa"/>
            <w:tcBorders>
              <w:top w:val="single" w:sz="4" w:space="0" w:color="000000"/>
              <w:left w:val="single" w:sz="4" w:space="0" w:color="000000"/>
              <w:bottom w:val="single" w:sz="4" w:space="0" w:color="000000"/>
              <w:right w:val="single" w:sz="4" w:space="0" w:color="000000"/>
            </w:tcBorders>
          </w:tcPr>
          <w:p>
            <w:pPr>
              <w:pStyle w:val="Normal"/>
              <w:spacing w:lineRule="exact" w:line="440"/>
              <w:ind w:left="-140" w:right="-140" w:hanging="0"/>
              <w:jc w:val="center"/>
              <w:rPr>
                <w:i/>
                <w:i/>
                <w:spacing w:val="10"/>
                <w:kern w:val="2"/>
                <w:sz w:val="27"/>
                <w:szCs w:val="27"/>
              </w:rPr>
            </w:pPr>
            <w:r>
              <w:rPr>
                <w:i/>
                <w:spacing w:val="10"/>
                <w:kern w:val="2"/>
                <w:sz w:val="27"/>
                <w:szCs w:val="27"/>
              </w:rPr>
            </w:r>
          </w:p>
        </w:tc>
      </w:tr>
    </w:tbl>
    <w:p>
      <w:pPr>
        <w:pStyle w:val="Normal"/>
        <w:widowControl/>
        <w:overflowPunct w:val="true"/>
        <w:spacing w:lineRule="exact" w:line="440"/>
        <w:ind w:left="1260" w:hanging="0"/>
        <w:rPr>
          <w:spacing w:val="20"/>
          <w:sz w:val="27"/>
          <w:szCs w:val="27"/>
        </w:rPr>
      </w:pPr>
      <w:r>
        <w:rPr>
          <w:spacing w:val="20"/>
          <w:sz w:val="27"/>
          <w:szCs w:val="27"/>
        </w:rPr>
      </w:r>
    </w:p>
    <w:p>
      <w:pPr>
        <w:pStyle w:val="F21"/>
        <w:ind w:left="1417" w:hanging="850"/>
        <w:rPr>
          <w:i/>
          <w:i/>
        </w:rPr>
      </w:pPr>
      <w:r>
        <w:rPr/>
        <w:tab/>
      </w:r>
      <w:r>
        <w:rPr>
          <w:i/>
        </w:rPr>
        <w:t>表二</w:t>
      </w:r>
    </w:p>
    <w:tbl>
      <w:tblPr>
        <w:tblW w:w="7815" w:type="dxa"/>
        <w:jc w:val="left"/>
        <w:tblInd w:w="1419" w:type="dxa"/>
        <w:tblCellMar>
          <w:top w:w="0" w:type="dxa"/>
          <w:left w:w="5" w:type="dxa"/>
          <w:bottom w:w="0" w:type="dxa"/>
          <w:right w:w="5" w:type="dxa"/>
        </w:tblCellMar>
        <w:tblLook w:val="00a0" w:noHBand="0" w:noVBand="0" w:firstColumn="1" w:lastRow="0" w:lastColumn="0" w:firstRow="1"/>
      </w:tblPr>
      <w:tblGrid>
        <w:gridCol w:w="1586"/>
        <w:gridCol w:w="1245"/>
        <w:gridCol w:w="1246"/>
        <w:gridCol w:w="1245"/>
        <w:gridCol w:w="1247"/>
        <w:gridCol w:w="1245"/>
      </w:tblGrid>
      <w:tr>
        <w:trPr>
          <w:tblHeader w:val="true"/>
          <w:trHeight w:val="454" w:hRule="atLeast"/>
          <w:cantSplit w:val="true"/>
        </w:trPr>
        <w:tc>
          <w:tcPr>
            <w:tcW w:w="1586" w:type="dxa"/>
            <w:vMerge w:val="restart"/>
            <w:tcBorders>
              <w:top w:val="single" w:sz="4" w:space="0" w:color="000000"/>
              <w:left w:val="single" w:sz="4" w:space="0" w:color="000000"/>
              <w:bottom w:val="single" w:sz="4" w:space="0" w:color="000000"/>
              <w:right w:val="single" w:sz="4" w:space="0" w:color="000000"/>
            </w:tcBorders>
            <w:vAlign w:val="center"/>
          </w:tcPr>
          <w:p>
            <w:pPr>
              <w:pStyle w:val="Normal"/>
              <w:ind w:left="56" w:hanging="0"/>
              <w:jc w:val="center"/>
              <w:rPr>
                <w:i/>
                <w:i/>
                <w:spacing w:val="10"/>
                <w:kern w:val="2"/>
                <w:sz w:val="27"/>
                <w:szCs w:val="27"/>
              </w:rPr>
            </w:pPr>
            <w:r>
              <w:rPr>
                <w:i/>
                <w:spacing w:val="10"/>
                <w:kern w:val="2"/>
                <w:sz w:val="27"/>
                <w:szCs w:val="27"/>
              </w:rPr>
              <w:t>工傷病假</w:t>
            </w:r>
            <w:r>
              <w:rPr>
                <w:i/>
                <w:spacing w:val="10"/>
                <w:kern w:val="2"/>
                <w:sz w:val="27"/>
                <w:szCs w:val="27"/>
              </w:rPr>
              <w:br/>
            </w:r>
            <w:r>
              <w:rPr>
                <w:i/>
                <w:spacing w:val="10"/>
                <w:kern w:val="2"/>
                <w:sz w:val="27"/>
                <w:szCs w:val="27"/>
              </w:rPr>
              <w:t>期間</w:t>
            </w:r>
          </w:p>
        </w:tc>
        <w:tc>
          <w:tcPr>
            <w:tcW w:w="6228" w:type="dxa"/>
            <w:gridSpan w:val="5"/>
            <w:tcBorders>
              <w:top w:val="single" w:sz="4" w:space="0" w:color="000000"/>
              <w:left w:val="single" w:sz="4" w:space="0" w:color="000000"/>
              <w:bottom w:val="single" w:sz="4" w:space="0" w:color="000000"/>
              <w:right w:val="single" w:sz="4" w:space="0" w:color="000000"/>
            </w:tcBorders>
          </w:tcPr>
          <w:p>
            <w:pPr>
              <w:pStyle w:val="Normal"/>
              <w:jc w:val="center"/>
              <w:rPr>
                <w:i/>
                <w:i/>
                <w:spacing w:val="10"/>
                <w:kern w:val="2"/>
                <w:sz w:val="27"/>
                <w:szCs w:val="27"/>
              </w:rPr>
            </w:pPr>
            <w:r>
              <w:rPr>
                <w:i/>
                <w:spacing w:val="10"/>
                <w:kern w:val="2"/>
                <w:sz w:val="27"/>
                <w:szCs w:val="27"/>
              </w:rPr>
              <w:t>年度</w:t>
            </w:r>
          </w:p>
        </w:tc>
      </w:tr>
      <w:tr>
        <w:trPr>
          <w:tblHeader w:val="true"/>
          <w:trHeight w:val="454" w:hRule="atLeast"/>
          <w:cantSplit w:val="true"/>
        </w:trPr>
        <w:tc>
          <w:tcPr>
            <w:tcW w:w="158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widowControl/>
              <w:tabs>
                <w:tab w:val="clear" w:pos="720"/>
              </w:tabs>
              <w:spacing w:lineRule="auto" w:line="240"/>
              <w:jc w:val="left"/>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jc w:val="center"/>
              <w:rPr>
                <w:i/>
                <w:i/>
                <w:kern w:val="2"/>
                <w:sz w:val="27"/>
                <w:szCs w:val="27"/>
              </w:rPr>
            </w:pPr>
            <w:r>
              <w:rPr>
                <w:i/>
                <w:kern w:val="2"/>
                <w:sz w:val="27"/>
                <w:szCs w:val="27"/>
              </w:rPr>
              <w:t>2008-2009</w:t>
            </w:r>
          </w:p>
        </w:tc>
        <w:tc>
          <w:tcPr>
            <w:tcW w:w="1246" w:type="dxa"/>
            <w:tcBorders>
              <w:top w:val="single" w:sz="4" w:space="0" w:color="000000"/>
              <w:left w:val="single" w:sz="4" w:space="0" w:color="000000"/>
              <w:bottom w:val="single" w:sz="4" w:space="0" w:color="000000"/>
              <w:right w:val="single" w:sz="4" w:space="0" w:color="000000"/>
            </w:tcBorders>
          </w:tcPr>
          <w:p>
            <w:pPr>
              <w:pStyle w:val="Normal"/>
              <w:jc w:val="center"/>
              <w:rPr>
                <w:i/>
                <w:i/>
                <w:kern w:val="2"/>
                <w:sz w:val="27"/>
                <w:szCs w:val="27"/>
              </w:rPr>
            </w:pPr>
            <w:r>
              <w:rPr>
                <w:i/>
                <w:kern w:val="2"/>
                <w:sz w:val="27"/>
                <w:szCs w:val="27"/>
              </w:rPr>
              <w:t>2009-2010</w:t>
            </w:r>
          </w:p>
        </w:tc>
        <w:tc>
          <w:tcPr>
            <w:tcW w:w="1245" w:type="dxa"/>
            <w:tcBorders>
              <w:top w:val="single" w:sz="4" w:space="0" w:color="000000"/>
              <w:left w:val="single" w:sz="4" w:space="0" w:color="000000"/>
              <w:bottom w:val="single" w:sz="4" w:space="0" w:color="000000"/>
              <w:right w:val="single" w:sz="4" w:space="0" w:color="000000"/>
            </w:tcBorders>
          </w:tcPr>
          <w:p>
            <w:pPr>
              <w:pStyle w:val="Normal"/>
              <w:jc w:val="center"/>
              <w:rPr>
                <w:i/>
                <w:i/>
                <w:kern w:val="2"/>
                <w:sz w:val="27"/>
                <w:szCs w:val="27"/>
              </w:rPr>
            </w:pPr>
            <w:r>
              <w:rPr>
                <w:i/>
                <w:kern w:val="2"/>
                <w:sz w:val="27"/>
                <w:szCs w:val="27"/>
              </w:rPr>
              <w:t>2010-2011</w:t>
            </w:r>
          </w:p>
        </w:tc>
        <w:tc>
          <w:tcPr>
            <w:tcW w:w="1247" w:type="dxa"/>
            <w:tcBorders>
              <w:top w:val="single" w:sz="4" w:space="0" w:color="000000"/>
              <w:left w:val="single" w:sz="4" w:space="0" w:color="000000"/>
              <w:bottom w:val="single" w:sz="4" w:space="0" w:color="000000"/>
              <w:right w:val="single" w:sz="4" w:space="0" w:color="000000"/>
            </w:tcBorders>
          </w:tcPr>
          <w:p>
            <w:pPr>
              <w:pStyle w:val="Normal"/>
              <w:jc w:val="center"/>
              <w:rPr>
                <w:i/>
                <w:i/>
                <w:kern w:val="2"/>
                <w:sz w:val="27"/>
                <w:szCs w:val="27"/>
              </w:rPr>
            </w:pPr>
            <w:r>
              <w:rPr>
                <w:i/>
                <w:kern w:val="2"/>
                <w:sz w:val="27"/>
                <w:szCs w:val="27"/>
              </w:rPr>
              <w:t>2011-2012</w:t>
            </w:r>
          </w:p>
        </w:tc>
        <w:tc>
          <w:tcPr>
            <w:tcW w:w="1245" w:type="dxa"/>
            <w:tcBorders>
              <w:top w:val="single" w:sz="4" w:space="0" w:color="000000"/>
              <w:left w:val="single" w:sz="4" w:space="0" w:color="000000"/>
              <w:bottom w:val="single" w:sz="4" w:space="0" w:color="000000"/>
              <w:right w:val="single" w:sz="4" w:space="0" w:color="000000"/>
            </w:tcBorders>
          </w:tcPr>
          <w:p>
            <w:pPr>
              <w:pStyle w:val="Normal"/>
              <w:jc w:val="center"/>
              <w:rPr>
                <w:i/>
                <w:i/>
                <w:kern w:val="2"/>
                <w:sz w:val="27"/>
                <w:szCs w:val="27"/>
              </w:rPr>
            </w:pPr>
            <w:r>
              <w:rPr>
                <w:i/>
                <w:kern w:val="2"/>
                <w:sz w:val="27"/>
                <w:szCs w:val="27"/>
              </w:rPr>
              <w:t>2012-2013</w:t>
            </w:r>
          </w:p>
        </w:tc>
      </w:tr>
      <w:tr>
        <w:trPr>
          <w:tblHeader w:val="true"/>
          <w:trHeight w:val="454" w:hRule="atLeast"/>
          <w:cantSplit w:val="true"/>
        </w:trPr>
        <w:tc>
          <w:tcPr>
            <w:tcW w:w="1586" w:type="dxa"/>
            <w:tcBorders>
              <w:top w:val="single" w:sz="4" w:space="0" w:color="000000"/>
              <w:left w:val="single" w:sz="4" w:space="0" w:color="000000"/>
              <w:bottom w:val="single" w:sz="4" w:space="0" w:color="000000"/>
              <w:right w:val="single" w:sz="4" w:space="0" w:color="000000"/>
            </w:tcBorders>
          </w:tcPr>
          <w:p>
            <w:pPr>
              <w:pStyle w:val="Normal"/>
              <w:ind w:left="56" w:hanging="0"/>
              <w:rPr>
                <w:i/>
                <w:i/>
                <w:spacing w:val="10"/>
                <w:kern w:val="2"/>
                <w:sz w:val="27"/>
                <w:szCs w:val="27"/>
              </w:rPr>
            </w:pPr>
            <w:r>
              <w:rPr>
                <w:i/>
                <w:spacing w:val="10"/>
                <w:kern w:val="2"/>
                <w:sz w:val="27"/>
                <w:szCs w:val="27"/>
              </w:rPr>
              <w:t>6</w:t>
            </w:r>
            <w:r>
              <w:rPr>
                <w:i/>
                <w:spacing w:val="10"/>
                <w:kern w:val="2"/>
                <w:sz w:val="27"/>
                <w:szCs w:val="27"/>
              </w:rPr>
              <w:t>個月以下</w:t>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6"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7"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r>
      <w:tr>
        <w:trPr>
          <w:cantSplit w:val="true"/>
        </w:trPr>
        <w:tc>
          <w:tcPr>
            <w:tcW w:w="1586" w:type="dxa"/>
            <w:tcBorders>
              <w:top w:val="single" w:sz="4" w:space="0" w:color="000000"/>
              <w:left w:val="single" w:sz="4" w:space="0" w:color="000000"/>
              <w:bottom w:val="single" w:sz="4" w:space="0" w:color="000000"/>
              <w:right w:val="single" w:sz="4" w:space="0" w:color="000000"/>
            </w:tcBorders>
          </w:tcPr>
          <w:p>
            <w:pPr>
              <w:pStyle w:val="Normal"/>
              <w:ind w:left="56" w:hanging="0"/>
              <w:rPr>
                <w:i/>
                <w:i/>
                <w:spacing w:val="10"/>
                <w:kern w:val="2"/>
                <w:sz w:val="27"/>
                <w:szCs w:val="27"/>
              </w:rPr>
            </w:pPr>
            <w:r>
              <w:rPr>
                <w:i/>
                <w:spacing w:val="10"/>
                <w:kern w:val="2"/>
                <w:sz w:val="27"/>
                <w:szCs w:val="27"/>
              </w:rPr>
              <w:t>6</w:t>
            </w:r>
            <w:r>
              <w:rPr>
                <w:i/>
                <w:spacing w:val="10"/>
                <w:kern w:val="2"/>
                <w:sz w:val="27"/>
                <w:szCs w:val="27"/>
              </w:rPr>
              <w:t>至</w:t>
            </w:r>
            <w:r>
              <w:rPr>
                <w:i/>
                <w:spacing w:val="10"/>
                <w:kern w:val="2"/>
                <w:sz w:val="27"/>
                <w:szCs w:val="27"/>
              </w:rPr>
              <w:t>12</w:t>
            </w:r>
            <w:r>
              <w:rPr>
                <w:i/>
                <w:spacing w:val="10"/>
                <w:kern w:val="2"/>
                <w:sz w:val="27"/>
                <w:szCs w:val="27"/>
              </w:rPr>
              <w:t>個月以下</w:t>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6"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7"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r>
      <w:tr>
        <w:trPr>
          <w:cantSplit w:val="true"/>
        </w:trPr>
        <w:tc>
          <w:tcPr>
            <w:tcW w:w="1586" w:type="dxa"/>
            <w:tcBorders>
              <w:top w:val="single" w:sz="4" w:space="0" w:color="000000"/>
              <w:left w:val="single" w:sz="4" w:space="0" w:color="000000"/>
              <w:bottom w:val="single" w:sz="4" w:space="0" w:color="000000"/>
              <w:right w:val="single" w:sz="4" w:space="0" w:color="000000"/>
            </w:tcBorders>
          </w:tcPr>
          <w:p>
            <w:pPr>
              <w:pStyle w:val="Normal"/>
              <w:ind w:left="56" w:hanging="0"/>
              <w:rPr>
                <w:i/>
                <w:i/>
                <w:spacing w:val="10"/>
                <w:kern w:val="2"/>
                <w:sz w:val="27"/>
                <w:szCs w:val="27"/>
              </w:rPr>
            </w:pPr>
            <w:r>
              <w:rPr>
                <w:i/>
                <w:spacing w:val="10"/>
                <w:kern w:val="2"/>
                <w:sz w:val="27"/>
                <w:szCs w:val="27"/>
              </w:rPr>
              <w:t>12</w:t>
            </w:r>
            <w:r>
              <w:rPr>
                <w:i/>
                <w:spacing w:val="10"/>
                <w:kern w:val="2"/>
                <w:sz w:val="27"/>
                <w:szCs w:val="27"/>
              </w:rPr>
              <w:t>至</w:t>
            </w:r>
            <w:r>
              <w:rPr>
                <w:i/>
                <w:spacing w:val="10"/>
                <w:kern w:val="2"/>
                <w:sz w:val="27"/>
                <w:szCs w:val="27"/>
              </w:rPr>
              <w:t>18</w:t>
            </w:r>
            <w:r>
              <w:rPr>
                <w:i/>
                <w:spacing w:val="10"/>
                <w:kern w:val="2"/>
                <w:sz w:val="27"/>
                <w:szCs w:val="27"/>
              </w:rPr>
              <w:t>個月以下</w:t>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6"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7"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r>
      <w:tr>
        <w:trPr>
          <w:cantSplit w:val="true"/>
        </w:trPr>
        <w:tc>
          <w:tcPr>
            <w:tcW w:w="1586" w:type="dxa"/>
            <w:tcBorders>
              <w:top w:val="single" w:sz="4" w:space="0" w:color="000000"/>
              <w:left w:val="single" w:sz="4" w:space="0" w:color="000000"/>
              <w:bottom w:val="single" w:sz="4" w:space="0" w:color="000000"/>
              <w:right w:val="single" w:sz="4" w:space="0" w:color="000000"/>
            </w:tcBorders>
          </w:tcPr>
          <w:p>
            <w:pPr>
              <w:pStyle w:val="Normal"/>
              <w:ind w:left="56" w:hanging="0"/>
              <w:rPr>
                <w:i/>
                <w:i/>
                <w:spacing w:val="10"/>
                <w:kern w:val="2"/>
                <w:sz w:val="27"/>
                <w:szCs w:val="27"/>
              </w:rPr>
            </w:pPr>
            <w:r>
              <w:rPr>
                <w:i/>
                <w:spacing w:val="10"/>
                <w:kern w:val="2"/>
                <w:sz w:val="27"/>
                <w:szCs w:val="27"/>
              </w:rPr>
              <w:t>18</w:t>
            </w:r>
            <w:r>
              <w:rPr>
                <w:i/>
                <w:spacing w:val="10"/>
                <w:kern w:val="2"/>
                <w:sz w:val="27"/>
                <w:szCs w:val="27"/>
              </w:rPr>
              <w:t>至</w:t>
            </w:r>
            <w:r>
              <w:rPr>
                <w:i/>
                <w:spacing w:val="10"/>
                <w:kern w:val="2"/>
                <w:sz w:val="27"/>
                <w:szCs w:val="27"/>
              </w:rPr>
              <w:t>24</w:t>
            </w:r>
            <w:r>
              <w:rPr>
                <w:i/>
                <w:spacing w:val="10"/>
                <w:kern w:val="2"/>
                <w:sz w:val="27"/>
                <w:szCs w:val="27"/>
              </w:rPr>
              <w:t>個月以下</w:t>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6"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7"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r>
      <w:tr>
        <w:trPr>
          <w:cantSplit w:val="true"/>
        </w:trPr>
        <w:tc>
          <w:tcPr>
            <w:tcW w:w="1586" w:type="dxa"/>
            <w:tcBorders>
              <w:top w:val="single" w:sz="4" w:space="0" w:color="000000"/>
              <w:left w:val="single" w:sz="4" w:space="0" w:color="000000"/>
              <w:bottom w:val="single" w:sz="4" w:space="0" w:color="000000"/>
              <w:right w:val="single" w:sz="4" w:space="0" w:color="000000"/>
            </w:tcBorders>
          </w:tcPr>
          <w:p>
            <w:pPr>
              <w:pStyle w:val="Normal"/>
              <w:ind w:left="56" w:hanging="0"/>
              <w:rPr>
                <w:i/>
                <w:i/>
                <w:spacing w:val="10"/>
                <w:kern w:val="2"/>
                <w:sz w:val="27"/>
                <w:szCs w:val="27"/>
              </w:rPr>
            </w:pPr>
            <w:r>
              <w:rPr>
                <w:i/>
                <w:spacing w:val="10"/>
                <w:kern w:val="2"/>
                <w:sz w:val="27"/>
                <w:szCs w:val="27"/>
              </w:rPr>
              <w:t>24</w:t>
            </w:r>
            <w:r>
              <w:rPr>
                <w:i/>
                <w:spacing w:val="10"/>
                <w:kern w:val="2"/>
                <w:sz w:val="27"/>
                <w:szCs w:val="27"/>
              </w:rPr>
              <w:t>個月或</w:t>
            </w:r>
            <w:r>
              <w:rPr>
                <w:i/>
                <w:spacing w:val="10"/>
                <w:kern w:val="2"/>
                <w:sz w:val="27"/>
                <w:szCs w:val="27"/>
              </w:rPr>
              <w:br/>
            </w:r>
            <w:r>
              <w:rPr>
                <w:i/>
                <w:spacing w:val="10"/>
                <w:kern w:val="2"/>
                <w:sz w:val="27"/>
                <w:szCs w:val="27"/>
              </w:rPr>
              <w:t>以上</w:t>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6"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7"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c>
          <w:tcPr>
            <w:tcW w:w="1245" w:type="dxa"/>
            <w:tcBorders>
              <w:top w:val="single" w:sz="4" w:space="0" w:color="000000"/>
              <w:left w:val="single" w:sz="4" w:space="0" w:color="000000"/>
              <w:bottom w:val="single" w:sz="4" w:space="0" w:color="000000"/>
              <w:right w:val="single" w:sz="4" w:space="0" w:color="000000"/>
            </w:tcBorders>
          </w:tcPr>
          <w:p>
            <w:pPr>
              <w:pStyle w:val="Normal"/>
              <w:rPr>
                <w:i/>
                <w:i/>
                <w:spacing w:val="10"/>
                <w:kern w:val="2"/>
                <w:sz w:val="27"/>
                <w:szCs w:val="27"/>
              </w:rPr>
            </w:pPr>
            <w:r>
              <w:rPr>
                <w:i/>
                <w:spacing w:val="10"/>
                <w:kern w:val="2"/>
                <w:sz w:val="27"/>
                <w:szCs w:val="27"/>
              </w:rPr>
            </w:r>
          </w:p>
        </w:tc>
      </w:tr>
    </w:tbl>
    <w:p>
      <w:pPr>
        <w:pStyle w:val="F21"/>
        <w:spacing w:lineRule="atLeast" w:line="380"/>
        <w:ind w:left="1418" w:hanging="851"/>
        <w:rPr>
          <w:i/>
          <w:i/>
        </w:rPr>
      </w:pPr>
      <w:r>
        <w:rPr>
          <w:i/>
        </w:rPr>
      </w:r>
    </w:p>
    <w:p>
      <w:pPr>
        <w:pStyle w:val="F21"/>
        <w:spacing w:lineRule="atLeast" w:line="380"/>
        <w:ind w:left="1418" w:hanging="851"/>
        <w:rPr>
          <w:i/>
          <w:i/>
          <w:spacing w:val="30"/>
        </w:rPr>
      </w:pPr>
      <w:r>
        <w:rPr>
          <w:i/>
        </w:rPr>
        <w:t>(</w:t>
      </w:r>
      <w:r>
        <w:rPr>
          <w:i/>
        </w:rPr>
        <w:t>二</w:t>
      </w:r>
      <w:r>
        <w:rPr>
          <w:i/>
        </w:rPr>
        <w:t>)</w:t>
        <w:tab/>
      </w:r>
      <w:r>
        <w:rPr>
          <w:i/>
          <w:spacing w:val="30"/>
        </w:rPr>
        <w:t>過去</w:t>
      </w:r>
      <w:r>
        <w:rPr>
          <w:i/>
          <w:spacing w:val="30"/>
        </w:rPr>
        <w:t>5</w:t>
      </w:r>
      <w:r>
        <w:rPr>
          <w:i/>
          <w:spacing w:val="30"/>
        </w:rPr>
        <w:t>個年度，每年被拖欠工傷病假錢的個案數目及其佔工傷個案總數的百分比，以及按</w:t>
      </w:r>
      <w:r>
        <w:rPr>
          <w:i/>
          <w:spacing w:val="30"/>
        </w:rPr>
        <w:t>(i)</w:t>
      </w:r>
      <w:r>
        <w:rPr>
          <w:i/>
          <w:spacing w:val="30"/>
        </w:rPr>
        <w:t>拖欠理由及</w:t>
      </w:r>
      <w:r>
        <w:rPr>
          <w:i/>
          <w:spacing w:val="30"/>
        </w:rPr>
        <w:t>(ii)</w:t>
      </w:r>
      <w:r>
        <w:rPr>
          <w:i/>
          <w:spacing w:val="30"/>
        </w:rPr>
        <w:t>工傷病假期間</w:t>
      </w:r>
      <w:r>
        <w:rPr>
          <w:i/>
          <w:spacing w:val="30"/>
        </w:rPr>
        <w:t>(</w:t>
      </w:r>
      <w:r>
        <w:rPr>
          <w:i/>
          <w:spacing w:val="30"/>
        </w:rPr>
        <w:t>如同載於表二者</w:t>
      </w:r>
      <w:r>
        <w:rPr>
          <w:i/>
          <w:spacing w:val="30"/>
        </w:rPr>
        <w:t>)</w:t>
      </w:r>
      <w:r>
        <w:rPr>
          <w:i/>
          <w:spacing w:val="30"/>
        </w:rPr>
        <w:t>列出該等個案的分項數字；</w:t>
      </w:r>
    </w:p>
    <w:p>
      <w:pPr>
        <w:pStyle w:val="F21"/>
        <w:spacing w:lineRule="atLeast" w:line="380"/>
        <w:ind w:left="1418" w:hanging="851"/>
        <w:rPr>
          <w:i/>
          <w:i/>
        </w:rPr>
      </w:pPr>
      <w:r>
        <w:rPr>
          <w:i/>
        </w:rPr>
      </w:r>
    </w:p>
    <w:p>
      <w:pPr>
        <w:pStyle w:val="F21"/>
        <w:spacing w:lineRule="atLeast" w:line="380"/>
        <w:ind w:left="1418" w:hanging="851"/>
        <w:rPr>
          <w:i/>
          <w:i/>
        </w:rPr>
      </w:pPr>
      <w:r>
        <w:rPr>
          <w:i/>
        </w:rPr>
        <w:t>(</w:t>
      </w:r>
      <w:r>
        <w:rPr>
          <w:i/>
        </w:rPr>
        <w:t>三</w:t>
      </w:r>
      <w:r>
        <w:rPr>
          <w:i/>
        </w:rPr>
        <w:t>)</w:t>
        <w:tab/>
      </w:r>
      <w:r>
        <w:rPr>
          <w:i/>
        </w:rPr>
        <w:t>過去</w:t>
      </w:r>
      <w:r>
        <w:rPr>
          <w:i/>
        </w:rPr>
        <w:t>3</w:t>
      </w:r>
      <w:r>
        <w:rPr>
          <w:i/>
        </w:rPr>
        <w:t>年，勞工處採取了甚麼措施協助工傷僱員追討被拖欠的工傷病假錢；及</w:t>
      </w:r>
    </w:p>
    <w:p>
      <w:pPr>
        <w:pStyle w:val="F21"/>
        <w:spacing w:lineRule="atLeast" w:line="380"/>
        <w:ind w:left="1418" w:hanging="851"/>
        <w:rPr>
          <w:i/>
          <w:i/>
        </w:rPr>
      </w:pPr>
      <w:r>
        <w:rPr>
          <w:i/>
        </w:rPr>
      </w:r>
    </w:p>
    <w:p>
      <w:pPr>
        <w:pStyle w:val="F21"/>
        <w:spacing w:lineRule="atLeast" w:line="380"/>
        <w:ind w:left="1418" w:hanging="851"/>
        <w:rPr>
          <w:i/>
          <w:i/>
        </w:rPr>
      </w:pPr>
      <w:r>
        <w:rPr>
          <w:i/>
        </w:rPr>
        <w:t>(</w:t>
      </w:r>
      <w:r>
        <w:rPr>
          <w:i/>
        </w:rPr>
        <w:t>四</w:t>
      </w:r>
      <w:r>
        <w:rPr>
          <w:i/>
        </w:rPr>
        <w:t>)</w:t>
        <w:tab/>
      </w:r>
      <w:r>
        <w:rPr>
          <w:i/>
        </w:rPr>
        <w:t>有否全面檢討第</w:t>
      </w:r>
      <w:r>
        <w:rPr>
          <w:i/>
        </w:rPr>
        <w:t>(</w:t>
      </w:r>
      <w:r>
        <w:rPr>
          <w:i/>
        </w:rPr>
        <w:t>三</w:t>
      </w:r>
      <w:r>
        <w:rPr>
          <w:i/>
        </w:rPr>
        <w:t>)</w:t>
      </w:r>
      <w:r>
        <w:rPr>
          <w:i/>
        </w:rPr>
        <w:t>部分所述的措施的實施情況及成效；如成效不理想，會否制訂新政策，更有效地協助工傷僱員追討工傷病假錢；如會制訂新政策，時間表為何；如否，原因為何？</w:t>
      </w:r>
    </w:p>
    <w:p>
      <w:pPr>
        <w:pStyle w:val="F21"/>
        <w:rPr/>
      </w:pPr>
      <w:r>
        <w:rPr>
          <w:rFonts w:eastAsia="華康中黑體"/>
          <w:b/>
        </w:rPr>
        <w:t>勞工及福利局局長</w:t>
      </w:r>
      <w:r>
        <w:rPr/>
        <w:t>：主席，勞工處僱員補償科協助受傷僱員根據《僱員補償條例》</w:t>
      </w:r>
      <w:r>
        <w:rPr/>
        <w:t>(</w:t>
      </w:r>
      <w:r>
        <w:rPr>
          <w:szCs w:val="27"/>
        </w:rPr>
        <w:t>“</w:t>
      </w:r>
      <w:r>
        <w:rPr/>
        <w:t>《條例》</w:t>
      </w:r>
      <w:r>
        <w:rPr>
          <w:szCs w:val="27"/>
        </w:rPr>
        <w:t>”</w:t>
      </w:r>
      <w:r>
        <w:rPr/>
        <w:t>)</w:t>
      </w:r>
      <w:r>
        <w:rPr/>
        <w:t>的規定獲得工傷補償，以及調查涉嫌違例的個案，致力保障因工受傷僱員和死亡僱員家屬的權益，並不時檢討有關協助受傷僱員及死亡僱員家屬的措施。</w:t>
      </w:r>
      <w:r>
        <w:br w:type="page"/>
      </w:r>
    </w:p>
    <w:p>
      <w:pPr>
        <w:pStyle w:val="F21"/>
        <w:rPr/>
      </w:pPr>
      <w:r>
        <w:rPr/>
      </w:r>
    </w:p>
    <w:p>
      <w:pPr>
        <w:pStyle w:val="F21"/>
        <w:rPr/>
      </w:pPr>
      <w:r>
        <w:rPr/>
        <w:tab/>
      </w:r>
      <w:r>
        <w:rPr/>
        <w:t>《條例》規定，僱員在受僱工作期間，如因工遭遇意外以致受傷或死亡，不論該意外是否引起任何支付補償的法律責任，僱主必須在該意外發生後</w:t>
      </w:r>
      <w:r>
        <w:rPr/>
        <w:t>14</w:t>
      </w:r>
      <w:r>
        <w:rPr/>
        <w:t>天內</w:t>
      </w:r>
      <w:r>
        <w:rPr/>
        <w:t>(</w:t>
      </w:r>
      <w:r>
        <w:rPr/>
        <w:t>死亡個案則須在</w:t>
      </w:r>
      <w:r>
        <w:rPr/>
        <w:t>7</w:t>
      </w:r>
      <w:r>
        <w:rPr/>
        <w:t>天內</w:t>
      </w:r>
      <w:r>
        <w:rPr/>
        <w:t>)</w:t>
      </w:r>
      <w:r>
        <w:rPr/>
        <w:t>，以指定表格向勞工處處長呈報。</w:t>
      </w:r>
    </w:p>
    <w:p>
      <w:pPr>
        <w:pStyle w:val="F21"/>
        <w:rPr/>
      </w:pPr>
      <w:r>
        <w:rPr/>
      </w:r>
    </w:p>
    <w:p>
      <w:pPr>
        <w:pStyle w:val="F21"/>
        <w:rPr/>
      </w:pPr>
      <w:r>
        <w:rPr/>
        <w:tab/>
      </w:r>
      <w:r>
        <w:rPr/>
        <w:t>就梁耀忠議員的質詢，我現答覆如下：</w:t>
      </w:r>
    </w:p>
    <w:p>
      <w:pPr>
        <w:pStyle w:val="F21"/>
        <w:rPr/>
      </w:pPr>
      <w:r>
        <w:rPr/>
      </w:r>
    </w:p>
    <w:p>
      <w:pPr>
        <w:pStyle w:val="Style14"/>
        <w:rPr>
          <w:i w:val="false"/>
          <w:i w:val="false"/>
        </w:rPr>
      </w:pPr>
      <w:r>
        <w:rPr>
          <w:i w:val="false"/>
        </w:rPr>
        <w:t>(</w:t>
      </w:r>
      <w:r>
        <w:rPr>
          <w:i w:val="false"/>
        </w:rPr>
        <w:t>一</w:t>
      </w:r>
      <w:r>
        <w:rPr>
          <w:i w:val="false"/>
        </w:rPr>
        <w:t>)</w:t>
        <w:tab/>
      </w:r>
      <w:r>
        <w:rPr>
          <w:i w:val="false"/>
        </w:rPr>
        <w:t>過去</w:t>
      </w:r>
      <w:r>
        <w:rPr>
          <w:i w:val="false"/>
        </w:rPr>
        <w:t>5</w:t>
      </w:r>
      <w:r>
        <w:rPr>
          <w:i w:val="false"/>
        </w:rPr>
        <w:t>年，根據《條例》呈報的僱員補償個案數字如下：</w:t>
      </w:r>
    </w:p>
    <w:p>
      <w:pPr>
        <w:pStyle w:val="Style14"/>
        <w:rPr>
          <w:i w:val="false"/>
          <w:i w:val="false"/>
        </w:rPr>
      </w:pPr>
      <w:r>
        <w:rPr>
          <w:i w:val="false"/>
        </w:rPr>
      </w:r>
    </w:p>
    <w:tbl>
      <w:tblPr>
        <w:tblW w:w="7805" w:type="dxa"/>
        <w:jc w:val="left"/>
        <w:tblInd w:w="1418" w:type="dxa"/>
        <w:tblCellMar>
          <w:top w:w="0" w:type="dxa"/>
          <w:left w:w="5" w:type="dxa"/>
          <w:bottom w:w="0" w:type="dxa"/>
          <w:right w:w="5" w:type="dxa"/>
        </w:tblCellMar>
        <w:tblLook w:val="01e0" w:noHBand="0" w:noVBand="0" w:firstColumn="1" w:lastRow="1" w:lastColumn="1" w:firstRow="1"/>
      </w:tblPr>
      <w:tblGrid>
        <w:gridCol w:w="2307"/>
        <w:gridCol w:w="1099"/>
        <w:gridCol w:w="1099"/>
        <w:gridCol w:w="1100"/>
        <w:gridCol w:w="1100"/>
        <w:gridCol w:w="1099"/>
      </w:tblGrid>
      <w:tr>
        <w:trPr/>
        <w:tc>
          <w:tcPr>
            <w:tcW w:w="2307"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導致</w:t>
            </w:r>
          </w:p>
        </w:tc>
        <w:tc>
          <w:tcPr>
            <w:tcW w:w="1099"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2008</w:t>
            </w:r>
            <w:r>
              <w:rPr>
                <w:kern w:val="2"/>
              </w:rPr>
              <w:t>年</w:t>
            </w:r>
          </w:p>
        </w:tc>
        <w:tc>
          <w:tcPr>
            <w:tcW w:w="1099"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2009</w:t>
            </w:r>
            <w:r>
              <w:rPr>
                <w:kern w:val="2"/>
              </w:rPr>
              <w:t>年</w:t>
            </w:r>
          </w:p>
        </w:tc>
        <w:tc>
          <w:tcPr>
            <w:tcW w:w="1100"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2010</w:t>
            </w:r>
            <w:r>
              <w:rPr>
                <w:kern w:val="2"/>
              </w:rPr>
              <w:t>年</w:t>
            </w:r>
          </w:p>
        </w:tc>
        <w:tc>
          <w:tcPr>
            <w:tcW w:w="1100"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2011</w:t>
            </w:r>
            <w:r>
              <w:rPr>
                <w:kern w:val="2"/>
              </w:rPr>
              <w:t>年</w:t>
            </w:r>
          </w:p>
        </w:tc>
        <w:tc>
          <w:tcPr>
            <w:tcW w:w="1099"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2012</w:t>
            </w:r>
            <w:r>
              <w:rPr>
                <w:kern w:val="2"/>
              </w:rPr>
              <w:t>年</w:t>
            </w:r>
          </w:p>
        </w:tc>
      </w:tr>
      <w:tr>
        <w:trPr/>
        <w:tc>
          <w:tcPr>
            <w:tcW w:w="2307"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left"/>
              <w:rPr>
                <w:i w:val="false"/>
                <w:i w:val="false"/>
                <w:kern w:val="2"/>
              </w:rPr>
            </w:pPr>
            <w:r>
              <w:rPr>
                <w:i w:val="false"/>
                <w:kern w:val="2"/>
              </w:rPr>
              <w:t>不能工作的時間不超過</w:t>
            </w:r>
            <w:r>
              <w:rPr>
                <w:i w:val="false"/>
                <w:kern w:val="2"/>
              </w:rPr>
              <w:t>3</w:t>
            </w:r>
            <w:r>
              <w:rPr>
                <w:i w:val="false"/>
                <w:kern w:val="2"/>
              </w:rPr>
              <w:t>天</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15 826</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15 503</w:t>
            </w:r>
          </w:p>
        </w:tc>
        <w:tc>
          <w:tcPr>
            <w:tcW w:w="1100"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16 165</w:t>
            </w:r>
          </w:p>
        </w:tc>
        <w:tc>
          <w:tcPr>
            <w:tcW w:w="1100"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15 944</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16 266</w:t>
            </w:r>
          </w:p>
        </w:tc>
      </w:tr>
      <w:tr>
        <w:trPr/>
        <w:tc>
          <w:tcPr>
            <w:tcW w:w="2307"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left"/>
              <w:rPr>
                <w:i w:val="false"/>
                <w:i w:val="false"/>
                <w:kern w:val="2"/>
              </w:rPr>
            </w:pPr>
            <w:r>
              <w:rPr>
                <w:i w:val="false"/>
                <w:kern w:val="2"/>
              </w:rPr>
              <w:t>不能工作的時間超過</w:t>
            </w:r>
            <w:r>
              <w:rPr>
                <w:i w:val="false"/>
                <w:kern w:val="2"/>
              </w:rPr>
              <w:t>3</w:t>
            </w:r>
            <w:r>
              <w:rPr>
                <w:i w:val="false"/>
                <w:kern w:val="2"/>
              </w:rPr>
              <w:t>天</w:t>
            </w:r>
            <w:r>
              <w:rPr>
                <w:i w:val="false"/>
                <w:kern w:val="2"/>
                <w:vertAlign w:val="superscript"/>
              </w:rPr>
              <w:t>^</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44 041</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40 296</w:t>
            </w:r>
          </w:p>
        </w:tc>
        <w:tc>
          <w:tcPr>
            <w:tcW w:w="1100"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42 626</w:t>
            </w:r>
          </w:p>
        </w:tc>
        <w:tc>
          <w:tcPr>
            <w:tcW w:w="1100"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41 052</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40 497</w:t>
            </w:r>
          </w:p>
        </w:tc>
      </w:tr>
      <w:tr>
        <w:trPr/>
        <w:tc>
          <w:tcPr>
            <w:tcW w:w="2307"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left"/>
              <w:rPr>
                <w:i w:val="false"/>
                <w:i w:val="false"/>
                <w:kern w:val="2"/>
              </w:rPr>
            </w:pPr>
            <w:r>
              <w:rPr>
                <w:i w:val="false"/>
                <w:kern w:val="2"/>
              </w:rPr>
              <w:t>總數</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59 867</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55 799</w:t>
            </w:r>
          </w:p>
        </w:tc>
        <w:tc>
          <w:tcPr>
            <w:tcW w:w="1100"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58 791</w:t>
            </w:r>
          </w:p>
        </w:tc>
        <w:tc>
          <w:tcPr>
            <w:tcW w:w="1100"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56 996</w:t>
            </w:r>
          </w:p>
        </w:tc>
        <w:tc>
          <w:tcPr>
            <w:tcW w:w="1099"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i w:val="false"/>
                <w:i w:val="false"/>
                <w:kern w:val="2"/>
              </w:rPr>
            </w:pPr>
            <w:r>
              <w:rPr>
                <w:i w:val="false"/>
                <w:kern w:val="2"/>
              </w:rPr>
              <w:t>56 763</w:t>
            </w:r>
          </w:p>
        </w:tc>
      </w:tr>
    </w:tbl>
    <w:p>
      <w:pPr>
        <w:pStyle w:val="Style14"/>
        <w:spacing w:lineRule="auto" w:line="240"/>
        <w:rPr>
          <w:i w:val="false"/>
          <w:i w:val="false"/>
          <w:sz w:val="20"/>
          <w:szCs w:val="20"/>
        </w:rPr>
      </w:pPr>
      <w:r>
        <w:rPr>
          <w:i w:val="false"/>
          <w:sz w:val="20"/>
          <w:szCs w:val="20"/>
        </w:rPr>
      </w:r>
    </w:p>
    <w:p>
      <w:pPr>
        <w:pStyle w:val="Style14"/>
        <w:spacing w:lineRule="auto" w:line="240"/>
        <w:rPr>
          <w:i w:val="false"/>
          <w:i w:val="false"/>
          <w:sz w:val="20"/>
          <w:szCs w:val="20"/>
        </w:rPr>
      </w:pPr>
      <w:r>
        <w:rPr>
          <w:i w:val="false"/>
          <w:sz w:val="20"/>
          <w:szCs w:val="20"/>
        </w:rPr>
        <w:tab/>
      </w:r>
      <w:r>
        <w:rPr>
          <w:i w:val="false"/>
          <w:sz w:val="20"/>
          <w:szCs w:val="20"/>
        </w:rPr>
        <w:t>註：</w:t>
      </w:r>
    </w:p>
    <w:p>
      <w:pPr>
        <w:pStyle w:val="Style14"/>
        <w:spacing w:lineRule="auto" w:line="240"/>
        <w:rPr>
          <w:i w:val="false"/>
          <w:i w:val="false"/>
          <w:sz w:val="20"/>
          <w:szCs w:val="20"/>
        </w:rPr>
      </w:pPr>
      <w:r>
        <w:rPr>
          <w:i w:val="false"/>
          <w:sz w:val="20"/>
          <w:szCs w:val="20"/>
        </w:rPr>
      </w:r>
    </w:p>
    <w:p>
      <w:pPr>
        <w:pStyle w:val="Style14"/>
        <w:spacing w:lineRule="auto" w:line="240"/>
        <w:ind w:left="1985" w:hanging="567"/>
        <w:rPr>
          <w:i w:val="false"/>
          <w:i w:val="false"/>
          <w:sz w:val="20"/>
          <w:szCs w:val="20"/>
        </w:rPr>
      </w:pPr>
      <w:r>
        <w:rPr>
          <w:i w:val="false"/>
          <w:sz w:val="20"/>
          <w:szCs w:val="20"/>
          <w:vertAlign w:val="superscript"/>
        </w:rPr>
        <w:t>^</w:t>
      </w:r>
      <w:r>
        <w:rPr>
          <w:i w:val="false"/>
          <w:sz w:val="20"/>
          <w:szCs w:val="20"/>
        </w:rPr>
        <w:tab/>
      </w:r>
      <w:r>
        <w:rPr>
          <w:i w:val="false"/>
          <w:sz w:val="20"/>
          <w:szCs w:val="20"/>
        </w:rPr>
        <w:t>數字包括致命個案。</w:t>
      </w:r>
    </w:p>
    <w:p>
      <w:pPr>
        <w:pStyle w:val="Style14"/>
        <w:rPr>
          <w:i w:val="false"/>
          <w:i w:val="false"/>
        </w:rPr>
      </w:pPr>
      <w:r>
        <w:rPr>
          <w:i w:val="false"/>
        </w:rPr>
      </w:r>
    </w:p>
    <w:p>
      <w:pPr>
        <w:pStyle w:val="Style14"/>
        <w:rPr>
          <w:i w:val="false"/>
          <w:i w:val="false"/>
        </w:rPr>
      </w:pPr>
      <w:r>
        <w:rPr>
          <w:i w:val="false"/>
        </w:rPr>
        <w:tab/>
      </w:r>
      <w:r>
        <w:rPr>
          <w:i w:val="false"/>
        </w:rPr>
        <w:t>如僱員因工傷而不能工作的時間不超過</w:t>
      </w:r>
      <w:r>
        <w:rPr>
          <w:i w:val="false"/>
        </w:rPr>
        <w:t>3</w:t>
      </w:r>
      <w:r>
        <w:rPr>
          <w:i w:val="false"/>
        </w:rPr>
        <w:t>天及沒有導致永久喪失工作能力，僱主會直接向僱員發放按期付款</w:t>
      </w:r>
      <w:r>
        <w:rPr>
          <w:i w:val="false"/>
        </w:rPr>
        <w:t>(</w:t>
      </w:r>
      <w:r>
        <w:rPr>
          <w:i w:val="false"/>
        </w:rPr>
        <w:t>即工傷病假錢</w:t>
      </w:r>
      <w:r>
        <w:rPr>
          <w:i w:val="false"/>
        </w:rPr>
        <w:t>)</w:t>
      </w:r>
      <w:r>
        <w:rPr>
          <w:i w:val="false"/>
        </w:rPr>
        <w:t>及醫療費，勞工處沒有這些個案按所需資料劃分的分項數字。至於餘下的個案，按所需資料劃分的分項數字如下：</w:t>
      </w:r>
    </w:p>
    <w:p>
      <w:pPr>
        <w:pStyle w:val="Style14"/>
        <w:rPr>
          <w:i w:val="false"/>
          <w:i w:val="false"/>
        </w:rPr>
      </w:pPr>
      <w:r>
        <w:rPr>
          <w:i w:val="false"/>
        </w:rPr>
      </w:r>
    </w:p>
    <w:p>
      <w:pPr>
        <w:pStyle w:val="Style14"/>
        <w:ind w:left="1985" w:hanging="567"/>
        <w:rPr>
          <w:i w:val="false"/>
          <w:i w:val="false"/>
        </w:rPr>
      </w:pPr>
      <w:r>
        <w:rPr>
          <w:i w:val="false"/>
        </w:rPr>
        <w:t>(i)</w:t>
        <w:tab/>
      </w:r>
      <w:r>
        <w:rPr>
          <w:i w:val="false"/>
        </w:rPr>
        <w:t>按年齡組別劃分</w:t>
      </w:r>
    </w:p>
    <w:p>
      <w:pPr>
        <w:pStyle w:val="Style14"/>
        <w:rPr>
          <w:i w:val="false"/>
          <w:i w:val="false"/>
        </w:rPr>
      </w:pPr>
      <w:r>
        <w:rPr>
          <w:i w:val="false"/>
        </w:rPr>
      </w:r>
    </w:p>
    <w:tbl>
      <w:tblPr>
        <w:tblW w:w="7229" w:type="dxa"/>
        <w:jc w:val="left"/>
        <w:tblInd w:w="1990" w:type="dxa"/>
        <w:tblCellMar>
          <w:top w:w="0" w:type="dxa"/>
          <w:left w:w="5" w:type="dxa"/>
          <w:bottom w:w="0" w:type="dxa"/>
          <w:right w:w="5" w:type="dxa"/>
        </w:tblCellMar>
        <w:tblLook w:val="01e0" w:noHBand="0" w:noVBand="0" w:firstColumn="1" w:lastRow="1" w:lastColumn="1" w:firstRow="1"/>
      </w:tblPr>
      <w:tblGrid>
        <w:gridCol w:w="1416"/>
        <w:gridCol w:w="1163"/>
        <w:gridCol w:w="1162"/>
        <w:gridCol w:w="1163"/>
        <w:gridCol w:w="1161"/>
        <w:gridCol w:w="1163"/>
      </w:tblGrid>
      <w:tr>
        <w:trPr/>
        <w:tc>
          <w:tcPr>
            <w:tcW w:w="1416"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年齡</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2008</w:t>
            </w:r>
            <w:r>
              <w:rPr>
                <w:kern w:val="2"/>
              </w:rPr>
              <w:t>年</w:t>
            </w:r>
          </w:p>
        </w:tc>
        <w:tc>
          <w:tcPr>
            <w:tcW w:w="116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2009</w:t>
            </w:r>
            <w:r>
              <w:rPr>
                <w:kern w:val="2"/>
              </w:rPr>
              <w:t>年</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2010</w:t>
            </w:r>
            <w:r>
              <w:rPr>
                <w:kern w:val="2"/>
              </w:rPr>
              <w:t>年</w:t>
            </w:r>
          </w:p>
        </w:tc>
        <w:tc>
          <w:tcPr>
            <w:tcW w:w="116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2011</w:t>
            </w:r>
            <w:r>
              <w:rPr>
                <w:kern w:val="2"/>
              </w:rPr>
              <w:t>年</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2012</w:t>
            </w:r>
            <w:r>
              <w:rPr>
                <w:kern w:val="2"/>
              </w:rPr>
              <w:t>年</w:t>
            </w:r>
          </w:p>
        </w:tc>
      </w:tr>
      <w:tr>
        <w:trPr/>
        <w:tc>
          <w:tcPr>
            <w:tcW w:w="1416"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18</w:t>
            </w:r>
            <w:r>
              <w:rPr>
                <w:i w:val="false"/>
                <w:kern w:val="2"/>
              </w:rPr>
              <w:t>歲以下</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434</w:t>
            </w:r>
          </w:p>
        </w:tc>
        <w:tc>
          <w:tcPr>
            <w:tcW w:w="116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268</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247</w:t>
            </w:r>
          </w:p>
        </w:tc>
        <w:tc>
          <w:tcPr>
            <w:tcW w:w="116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208</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210</w:t>
            </w:r>
          </w:p>
        </w:tc>
      </w:tr>
      <w:tr>
        <w:trPr/>
        <w:tc>
          <w:tcPr>
            <w:tcW w:w="1416"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18-39</w:t>
            </w:r>
            <w:r>
              <w:rPr>
                <w:i w:val="false"/>
                <w:kern w:val="2"/>
              </w:rPr>
              <w:t>歲</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19 100</w:t>
            </w:r>
          </w:p>
        </w:tc>
        <w:tc>
          <w:tcPr>
            <w:tcW w:w="116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16 839</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17 475</w:t>
            </w:r>
          </w:p>
        </w:tc>
        <w:tc>
          <w:tcPr>
            <w:tcW w:w="116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16 247</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15 210</w:t>
            </w:r>
          </w:p>
        </w:tc>
      </w:tr>
      <w:tr>
        <w:trPr/>
        <w:tc>
          <w:tcPr>
            <w:tcW w:w="1416"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40-55</w:t>
            </w:r>
            <w:r>
              <w:rPr>
                <w:i w:val="false"/>
                <w:kern w:val="2"/>
              </w:rPr>
              <w:t>歲</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19 483</w:t>
            </w:r>
          </w:p>
        </w:tc>
        <w:tc>
          <w:tcPr>
            <w:tcW w:w="116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18 272</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19 108</w:t>
            </w:r>
          </w:p>
        </w:tc>
        <w:tc>
          <w:tcPr>
            <w:tcW w:w="116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18 479</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18 306</w:t>
            </w:r>
          </w:p>
        </w:tc>
      </w:tr>
      <w:tr>
        <w:trPr/>
        <w:tc>
          <w:tcPr>
            <w:tcW w:w="1416"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55</w:t>
            </w:r>
            <w:r>
              <w:rPr>
                <w:i w:val="false"/>
                <w:kern w:val="2"/>
              </w:rPr>
              <w:t>歲以上</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5 024</w:t>
            </w:r>
          </w:p>
        </w:tc>
        <w:tc>
          <w:tcPr>
            <w:tcW w:w="116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4 917</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5 796</w:t>
            </w:r>
          </w:p>
        </w:tc>
        <w:tc>
          <w:tcPr>
            <w:tcW w:w="116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6 118</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6 771</w:t>
            </w:r>
          </w:p>
        </w:tc>
      </w:tr>
      <w:tr>
        <w:trPr/>
        <w:tc>
          <w:tcPr>
            <w:tcW w:w="1416"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總數</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44 041</w:t>
            </w:r>
          </w:p>
        </w:tc>
        <w:tc>
          <w:tcPr>
            <w:tcW w:w="116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40 296</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42 626</w:t>
            </w:r>
          </w:p>
        </w:tc>
        <w:tc>
          <w:tcPr>
            <w:tcW w:w="116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41 052</w:t>
            </w:r>
          </w:p>
        </w:tc>
        <w:tc>
          <w:tcPr>
            <w:tcW w:w="116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69" w:hanging="0"/>
              <w:jc w:val="right"/>
              <w:rPr>
                <w:i w:val="false"/>
                <w:i w:val="false"/>
                <w:kern w:val="2"/>
              </w:rPr>
            </w:pPr>
            <w:r>
              <w:rPr>
                <w:i w:val="false"/>
                <w:kern w:val="2"/>
              </w:rPr>
              <w:t>40 497</w:t>
            </w:r>
          </w:p>
        </w:tc>
      </w:tr>
    </w:tbl>
    <w:p>
      <w:pPr>
        <w:pStyle w:val="Style14"/>
        <w:spacing w:lineRule="atLeast" w:line="380"/>
        <w:ind w:left="1985" w:hanging="567"/>
        <w:rPr>
          <w:i w:val="false"/>
          <w:i w:val="false"/>
        </w:rPr>
      </w:pPr>
      <w:r>
        <w:rPr>
          <w:i w:val="false"/>
        </w:rPr>
        <w:t>(ii)</w:t>
        <w:tab/>
      </w:r>
      <w:r>
        <w:rPr>
          <w:i w:val="false"/>
        </w:rPr>
        <w:t>按行業劃分</w:t>
      </w:r>
    </w:p>
    <w:p>
      <w:pPr>
        <w:pStyle w:val="Style14"/>
        <w:spacing w:lineRule="atLeast" w:line="380"/>
        <w:rPr>
          <w:i w:val="false"/>
          <w:i w:val="false"/>
        </w:rPr>
      </w:pPr>
      <w:r>
        <w:rPr>
          <w:i w:val="false"/>
        </w:rPr>
      </w:r>
    </w:p>
    <w:tbl>
      <w:tblPr>
        <w:tblW w:w="7233" w:type="dxa"/>
        <w:jc w:val="left"/>
        <w:tblInd w:w="1990" w:type="dxa"/>
        <w:tblCellMar>
          <w:top w:w="0" w:type="dxa"/>
          <w:left w:w="5" w:type="dxa"/>
          <w:bottom w:w="0" w:type="dxa"/>
          <w:right w:w="5" w:type="dxa"/>
        </w:tblCellMar>
        <w:tblLook w:val="01e0" w:noHBand="0" w:noVBand="0" w:firstColumn="1" w:lastRow="1" w:lastColumn="1" w:firstRow="1"/>
      </w:tblPr>
      <w:tblGrid>
        <w:gridCol w:w="4394"/>
        <w:gridCol w:w="1418"/>
        <w:gridCol w:w="1421"/>
      </w:tblGrid>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行業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2008</w:t>
            </w:r>
            <w:r>
              <w:rPr>
                <w:kern w:val="2"/>
              </w:rPr>
              <w:t>年</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2009</w:t>
            </w:r>
            <w:r>
              <w:rPr>
                <w:kern w:val="2"/>
              </w:rPr>
              <w:t>年</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社區、社會及個人服務業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11 700</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11 322</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飲食業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8 572</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7 777</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批發、零售及進出口貿易業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4 435</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4 377</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金融、保險、地產及商用服務業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5 689</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5 271</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運輸、倉庫及通訊業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5 365</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4 355</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製造業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3 647</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3 163</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建造業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3 125</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2 860</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其他行業</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1 508</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1 171</w:t>
            </w:r>
          </w:p>
        </w:tc>
      </w:tr>
      <w:tr>
        <w:trPr/>
        <w:tc>
          <w:tcPr>
            <w:tcW w:w="439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總數</w:t>
            </w:r>
          </w:p>
        </w:tc>
        <w:tc>
          <w:tcPr>
            <w:tcW w:w="1418"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44 041</w:t>
            </w:r>
          </w:p>
        </w:tc>
        <w:tc>
          <w:tcPr>
            <w:tcW w:w="1421"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340" w:hanging="0"/>
              <w:jc w:val="right"/>
              <w:rPr>
                <w:i w:val="false"/>
                <w:i w:val="false"/>
                <w:kern w:val="2"/>
              </w:rPr>
            </w:pPr>
            <w:r>
              <w:rPr>
                <w:i w:val="false"/>
                <w:kern w:val="2"/>
              </w:rPr>
              <w:t>40 296</w:t>
            </w:r>
          </w:p>
        </w:tc>
      </w:tr>
    </w:tbl>
    <w:p>
      <w:pPr>
        <w:pStyle w:val="Style14"/>
        <w:rPr>
          <w:i w:val="false"/>
          <w:i w:val="false"/>
        </w:rPr>
      </w:pPr>
      <w:r>
        <w:rPr>
          <w:i w:val="false"/>
        </w:rPr>
      </w:r>
    </w:p>
    <w:p>
      <w:pPr>
        <w:pStyle w:val="Style14"/>
        <w:ind w:left="1985" w:hanging="567"/>
        <w:rPr>
          <w:i w:val="false"/>
          <w:i w:val="false"/>
        </w:rPr>
      </w:pPr>
      <w:r>
        <w:rPr>
          <w:i w:val="false"/>
        </w:rPr>
        <w:tab/>
        <w:t>(</w:t>
      </w:r>
      <w:r>
        <w:rPr>
          <w:i w:val="false"/>
        </w:rPr>
        <w:t>續</w:t>
      </w:r>
      <w:r>
        <w:rPr>
          <w:i w:val="false"/>
        </w:rPr>
        <w:t>)</w:t>
      </w:r>
    </w:p>
    <w:p>
      <w:pPr>
        <w:pStyle w:val="Style14"/>
        <w:rPr>
          <w:i w:val="false"/>
          <w:i w:val="false"/>
        </w:rPr>
      </w:pPr>
      <w:r>
        <w:rPr>
          <w:i w:val="false"/>
        </w:rPr>
      </w:r>
    </w:p>
    <w:tbl>
      <w:tblPr>
        <w:tblW w:w="7233" w:type="dxa"/>
        <w:jc w:val="left"/>
        <w:tblInd w:w="1990" w:type="dxa"/>
        <w:tblCellMar>
          <w:top w:w="0" w:type="dxa"/>
          <w:left w:w="5" w:type="dxa"/>
          <w:bottom w:w="0" w:type="dxa"/>
          <w:right w:w="5" w:type="dxa"/>
        </w:tblCellMar>
        <w:tblLook w:val="01e0" w:noHBand="0" w:noVBand="0" w:firstColumn="1" w:lastRow="1" w:lastColumn="1" w:firstRow="1"/>
      </w:tblPr>
      <w:tblGrid>
        <w:gridCol w:w="3654"/>
        <w:gridCol w:w="1193"/>
        <w:gridCol w:w="1193"/>
        <w:gridCol w:w="1192"/>
      </w:tblGrid>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行業</w:t>
            </w:r>
            <w:r>
              <w:rPr>
                <w:kern w:val="2"/>
              </w:rPr>
              <w:t>*</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2010</w:t>
            </w:r>
            <w:r>
              <w:rPr>
                <w:kern w:val="2"/>
              </w:rPr>
              <w:t>年</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2011</w:t>
            </w:r>
            <w:r>
              <w:rPr>
                <w:kern w:val="2"/>
              </w:rPr>
              <w:t>年</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jc w:val="center"/>
              <w:rPr>
                <w:kern w:val="2"/>
              </w:rPr>
            </w:pPr>
            <w:r>
              <w:rPr>
                <w:kern w:val="2"/>
              </w:rPr>
              <w:t>2012</w:t>
            </w:r>
            <w:r>
              <w:rPr>
                <w:kern w:val="2"/>
              </w:rPr>
              <w:t>年</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公共行政、社會及個人服務業</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8 877</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8 275</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8 314</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餐飲服務業</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8 298</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7 782</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6 924</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金融及保險、地產、專業及商用服務業</w:t>
            </w:r>
          </w:p>
        </w:tc>
        <w:tc>
          <w:tcPr>
            <w:tcW w:w="119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6 920</w:t>
            </w:r>
          </w:p>
        </w:tc>
        <w:tc>
          <w:tcPr>
            <w:tcW w:w="119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6 838</w:t>
            </w:r>
          </w:p>
        </w:tc>
        <w:tc>
          <w:tcPr>
            <w:tcW w:w="119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7 251</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進出口貿易、批發及零售業、住宿服務業</w:t>
            </w:r>
          </w:p>
        </w:tc>
        <w:tc>
          <w:tcPr>
            <w:tcW w:w="119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6 062</w:t>
            </w:r>
          </w:p>
        </w:tc>
        <w:tc>
          <w:tcPr>
            <w:tcW w:w="119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5 829</w:t>
            </w:r>
          </w:p>
        </w:tc>
        <w:tc>
          <w:tcPr>
            <w:tcW w:w="119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5 849</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運輸、倉庫、郵政及速遞服務業、資訊及通訊業</w:t>
            </w:r>
          </w:p>
        </w:tc>
        <w:tc>
          <w:tcPr>
            <w:tcW w:w="119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5 574</w:t>
            </w:r>
          </w:p>
        </w:tc>
        <w:tc>
          <w:tcPr>
            <w:tcW w:w="119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5 454</w:t>
            </w:r>
          </w:p>
        </w:tc>
        <w:tc>
          <w:tcPr>
            <w:tcW w:w="119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5 133</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建造業</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2 963</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3 164</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3 295</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製造業</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2 907</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2 736</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2 746</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其他</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1 025</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974</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985</w:t>
            </w:r>
          </w:p>
        </w:tc>
      </w:tr>
      <w:tr>
        <w:trPr/>
        <w:tc>
          <w:tcPr>
            <w:tcW w:w="3654"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總數</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42 626</w:t>
            </w:r>
          </w:p>
        </w:tc>
        <w:tc>
          <w:tcPr>
            <w:tcW w:w="1193"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41 052</w:t>
            </w:r>
          </w:p>
        </w:tc>
        <w:tc>
          <w:tcPr>
            <w:tcW w:w="1192"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170" w:hanging="0"/>
              <w:jc w:val="right"/>
              <w:rPr>
                <w:i w:val="false"/>
                <w:i w:val="false"/>
                <w:kern w:val="2"/>
              </w:rPr>
            </w:pPr>
            <w:r>
              <w:rPr>
                <w:i w:val="false"/>
                <w:kern w:val="2"/>
              </w:rPr>
              <w:t>40 497</w:t>
            </w:r>
          </w:p>
        </w:tc>
      </w:tr>
    </w:tbl>
    <w:p>
      <w:pPr>
        <w:pStyle w:val="Style14"/>
        <w:spacing w:lineRule="auto" w:line="240"/>
        <w:rPr>
          <w:i w:val="false"/>
          <w:i w:val="false"/>
          <w:sz w:val="20"/>
          <w:szCs w:val="20"/>
        </w:rPr>
      </w:pPr>
      <w:r>
        <w:rPr>
          <w:i w:val="false"/>
          <w:sz w:val="20"/>
          <w:szCs w:val="20"/>
        </w:rPr>
      </w:r>
    </w:p>
    <w:p>
      <w:pPr>
        <w:pStyle w:val="Style14"/>
        <w:spacing w:lineRule="auto" w:line="240"/>
        <w:ind w:left="1985" w:hanging="1418"/>
        <w:rPr>
          <w:i w:val="false"/>
          <w:i w:val="false"/>
          <w:sz w:val="20"/>
          <w:szCs w:val="20"/>
        </w:rPr>
      </w:pPr>
      <w:r>
        <w:rPr>
          <w:i w:val="false"/>
          <w:sz w:val="20"/>
          <w:szCs w:val="20"/>
        </w:rPr>
        <w:tab/>
      </w:r>
      <w:r>
        <w:rPr>
          <w:i w:val="false"/>
          <w:sz w:val="20"/>
          <w:szCs w:val="20"/>
        </w:rPr>
        <w:t>註：</w:t>
      </w:r>
    </w:p>
    <w:p>
      <w:pPr>
        <w:pStyle w:val="Style14"/>
        <w:spacing w:lineRule="auto" w:line="240"/>
        <w:rPr>
          <w:i w:val="false"/>
          <w:i w:val="false"/>
          <w:sz w:val="20"/>
          <w:szCs w:val="20"/>
        </w:rPr>
      </w:pPr>
      <w:r>
        <w:rPr>
          <w:i w:val="false"/>
          <w:sz w:val="20"/>
          <w:szCs w:val="20"/>
        </w:rPr>
      </w:r>
    </w:p>
    <w:p>
      <w:pPr>
        <w:pStyle w:val="Style14"/>
        <w:spacing w:lineRule="auto" w:line="240"/>
        <w:ind w:left="2552" w:hanging="567"/>
        <w:rPr>
          <w:i w:val="false"/>
          <w:i w:val="false"/>
          <w:sz w:val="20"/>
          <w:szCs w:val="20"/>
        </w:rPr>
      </w:pPr>
      <w:r>
        <w:rPr>
          <w:i w:val="false"/>
          <w:sz w:val="20"/>
          <w:szCs w:val="20"/>
        </w:rPr>
        <w:t>*</w:t>
        <w:tab/>
      </w:r>
      <w:r>
        <w:rPr>
          <w:i w:val="false"/>
          <w:sz w:val="20"/>
          <w:szCs w:val="20"/>
        </w:rPr>
        <w:t>自</w:t>
      </w:r>
      <w:r>
        <w:rPr>
          <w:i w:val="false"/>
          <w:sz w:val="20"/>
          <w:szCs w:val="20"/>
        </w:rPr>
        <w:t>2010</w:t>
      </w:r>
      <w:r>
        <w:rPr>
          <w:i w:val="false"/>
          <w:sz w:val="20"/>
          <w:szCs w:val="20"/>
        </w:rPr>
        <w:t>年起採用政府統計處新出版的行業分類</w:t>
      </w:r>
      <w:r>
        <w:rPr>
          <w:i w:val="false"/>
          <w:sz w:val="20"/>
          <w:szCs w:val="20"/>
        </w:rPr>
        <w:t>(</w:t>
      </w:r>
      <w:r>
        <w:rPr>
          <w:i w:val="false"/>
          <w:sz w:val="20"/>
          <w:szCs w:val="20"/>
        </w:rPr>
        <w:t>香港標準行業分類</w:t>
      </w:r>
      <w:r>
        <w:rPr>
          <w:i w:val="false"/>
          <w:sz w:val="20"/>
          <w:szCs w:val="20"/>
        </w:rPr>
        <w:t>2.0</w:t>
      </w:r>
      <w:r>
        <w:rPr>
          <w:i w:val="false"/>
          <w:sz w:val="20"/>
          <w:szCs w:val="20"/>
        </w:rPr>
        <w:t>版</w:t>
      </w:r>
      <w:r>
        <w:rPr>
          <w:i w:val="false"/>
          <w:sz w:val="20"/>
          <w:szCs w:val="20"/>
        </w:rPr>
        <w:t>)</w:t>
      </w:r>
      <w:r>
        <w:rPr>
          <w:i w:val="false"/>
          <w:sz w:val="20"/>
          <w:szCs w:val="20"/>
        </w:rPr>
        <w:t>。</w:t>
      </w:r>
    </w:p>
    <w:p>
      <w:pPr>
        <w:pStyle w:val="Style14"/>
        <w:spacing w:lineRule="atLeast" w:line="380"/>
        <w:rPr>
          <w:i w:val="false"/>
          <w:i w:val="false"/>
        </w:rPr>
      </w:pPr>
      <w:r>
        <w:rPr>
          <w:i w:val="false"/>
        </w:rPr>
      </w:r>
    </w:p>
    <w:p>
      <w:pPr>
        <w:pStyle w:val="Style14"/>
        <w:spacing w:lineRule="atLeast" w:line="380"/>
        <w:ind w:left="1985" w:hanging="567"/>
        <w:rPr>
          <w:i w:val="false"/>
          <w:i w:val="false"/>
        </w:rPr>
      </w:pPr>
      <w:r>
        <w:rPr>
          <w:i w:val="false"/>
          <w:spacing w:val="10"/>
        </w:rPr>
        <w:t>(iii)</w:t>
      </w:r>
      <w:r>
        <w:rPr>
          <w:i w:val="false"/>
        </w:rPr>
        <w:tab/>
      </w:r>
      <w:r>
        <w:rPr>
          <w:i w:val="false"/>
        </w:rPr>
        <w:t>勞工處並沒有備存按工種劃分的僱員補償個案的分項數字。</w:t>
      </w:r>
    </w:p>
    <w:p>
      <w:pPr>
        <w:pStyle w:val="Style14"/>
        <w:spacing w:lineRule="atLeast" w:line="380"/>
        <w:rPr>
          <w:i w:val="false"/>
          <w:i w:val="false"/>
        </w:rPr>
      </w:pPr>
      <w:r>
        <w:rPr>
          <w:i w:val="false"/>
        </w:rPr>
      </w:r>
    </w:p>
    <w:p>
      <w:pPr>
        <w:pStyle w:val="Style14"/>
        <w:ind w:left="1985" w:hanging="567"/>
        <w:rPr>
          <w:i w:val="false"/>
          <w:i w:val="false"/>
        </w:rPr>
      </w:pPr>
      <w:r>
        <w:rPr>
          <w:i w:val="false"/>
        </w:rPr>
        <w:t>(iv)</w:t>
        <w:tab/>
      </w:r>
      <w:r>
        <w:rPr>
          <w:i w:val="false"/>
        </w:rPr>
        <w:t>過去</w:t>
      </w:r>
      <w:r>
        <w:rPr>
          <w:i w:val="false"/>
        </w:rPr>
        <w:t>5</w:t>
      </w:r>
      <w:r>
        <w:rPr>
          <w:i w:val="false"/>
        </w:rPr>
        <w:t>年，按損失工作天數劃分，每年涉及僱員不能工作的時間超過</w:t>
      </w:r>
      <w:r>
        <w:rPr>
          <w:i w:val="false"/>
        </w:rPr>
        <w:t>3</w:t>
      </w:r>
      <w:r>
        <w:rPr>
          <w:i w:val="false"/>
        </w:rPr>
        <w:t>天而又獲解決的僱員補償個案分項數字如下：</w:t>
      </w:r>
    </w:p>
    <w:p>
      <w:pPr>
        <w:pStyle w:val="Style14"/>
        <w:spacing w:lineRule="atLeast" w:line="380"/>
        <w:rPr>
          <w:i w:val="false"/>
          <w:i w:val="false"/>
        </w:rPr>
      </w:pPr>
      <w:r>
        <w:rPr>
          <w:i w:val="false"/>
        </w:rPr>
      </w:r>
    </w:p>
    <w:tbl>
      <w:tblPr>
        <w:tblW w:w="7230" w:type="dxa"/>
        <w:jc w:val="left"/>
        <w:tblInd w:w="1990" w:type="dxa"/>
        <w:tblCellMar>
          <w:top w:w="0" w:type="dxa"/>
          <w:left w:w="5" w:type="dxa"/>
          <w:bottom w:w="0" w:type="dxa"/>
          <w:right w:w="5" w:type="dxa"/>
        </w:tblCellMar>
        <w:tblLook w:val="01e0" w:noHBand="0" w:noVBand="0" w:firstColumn="1" w:lastRow="1" w:lastColumn="1" w:firstRow="1"/>
      </w:tblPr>
      <w:tblGrid>
        <w:gridCol w:w="1417"/>
        <w:gridCol w:w="1161"/>
        <w:gridCol w:w="1162"/>
        <w:gridCol w:w="1164"/>
        <w:gridCol w:w="1162"/>
        <w:gridCol w:w="1163"/>
      </w:tblGrid>
      <w:tr>
        <w:trPr/>
        <w:tc>
          <w:tcPr>
            <w:tcW w:w="1417"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kern w:val="2"/>
              </w:rPr>
            </w:pPr>
            <w:r>
              <w:rPr>
                <w:kern w:val="2"/>
              </w:rPr>
              <w:t>損失工作天數</w:t>
            </w:r>
            <w:r>
              <w:rPr>
                <w:kern w:val="2"/>
                <w:vertAlign w:val="superscript"/>
              </w:rPr>
              <w:t>+</w:t>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kern w:val="2"/>
              </w:rPr>
            </w:pPr>
            <w:r>
              <w:rPr>
                <w:kern w:val="2"/>
              </w:rPr>
              <w:t>2008</w:t>
            </w:r>
            <w:r>
              <w:rPr>
                <w:kern w:val="2"/>
              </w:rPr>
              <w:t>年</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kern w:val="2"/>
              </w:rPr>
            </w:pPr>
            <w:r>
              <w:rPr>
                <w:kern w:val="2"/>
              </w:rPr>
              <w:t>2009</w:t>
            </w:r>
            <w:r>
              <w:rPr>
                <w:kern w:val="2"/>
              </w:rPr>
              <w:t>年</w:t>
            </w:r>
          </w:p>
        </w:tc>
        <w:tc>
          <w:tcPr>
            <w:tcW w:w="1164"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kern w:val="2"/>
              </w:rPr>
            </w:pPr>
            <w:r>
              <w:rPr>
                <w:kern w:val="2"/>
              </w:rPr>
              <w:t>2010</w:t>
            </w:r>
            <w:r>
              <w:rPr>
                <w:kern w:val="2"/>
              </w:rPr>
              <w:t>年</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kern w:val="2"/>
              </w:rPr>
            </w:pPr>
            <w:r>
              <w:rPr>
                <w:kern w:val="2"/>
              </w:rPr>
              <w:t>2011</w:t>
            </w:r>
            <w:r>
              <w:rPr>
                <w:kern w:val="2"/>
              </w:rPr>
              <w:t>年</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57" w:hanging="0"/>
              <w:jc w:val="center"/>
              <w:rPr>
                <w:kern w:val="2"/>
              </w:rPr>
            </w:pPr>
            <w:r>
              <w:rPr>
                <w:kern w:val="2"/>
              </w:rPr>
              <w:t>2012</w:t>
            </w:r>
            <w:r>
              <w:rPr>
                <w:kern w:val="2"/>
              </w:rPr>
              <w:t>年</w:t>
            </w:r>
          </w:p>
        </w:tc>
      </w:tr>
      <w:tr>
        <w:trPr/>
        <w:tc>
          <w:tcPr>
            <w:tcW w:w="1417"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&lt;180</w:t>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36 602</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34 876</w:t>
            </w:r>
          </w:p>
        </w:tc>
        <w:tc>
          <w:tcPr>
            <w:tcW w:w="1164"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34 306</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34 201</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33 764</w:t>
            </w:r>
          </w:p>
        </w:tc>
      </w:tr>
      <w:tr>
        <w:trPr/>
        <w:tc>
          <w:tcPr>
            <w:tcW w:w="1417"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180-&lt;360</w:t>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1 608</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1 691</w:t>
            </w:r>
          </w:p>
        </w:tc>
        <w:tc>
          <w:tcPr>
            <w:tcW w:w="1164"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1 661</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1 794</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1 957</w:t>
            </w:r>
          </w:p>
        </w:tc>
      </w:tr>
      <w:tr>
        <w:trPr/>
        <w:tc>
          <w:tcPr>
            <w:tcW w:w="1417"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360-&lt;540</w:t>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587</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606</w:t>
            </w:r>
          </w:p>
        </w:tc>
        <w:tc>
          <w:tcPr>
            <w:tcW w:w="1164"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598</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646</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852</w:t>
            </w:r>
          </w:p>
        </w:tc>
      </w:tr>
      <w:tr>
        <w:trPr/>
        <w:tc>
          <w:tcPr>
            <w:tcW w:w="1417"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540</w:t>
            </w:r>
            <w:r>
              <w:rPr>
                <w:i w:val="false"/>
                <w:kern w:val="2"/>
              </w:rPr>
              <w:t>或以上</w:t>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548</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589</w:t>
            </w:r>
          </w:p>
        </w:tc>
        <w:tc>
          <w:tcPr>
            <w:tcW w:w="1164"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466</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558</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726</w:t>
            </w:r>
          </w:p>
        </w:tc>
      </w:tr>
      <w:tr>
        <w:trPr/>
        <w:tc>
          <w:tcPr>
            <w:tcW w:w="1417" w:type="dxa"/>
            <w:tcBorders>
              <w:top w:val="single" w:sz="4" w:space="0" w:color="000000"/>
              <w:left w:val="single" w:sz="4" w:space="0" w:color="000000"/>
              <w:bottom w:val="single" w:sz="4" w:space="0" w:color="000000"/>
              <w:right w:val="single" w:sz="4" w:space="0" w:color="000000"/>
            </w:tcBorders>
          </w:tcPr>
          <w:p>
            <w:pPr>
              <w:pStyle w:val="Style14"/>
              <w:tabs>
                <w:tab w:val="left" w:pos="480" w:leader="none"/>
                <w:tab w:val="left" w:pos="567" w:leader="none"/>
              </w:tabs>
              <w:ind w:left="57" w:right="57" w:hanging="0"/>
              <w:rPr>
                <w:i w:val="false"/>
                <w:i w:val="false"/>
                <w:kern w:val="2"/>
              </w:rPr>
            </w:pPr>
            <w:r>
              <w:rPr>
                <w:i w:val="false"/>
                <w:kern w:val="2"/>
              </w:rPr>
              <w:t>總數</w:t>
            </w:r>
          </w:p>
        </w:tc>
        <w:tc>
          <w:tcPr>
            <w:tcW w:w="1161"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39 345</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37 762</w:t>
            </w:r>
          </w:p>
        </w:tc>
        <w:tc>
          <w:tcPr>
            <w:tcW w:w="1164"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37 031</w:t>
            </w:r>
          </w:p>
        </w:tc>
        <w:tc>
          <w:tcPr>
            <w:tcW w:w="1162"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37 199</w:t>
            </w:r>
          </w:p>
        </w:tc>
        <w:tc>
          <w:tcPr>
            <w:tcW w:w="1163" w:type="dxa"/>
            <w:tcBorders>
              <w:top w:val="single" w:sz="4" w:space="0" w:color="000000"/>
              <w:left w:val="single" w:sz="4" w:space="0" w:color="000000"/>
              <w:bottom w:val="single" w:sz="4" w:space="0" w:color="000000"/>
              <w:right w:val="single" w:sz="4" w:space="0" w:color="000000"/>
            </w:tcBorders>
            <w:vAlign w:val="center"/>
          </w:tcPr>
          <w:p>
            <w:pPr>
              <w:pStyle w:val="Style14"/>
              <w:tabs>
                <w:tab w:val="left" w:pos="480" w:leader="none"/>
                <w:tab w:val="left" w:pos="567" w:leader="none"/>
              </w:tabs>
              <w:ind w:left="57" w:right="170" w:hanging="0"/>
              <w:jc w:val="right"/>
              <w:rPr>
                <w:i w:val="false"/>
                <w:i w:val="false"/>
                <w:kern w:val="2"/>
              </w:rPr>
            </w:pPr>
            <w:r>
              <w:rPr>
                <w:i w:val="false"/>
                <w:kern w:val="2"/>
              </w:rPr>
              <w:t>37 299</w:t>
            </w:r>
          </w:p>
        </w:tc>
      </w:tr>
    </w:tbl>
    <w:p>
      <w:pPr>
        <w:pStyle w:val="Style14"/>
        <w:spacing w:lineRule="auto" w:line="240"/>
        <w:rPr>
          <w:i w:val="false"/>
          <w:i w:val="false"/>
          <w:sz w:val="20"/>
          <w:szCs w:val="20"/>
        </w:rPr>
      </w:pPr>
      <w:r>
        <w:rPr>
          <w:i w:val="false"/>
          <w:sz w:val="20"/>
          <w:szCs w:val="20"/>
        </w:rPr>
      </w:r>
    </w:p>
    <w:p>
      <w:pPr>
        <w:pStyle w:val="Style14"/>
        <w:spacing w:lineRule="auto" w:line="240"/>
        <w:ind w:left="2552" w:hanging="567"/>
        <w:rPr>
          <w:i w:val="false"/>
          <w:i w:val="false"/>
          <w:sz w:val="20"/>
          <w:szCs w:val="20"/>
        </w:rPr>
      </w:pPr>
      <w:r>
        <w:rPr>
          <w:i w:val="false"/>
          <w:sz w:val="20"/>
          <w:szCs w:val="20"/>
        </w:rPr>
        <w:t>註：</w:t>
      </w:r>
    </w:p>
    <w:p>
      <w:pPr>
        <w:pStyle w:val="Style14"/>
        <w:spacing w:lineRule="auto" w:line="240"/>
        <w:ind w:left="2552" w:hanging="567"/>
        <w:rPr>
          <w:i w:val="false"/>
          <w:i w:val="false"/>
          <w:sz w:val="20"/>
          <w:szCs w:val="20"/>
        </w:rPr>
      </w:pPr>
      <w:r>
        <w:rPr>
          <w:i w:val="false"/>
          <w:sz w:val="20"/>
          <w:szCs w:val="20"/>
        </w:rPr>
      </w:r>
    </w:p>
    <w:p>
      <w:pPr>
        <w:pStyle w:val="Style14"/>
        <w:spacing w:lineRule="auto" w:line="240"/>
        <w:ind w:left="2552" w:hanging="567"/>
        <w:rPr>
          <w:i w:val="false"/>
          <w:i w:val="false"/>
          <w:sz w:val="20"/>
          <w:szCs w:val="20"/>
        </w:rPr>
      </w:pPr>
      <w:r>
        <w:rPr>
          <w:i w:val="false"/>
          <w:sz w:val="20"/>
          <w:szCs w:val="20"/>
        </w:rPr>
        <w:t>+</w:t>
      </w:r>
      <w:r>
        <w:rPr>
          <w:i w:val="false"/>
          <w:sz w:val="20"/>
          <w:szCs w:val="20"/>
          <w:vertAlign w:val="superscript"/>
        </w:rPr>
        <w:tab/>
      </w:r>
      <w:r>
        <w:rPr>
          <w:i w:val="false"/>
          <w:sz w:val="20"/>
          <w:szCs w:val="20"/>
        </w:rPr>
        <w:t>損失工作天數包括給予及放取的病假日數及評估委員會根據《條例》證明僱員必須缺勤的期間。</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勞工處並沒有備存受傷僱員懷疑被拖欠按期付款的僱員補償個案的分項數字。</w:t>
      </w:r>
    </w:p>
    <w:p>
      <w:pPr>
        <w:pStyle w:val="Style14"/>
        <w:rPr>
          <w:i w:val="false"/>
          <w:i w:val="false"/>
        </w:rPr>
      </w:pPr>
      <w:r>
        <w:rPr>
          <w:i w:val="false"/>
        </w:rPr>
      </w:r>
    </w:p>
    <w:p>
      <w:pPr>
        <w:pStyle w:val="Style14"/>
        <w:rPr>
          <w:i w:val="false"/>
          <w:i w:val="false"/>
        </w:rPr>
      </w:pPr>
      <w:r>
        <w:rPr>
          <w:i w:val="false"/>
        </w:rPr>
        <w:t>(</w:t>
      </w:r>
      <w:r>
        <w:rPr>
          <w:i w:val="false"/>
        </w:rPr>
        <w:t>三</w:t>
      </w:r>
      <w:r>
        <w:rPr>
          <w:i w:val="false"/>
        </w:rPr>
        <w:t>)</w:t>
      </w:r>
      <w:r>
        <w:rPr>
          <w:i w:val="false"/>
        </w:rPr>
        <w:t>及</w:t>
      </w:r>
      <w:r>
        <w:rPr>
          <w:i w:val="false"/>
        </w:rPr>
        <w:t>(</w:t>
      </w:r>
      <w:r>
        <w:rPr>
          <w:i w:val="false"/>
        </w:rPr>
        <w:t>四</w:t>
      </w:r>
      <w:r>
        <w:rPr>
          <w:i w:val="false"/>
        </w:rPr>
        <w:t>)</w:t>
      </w:r>
    </w:p>
    <w:p>
      <w:pPr>
        <w:pStyle w:val="Style14"/>
        <w:rPr>
          <w:i w:val="false"/>
          <w:i w:val="false"/>
        </w:rPr>
      </w:pPr>
      <w:r>
        <w:rPr>
          <w:i w:val="false"/>
        </w:rPr>
      </w:r>
    </w:p>
    <w:p>
      <w:pPr>
        <w:pStyle w:val="Style14"/>
        <w:rPr>
          <w:i w:val="false"/>
          <w:i w:val="false"/>
        </w:rPr>
      </w:pPr>
      <w:r>
        <w:rPr>
          <w:i w:val="false"/>
        </w:rPr>
        <w:tab/>
      </w:r>
      <w:r>
        <w:rPr>
          <w:i w:val="false"/>
        </w:rPr>
        <w:t>勞工處一向高度重視保障受傷僱員根據《條例》可獲得工傷補償的權益，並一直嚴厲執法，不會姑息違例僱主。</w:t>
      </w:r>
    </w:p>
    <w:p>
      <w:pPr>
        <w:pStyle w:val="Style14"/>
        <w:rPr>
          <w:i w:val="false"/>
          <w:i w:val="false"/>
        </w:rPr>
      </w:pPr>
      <w:r>
        <w:rPr>
          <w:i w:val="false"/>
        </w:rPr>
      </w:r>
    </w:p>
    <w:p>
      <w:pPr>
        <w:pStyle w:val="Style14"/>
        <w:rPr>
          <w:i w:val="false"/>
          <w:i w:val="false"/>
        </w:rPr>
      </w:pPr>
      <w:r>
        <w:rPr>
          <w:i w:val="false"/>
        </w:rPr>
        <w:tab/>
      </w:r>
      <w:r>
        <w:rPr>
          <w:i w:val="false"/>
        </w:rPr>
        <w:t>《條例》第</w:t>
      </w:r>
      <w:r>
        <w:rPr>
          <w:i w:val="false"/>
        </w:rPr>
        <w:t>10</w:t>
      </w:r>
      <w:r>
        <w:rPr>
          <w:i w:val="false"/>
        </w:rPr>
        <w:t>條規定，在僱員暫時喪失工作能力期間，僱主應於僱員須獲付工資的相同日期支付按期付款，僱主如無合理辯解而逾期</w:t>
      </w:r>
      <w:r>
        <w:rPr>
          <w:i w:val="false"/>
        </w:rPr>
        <w:t>7</w:t>
      </w:r>
      <w:r>
        <w:rPr>
          <w:i w:val="false"/>
        </w:rPr>
        <w:t>天仍未支付有關款項，即屬違例，最高可被判罰</w:t>
      </w:r>
      <w:r>
        <w:rPr>
          <w:i w:val="false"/>
        </w:rPr>
        <w:t>10</w:t>
      </w:r>
      <w:r>
        <w:rPr>
          <w:i w:val="false"/>
        </w:rPr>
        <w:t>萬元。</w:t>
      </w:r>
    </w:p>
    <w:p>
      <w:pPr>
        <w:pStyle w:val="Style14"/>
        <w:rPr>
          <w:i w:val="false"/>
          <w:i w:val="false"/>
        </w:rPr>
      </w:pPr>
      <w:r>
        <w:rPr>
          <w:i w:val="false"/>
        </w:rPr>
      </w:r>
    </w:p>
    <w:p>
      <w:pPr>
        <w:pStyle w:val="Style14"/>
        <w:spacing w:lineRule="atLeast" w:line="380"/>
        <w:rPr>
          <w:i w:val="false"/>
          <w:i w:val="false"/>
        </w:rPr>
      </w:pPr>
      <w:r>
        <w:rPr>
          <w:i w:val="false"/>
        </w:rPr>
        <w:tab/>
      </w:r>
      <w:r>
        <w:rPr>
          <w:i w:val="false"/>
        </w:rPr>
        <w:t>為加快調查有關僱主欠付按期付款的求助個案，勞工處已簡化調查程序，加強執法行動。僱員補償科在接獲求助個案後，會向受傷僱員解釋《條例》有關支付按期付款的規定，並會直接致電聯絡僱主，闡明法例的規定；同時要求僱主就不按時支付按期付款提供解釋，以及要求僱主即時清付有關款項。根據該科日常處理個案的經驗，大部分求助個案的僱員在勞工處協助下，都能在短時間內獲得其應得的工傷補償。若僱主因財政困難而未能支付按期付款，僱員補償科會去信要求保險承保人直接處理有關個案及向受傷僱員支付補償。</w:t>
      </w:r>
      <w:r>
        <w:br w:type="page"/>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勞工處如懷疑僱主拖欠按期付款，並有足夠證據顯示僱主違例及有關僱員願意出任控方證人，勞工處會向違例僱主提出檢控。</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如僱傭雙方對僱員補償個案有爭議而未能透過勞工處協助解決，勞工處會按受傷僱員的需要和意願，轉介僱員往法律援助署申請法律援助，以尋求法院的裁決。</w:t>
      </w:r>
    </w:p>
    <w:p>
      <w:pPr>
        <w:pStyle w:val="Style14"/>
        <w:spacing w:lineRule="atLeast" w:line="380"/>
        <w:rPr>
          <w:i w:val="false"/>
          <w:i w:val="false"/>
        </w:rPr>
      </w:pPr>
      <w:r>
        <w:rPr>
          <w:i w:val="false"/>
        </w:rPr>
      </w:r>
    </w:p>
    <w:p>
      <w:pPr>
        <w:pStyle w:val="Style14"/>
        <w:spacing w:lineRule="atLeast" w:line="380"/>
        <w:rPr>
          <w:i w:val="false"/>
          <w:i w:val="false"/>
          <w:szCs w:val="27"/>
        </w:rPr>
      </w:pPr>
      <w:r>
        <w:rPr>
          <w:i w:val="false"/>
        </w:rPr>
        <w:tab/>
      </w:r>
      <w:r>
        <w:rPr>
          <w:i w:val="false"/>
        </w:rPr>
        <w:t>勞工處不時檢討上述措施的實施情況，以協助受傷僱員盡快獲得應有的工傷補償。</w:t>
      </w:r>
    </w:p>
    <w:p>
      <w:pPr>
        <w:pStyle w:val="F21"/>
        <w:spacing w:lineRule="atLeast" w:line="380"/>
        <w:rPr/>
      </w:pPr>
      <w:r>
        <w:rPr/>
      </w:r>
    </w:p>
    <w:p>
      <w:pPr>
        <w:pStyle w:val="F21"/>
        <w:spacing w:lineRule="atLeast" w:line="380"/>
        <w:rPr/>
      </w:pPr>
      <w:r>
        <w:rPr/>
      </w:r>
    </w:p>
    <w:p>
      <w:pPr>
        <w:pStyle w:val="F21"/>
        <w:spacing w:lineRule="atLeast" w:line="380"/>
        <w:rPr>
          <w:rFonts w:eastAsia="華康中黑體" w:cs="Times New Roman"/>
          <w:b/>
          <w:b/>
        </w:rPr>
      </w:pPr>
      <w:bookmarkStart w:id="41" w:name="wrq14"/>
      <w:r>
        <w:rPr>
          <w:rFonts w:cs="Times New Roman" w:eastAsia="華康中黑體"/>
          <w:b/>
        </w:rPr>
        <w:t>駐港內地官員參與及評論香港事務</w:t>
      </w:r>
    </w:p>
    <w:p>
      <w:pPr>
        <w:pStyle w:val="Normal"/>
        <w:spacing w:lineRule="atLeast" w:line="380"/>
        <w:rPr>
          <w:b/>
          <w:b/>
        </w:rPr>
      </w:pPr>
      <w:bookmarkStart w:id="42" w:name="wrq14"/>
      <w:r>
        <w:rPr>
          <w:b/>
        </w:rPr>
        <w:t>Participation in and Remarks on Hong Kong Affairs by Mainland Officials Stationed in Hong Kong</w:t>
      </w:r>
      <w:bookmarkEnd w:id="42"/>
    </w:p>
    <w:p>
      <w:pPr>
        <w:pStyle w:val="F21"/>
        <w:spacing w:lineRule="atLeast" w:line="380"/>
        <w:rPr/>
      </w:pPr>
      <w:r>
        <w:rPr/>
      </w:r>
    </w:p>
    <w:p>
      <w:pPr>
        <w:pStyle w:val="F21"/>
        <w:spacing w:lineRule="atLeast" w:line="380"/>
        <w:rPr>
          <w:i/>
          <w:i/>
        </w:rPr>
      </w:pPr>
      <w:r>
        <w:rPr>
          <w:rFonts w:eastAsia="華康中黑體"/>
          <w:b/>
        </w:rPr>
        <w:t>14.</w:t>
      </w:r>
      <w:r>
        <w:rPr/>
        <w:tab/>
      </w:r>
      <w:r>
        <w:rPr>
          <w:rFonts w:eastAsia="華康中黑體"/>
          <w:b/>
        </w:rPr>
        <w:t>陳志全議員</w:t>
      </w:r>
      <w:r>
        <w:rPr/>
        <w:t>：</w:t>
      </w:r>
      <w:r>
        <w:rPr>
          <w:i/>
        </w:rPr>
        <w:t>主席，本年</w:t>
      </w:r>
      <w:r>
        <w:rPr>
          <w:i/>
        </w:rPr>
        <w:t>10</w:t>
      </w:r>
      <w:r>
        <w:rPr>
          <w:i/>
        </w:rPr>
        <w:t>月，中央人民政府駐香港特別行政區聯絡辦公室</w:t>
      </w:r>
      <w:r>
        <w:rPr>
          <w:i/>
        </w:rPr>
        <w:t>(“</w:t>
      </w:r>
      <w:r>
        <w:rPr>
          <w:i/>
        </w:rPr>
        <w:t>中聯辦”</w:t>
      </w:r>
      <w:r>
        <w:rPr>
          <w:i/>
        </w:rPr>
        <w:t>)</w:t>
      </w:r>
      <w:r>
        <w:rPr>
          <w:i/>
        </w:rPr>
        <w:t>宣傳文體部部長在一份本地報章撰文，指香港特別行政區</w:t>
      </w:r>
      <w:r>
        <w:rPr>
          <w:i/>
        </w:rPr>
        <w:t>(“</w:t>
      </w:r>
      <w:r>
        <w:rPr>
          <w:i/>
        </w:rPr>
        <w:t>香港特區”</w:t>
      </w:r>
      <w:r>
        <w:rPr>
          <w:i/>
        </w:rPr>
        <w:t>)</w:t>
      </w:r>
      <w:r>
        <w:rPr>
          <w:i/>
        </w:rPr>
        <w:t>實行的政治制度是行政主導，而不是行政、立法和司法互相制衡的三權分立，而且根據《基本法》，行政長官直轄於中央人民政府並向其負責。上月初，另一份本地報章刊登一篇評論文章，指中聯辦在香港特區政府審批本地免費電視節目服務牌照申請一事上袖手旁觀才是失職，香港特區要習慣接受中聯辦“出手捍衞行政主導體制”。就此，政府可否告知本會：</w:t>
      </w:r>
    </w:p>
    <w:p>
      <w:pPr>
        <w:pStyle w:val="F21"/>
        <w:spacing w:lineRule="atLeast" w:line="380"/>
        <w:rPr>
          <w:i/>
          <w:i/>
        </w:rPr>
      </w:pPr>
      <w:r>
        <w:rPr>
          <w:i/>
        </w:rPr>
      </w:r>
    </w:p>
    <w:p>
      <w:pPr>
        <w:pStyle w:val="F21"/>
        <w:spacing w:lineRule="atLeast" w:line="380"/>
        <w:ind w:left="1417" w:hanging="850"/>
        <w:rPr>
          <w:i/>
          <w:i/>
        </w:rPr>
      </w:pPr>
      <w:r>
        <w:rPr>
          <w:i/>
        </w:rPr>
        <w:t>(</w:t>
      </w:r>
      <w:r>
        <w:rPr>
          <w:i/>
        </w:rPr>
        <w:t>一</w:t>
      </w:r>
      <w:r>
        <w:rPr>
          <w:i/>
        </w:rPr>
        <w:t>)</w:t>
        <w:tab/>
      </w:r>
      <w:r>
        <w:rPr>
          <w:i/>
        </w:rPr>
        <w:t>有否研究，在“一國兩制”的原則下，香港特區的立法機關和各級法院與行政機關的憲制關係為何，以及立法機關和法院有哪些制衡行政機關決策的權力；</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二</w:t>
      </w:r>
      <w:r>
        <w:rPr>
          <w:i/>
        </w:rPr>
        <w:t>)</w:t>
        <w:tab/>
      </w:r>
      <w:r>
        <w:rPr>
          <w:i/>
        </w:rPr>
        <w:t>有否研究中聯辦有沒有權力參與或干涉香港特區行政和立法機關的決策；若研究結果為有，詳情為何；及</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三</w:t>
      </w:r>
      <w:r>
        <w:rPr>
          <w:i/>
        </w:rPr>
        <w:t>)</w:t>
        <w:tab/>
      </w:r>
      <w:r>
        <w:rPr>
          <w:i/>
        </w:rPr>
        <w:t>會否公開申明，在“一國兩制”的原則下，香港特區行政和立法機關就特區根據《基本法》第二十二條“自行管理的事務”所作決策，不受中央人民政府駐港機構影響？</w:t>
      </w:r>
    </w:p>
    <w:p>
      <w:pPr>
        <w:pStyle w:val="F21"/>
        <w:spacing w:lineRule="atLeast" w:line="380"/>
        <w:rPr>
          <w:i/>
          <w:i/>
        </w:rPr>
      </w:pPr>
      <w:r>
        <w:rPr>
          <w:i/>
        </w:rPr>
      </w:r>
    </w:p>
    <w:p>
      <w:pPr>
        <w:pStyle w:val="F21"/>
        <w:spacing w:lineRule="atLeast" w:line="380"/>
        <w:rPr>
          <w:i/>
          <w:i/>
        </w:rPr>
      </w:pPr>
      <w:r>
        <w:rPr>
          <w:i/>
        </w:rPr>
      </w:r>
    </w:p>
    <w:p>
      <w:pPr>
        <w:pStyle w:val="F21"/>
        <w:spacing w:lineRule="atLeast" w:line="380"/>
        <w:rPr/>
      </w:pPr>
      <w:r>
        <w:rPr>
          <w:rFonts w:eastAsia="華康中黑體"/>
          <w:b/>
        </w:rPr>
        <w:t>政制及內地事務局局長</w:t>
      </w:r>
      <w:r>
        <w:rPr/>
        <w:t>：主席，</w:t>
      </w:r>
    </w:p>
    <w:p>
      <w:pPr>
        <w:pStyle w:val="F21"/>
        <w:spacing w:lineRule="atLeast" w:line="380"/>
        <w:rPr/>
      </w:pPr>
      <w:r>
        <w:rPr/>
      </w:r>
    </w:p>
    <w:p>
      <w:pPr>
        <w:pStyle w:val="Style14"/>
        <w:spacing w:lineRule="atLeast" w:line="380"/>
        <w:rPr>
          <w:i w:val="false"/>
          <w:i w:val="false"/>
        </w:rPr>
      </w:pPr>
      <w:r>
        <w:rPr>
          <w:i w:val="false"/>
        </w:rPr>
        <w:t>(</w:t>
      </w:r>
      <w:r>
        <w:rPr>
          <w:i w:val="false"/>
        </w:rPr>
        <w:t>一</w:t>
      </w:r>
      <w:r>
        <w:rPr>
          <w:i w:val="false"/>
        </w:rPr>
        <w:t>)</w:t>
        <w:tab/>
      </w:r>
      <w:r>
        <w:rPr>
          <w:i w:val="false"/>
        </w:rPr>
        <w:t>《基本法》第二條清楚訂明，全國人民代表大會授權香港特區依照《基本法》的規定享有行政管理權、立法權、獨立的司法權和終審權。</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基本法起草委員會主任委員姬鵬飛先生在</w:t>
      </w:r>
      <w:r>
        <w:rPr>
          <w:i w:val="false"/>
        </w:rPr>
        <w:t>1990</w:t>
      </w:r>
      <w:r>
        <w:rPr>
          <w:i w:val="false"/>
        </w:rPr>
        <w:t>年</w:t>
      </w:r>
      <w:r>
        <w:rPr>
          <w:i w:val="false"/>
        </w:rPr>
        <w:t>3</w:t>
      </w:r>
      <w:r>
        <w:rPr>
          <w:i w:val="false"/>
        </w:rPr>
        <w:t>月</w:t>
      </w:r>
      <w:r>
        <w:rPr>
          <w:i w:val="false"/>
        </w:rPr>
        <w:t>28</w:t>
      </w:r>
      <w:r>
        <w:rPr>
          <w:i w:val="false"/>
        </w:rPr>
        <w:t>日於第七屆全國人民代表大會第三次會議上，</w:t>
      </w:r>
      <w:r>
        <w:rPr>
          <w:i w:val="false"/>
          <w:szCs w:val="27"/>
        </w:rPr>
        <w:t>“</w:t>
      </w:r>
      <w:r>
        <w:rPr>
          <w:i w:val="false"/>
        </w:rPr>
        <w:t>關於《中華人民共和國香港特別行政區基本法</w:t>
      </w:r>
      <w:r>
        <w:rPr>
          <w:i w:val="false"/>
        </w:rPr>
        <w:t>(</w:t>
      </w:r>
      <w:r>
        <w:rPr>
          <w:i w:val="false"/>
        </w:rPr>
        <w:t>草案</w:t>
      </w:r>
      <w:r>
        <w:rPr>
          <w:i w:val="false"/>
        </w:rPr>
        <w:t>)</w:t>
      </w:r>
      <w:r>
        <w:rPr>
          <w:i w:val="false"/>
        </w:rPr>
        <w:t>》及其有關文件的說明</w:t>
      </w:r>
      <w:r>
        <w:rPr>
          <w:i w:val="false"/>
          <w:szCs w:val="27"/>
        </w:rPr>
        <w:t>”</w:t>
      </w:r>
      <w:r>
        <w:rPr>
          <w:i w:val="false"/>
        </w:rPr>
        <w:t>(</w:t>
      </w:r>
      <w:r>
        <w:rPr>
          <w:i w:val="false"/>
          <w:szCs w:val="27"/>
        </w:rPr>
        <w:t>“</w:t>
      </w:r>
      <w:r>
        <w:rPr>
          <w:i w:val="false"/>
          <w:szCs w:val="27"/>
        </w:rPr>
        <w:t>《</w:t>
      </w:r>
      <w:r>
        <w:rPr>
          <w:i w:val="false"/>
        </w:rPr>
        <w:t>說明》</w:t>
      </w:r>
      <w:r>
        <w:rPr>
          <w:i w:val="false"/>
          <w:szCs w:val="27"/>
        </w:rPr>
        <w:t>”</w:t>
      </w:r>
      <w:r>
        <w:rPr>
          <w:i w:val="false"/>
        </w:rPr>
        <w:t>)</w:t>
      </w:r>
      <w:r>
        <w:rPr>
          <w:i w:val="false"/>
        </w:rPr>
        <w:t>中，提到</w:t>
      </w:r>
      <w:r>
        <w:rPr>
          <w:i w:val="false"/>
          <w:szCs w:val="27"/>
        </w:rPr>
        <w:t>“</w:t>
      </w:r>
      <w:r>
        <w:rPr>
          <w:i w:val="false"/>
        </w:rPr>
        <w:t>香港特別行政區的政治體制，要符合‘一國兩制’的原則，要從香港的法律地位和實際情況出發，以保障香港的穩定繁榮為目的。為此，必須兼顧社會各階層的利益，有利於資本主義經濟的發展；既保持原政治體制中行之有效的部分，又要循序漸進地逐步發展適合香港情況的民主制度</w:t>
      </w:r>
      <w:r>
        <w:rPr>
          <w:i w:val="false"/>
          <w:szCs w:val="27"/>
        </w:rPr>
        <w:t>”</w:t>
      </w:r>
      <w:r>
        <w:rPr>
          <w:i w:val="false"/>
        </w:rPr>
        <w:t>。《說明》就行政機關和立法機關的關係亦提到</w:t>
      </w:r>
      <w:r>
        <w:rPr>
          <w:i w:val="false"/>
          <w:szCs w:val="27"/>
        </w:rPr>
        <w:t>“</w:t>
      </w:r>
      <w:r>
        <w:rPr>
          <w:i w:val="false"/>
        </w:rPr>
        <w:t>行政機關和立法機關之間的關係應該是既互相制衡又互相配合﹔為了保持香港的穩定和行政效率，行政長官應有實權，但同時也要受到制約。</w:t>
      </w:r>
      <w:r>
        <w:rPr>
          <w:i w:val="false"/>
          <w:szCs w:val="27"/>
        </w:rPr>
        <w:t>”</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香港特區的政治體制，基本上是以行政長官為首的行政主導制度。根據《基本法》第四十三條，行政長官是香港特區的首長。根據《基本法》第六十條，行政長官同時是香港特區政府的首長。根據《基本法》，行政長官領導香港特區政府；負責執行《基本法》和依照《基本法》適用於香港特區的其他法律；簽署立法會通過的法案，公布法律；決定政府政策；依照法定程序任免各級法院法官；批准向立法會提出有關財政收入或支出的動議等。</w:t>
      </w:r>
    </w:p>
    <w:p>
      <w:pPr>
        <w:pStyle w:val="Style14"/>
        <w:spacing w:lineRule="atLeast" w:line="380"/>
        <w:rPr>
          <w:i w:val="false"/>
          <w:i w:val="false"/>
        </w:rPr>
      </w:pPr>
      <w:r>
        <w:rPr>
          <w:i w:val="false"/>
        </w:rPr>
      </w:r>
    </w:p>
    <w:p>
      <w:pPr>
        <w:pStyle w:val="Style14"/>
        <w:spacing w:lineRule="atLeast" w:line="380"/>
        <w:rPr>
          <w:i w:val="false"/>
          <w:i w:val="false"/>
        </w:rPr>
      </w:pPr>
      <w:r>
        <w:rPr>
          <w:i w:val="false"/>
        </w:rPr>
        <w:tab/>
      </w:r>
      <w:r>
        <w:rPr>
          <w:i w:val="false"/>
        </w:rPr>
        <w:t>《基本法》第四章第二節、第三節和第四節，分別列明了行政機關、立法機關和司法機關的職權和相關規定。</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中聯辦是中央政府授權的工作機構，按照其所獲的授權履行職責，當中包括：聯繫外交部駐香港特別行政區特派員公署和中國人民解放軍駐香港部隊；促進香港與內地之間的各方面的交流與合作；聯繫香港社會各界人士，增進內地與香港之間的交往；以及反映香港居民對內地的意見等。</w:t>
      </w:r>
    </w:p>
    <w:p>
      <w:pPr>
        <w:pStyle w:val="Style14"/>
        <w:rPr>
          <w:i w:val="false"/>
          <w:i w:val="false"/>
        </w:rPr>
      </w:pPr>
      <w:r>
        <w:rPr>
          <w:i w:val="false"/>
        </w:rPr>
      </w:r>
    </w:p>
    <w:p>
      <w:pPr>
        <w:pStyle w:val="Style14"/>
        <w:rPr>
          <w:i w:val="false"/>
          <w:i w:val="false"/>
        </w:rPr>
      </w:pPr>
      <w:r>
        <w:rPr>
          <w:i w:val="false"/>
        </w:rPr>
        <w:t>(</w:t>
      </w:r>
      <w:r>
        <w:rPr>
          <w:i w:val="false"/>
        </w:rPr>
        <w:t>三</w:t>
      </w:r>
      <w:r>
        <w:rPr>
          <w:i w:val="false"/>
        </w:rPr>
        <w:t>)</w:t>
        <w:tab/>
      </w:r>
      <w:r>
        <w:rPr>
          <w:i w:val="false"/>
        </w:rPr>
        <w:t>回歸以來，中央政府駐港機構和香港特區政府，均須嚴格按照“一國兩制</w:t>
      </w:r>
      <w:r>
        <w:rPr>
          <w:i w:val="false"/>
          <w:szCs w:val="27"/>
        </w:rPr>
        <w:t>”</w:t>
      </w:r>
      <w:r>
        <w:rPr>
          <w:i w:val="false"/>
        </w:rPr>
        <w:t>、</w:t>
      </w:r>
      <w:r>
        <w:rPr>
          <w:i w:val="false"/>
          <w:szCs w:val="27"/>
        </w:rPr>
        <w:t>“</w:t>
      </w:r>
      <w:r>
        <w:rPr>
          <w:i w:val="false"/>
        </w:rPr>
        <w:t>港人治港</w:t>
      </w:r>
      <w:r>
        <w:rPr>
          <w:i w:val="false"/>
          <w:szCs w:val="27"/>
        </w:rPr>
        <w:t>”</w:t>
      </w:r>
      <w:r>
        <w:rPr>
          <w:i w:val="false"/>
        </w:rPr>
        <w:t>、“高度自治”的基本方針政策和《基本法》的規定，以及各自的職務範圍依法辦事。</w:t>
      </w:r>
    </w:p>
    <w:p>
      <w:pPr>
        <w:pStyle w:val="F21"/>
        <w:rPr/>
      </w:pPr>
      <w:r>
        <w:rPr/>
      </w:r>
    </w:p>
    <w:p>
      <w:pPr>
        <w:pStyle w:val="F21"/>
        <w:rPr/>
      </w:pPr>
      <w:r>
        <w:rPr/>
      </w:r>
    </w:p>
    <w:p>
      <w:pPr>
        <w:pStyle w:val="F21"/>
        <w:rPr>
          <w:rFonts w:eastAsia="華康中黑體" w:cs="Times New Roman"/>
          <w:b/>
          <w:b/>
        </w:rPr>
      </w:pPr>
      <w:bookmarkStart w:id="43" w:name="wrq15"/>
      <w:r>
        <w:rPr>
          <w:rFonts w:cs="Times New Roman" w:eastAsia="華康中黑體"/>
          <w:b/>
        </w:rPr>
        <w:t>規管在專營巴士上播放的節目</w:t>
      </w:r>
    </w:p>
    <w:p>
      <w:pPr>
        <w:pStyle w:val="Normal"/>
        <w:rPr>
          <w:b/>
          <w:b/>
        </w:rPr>
      </w:pPr>
      <w:bookmarkStart w:id="44" w:name="wrq15"/>
      <w:r>
        <w:rPr>
          <w:b/>
        </w:rPr>
        <w:t>Regulation of Programmes Shown on Franchised Buses</w:t>
      </w:r>
      <w:bookmarkEnd w:id="44"/>
    </w:p>
    <w:p>
      <w:pPr>
        <w:pStyle w:val="F21"/>
        <w:rPr/>
      </w:pPr>
      <w:r>
        <w:rPr/>
      </w:r>
    </w:p>
    <w:p>
      <w:pPr>
        <w:pStyle w:val="F21"/>
        <w:rPr>
          <w:i/>
          <w:i/>
        </w:rPr>
      </w:pPr>
      <w:r>
        <w:rPr>
          <w:rFonts w:eastAsia="華康中黑體"/>
          <w:b/>
        </w:rPr>
        <w:t>15.</w:t>
      </w:r>
      <w:r>
        <w:rPr/>
        <w:tab/>
      </w:r>
      <w:r>
        <w:rPr>
          <w:rFonts w:eastAsia="華康中黑體"/>
          <w:b/>
        </w:rPr>
        <w:t>毛孟靜議員</w:t>
      </w:r>
      <w:r>
        <w:rPr/>
        <w:t>：</w:t>
      </w:r>
      <w:r>
        <w:rPr>
          <w:i/>
        </w:rPr>
        <w:t>主席，本人收到不少市民就路訊通控股有限公司</w:t>
      </w:r>
      <w:r>
        <w:rPr>
          <w:i/>
        </w:rPr>
        <w:t>(“</w:t>
      </w:r>
      <w:r>
        <w:rPr>
          <w:i/>
        </w:rPr>
        <w:t>路訊通”</w:t>
      </w:r>
      <w:r>
        <w:rPr>
          <w:i/>
        </w:rPr>
        <w:t>)</w:t>
      </w:r>
      <w:r>
        <w:rPr>
          <w:i/>
        </w:rPr>
        <w:t>在九龍巴士</w:t>
      </w:r>
      <w:r>
        <w:rPr>
          <w:i/>
        </w:rPr>
        <w:t>(</w:t>
      </w:r>
      <w:r>
        <w:rPr>
          <w:i/>
        </w:rPr>
        <w:t>一九三三</w:t>
      </w:r>
      <w:r>
        <w:rPr>
          <w:i/>
        </w:rPr>
        <w:t>)</w:t>
      </w:r>
      <w:r>
        <w:rPr>
          <w:i/>
        </w:rPr>
        <w:t>有限公司</w:t>
      </w:r>
      <w:r>
        <w:rPr>
          <w:i/>
        </w:rPr>
        <w:t>(“</w:t>
      </w:r>
      <w:r>
        <w:rPr>
          <w:i/>
        </w:rPr>
        <w:t>九巴”</w:t>
      </w:r>
      <w:r>
        <w:rPr>
          <w:i/>
        </w:rPr>
        <w:t>)</w:t>
      </w:r>
      <w:r>
        <w:rPr>
          <w:i/>
        </w:rPr>
        <w:t>轄下的巴士上播放的視聽節目作出的投訴。投訴內容包括時事節目的立場偏頗，以及廣告播放時間過長等。他們認為，每日有高達</w:t>
      </w:r>
      <w:r>
        <w:rPr>
          <w:i/>
        </w:rPr>
        <w:t>260</w:t>
      </w:r>
      <w:r>
        <w:rPr>
          <w:i/>
        </w:rPr>
        <w:t>萬人次的九巴乘客在別無選擇的情況下接收到該等視聽節目的資訊，因此當局有必要加強規管該等節目的質素。就此，政府可否告知本會：</w:t>
      </w:r>
    </w:p>
    <w:p>
      <w:pPr>
        <w:pStyle w:val="F21"/>
        <w:rPr>
          <w:i/>
          <w:i/>
        </w:rPr>
      </w:pPr>
      <w:r>
        <w:rPr>
          <w:i/>
        </w:rPr>
      </w:r>
    </w:p>
    <w:p>
      <w:pPr>
        <w:pStyle w:val="F21"/>
        <w:ind w:left="1417" w:hanging="850"/>
        <w:rPr>
          <w:i/>
          <w:i/>
        </w:rPr>
      </w:pPr>
      <w:r>
        <w:rPr>
          <w:i/>
        </w:rPr>
        <w:t>(</w:t>
      </w:r>
      <w:r>
        <w:rPr>
          <w:i/>
        </w:rPr>
        <w:t>一</w:t>
      </w:r>
      <w:r>
        <w:rPr>
          <w:i/>
        </w:rPr>
        <w:t>)</w:t>
        <w:tab/>
      </w:r>
      <w:r>
        <w:rPr>
          <w:i/>
        </w:rPr>
        <w:t>運輸署與九巴簽訂有關在巴士上播放視聽節目的合約的詳情為何，包括在節目內容方面有何規定；運輸署如何監察路訊通播放的視聽節目是否符合合約規定；</w:t>
      </w:r>
    </w:p>
    <w:p>
      <w:pPr>
        <w:pStyle w:val="F21"/>
        <w:ind w:left="1417" w:hanging="850"/>
        <w:rPr>
          <w:i/>
          <w:i/>
        </w:rPr>
      </w:pPr>
      <w:r>
        <w:rPr>
          <w:i/>
        </w:rPr>
      </w:r>
    </w:p>
    <w:p>
      <w:pPr>
        <w:pStyle w:val="F21"/>
        <w:ind w:left="1417" w:hanging="850"/>
        <w:rPr>
          <w:i/>
          <w:i/>
        </w:rPr>
      </w:pPr>
      <w:r>
        <w:rPr>
          <w:i/>
        </w:rPr>
        <w:t>(</w:t>
      </w:r>
      <w:r>
        <w:rPr>
          <w:i/>
        </w:rPr>
        <w:t>二</w:t>
      </w:r>
      <w:r>
        <w:rPr>
          <w:i/>
        </w:rPr>
        <w:t>)</w:t>
        <w:tab/>
      </w:r>
      <w:r>
        <w:rPr>
          <w:i/>
        </w:rPr>
        <w:t>鑒於上述合約訂明每小時的播放時間中廣告所佔的百分比不得超逾</w:t>
      </w:r>
      <w:r>
        <w:rPr>
          <w:i/>
        </w:rPr>
        <w:t>20%</w:t>
      </w:r>
      <w:r>
        <w:rPr>
          <w:i/>
        </w:rPr>
        <w:t>，但申訴專員公署在本年發表的年報指出，運輸署由</w:t>
      </w:r>
      <w:r>
        <w:rPr>
          <w:i/>
        </w:rPr>
        <w:t>2011</w:t>
      </w:r>
      <w:r>
        <w:rPr>
          <w:i/>
        </w:rPr>
        <w:t>年</w:t>
      </w:r>
      <w:r>
        <w:rPr>
          <w:i/>
        </w:rPr>
        <w:t>6</w:t>
      </w:r>
      <w:r>
        <w:rPr>
          <w:i/>
        </w:rPr>
        <w:t>月起每季對路訊通播放廣告的時間進行抽查，</w:t>
      </w:r>
      <w:r>
        <w:rPr>
          <w:i/>
        </w:rPr>
        <w:t>2011</w:t>
      </w:r>
      <w:r>
        <w:rPr>
          <w:i/>
        </w:rPr>
        <w:t>年的抽查結果顯示當時絕大部分情況超出該百分比，而直至</w:t>
      </w:r>
      <w:r>
        <w:rPr>
          <w:i/>
        </w:rPr>
        <w:t>2012</w:t>
      </w:r>
      <w:r>
        <w:rPr>
          <w:i/>
        </w:rPr>
        <w:t>年</w:t>
      </w:r>
      <w:r>
        <w:rPr>
          <w:i/>
        </w:rPr>
        <w:t>4</w:t>
      </w:r>
      <w:r>
        <w:rPr>
          <w:i/>
        </w:rPr>
        <w:t>月，播放廣告的時間百分比才符合規定，運輸署由去年中至今，有否再進行抽查，以及有否接獲播放廣告時間過長的投訴；如有，詳情為何；如沒有再抽查，原因為何；及</w:t>
      </w:r>
    </w:p>
    <w:p>
      <w:pPr>
        <w:pStyle w:val="F21"/>
        <w:ind w:left="1417" w:hanging="850"/>
        <w:rPr>
          <w:i/>
          <w:i/>
        </w:rPr>
      </w:pPr>
      <w:r>
        <w:rPr>
          <w:i/>
        </w:rPr>
      </w:r>
    </w:p>
    <w:p>
      <w:pPr>
        <w:pStyle w:val="F21"/>
        <w:spacing w:lineRule="atLeast" w:line="370"/>
        <w:ind w:left="1417" w:hanging="850"/>
        <w:rPr>
          <w:i/>
          <w:i/>
        </w:rPr>
      </w:pPr>
      <w:r>
        <w:rPr>
          <w:i/>
        </w:rPr>
        <w:t>(</w:t>
      </w:r>
      <w:r>
        <w:rPr>
          <w:i/>
        </w:rPr>
        <w:t>三</w:t>
      </w:r>
      <w:r>
        <w:rPr>
          <w:i/>
        </w:rPr>
        <w:t>)</w:t>
        <w:tab/>
      </w:r>
      <w:r>
        <w:rPr>
          <w:i/>
        </w:rPr>
        <w:t>除《電影檢查條例》</w:t>
      </w:r>
      <w:r>
        <w:rPr>
          <w:i/>
        </w:rPr>
        <w:t>(</w:t>
      </w:r>
      <w:r>
        <w:rPr>
          <w:i/>
        </w:rPr>
        <w:t>第</w:t>
      </w:r>
      <w:r>
        <w:rPr>
          <w:i/>
        </w:rPr>
        <w:t>392</w:t>
      </w:r>
      <w:r>
        <w:rPr>
          <w:i/>
        </w:rPr>
        <w:t>章</w:t>
      </w:r>
      <w:r>
        <w:rPr>
          <w:i/>
        </w:rPr>
        <w:t>)</w:t>
      </w:r>
      <w:r>
        <w:rPr>
          <w:i/>
        </w:rPr>
        <w:t>、《淫褻及不雅物品管制條例》</w:t>
      </w:r>
      <w:r>
        <w:rPr>
          <w:i/>
        </w:rPr>
        <w:t>(</w:t>
      </w:r>
      <w:r>
        <w:rPr>
          <w:i/>
        </w:rPr>
        <w:t>第</w:t>
      </w:r>
      <w:r>
        <w:rPr>
          <w:i/>
        </w:rPr>
        <w:t>390</w:t>
      </w:r>
      <w:r>
        <w:rPr>
          <w:i/>
        </w:rPr>
        <w:t>章</w:t>
      </w:r>
      <w:r>
        <w:rPr>
          <w:i/>
        </w:rPr>
        <w:t>)</w:t>
      </w:r>
      <w:r>
        <w:rPr>
          <w:i/>
        </w:rPr>
        <w:t>及上述合約外，在專營巴士上播放的視聽節目的內容是否受任何其他條例、指引或守則規管；如有，詳情為何；如否，當局會否考慮參考通訊事務管理局根據《廣播條例》</w:t>
      </w:r>
      <w:r>
        <w:rPr>
          <w:i/>
        </w:rPr>
        <w:t>(</w:t>
      </w:r>
      <w:r>
        <w:rPr>
          <w:i/>
        </w:rPr>
        <w:t>第</w:t>
      </w:r>
      <w:r>
        <w:rPr>
          <w:i/>
        </w:rPr>
        <w:t>562</w:t>
      </w:r>
      <w:r>
        <w:rPr>
          <w:i/>
        </w:rPr>
        <w:t>章</w:t>
      </w:r>
      <w:r>
        <w:rPr>
          <w:i/>
        </w:rPr>
        <w:t>)</w:t>
      </w:r>
      <w:r>
        <w:rPr>
          <w:i/>
        </w:rPr>
        <w:t>就電視節目發出的《電視通用業務守則—節目標準》，引入一套適用於巴士上播放的視聽節目的業務守則，以確保在巴士上播放的時事及資訊節目的內容符合準確、公正及持平的原則；如會，詳情為何；如否，原因為何？</w:t>
      </w:r>
    </w:p>
    <w:p>
      <w:pPr>
        <w:pStyle w:val="F21"/>
        <w:spacing w:lineRule="atLeast" w:line="370"/>
        <w:rPr>
          <w:i/>
          <w:i/>
        </w:rPr>
      </w:pPr>
      <w:r>
        <w:rPr>
          <w:i/>
        </w:rPr>
      </w:r>
    </w:p>
    <w:p>
      <w:pPr>
        <w:pStyle w:val="F21"/>
        <w:spacing w:lineRule="atLeast" w:line="370"/>
        <w:rPr>
          <w:i/>
          <w:i/>
        </w:rPr>
      </w:pPr>
      <w:r>
        <w:rPr>
          <w:i/>
        </w:rPr>
      </w:r>
    </w:p>
    <w:p>
      <w:pPr>
        <w:pStyle w:val="F21"/>
        <w:spacing w:lineRule="atLeast" w:line="370"/>
        <w:rPr/>
      </w:pPr>
      <w:r>
        <w:rPr>
          <w:rFonts w:eastAsia="華康中黑體"/>
          <w:b/>
        </w:rPr>
        <w:t>運輸及房屋局局長</w:t>
      </w:r>
      <w:r>
        <w:rPr/>
        <w:t>：主席，政府一直設有機制監管專營巴士車廂內安裝視聽廣播系統。就毛孟靜議員提問的各部分，現答覆如下：</w:t>
      </w:r>
    </w:p>
    <w:p>
      <w:pPr>
        <w:pStyle w:val="F21"/>
        <w:spacing w:lineRule="atLeast" w:line="370"/>
        <w:rPr/>
      </w:pPr>
      <w:r>
        <w:rPr/>
      </w:r>
    </w:p>
    <w:p>
      <w:pPr>
        <w:pStyle w:val="Style14"/>
        <w:spacing w:lineRule="atLeast" w:line="370"/>
        <w:rPr>
          <w:i w:val="false"/>
          <w:i w:val="false"/>
        </w:rPr>
      </w:pPr>
      <w:r>
        <w:rPr>
          <w:i w:val="false"/>
        </w:rPr>
        <w:t>(</w:t>
      </w:r>
      <w:r>
        <w:rPr>
          <w:i w:val="false"/>
        </w:rPr>
        <w:t>一</w:t>
      </w:r>
      <w:r>
        <w:rPr>
          <w:i w:val="false"/>
        </w:rPr>
        <w:t>)</w:t>
      </w:r>
      <w:r>
        <w:rPr>
          <w:i w:val="false"/>
        </w:rPr>
        <w:t>及</w:t>
      </w:r>
      <w:r>
        <w:rPr>
          <w:i w:val="false"/>
        </w:rPr>
        <w:t>(</w:t>
      </w:r>
      <w:r>
        <w:rPr>
          <w:i w:val="false"/>
        </w:rPr>
        <w:t>三</w:t>
      </w:r>
      <w:r>
        <w:rPr>
          <w:i w:val="false"/>
        </w:rPr>
        <w:t>)</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專營巴士公司在巴士車廂內安裝視聽廣播系統須符合運輸署發出的一系列規定，當中包括視聽系統硬件的設計及安裝、音量安排、播放廣告、定期報告及乘客意見調查等。主要的規定如下</w:t>
      </w:r>
      <w:r>
        <w:rPr>
          <w:i w:val="false"/>
        </w:rPr>
        <w:t>:</w:t>
      </w:r>
    </w:p>
    <w:p>
      <w:pPr>
        <w:pStyle w:val="Style14"/>
        <w:spacing w:lineRule="atLeast" w:line="370"/>
        <w:rPr>
          <w:i w:val="false"/>
          <w:i w:val="false"/>
        </w:rPr>
      </w:pPr>
      <w:r>
        <w:rPr>
          <w:i w:val="false"/>
        </w:rPr>
      </w:r>
    </w:p>
    <w:p>
      <w:pPr>
        <w:pStyle w:val="Style14"/>
        <w:spacing w:lineRule="atLeast" w:line="370"/>
        <w:ind w:left="1985" w:hanging="567"/>
        <w:rPr>
          <w:i w:val="false"/>
          <w:i w:val="false"/>
        </w:rPr>
      </w:pPr>
      <w:r>
        <w:rPr>
          <w:i w:val="false"/>
        </w:rPr>
        <w:t>(i)</w:t>
        <w:tab/>
      </w:r>
      <w:r>
        <w:rPr>
          <w:i w:val="false"/>
        </w:rPr>
        <w:t>視聽系統硬件的設計及安裝：巴士公司須符合《道路交通</w:t>
      </w:r>
      <w:r>
        <w:rPr>
          <w:i w:val="false"/>
        </w:rPr>
        <w:t>(</w:t>
      </w:r>
      <w:r>
        <w:rPr>
          <w:i w:val="false"/>
        </w:rPr>
        <w:t>車輛構造及保養</w:t>
      </w:r>
      <w:r>
        <w:rPr>
          <w:i w:val="false"/>
        </w:rPr>
        <w:t>)</w:t>
      </w:r>
      <w:r>
        <w:rPr>
          <w:i w:val="false"/>
        </w:rPr>
        <w:t>規例》</w:t>
      </w:r>
      <w:r>
        <w:rPr>
          <w:i w:val="false"/>
        </w:rPr>
        <w:t>(</w:t>
      </w:r>
      <w:r>
        <w:rPr>
          <w:i w:val="false"/>
        </w:rPr>
        <w:t>香港法例第</w:t>
      </w:r>
      <w:r>
        <w:rPr>
          <w:i w:val="false"/>
        </w:rPr>
        <w:t>374A</w:t>
      </w:r>
      <w:r>
        <w:rPr>
          <w:i w:val="false"/>
        </w:rPr>
        <w:t>章</w:t>
      </w:r>
      <w:r>
        <w:rPr>
          <w:i w:val="false"/>
        </w:rPr>
        <w:t>)</w:t>
      </w:r>
      <w:r>
        <w:rPr>
          <w:i w:val="false"/>
        </w:rPr>
        <w:t>第</w:t>
      </w:r>
      <w:r>
        <w:rPr>
          <w:i w:val="false"/>
        </w:rPr>
        <w:t>37</w:t>
      </w:r>
      <w:r>
        <w:rPr>
          <w:i w:val="false"/>
        </w:rPr>
        <w:t>條關於視象顯示器的規定。此外，視聽廣播系統裝備的設計及安裝必須不影響巴士運作的安全，安裝視聽廣播系統裝備的位置亦不能妨礙乘客安全；</w:t>
      </w:r>
    </w:p>
    <w:p>
      <w:pPr>
        <w:pStyle w:val="Style14"/>
        <w:spacing w:lineRule="atLeast" w:line="370"/>
        <w:ind w:left="1985" w:hanging="567"/>
        <w:rPr>
          <w:i w:val="false"/>
          <w:i w:val="false"/>
        </w:rPr>
      </w:pPr>
      <w:r>
        <w:rPr>
          <w:i w:val="false"/>
        </w:rPr>
      </w:r>
    </w:p>
    <w:p>
      <w:pPr>
        <w:pStyle w:val="Style14"/>
        <w:spacing w:lineRule="atLeast" w:line="370"/>
        <w:ind w:left="1985" w:hanging="567"/>
        <w:rPr>
          <w:i w:val="false"/>
          <w:i w:val="false"/>
        </w:rPr>
      </w:pPr>
      <w:r>
        <w:rPr>
          <w:i w:val="false"/>
        </w:rPr>
        <w:t>(ii)</w:t>
        <w:tab/>
      </w:r>
      <w:r>
        <w:rPr>
          <w:i w:val="false"/>
        </w:rPr>
        <w:t>視聽廣播系統的音量安排：巴士公司須在巴士下層車尾部分劃設靜音區，巴士車廂內其餘地方的音量水平應與周遭環境的音量相若，差距不得超逾兩分貝。此外，視聽廣播系統的節目須使用壓縮器減低音調的變化。視聽廣播系統亦不能妨擾報站系統的運作；</w:t>
      </w:r>
    </w:p>
    <w:p>
      <w:pPr>
        <w:pStyle w:val="Style14"/>
        <w:spacing w:lineRule="atLeast" w:line="370"/>
        <w:ind w:left="1985" w:hanging="567"/>
        <w:rPr>
          <w:i w:val="false"/>
          <w:i w:val="false"/>
        </w:rPr>
      </w:pPr>
      <w:r>
        <w:rPr>
          <w:i w:val="false"/>
        </w:rPr>
      </w:r>
    </w:p>
    <w:p>
      <w:pPr>
        <w:pStyle w:val="Style14"/>
        <w:spacing w:lineRule="atLeast" w:line="370"/>
        <w:ind w:left="1985" w:hanging="567"/>
        <w:rPr>
          <w:i w:val="false"/>
          <w:i w:val="false"/>
        </w:rPr>
      </w:pPr>
      <w:r>
        <w:rPr>
          <w:i w:val="false"/>
          <w:spacing w:val="10"/>
        </w:rPr>
        <w:t>(iii)</w:t>
      </w:r>
      <w:r>
        <w:rPr>
          <w:i w:val="false"/>
        </w:rPr>
        <w:tab/>
      </w:r>
      <w:r>
        <w:rPr>
          <w:i w:val="false"/>
        </w:rPr>
        <w:t>播放廣告：視聽廣播系統播放的廣告所佔的比例，不能超逾每小時廣播時間的</w:t>
      </w:r>
      <w:r>
        <w:rPr>
          <w:i w:val="false"/>
        </w:rPr>
        <w:t>20%</w:t>
      </w:r>
      <w:r>
        <w:rPr>
          <w:i w:val="false"/>
        </w:rPr>
        <w:t>；及</w:t>
      </w:r>
    </w:p>
    <w:p>
      <w:pPr>
        <w:pStyle w:val="Style14"/>
        <w:spacing w:lineRule="atLeast" w:line="370"/>
        <w:ind w:left="1985" w:hanging="567"/>
        <w:rPr>
          <w:i w:val="false"/>
          <w:i w:val="false"/>
        </w:rPr>
      </w:pPr>
      <w:r>
        <w:rPr>
          <w:i w:val="false"/>
        </w:rPr>
      </w:r>
    </w:p>
    <w:p>
      <w:pPr>
        <w:pStyle w:val="Style14"/>
        <w:spacing w:lineRule="atLeast" w:line="370"/>
        <w:ind w:left="1985" w:hanging="567"/>
        <w:rPr>
          <w:i w:val="false"/>
          <w:i w:val="false"/>
        </w:rPr>
      </w:pPr>
      <w:r>
        <w:rPr>
          <w:i w:val="false"/>
        </w:rPr>
        <w:t>(iv)</w:t>
        <w:tab/>
      </w:r>
      <w:r>
        <w:rPr>
          <w:i w:val="false"/>
        </w:rPr>
        <w:t>定期報告及乘客意見調查：巴士公司須定期檢視視聽廣播系統的音量水平是否符合規定，並向運輸署提交報告。此外，巴士公司亦須定期收集乘客對巴士車廂內視聽廣播系統的意見，並按需要作出改善。</w:t>
      </w:r>
    </w:p>
    <w:p>
      <w:pPr>
        <w:pStyle w:val="Style14"/>
        <w:rPr>
          <w:i w:val="false"/>
          <w:i w:val="false"/>
        </w:rPr>
      </w:pPr>
      <w:r>
        <w:rPr>
          <w:i w:val="false"/>
        </w:rPr>
      </w:r>
    </w:p>
    <w:p>
      <w:pPr>
        <w:pStyle w:val="Style14"/>
        <w:rPr>
          <w:i w:val="false"/>
          <w:i w:val="false"/>
        </w:rPr>
      </w:pPr>
      <w:r>
        <w:rPr>
          <w:i w:val="false"/>
        </w:rPr>
        <w:tab/>
      </w:r>
      <w:r>
        <w:rPr>
          <w:i w:val="false"/>
        </w:rPr>
        <w:t>在日常監管方面，運輸署會透過巴士公司按規定定期提交的報告，以及從不同渠道收到的市民意見，監察巴士上視聽系統的整體運作情況。署方亦會不時進行實地調查，包括調查視聽廣播系統播放的廣告所佔的比例。如發現個別巴士上的視聽系統運作不合符要求，巴士公司須按指示作出改善。</w:t>
      </w:r>
    </w:p>
    <w:p>
      <w:pPr>
        <w:pStyle w:val="Style14"/>
        <w:rPr>
          <w:i w:val="false"/>
          <w:i w:val="false"/>
        </w:rPr>
      </w:pPr>
      <w:r>
        <w:rPr>
          <w:i w:val="false"/>
        </w:rPr>
      </w:r>
    </w:p>
    <w:p>
      <w:pPr>
        <w:pStyle w:val="Style14"/>
        <w:rPr>
          <w:i w:val="false"/>
          <w:i w:val="false"/>
        </w:rPr>
      </w:pPr>
      <w:r>
        <w:rPr>
          <w:i w:val="false"/>
        </w:rPr>
        <w:tab/>
      </w:r>
      <w:r>
        <w:rPr>
          <w:i w:val="false"/>
        </w:rPr>
        <w:t>就節目的內容而言，現時營辦商打算在巴士車廂內視聽廣播系統播放的節目，均須按《電影檢查條例》</w:t>
      </w:r>
      <w:r>
        <w:rPr>
          <w:i w:val="false"/>
        </w:rPr>
        <w:t>(</w:t>
      </w:r>
      <w:r>
        <w:rPr>
          <w:i w:val="false"/>
        </w:rPr>
        <w:t>香港法例第</w:t>
      </w:r>
      <w:r>
        <w:rPr>
          <w:i w:val="false"/>
        </w:rPr>
        <w:t>392</w:t>
      </w:r>
      <w:r>
        <w:rPr>
          <w:i w:val="false"/>
        </w:rPr>
        <w:t>章</w:t>
      </w:r>
      <w:r>
        <w:rPr>
          <w:i w:val="false"/>
        </w:rPr>
        <w:t>)</w:t>
      </w:r>
      <w:r>
        <w:rPr>
          <w:i w:val="false"/>
        </w:rPr>
        <w:t>要求於放映前送交電影、報刊及物品管理辦事處檢查，通過後才會播放。此外，在視聽廣播系統上播放的節目及廣告內容，亦受相關的法例監管</w:t>
      </w:r>
      <w:r>
        <w:rPr>
          <w:i w:val="false"/>
        </w:rPr>
        <w:t>(</w:t>
      </w:r>
      <w:r>
        <w:rPr>
          <w:i w:val="false"/>
        </w:rPr>
        <w:t>例如《商品說明條例》</w:t>
      </w:r>
      <w:r>
        <w:rPr>
          <w:i w:val="false"/>
        </w:rPr>
        <w:t>(</w:t>
      </w:r>
      <w:r>
        <w:rPr>
          <w:i w:val="false"/>
        </w:rPr>
        <w:t>香港法例第</w:t>
      </w:r>
      <w:r>
        <w:rPr>
          <w:i w:val="false"/>
        </w:rPr>
        <w:t>362</w:t>
      </w:r>
      <w:r>
        <w:rPr>
          <w:i w:val="false"/>
        </w:rPr>
        <w:t>章</w:t>
      </w:r>
      <w:r>
        <w:rPr>
          <w:i w:val="false"/>
        </w:rPr>
        <w:t>)</w:t>
      </w:r>
      <w:r>
        <w:rPr>
          <w:i w:val="false"/>
        </w:rPr>
        <w:t>及《不良廣告</w:t>
      </w:r>
      <w:r>
        <w:rPr>
          <w:i w:val="false"/>
        </w:rPr>
        <w:t>(</w:t>
      </w:r>
      <w:r>
        <w:rPr>
          <w:i w:val="false"/>
        </w:rPr>
        <w:t>醫藥</w:t>
      </w:r>
      <w:r>
        <w:rPr>
          <w:i w:val="false"/>
        </w:rPr>
        <w:t>)</w:t>
      </w:r>
      <w:r>
        <w:rPr>
          <w:i w:val="false"/>
        </w:rPr>
        <w:t>條例》</w:t>
      </w:r>
      <w:r>
        <w:rPr>
          <w:i w:val="false"/>
        </w:rPr>
        <w:t>(</w:t>
      </w:r>
      <w:r>
        <w:rPr>
          <w:i w:val="false"/>
        </w:rPr>
        <w:t>香港法例第</w:t>
      </w:r>
      <w:r>
        <w:rPr>
          <w:i w:val="false"/>
        </w:rPr>
        <w:t>231</w:t>
      </w:r>
      <w:r>
        <w:rPr>
          <w:i w:val="false"/>
        </w:rPr>
        <w:t>章</w:t>
      </w:r>
      <w:r>
        <w:rPr>
          <w:i w:val="false"/>
        </w:rPr>
        <w:t>))</w:t>
      </w:r>
      <w:r>
        <w:rPr>
          <w:i w:val="false"/>
        </w:rPr>
        <w:t>。</w:t>
      </w:r>
    </w:p>
    <w:p>
      <w:pPr>
        <w:pStyle w:val="Style14"/>
        <w:rPr>
          <w:i w:val="false"/>
          <w:i w:val="false"/>
        </w:rPr>
      </w:pPr>
      <w:r>
        <w:rPr>
          <w:i w:val="false"/>
        </w:rPr>
      </w:r>
    </w:p>
    <w:p>
      <w:pPr>
        <w:pStyle w:val="Style14"/>
        <w:rPr>
          <w:i w:val="false"/>
          <w:i w:val="false"/>
        </w:rPr>
      </w:pPr>
      <w:r>
        <w:rPr>
          <w:i w:val="false"/>
        </w:rPr>
        <w:tab/>
      </w:r>
      <w:r>
        <w:rPr>
          <w:i w:val="false"/>
        </w:rPr>
        <w:t>按《廣播條例》，雖然路訊通無需領有牌照，但公司亦一樣參考《電視通用業務守則—節目標準》製作節目。因此，無需另定業務守則。</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就申訴專員公署在早前提出關於九巴巴士車廂內視聽廣播系統的廣告比例超逾每小時廣播時間</w:t>
      </w:r>
      <w:r>
        <w:rPr>
          <w:i w:val="false"/>
        </w:rPr>
        <w:t>20%</w:t>
      </w:r>
      <w:r>
        <w:rPr>
          <w:i w:val="false"/>
        </w:rPr>
        <w:t>的情況，運輸署已敦促巴士公司作出改善。運輸署在</w:t>
      </w:r>
      <w:r>
        <w:rPr>
          <w:i w:val="false"/>
        </w:rPr>
        <w:t>2012</w:t>
      </w:r>
      <w:r>
        <w:rPr>
          <w:i w:val="false"/>
        </w:rPr>
        <w:t>年</w:t>
      </w:r>
      <w:r>
        <w:rPr>
          <w:i w:val="false"/>
        </w:rPr>
        <w:t>7</w:t>
      </w:r>
      <w:r>
        <w:rPr>
          <w:i w:val="false"/>
        </w:rPr>
        <w:t>月至</w:t>
      </w:r>
      <w:r>
        <w:rPr>
          <w:i w:val="false"/>
        </w:rPr>
        <w:t>2013</w:t>
      </w:r>
      <w:r>
        <w:rPr>
          <w:i w:val="false"/>
        </w:rPr>
        <w:t>年</w:t>
      </w:r>
      <w:r>
        <w:rPr>
          <w:i w:val="false"/>
        </w:rPr>
        <w:t>10</w:t>
      </w:r>
      <w:r>
        <w:rPr>
          <w:i w:val="false"/>
        </w:rPr>
        <w:t>月期間，進行了共</w:t>
      </w:r>
      <w:r>
        <w:rPr>
          <w:i w:val="false"/>
        </w:rPr>
        <w:t>10</w:t>
      </w:r>
      <w:r>
        <w:rPr>
          <w:i w:val="false"/>
        </w:rPr>
        <w:t>次調查，抽查了</w:t>
      </w:r>
      <w:r>
        <w:rPr>
          <w:i w:val="false"/>
        </w:rPr>
        <w:t>481</w:t>
      </w:r>
      <w:r>
        <w:rPr>
          <w:i w:val="false"/>
        </w:rPr>
        <w:t>輛巴士。當中，除了曾在</w:t>
      </w:r>
      <w:r>
        <w:rPr>
          <w:i w:val="false"/>
        </w:rPr>
        <w:t>2012</w:t>
      </w:r>
      <w:r>
        <w:rPr>
          <w:i w:val="false"/>
        </w:rPr>
        <w:t>年進行的其中兩次調查，有被抽查的巴士的視聽廣播系統播放廣告時間不符合運輸署的規定外，其餘調查均顯示巴士上的廣告播放比率全部符合規定，顯示巴士公司已作出改善。就關於廣告過多的投訴，運輸署在同期共接獲</w:t>
      </w:r>
      <w:r>
        <w:rPr>
          <w:i w:val="false"/>
        </w:rPr>
        <w:t>21</w:t>
      </w:r>
      <w:r>
        <w:rPr>
          <w:i w:val="false"/>
        </w:rPr>
        <w:t>宗投訴。</w:t>
      </w:r>
    </w:p>
    <w:p>
      <w:pPr>
        <w:pStyle w:val="Style14"/>
        <w:rPr>
          <w:i w:val="false"/>
          <w:i w:val="false"/>
        </w:rPr>
      </w:pPr>
      <w:r>
        <w:rPr>
          <w:i w:val="false"/>
        </w:rPr>
      </w:r>
    </w:p>
    <w:p>
      <w:pPr>
        <w:pStyle w:val="Style14"/>
        <w:rPr>
          <w:i w:val="false"/>
          <w:i w:val="false"/>
          <w:szCs w:val="27"/>
        </w:rPr>
      </w:pPr>
      <w:r>
        <w:rPr>
          <w:i w:val="false"/>
        </w:rPr>
        <w:tab/>
      </w:r>
      <w:r>
        <w:rPr>
          <w:i w:val="false"/>
        </w:rPr>
        <w:t>運輸署會繼續密切注意情況，定期就視聽廣播系統的運作進行調查，並會就調查結果作出合適的跟進。</w:t>
      </w:r>
    </w:p>
    <w:p>
      <w:pPr>
        <w:pStyle w:val="F21"/>
        <w:rPr/>
      </w:pPr>
      <w:r>
        <w:rPr/>
      </w:r>
    </w:p>
    <w:p>
      <w:pPr>
        <w:pStyle w:val="F21"/>
        <w:rPr/>
      </w:pPr>
      <w:r>
        <w:rPr/>
      </w:r>
    </w:p>
    <w:p>
      <w:pPr>
        <w:pStyle w:val="F21"/>
        <w:rPr>
          <w:rFonts w:eastAsia="華康中黑體" w:cs="Times New Roman"/>
          <w:b/>
          <w:b/>
        </w:rPr>
      </w:pPr>
      <w:bookmarkStart w:id="45" w:name="wrq16"/>
      <w:r>
        <w:rPr>
          <w:rFonts w:cs="Times New Roman" w:eastAsia="華康中黑體"/>
          <w:b/>
        </w:rPr>
        <w:t>發展神經科學專科卓越醫療中心</w:t>
      </w:r>
    </w:p>
    <w:p>
      <w:pPr>
        <w:pStyle w:val="Normal"/>
        <w:rPr>
          <w:b/>
          <w:b/>
        </w:rPr>
      </w:pPr>
      <w:bookmarkStart w:id="46" w:name="wrq16"/>
      <w:r>
        <w:rPr>
          <w:b/>
        </w:rPr>
        <w:t>Development of a Medical Centre of Excellence in Neuroscience</w:t>
      </w:r>
      <w:bookmarkEnd w:id="46"/>
    </w:p>
    <w:p>
      <w:pPr>
        <w:pStyle w:val="F21"/>
        <w:rPr/>
      </w:pPr>
      <w:r>
        <w:rPr/>
      </w:r>
    </w:p>
    <w:p>
      <w:pPr>
        <w:pStyle w:val="F21"/>
        <w:rPr>
          <w:i/>
          <w:i/>
        </w:rPr>
      </w:pPr>
      <w:r>
        <w:rPr>
          <w:rFonts w:eastAsia="華康中黑體"/>
          <w:b/>
        </w:rPr>
        <w:t>16.</w:t>
      </w:r>
      <w:r>
        <w:rPr/>
        <w:tab/>
      </w:r>
      <w:r>
        <w:rPr>
          <w:rFonts w:eastAsia="華康中黑體"/>
          <w:b/>
        </w:rPr>
        <w:t>鄧家彪議員</w:t>
      </w:r>
      <w:r>
        <w:rPr/>
        <w:t>：</w:t>
      </w:r>
      <w:r>
        <w:rPr>
          <w:i/>
        </w:rPr>
        <w:t>主席，政府在</w:t>
      </w:r>
      <w:r>
        <w:rPr>
          <w:i/>
        </w:rPr>
        <w:t>2007-2008</w:t>
      </w:r>
      <w:r>
        <w:rPr>
          <w:i/>
        </w:rPr>
        <w:t>年度施政報告的施政綱領中表示，會研究設立兒童專科及神經科學專科的多方合作卓越醫療中心，結合臨床服務、醫學研究及專業培訓，把專業知識、先進科技及複雜病例集於一處，以提升該兩個專科的水平。據悉，兒童專科卓越醫療中心已落實興建，並將於</w:t>
      </w:r>
      <w:r>
        <w:rPr>
          <w:i/>
        </w:rPr>
        <w:t>2017</w:t>
      </w:r>
      <w:r>
        <w:rPr>
          <w:i/>
        </w:rPr>
        <w:t>年落成，但神經科學專科卓越醫療中心</w:t>
      </w:r>
      <w:r>
        <w:rPr>
          <w:i/>
        </w:rPr>
        <w:t>(“</w:t>
      </w:r>
      <w:r>
        <w:rPr>
          <w:i/>
        </w:rPr>
        <w:t>神經科中心”</w:t>
      </w:r>
      <w:r>
        <w:rPr>
          <w:i/>
        </w:rPr>
        <w:t>)</w:t>
      </w:r>
      <w:r>
        <w:rPr>
          <w:i/>
        </w:rPr>
        <w:t>至今仍杳無音訊。就此，政府可否告知本會：</w:t>
      </w:r>
    </w:p>
    <w:p>
      <w:pPr>
        <w:pStyle w:val="F21"/>
        <w:rPr>
          <w:i/>
          <w:i/>
        </w:rPr>
      </w:pPr>
      <w:r>
        <w:rPr>
          <w:i/>
        </w:rPr>
      </w:r>
    </w:p>
    <w:p>
      <w:pPr>
        <w:pStyle w:val="F21"/>
        <w:ind w:left="1417" w:hanging="850"/>
        <w:rPr>
          <w:i/>
          <w:i/>
        </w:rPr>
      </w:pPr>
      <w:r>
        <w:rPr>
          <w:i/>
        </w:rPr>
        <w:t>(</w:t>
      </w:r>
      <w:r>
        <w:rPr>
          <w:i/>
        </w:rPr>
        <w:t>一</w:t>
      </w:r>
      <w:r>
        <w:rPr>
          <w:i/>
        </w:rPr>
        <w:t>)</w:t>
        <w:tab/>
      </w:r>
      <w:r>
        <w:rPr>
          <w:i/>
        </w:rPr>
        <w:t>神經科中心的最新計劃及興建時間表為何；</w:t>
      </w:r>
    </w:p>
    <w:p>
      <w:pPr>
        <w:pStyle w:val="F21"/>
        <w:ind w:left="1417" w:hanging="850"/>
        <w:rPr>
          <w:i/>
          <w:i/>
        </w:rPr>
      </w:pPr>
      <w:r>
        <w:rPr>
          <w:i/>
        </w:rPr>
      </w:r>
    </w:p>
    <w:p>
      <w:pPr>
        <w:pStyle w:val="F21"/>
        <w:ind w:left="1417" w:hanging="850"/>
        <w:rPr>
          <w:i/>
          <w:i/>
        </w:rPr>
      </w:pPr>
      <w:r>
        <w:rPr>
          <w:i/>
        </w:rPr>
        <w:t>(</w:t>
      </w:r>
      <w:r>
        <w:rPr>
          <w:i/>
        </w:rPr>
        <w:t>二</w:t>
      </w:r>
      <w:r>
        <w:rPr>
          <w:i/>
        </w:rPr>
        <w:t>)</w:t>
        <w:tab/>
      </w:r>
      <w:r>
        <w:rPr>
          <w:i/>
        </w:rPr>
        <w:t>鑒於政府已成立督導委員會，研究在本港設立神經科中心，該委員會的研究結論為何；政府有否接納委員會的建議；若有，詳情為何；若否，原因為何；</w:t>
      </w:r>
    </w:p>
    <w:p>
      <w:pPr>
        <w:pStyle w:val="F21"/>
        <w:ind w:left="1417" w:hanging="850"/>
        <w:rPr>
          <w:i/>
          <w:i/>
        </w:rPr>
      </w:pPr>
      <w:r>
        <w:rPr>
          <w:i/>
        </w:rPr>
      </w:r>
    </w:p>
    <w:p>
      <w:pPr>
        <w:pStyle w:val="F21"/>
        <w:ind w:left="1417" w:hanging="850"/>
        <w:rPr>
          <w:i/>
          <w:i/>
        </w:rPr>
      </w:pPr>
      <w:r>
        <w:rPr>
          <w:i/>
        </w:rPr>
        <w:t>(</w:t>
      </w:r>
      <w:r>
        <w:rPr>
          <w:i/>
        </w:rPr>
        <w:t>三</w:t>
      </w:r>
      <w:r>
        <w:rPr>
          <w:i/>
        </w:rPr>
        <w:t>)</w:t>
        <w:tab/>
      </w:r>
      <w:r>
        <w:rPr>
          <w:i/>
        </w:rPr>
        <w:t>現時有哪些醫療機構向腦神經疾病患者提供診治服務，以及在公立及私家醫院相關專科服務的醫生數目分別為何；過去</w:t>
      </w:r>
      <w:r>
        <w:rPr>
          <w:i/>
        </w:rPr>
        <w:t>10</w:t>
      </w:r>
      <w:r>
        <w:rPr>
          <w:i/>
        </w:rPr>
        <w:t>年，該類患者的數目和就診人次為何，以及他們的平均輪候時間為何；有否就該類患者未來的醫療服務需求作出評估；若有評估，詳情為何；若否，原因為何；</w:t>
      </w:r>
    </w:p>
    <w:p>
      <w:pPr>
        <w:pStyle w:val="F21"/>
        <w:ind w:left="1417" w:hanging="850"/>
        <w:rPr>
          <w:i/>
          <w:i/>
        </w:rPr>
      </w:pPr>
      <w:r>
        <w:rPr>
          <w:i/>
        </w:rPr>
      </w:r>
    </w:p>
    <w:p>
      <w:pPr>
        <w:pStyle w:val="F21"/>
        <w:ind w:left="1417" w:hanging="850"/>
        <w:rPr>
          <w:i/>
          <w:i/>
        </w:rPr>
      </w:pPr>
      <w:r>
        <w:rPr>
          <w:i/>
        </w:rPr>
        <w:t>(</w:t>
      </w:r>
      <w:r>
        <w:rPr>
          <w:i/>
        </w:rPr>
        <w:t>四</w:t>
      </w:r>
      <w:r>
        <w:rPr>
          <w:i/>
        </w:rPr>
        <w:t>)</w:t>
        <w:tab/>
      </w:r>
      <w:r>
        <w:rPr>
          <w:i/>
        </w:rPr>
        <w:t>是否知悉，過去</w:t>
      </w:r>
      <w:r>
        <w:rPr>
          <w:i/>
        </w:rPr>
        <w:t>10</w:t>
      </w:r>
      <w:r>
        <w:rPr>
          <w:i/>
        </w:rPr>
        <w:t>年，本港的醫療機構有否就腦神經疾病的治療方法、藥物處方及復康服務等方面進行研究；若有，研究成果為何；及</w:t>
      </w:r>
    </w:p>
    <w:p>
      <w:pPr>
        <w:pStyle w:val="F21"/>
        <w:ind w:left="1417" w:hanging="850"/>
        <w:rPr>
          <w:i/>
          <w:i/>
        </w:rPr>
      </w:pPr>
      <w:r>
        <w:rPr>
          <w:i/>
        </w:rPr>
      </w:r>
    </w:p>
    <w:p>
      <w:pPr>
        <w:pStyle w:val="F21"/>
        <w:ind w:left="1417" w:hanging="850"/>
        <w:rPr>
          <w:i/>
          <w:i/>
        </w:rPr>
      </w:pPr>
      <w:r>
        <w:rPr>
          <w:i/>
        </w:rPr>
        <w:t>(</w:t>
      </w:r>
      <w:r>
        <w:rPr>
          <w:i/>
        </w:rPr>
        <w:t>五</w:t>
      </w:r>
      <w:r>
        <w:rPr>
          <w:i/>
        </w:rPr>
        <w:t>)</w:t>
        <w:tab/>
      </w:r>
      <w:r>
        <w:rPr>
          <w:i/>
        </w:rPr>
        <w:t>鑒於神經科中心原先的選址在啟德發展區，但當局在本年年中表示正考慮在該處設立一所全科醫院，神經科中心的最新選址為何？</w:t>
      </w:r>
    </w:p>
    <w:p>
      <w:pPr>
        <w:pStyle w:val="F21"/>
        <w:rPr>
          <w:i/>
          <w:i/>
        </w:rPr>
      </w:pPr>
      <w:r>
        <w:rPr>
          <w:i/>
        </w:rPr>
      </w:r>
    </w:p>
    <w:p>
      <w:pPr>
        <w:pStyle w:val="F21"/>
        <w:rPr>
          <w:i/>
          <w:i/>
        </w:rPr>
      </w:pPr>
      <w:r>
        <w:rPr>
          <w:i/>
        </w:rPr>
      </w:r>
    </w:p>
    <w:p>
      <w:pPr>
        <w:pStyle w:val="F21"/>
        <w:rPr/>
      </w:pPr>
      <w:r>
        <w:rPr>
          <w:rFonts w:eastAsia="華康中黑體"/>
          <w:b/>
        </w:rPr>
        <w:t>食物及衞生局局長</w:t>
      </w:r>
      <w:r>
        <w:rPr/>
        <w:t>：主席，就鄧家彪議員的質詢，我答覆如下：</w:t>
      </w:r>
    </w:p>
    <w:p>
      <w:pPr>
        <w:pStyle w:val="F21"/>
        <w:rPr/>
      </w:pPr>
      <w:r>
        <w:rPr/>
      </w:r>
    </w:p>
    <w:p>
      <w:pPr>
        <w:pStyle w:val="Style14"/>
        <w:rPr>
          <w:i w:val="false"/>
          <w:i w:val="false"/>
        </w:rPr>
      </w:pPr>
      <w:r>
        <w:rPr>
          <w:i w:val="false"/>
        </w:rPr>
        <w:t>(</w:t>
      </w:r>
      <w:r>
        <w:rPr>
          <w:i w:val="false"/>
        </w:rPr>
        <w:t>一</w:t>
      </w:r>
      <w:r>
        <w:rPr>
          <w:i w:val="false"/>
        </w:rPr>
        <w:t>)</w:t>
      </w:r>
      <w:r>
        <w:rPr>
          <w:i w:val="false"/>
        </w:rPr>
        <w:t>、</w:t>
      </w:r>
      <w:r>
        <w:rPr>
          <w:i w:val="false"/>
        </w:rPr>
        <w:t>(</w:t>
      </w:r>
      <w:r>
        <w:rPr>
          <w:i w:val="false"/>
        </w:rPr>
        <w:t>二</w:t>
      </w:r>
      <w:r>
        <w:rPr>
          <w:i w:val="false"/>
        </w:rPr>
        <w:t>)</w:t>
      </w:r>
      <w:r>
        <w:rPr>
          <w:i w:val="false"/>
        </w:rPr>
        <w:t>及</w:t>
      </w:r>
      <w:r>
        <w:rPr>
          <w:i w:val="false"/>
        </w:rPr>
        <w:t>(</w:t>
      </w:r>
      <w:r>
        <w:rPr>
          <w:i w:val="false"/>
        </w:rPr>
        <w:t>五</w:t>
      </w:r>
      <w:r>
        <w:rPr>
          <w:i w:val="false"/>
        </w:rPr>
        <w:t>)</w:t>
      </w:r>
    </w:p>
    <w:p>
      <w:pPr>
        <w:pStyle w:val="Style14"/>
        <w:rPr>
          <w:i w:val="false"/>
          <w:i w:val="false"/>
        </w:rPr>
      </w:pPr>
      <w:r>
        <w:rPr>
          <w:i w:val="false"/>
        </w:rPr>
      </w:r>
    </w:p>
    <w:p>
      <w:pPr>
        <w:pStyle w:val="Style14"/>
        <w:rPr>
          <w:i w:val="false"/>
          <w:i w:val="false"/>
        </w:rPr>
      </w:pPr>
      <w:r>
        <w:rPr>
          <w:i w:val="false"/>
        </w:rPr>
        <w:tab/>
      </w:r>
      <w:r>
        <w:rPr>
          <w:i w:val="false"/>
        </w:rPr>
        <w:t>當局於</w:t>
      </w:r>
      <w:r>
        <w:rPr>
          <w:i w:val="false"/>
        </w:rPr>
        <w:t>2007</w:t>
      </w:r>
      <w:r>
        <w:rPr>
          <w:i w:val="false"/>
        </w:rPr>
        <w:t>年宣布研究設立兒童專科中心及神經科學專科中心，並已在啟德發展區預留合適的選址。立法會財務委員會已通過兒童專科卓越醫療中心的撥款申請，而相關建築工程亦已於本年</w:t>
      </w:r>
      <w:r>
        <w:rPr>
          <w:i w:val="false"/>
        </w:rPr>
        <w:t>8</w:t>
      </w:r>
      <w:r>
        <w:rPr>
          <w:i w:val="false"/>
        </w:rPr>
        <w:t>月展開。</w:t>
      </w:r>
    </w:p>
    <w:p>
      <w:pPr>
        <w:pStyle w:val="Style14"/>
        <w:rPr>
          <w:i w:val="false"/>
          <w:i w:val="false"/>
        </w:rPr>
      </w:pPr>
      <w:r>
        <w:rPr>
          <w:i w:val="false"/>
        </w:rPr>
      </w:r>
    </w:p>
    <w:p>
      <w:pPr>
        <w:pStyle w:val="Style14"/>
        <w:rPr>
          <w:i w:val="false"/>
          <w:i w:val="false"/>
        </w:rPr>
      </w:pPr>
      <w:r>
        <w:rPr>
          <w:i w:val="false"/>
        </w:rPr>
        <w:tab/>
      </w:r>
      <w:r>
        <w:rPr>
          <w:i w:val="false"/>
        </w:rPr>
        <w:t>為應付九龍區就醫療服務和設施的長遠的需求，我們已要求醫院管理局</w:t>
      </w:r>
      <w:r>
        <w:rPr>
          <w:i w:val="false"/>
        </w:rPr>
        <w:t>(“</w:t>
      </w:r>
      <w:r>
        <w:rPr>
          <w:i w:val="false"/>
        </w:rPr>
        <w:t>醫管局”</w:t>
      </w:r>
      <w:r>
        <w:rPr>
          <w:i w:val="false"/>
        </w:rPr>
        <w:t>)</w:t>
      </w:r>
      <w:r>
        <w:rPr>
          <w:i w:val="false"/>
        </w:rPr>
        <w:t>就於啟德發展區的選址興建一所新的全科公營醫院進行策略性檢討。我們希望能在</w:t>
      </w:r>
      <w:r>
        <w:rPr>
          <w:i w:val="false"/>
        </w:rPr>
        <w:t>2014</w:t>
      </w:r>
      <w:r>
        <w:rPr>
          <w:i w:val="false"/>
        </w:rPr>
        <w:t>年完成有關的檢討，然後啟動詳細設計規劃，以及諮詢相關持份者的意見。新建議的啟德全科醫院擬為一所急症全科醫院，提供主要專科的臨床服務，包括急症服務。為更有效地善用資源，神經科學中心將設於新建的啟德全科醫院內。</w:t>
      </w:r>
    </w:p>
    <w:p>
      <w:pPr>
        <w:pStyle w:val="Style14"/>
        <w:rPr>
          <w:i w:val="false"/>
          <w:i w:val="false"/>
        </w:rPr>
      </w:pPr>
      <w:r>
        <w:rPr>
          <w:i w:val="false"/>
        </w:rPr>
      </w:r>
    </w:p>
    <w:p>
      <w:pPr>
        <w:pStyle w:val="Style14"/>
        <w:rPr>
          <w:i w:val="false"/>
          <w:i w:val="false"/>
        </w:rPr>
      </w:pPr>
      <w:r>
        <w:rPr>
          <w:i w:val="false"/>
        </w:rPr>
        <w:tab/>
      </w:r>
      <w:r>
        <w:rPr>
          <w:i w:val="false"/>
        </w:rPr>
        <w:t>醫管局在進行建議的啟德全科醫院的詳細設計時，會充分參考神經科中心督導委員會曾提出及討論的意見。醫管局將作出人手安排，調遣於轄下醫院服務的腦神經科專家到神經科中心服務。</w:t>
      </w:r>
    </w:p>
    <w:p>
      <w:pPr>
        <w:pStyle w:val="Style14"/>
        <w:rPr>
          <w:i w:val="false"/>
          <w:i w:val="false"/>
        </w:rPr>
      </w:pPr>
      <w:r>
        <w:rPr>
          <w:i w:val="false"/>
        </w:rPr>
      </w:r>
    </w:p>
    <w:p>
      <w:pPr>
        <w:pStyle w:val="Style14"/>
        <w:rPr>
          <w:i w:val="false"/>
          <w:i w:val="false"/>
        </w:rPr>
      </w:pPr>
      <w:r>
        <w:rPr>
          <w:i w:val="false"/>
        </w:rPr>
        <w:t>(</w:t>
      </w:r>
      <w:r>
        <w:rPr>
          <w:i w:val="false"/>
        </w:rPr>
        <w:t>三</w:t>
      </w:r>
      <w:r>
        <w:rPr>
          <w:i w:val="false"/>
        </w:rPr>
        <w:t>)</w:t>
        <w:tab/>
      </w:r>
      <w:r>
        <w:rPr>
          <w:i w:val="false"/>
        </w:rPr>
        <w:t>根㯫香港醫務委員會的資料，全港註冊腦神經科及神經外科專科醫生數目約為</w:t>
      </w:r>
      <w:r>
        <w:rPr>
          <w:i w:val="false"/>
        </w:rPr>
        <w:t>160</w:t>
      </w:r>
      <w:r>
        <w:rPr>
          <w:i w:val="false"/>
        </w:rPr>
        <w:t>人。</w:t>
      </w:r>
    </w:p>
    <w:p>
      <w:pPr>
        <w:pStyle w:val="Style14"/>
        <w:rPr>
          <w:i w:val="false"/>
          <w:i w:val="false"/>
        </w:rPr>
      </w:pPr>
      <w:r>
        <w:rPr>
          <w:i w:val="false"/>
        </w:rPr>
      </w:r>
    </w:p>
    <w:p>
      <w:pPr>
        <w:pStyle w:val="Style14"/>
        <w:rPr>
          <w:i w:val="false"/>
          <w:i w:val="false"/>
        </w:rPr>
      </w:pPr>
      <w:r>
        <w:rPr>
          <w:i w:val="false"/>
        </w:rPr>
        <w:tab/>
      </w:r>
      <w:r>
        <w:rPr>
          <w:i w:val="false"/>
        </w:rPr>
        <w:t>腦神經疾病患者可到醫管局轄下的專科門診</w:t>
      </w:r>
      <w:r>
        <w:rPr>
          <w:i w:val="false"/>
        </w:rPr>
        <w:t>(</w:t>
      </w:r>
      <w:r>
        <w:rPr>
          <w:i w:val="false"/>
        </w:rPr>
        <w:t>內科或神經外科</w:t>
      </w:r>
      <w:r>
        <w:rPr>
          <w:i w:val="false"/>
        </w:rPr>
        <w:t>)</w:t>
      </w:r>
      <w:r>
        <w:rPr>
          <w:i w:val="false"/>
        </w:rPr>
        <w:t>求診。</w:t>
      </w:r>
      <w:r>
        <w:rPr>
          <w:i w:val="false"/>
        </w:rPr>
        <w:t>2003-2004</w:t>
      </w:r>
      <w:r>
        <w:rPr>
          <w:i w:val="false"/>
        </w:rPr>
        <w:t>年度至</w:t>
      </w:r>
      <w:r>
        <w:rPr>
          <w:i w:val="false"/>
        </w:rPr>
        <w:t>2012-2013</w:t>
      </w:r>
      <w:r>
        <w:rPr>
          <w:i w:val="false"/>
        </w:rPr>
        <w:t>年度內科及神經外科的醫生數目及專科門診就診人次分別表列在附件一及附件二。</w:t>
      </w:r>
    </w:p>
    <w:p>
      <w:pPr>
        <w:pStyle w:val="Style14"/>
        <w:rPr>
          <w:i w:val="false"/>
          <w:i w:val="false"/>
        </w:rPr>
      </w:pPr>
      <w:r>
        <w:rPr>
          <w:i w:val="false"/>
        </w:rPr>
      </w:r>
    </w:p>
    <w:p>
      <w:pPr>
        <w:pStyle w:val="Style14"/>
        <w:rPr>
          <w:i w:val="false"/>
          <w:i w:val="false"/>
        </w:rPr>
      </w:pPr>
      <w:r>
        <w:rPr>
          <w:i w:val="false"/>
        </w:rPr>
        <w:tab/>
      </w:r>
      <w:r>
        <w:rPr>
          <w:i w:val="false"/>
        </w:rPr>
        <w:t>醫管局就主要專科門診的新轉介個案實施分流制度，確保病情緊急而且有需要及早介入的病人會優先獲得治療。在目前的分流制度下，新轉介個案通常先由護士甄別，再經有關專科的專科醫生檢查，然後分為第一優先類別</w:t>
      </w:r>
      <w:r>
        <w:rPr>
          <w:i w:val="false"/>
        </w:rPr>
        <w:t>(</w:t>
      </w:r>
      <w:r>
        <w:rPr>
          <w:i w:val="false"/>
        </w:rPr>
        <w:t>緊急</w:t>
      </w:r>
      <w:r>
        <w:rPr>
          <w:i w:val="false"/>
        </w:rPr>
        <w:t>)</w:t>
      </w:r>
      <w:r>
        <w:rPr>
          <w:i w:val="false"/>
        </w:rPr>
        <w:t>、第二優先類別</w:t>
      </w:r>
      <w:r>
        <w:rPr>
          <w:i w:val="false"/>
        </w:rPr>
        <w:t>(</w:t>
      </w:r>
      <w:r>
        <w:rPr>
          <w:i w:val="false"/>
        </w:rPr>
        <w:t>半緊急</w:t>
      </w:r>
      <w:r>
        <w:rPr>
          <w:i w:val="false"/>
        </w:rPr>
        <w:t>)</w:t>
      </w:r>
      <w:r>
        <w:rPr>
          <w:i w:val="false"/>
        </w:rPr>
        <w:t>和例行個案。醫管局的目標，是把第一優先類別和第二優先類別的輪候時間中位數分別維持在兩星期和</w:t>
      </w:r>
      <w:r>
        <w:rPr>
          <w:i w:val="false"/>
        </w:rPr>
        <w:t>8</w:t>
      </w:r>
      <w:r>
        <w:rPr>
          <w:i w:val="false"/>
        </w:rPr>
        <w:t>星期之內。至今，醫管局一直能夠維持就第一優先類別和第二優先類別輪候時間中位數所作的承諾。</w:t>
      </w:r>
    </w:p>
    <w:p>
      <w:pPr>
        <w:pStyle w:val="Style14"/>
        <w:rPr>
          <w:i w:val="false"/>
          <w:i w:val="false"/>
        </w:rPr>
      </w:pPr>
      <w:r>
        <w:rPr>
          <w:i w:val="false"/>
        </w:rPr>
      </w:r>
    </w:p>
    <w:p>
      <w:pPr>
        <w:pStyle w:val="Style14"/>
        <w:rPr>
          <w:i w:val="false"/>
          <w:i w:val="false"/>
        </w:rPr>
      </w:pPr>
      <w:r>
        <w:rPr>
          <w:i w:val="false"/>
        </w:rPr>
        <w:tab/>
      </w:r>
      <w:r>
        <w:rPr>
          <w:i w:val="false"/>
        </w:rPr>
        <w:t>在</w:t>
      </w:r>
      <w:r>
        <w:rPr>
          <w:i w:val="false"/>
        </w:rPr>
        <w:t>2003-2004</w:t>
      </w:r>
      <w:r>
        <w:rPr>
          <w:i w:val="false"/>
        </w:rPr>
        <w:t>年度至</w:t>
      </w:r>
      <w:r>
        <w:rPr>
          <w:i w:val="false"/>
        </w:rPr>
        <w:t>2012-2013</w:t>
      </w:r>
      <w:r>
        <w:rPr>
          <w:i w:val="false"/>
        </w:rPr>
        <w:t>年度於內科及神經外科專科門診新症輪候時間的中位數載於附件三。由於把主要專科門診新症劃分為不同分流類別的安排由</w:t>
      </w:r>
      <w:r>
        <w:rPr>
          <w:i w:val="false"/>
        </w:rPr>
        <w:t>2006</w:t>
      </w:r>
      <w:r>
        <w:rPr>
          <w:i w:val="false"/>
        </w:rPr>
        <w:t>年</w:t>
      </w:r>
      <w:r>
        <w:rPr>
          <w:i w:val="false"/>
        </w:rPr>
        <w:t>4</w:t>
      </w:r>
      <w:r>
        <w:rPr>
          <w:i w:val="false"/>
        </w:rPr>
        <w:t>月開始在各診所實施，因此未能提供</w:t>
      </w:r>
      <w:r>
        <w:rPr>
          <w:i w:val="false"/>
        </w:rPr>
        <w:t>2003-2004</w:t>
      </w:r>
      <w:r>
        <w:rPr>
          <w:i w:val="false"/>
        </w:rPr>
        <w:t>年度至</w:t>
      </w:r>
      <w:r>
        <w:rPr>
          <w:i w:val="false"/>
        </w:rPr>
        <w:t>2005-2006</w:t>
      </w:r>
      <w:r>
        <w:rPr>
          <w:i w:val="false"/>
        </w:rPr>
        <w:t>年度新症分流類別的輪候時間；而神經外科新症並沒有相若的劃分類別。</w:t>
      </w:r>
    </w:p>
    <w:p>
      <w:pPr>
        <w:pStyle w:val="Style14"/>
        <w:rPr>
          <w:i w:val="false"/>
          <w:i w:val="false"/>
        </w:rPr>
      </w:pPr>
      <w:r>
        <w:rPr>
          <w:i w:val="false"/>
        </w:rPr>
      </w:r>
    </w:p>
    <w:p>
      <w:pPr>
        <w:pStyle w:val="Style14"/>
        <w:rPr>
          <w:i w:val="false"/>
          <w:i w:val="false"/>
        </w:rPr>
      </w:pPr>
      <w:r>
        <w:rPr>
          <w:i w:val="false"/>
        </w:rPr>
        <w:tab/>
      </w:r>
      <w:r>
        <w:rPr>
          <w:i w:val="false"/>
        </w:rPr>
        <w:t>腦神經疾病患者現時在內科、神經外科或兒科等各專科接受相關的治療，醫管局為各專科規劃服務時，已考慮多項因素，包括人口增長和人口結構變化、個別專科服務的使用量及預計的增長率，以及醫療服務使用模式可能出現的轉變等。</w:t>
      </w:r>
    </w:p>
    <w:p>
      <w:pPr>
        <w:pStyle w:val="Style14"/>
        <w:rPr>
          <w:i w:val="false"/>
          <w:i w:val="false"/>
        </w:rPr>
      </w:pPr>
      <w:r>
        <w:rPr>
          <w:i w:val="false"/>
        </w:rPr>
      </w:r>
    </w:p>
    <w:p>
      <w:pPr>
        <w:pStyle w:val="Style14"/>
        <w:rPr>
          <w:i w:val="false"/>
          <w:i w:val="false"/>
        </w:rPr>
      </w:pPr>
      <w:r>
        <w:rPr>
          <w:i w:val="false"/>
        </w:rPr>
        <w:tab/>
      </w:r>
      <w:r>
        <w:rPr>
          <w:i w:val="false"/>
        </w:rPr>
        <w:t>醫管局會定期監察各項醫療服務的使用率及趨勢，持續透過重組醫院服務模式或醫院發展工程及實施其他合適措施，確保服務能夠滿足市民需求。</w:t>
      </w:r>
    </w:p>
    <w:p>
      <w:pPr>
        <w:pStyle w:val="Style14"/>
        <w:rPr>
          <w:i w:val="false"/>
          <w:i w:val="false"/>
        </w:rPr>
      </w:pPr>
      <w:r>
        <w:rPr>
          <w:i w:val="false"/>
        </w:rPr>
      </w:r>
    </w:p>
    <w:p>
      <w:pPr>
        <w:pStyle w:val="Style14"/>
        <w:rPr>
          <w:i w:val="false"/>
          <w:i w:val="false"/>
        </w:rPr>
      </w:pPr>
      <w:r>
        <w:rPr>
          <w:i w:val="false"/>
        </w:rPr>
        <w:tab/>
      </w:r>
      <w:r>
        <w:rPr>
          <w:i w:val="false"/>
        </w:rPr>
        <w:t>私家醫院一般均有提供腦神經及／或腦神經外科服務，例如專科門診、復康服務</w:t>
      </w:r>
      <w:r>
        <w:rPr>
          <w:i w:val="false"/>
        </w:rPr>
        <w:t>(</w:t>
      </w:r>
      <w:r>
        <w:rPr>
          <w:i w:val="false"/>
        </w:rPr>
        <w:t>物理治療</w:t>
      </w:r>
      <w:r>
        <w:rPr>
          <w:i w:val="false"/>
        </w:rPr>
        <w:t>)</w:t>
      </w:r>
      <w:r>
        <w:rPr>
          <w:i w:val="false"/>
        </w:rPr>
        <w:t>及住院服務。衞生署未有就私家醫院該等服務的就診人數進行個別統計。</w:t>
      </w:r>
    </w:p>
    <w:p>
      <w:pPr>
        <w:pStyle w:val="Style14"/>
        <w:rPr>
          <w:i w:val="false"/>
          <w:i w:val="false"/>
        </w:rPr>
      </w:pPr>
      <w:r>
        <w:rPr>
          <w:i w:val="false"/>
        </w:rPr>
      </w:r>
    </w:p>
    <w:p>
      <w:pPr>
        <w:pStyle w:val="Style14"/>
        <w:rPr>
          <w:i w:val="false"/>
          <w:i w:val="false"/>
        </w:rPr>
      </w:pPr>
      <w:r>
        <w:rPr>
          <w:i w:val="false"/>
        </w:rPr>
        <w:t>(</w:t>
      </w:r>
      <w:r>
        <w:rPr>
          <w:i w:val="false"/>
        </w:rPr>
        <w:t>四</w:t>
      </w:r>
      <w:r>
        <w:rPr>
          <w:i w:val="false"/>
        </w:rPr>
        <w:t>)</w:t>
        <w:tab/>
      </w:r>
      <w:r>
        <w:rPr>
          <w:i w:val="false"/>
        </w:rPr>
        <w:t>醫管局的專家一直留意醫學界就疾病的治療方法、藥物處方及復康服務等各方面的發展，並每年舉行研討大會，邀請世界著名的學者分享經驗和研究成果。另一方面，醫管局亦與本地大學的醫學院交流，了解最新的醫療技術和研究成果。</w:t>
      </w:r>
    </w:p>
    <w:p>
      <w:pPr>
        <w:pStyle w:val="Style14"/>
        <w:rPr>
          <w:i w:val="false"/>
          <w:i w:val="false"/>
        </w:rPr>
      </w:pPr>
      <w:r>
        <w:rPr>
          <w:i w:val="false"/>
        </w:rPr>
      </w:r>
    </w:p>
    <w:p>
      <w:pPr>
        <w:pStyle w:val="Style14"/>
        <w:rPr>
          <w:i w:val="false"/>
          <w:i w:val="false"/>
        </w:rPr>
      </w:pPr>
      <w:r>
        <w:rPr>
          <w:i w:val="false"/>
        </w:rPr>
        <w:tab/>
      </w:r>
      <w:r>
        <w:rPr>
          <w:i w:val="false"/>
        </w:rPr>
        <w:t>就腦神經科方面，醫管局適切地引進合適的治療方法和藥物以提升治療質素。此外，醫管局為合適的晚期帕金森病患者引進腦深層電刺激治療，為中風病人分階段在轄下的醫院提供</w:t>
      </w:r>
      <w:r>
        <w:rPr>
          <w:i w:val="false"/>
        </w:rPr>
        <w:t>24</w:t>
      </w:r>
      <w:r>
        <w:rPr>
          <w:i w:val="false"/>
        </w:rPr>
        <w:t>小時靜脈溶栓服務及短暫性腦缺血診所，為腦癇症患者提供基因檢測以減低藥物風險。</w:t>
      </w:r>
    </w:p>
    <w:p>
      <w:pPr>
        <w:pStyle w:val="F21"/>
        <w:rPr/>
      </w:pPr>
      <w:r>
        <w:rPr/>
      </w:r>
    </w:p>
    <w:p>
      <w:pPr>
        <w:pStyle w:val="F21"/>
        <w:rPr/>
      </w:pPr>
      <w:r>
        <w:rPr/>
      </w:r>
    </w:p>
    <w:p>
      <w:pPr>
        <w:pStyle w:val="F21"/>
        <w:jc w:val="right"/>
        <w:rPr/>
      </w:pPr>
      <w:r>
        <w:rPr/>
        <w:t>附件一</w:t>
      </w:r>
    </w:p>
    <w:p>
      <w:pPr>
        <w:pStyle w:val="F21"/>
        <w:rPr/>
      </w:pPr>
      <w:r>
        <w:rPr/>
      </w:r>
    </w:p>
    <w:p>
      <w:pPr>
        <w:pStyle w:val="F21"/>
        <w:jc w:val="center"/>
        <w:rPr/>
      </w:pPr>
      <w:r>
        <w:rPr/>
        <w:t>2003-2004</w:t>
      </w:r>
      <w:r>
        <w:rPr/>
        <w:t>年度至</w:t>
      </w:r>
      <w:r>
        <w:rPr/>
        <w:t>2012-2013</w:t>
      </w:r>
      <w:r>
        <w:rPr/>
        <w:t>年度內科及神經外科的醫生數目</w:t>
      </w:r>
    </w:p>
    <w:p>
      <w:pPr>
        <w:pStyle w:val="F21"/>
        <w:jc w:val="center"/>
        <w:rPr/>
      </w:pPr>
      <w:r>
        <w:rPr/>
        <w:t>(</w:t>
      </w:r>
      <w:r>
        <w:rPr/>
        <w:t>截至各年的</w:t>
      </w:r>
      <w:r>
        <w:rPr/>
        <w:t>3</w:t>
      </w:r>
      <w:r>
        <w:rPr/>
        <w:t>月</w:t>
      </w:r>
      <w:r>
        <w:rPr/>
        <w:t>31</w:t>
      </w:r>
      <w:r>
        <w:rPr/>
        <w:t>日</w:t>
      </w:r>
      <w:r>
        <w:rPr/>
        <w:t>)</w:t>
      </w:r>
    </w:p>
    <w:p>
      <w:pPr>
        <w:pStyle w:val="F21"/>
        <w:rPr/>
      </w:pPr>
      <w:r>
        <w:rPr/>
      </w:r>
    </w:p>
    <w:tbl>
      <w:tblPr>
        <w:tblW w:w="9223" w:type="dxa"/>
        <w:jc w:val="center"/>
        <w:tblInd w:w="0" w:type="dxa"/>
        <w:tblCellMar>
          <w:top w:w="0" w:type="dxa"/>
          <w:left w:w="5" w:type="dxa"/>
          <w:bottom w:w="0" w:type="dxa"/>
          <w:right w:w="5" w:type="dxa"/>
        </w:tblCellMar>
        <w:tblLook w:val="01e0" w:noHBand="0" w:noVBand="0" w:firstColumn="1" w:lastRow="1" w:lastColumn="1" w:firstRow="1"/>
      </w:tblPr>
      <w:tblGrid>
        <w:gridCol w:w="3074"/>
        <w:gridCol w:w="3074"/>
        <w:gridCol w:w="3075"/>
      </w:tblGrid>
      <w:tr>
        <w:trPr>
          <w:tblHeader w:val="true"/>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年度</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內科</w:t>
            </w:r>
            <w:r>
              <w:rPr>
                <w:i/>
                <w:vertAlign w:val="superscript"/>
              </w:rPr>
              <w:t>(1)</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神經外科</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2003-2004</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1 022</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65</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2004-2005</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1 029</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66</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2005-2006</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1 046</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69</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2006-2007</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1 074</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73</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2007-2008</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1 089</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79</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2008-2009</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1 088</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85</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2009-2010</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1 098</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85</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2010-2011</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1 106</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86</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2011-2012</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1 125</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84</w:t>
            </w:r>
          </w:p>
        </w:tc>
      </w:tr>
      <w:tr>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2012-2013</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1 149</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87</w:t>
            </w:r>
          </w:p>
        </w:tc>
      </w:tr>
    </w:tbl>
    <w:p>
      <w:pPr>
        <w:pStyle w:val="F21"/>
        <w:spacing w:lineRule="auto" w:line="240"/>
        <w:rPr/>
      </w:pPr>
      <w:r>
        <w:rPr/>
      </w:r>
    </w:p>
    <w:p>
      <w:pPr>
        <w:pStyle w:val="F21"/>
        <w:spacing w:lineRule="auto" w:line="240"/>
        <w:rPr>
          <w:sz w:val="20"/>
          <w:szCs w:val="20"/>
        </w:rPr>
      </w:pPr>
      <w:r>
        <w:rPr>
          <w:sz w:val="20"/>
          <w:szCs w:val="20"/>
        </w:rPr>
        <w:t>註：</w:t>
      </w:r>
    </w:p>
    <w:p>
      <w:pPr>
        <w:pStyle w:val="F21"/>
        <w:spacing w:lineRule="auto" w:line="240"/>
        <w:rPr>
          <w:sz w:val="20"/>
          <w:szCs w:val="20"/>
        </w:rPr>
      </w:pPr>
      <w:r>
        <w:rPr>
          <w:sz w:val="20"/>
          <w:szCs w:val="20"/>
        </w:rPr>
      </w:r>
    </w:p>
    <w:p>
      <w:pPr>
        <w:pStyle w:val="F21"/>
        <w:spacing w:lineRule="auto" w:line="240"/>
        <w:ind w:left="567" w:hanging="567"/>
        <w:rPr>
          <w:sz w:val="20"/>
          <w:szCs w:val="20"/>
        </w:rPr>
      </w:pPr>
      <w:r>
        <w:rPr>
          <w:sz w:val="20"/>
          <w:szCs w:val="20"/>
        </w:rPr>
        <w:t>(1)</w:t>
        <w:tab/>
      </w:r>
      <w:r>
        <w:rPr>
          <w:sz w:val="20"/>
          <w:szCs w:val="20"/>
        </w:rPr>
        <w:t>內科專科包括</w:t>
      </w:r>
      <w:r>
        <w:rPr>
          <w:sz w:val="20"/>
          <w:szCs w:val="20"/>
        </w:rPr>
        <w:t>14</w:t>
      </w:r>
      <w:r>
        <w:rPr>
          <w:sz w:val="20"/>
          <w:szCs w:val="20"/>
        </w:rPr>
        <w:t>個分科</w:t>
      </w:r>
      <w:r>
        <w:rPr>
          <w:sz w:val="20"/>
          <w:szCs w:val="20"/>
        </w:rPr>
        <w:t>(</w:t>
      </w:r>
      <w:r>
        <w:rPr>
          <w:sz w:val="20"/>
          <w:szCs w:val="20"/>
        </w:rPr>
        <w:t>即心臟科、皮膚及性病科、內分泌及糖尿科、老人科、腸胃肝臟科、血液及血液腫瘤科、免疫及過敏病科、感染及傳染病科、內科、內科腫瘤科、腎病科、腦神經內科、風濕病科及呼吸系統科</w:t>
      </w:r>
      <w:r>
        <w:rPr>
          <w:sz w:val="20"/>
          <w:szCs w:val="20"/>
        </w:rPr>
        <w:t>)</w:t>
      </w:r>
      <w:r>
        <w:rPr>
          <w:sz w:val="20"/>
          <w:szCs w:val="20"/>
        </w:rPr>
        <w:t>。由於醫管局並無按分科作編碼統計，所以附件所列的數字為整體內科的數字。</w:t>
      </w:r>
    </w:p>
    <w:p>
      <w:pPr>
        <w:pStyle w:val="F21"/>
        <w:rPr/>
      </w:pPr>
      <w:r>
        <w:rPr/>
      </w:r>
    </w:p>
    <w:p>
      <w:pPr>
        <w:pStyle w:val="F21"/>
        <w:rPr/>
      </w:pPr>
      <w:r>
        <w:rPr/>
      </w:r>
    </w:p>
    <w:p>
      <w:pPr>
        <w:pStyle w:val="F21"/>
        <w:jc w:val="right"/>
        <w:rPr/>
      </w:pPr>
      <w:r>
        <w:rPr/>
        <w:t>附件二</w:t>
      </w:r>
    </w:p>
    <w:p>
      <w:pPr>
        <w:pStyle w:val="F21"/>
        <w:rPr/>
      </w:pPr>
      <w:r>
        <w:rPr/>
      </w:r>
    </w:p>
    <w:p>
      <w:pPr>
        <w:pStyle w:val="F21"/>
        <w:jc w:val="center"/>
        <w:rPr/>
      </w:pPr>
      <w:r>
        <w:rPr/>
        <w:t>2003-2004</w:t>
      </w:r>
      <w:r>
        <w:rPr/>
        <w:t>年度至</w:t>
      </w:r>
      <w:r>
        <w:rPr/>
        <w:t>2012-2013</w:t>
      </w:r>
      <w:r>
        <w:rPr/>
        <w:t>年度內科及神經外科的</w:t>
      </w:r>
    </w:p>
    <w:p>
      <w:pPr>
        <w:pStyle w:val="F21"/>
        <w:jc w:val="center"/>
        <w:rPr/>
      </w:pPr>
      <w:r>
        <w:rPr/>
        <w:t>專科門診就診人次</w:t>
      </w:r>
    </w:p>
    <w:p>
      <w:pPr>
        <w:pStyle w:val="F21"/>
        <w:rPr/>
      </w:pPr>
      <w:r>
        <w:rPr/>
      </w:r>
    </w:p>
    <w:tbl>
      <w:tblPr>
        <w:tblW w:w="9223" w:type="dxa"/>
        <w:jc w:val="left"/>
        <w:tblInd w:w="0" w:type="dxa"/>
        <w:tblCellMar>
          <w:top w:w="0" w:type="dxa"/>
          <w:left w:w="5" w:type="dxa"/>
          <w:bottom w:w="0" w:type="dxa"/>
          <w:right w:w="5" w:type="dxa"/>
        </w:tblCellMar>
        <w:tblLook w:val="01e0" w:noHBand="0" w:noVBand="0" w:firstColumn="1" w:lastRow="1" w:lastColumn="1" w:firstRow="1"/>
      </w:tblPr>
      <w:tblGrid>
        <w:gridCol w:w="3074"/>
        <w:gridCol w:w="3074"/>
        <w:gridCol w:w="3075"/>
      </w:tblGrid>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年度</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內科</w:t>
            </w:r>
            <w:r>
              <w:rPr>
                <w:i/>
                <w:vertAlign w:val="superscript"/>
              </w:rPr>
              <w:t>(2)</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神經外科</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2003-2004</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1 578 045</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46 491</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2004-2005</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1 667 953</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50 005</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2005-2006</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1 686 994</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50 459</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2006-2007</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1 691 548</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50 948</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2007-2008</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1 687 984</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53 297</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2008-2009</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1 739 767</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55 526</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2009-2010</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1 809 422</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58 386</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2010-2011</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1 840 557</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61 168</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2011-2012</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1 846 776</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63 961</w:t>
            </w:r>
          </w:p>
        </w:tc>
      </w:tr>
      <w:tr>
        <w:trPr>
          <w:trHeight w:val="454" w:hRule="atLeast"/>
        </w:trPr>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2012-2013</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1 882 052</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pPr>
            <w:r>
              <w:rPr/>
              <w:t>66 028</w:t>
            </w:r>
          </w:p>
        </w:tc>
      </w:tr>
    </w:tbl>
    <w:p>
      <w:pPr>
        <w:pStyle w:val="F21"/>
        <w:spacing w:lineRule="auto" w:line="240"/>
        <w:rPr/>
      </w:pPr>
      <w:r>
        <w:rPr/>
      </w:r>
    </w:p>
    <w:p>
      <w:pPr>
        <w:pStyle w:val="F21"/>
        <w:spacing w:lineRule="auto" w:line="240"/>
        <w:ind w:left="567" w:hanging="567"/>
        <w:rPr>
          <w:sz w:val="20"/>
          <w:szCs w:val="20"/>
        </w:rPr>
      </w:pPr>
      <w:r>
        <w:rPr>
          <w:sz w:val="20"/>
          <w:szCs w:val="20"/>
        </w:rPr>
        <w:t>註：</w:t>
      </w:r>
    </w:p>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(2)</w:t>
        <w:tab/>
      </w:r>
      <w:r>
        <w:rPr>
          <w:sz w:val="20"/>
          <w:szCs w:val="20"/>
        </w:rPr>
        <w:t>內科專科包括</w:t>
      </w:r>
      <w:r>
        <w:rPr>
          <w:sz w:val="20"/>
          <w:szCs w:val="20"/>
        </w:rPr>
        <w:t>14</w:t>
      </w:r>
      <w:r>
        <w:rPr>
          <w:sz w:val="20"/>
          <w:szCs w:val="20"/>
        </w:rPr>
        <w:t>個分科</w:t>
      </w:r>
      <w:r>
        <w:rPr>
          <w:sz w:val="20"/>
          <w:szCs w:val="20"/>
        </w:rPr>
        <w:t>(</w:t>
      </w:r>
      <w:r>
        <w:rPr>
          <w:sz w:val="20"/>
          <w:szCs w:val="20"/>
        </w:rPr>
        <w:t>即心臟科、皮膚及性病科、內分泌及糖尿科、老人科、腸胃肝臟科、血液及血液腫瘤科、免疫及過敏病科、感染及傳染病科、內科、內科腫瘤科、腎病科、腦神經內科、風濕病科及呼吸系統科</w:t>
      </w:r>
      <w:r>
        <w:rPr>
          <w:sz w:val="20"/>
          <w:szCs w:val="20"/>
        </w:rPr>
        <w:t>)</w:t>
      </w:r>
      <w:r>
        <w:rPr>
          <w:sz w:val="20"/>
          <w:szCs w:val="20"/>
        </w:rPr>
        <w:t>。由於醫管局並無按分科作編碼統計，所以附件所列的數字為整體內科的數字。</w:t>
      </w:r>
    </w:p>
    <w:p>
      <w:pPr>
        <w:pStyle w:val="F21"/>
        <w:rPr/>
      </w:pPr>
      <w:r>
        <w:rPr/>
      </w:r>
    </w:p>
    <w:p>
      <w:pPr>
        <w:pStyle w:val="F21"/>
        <w:jc w:val="right"/>
        <w:rPr/>
      </w:pPr>
      <w:r>
        <w:rPr/>
        <w:t>附件三</w:t>
      </w:r>
    </w:p>
    <w:p>
      <w:pPr>
        <w:pStyle w:val="F21"/>
        <w:rPr/>
      </w:pPr>
      <w:r>
        <w:rPr/>
      </w:r>
    </w:p>
    <w:p>
      <w:pPr>
        <w:pStyle w:val="F21"/>
        <w:jc w:val="center"/>
        <w:rPr/>
      </w:pPr>
      <w:r>
        <w:rPr/>
        <w:t>2003-2004</w:t>
      </w:r>
      <w:r>
        <w:rPr/>
        <w:t>年度至</w:t>
      </w:r>
      <w:r>
        <w:rPr/>
        <w:t>2012-2013</w:t>
      </w:r>
      <w:r>
        <w:rPr/>
        <w:t>年度內科及神經外科的專科門診</w:t>
      </w:r>
    </w:p>
    <w:p>
      <w:pPr>
        <w:pStyle w:val="F21"/>
        <w:jc w:val="center"/>
        <w:rPr/>
      </w:pPr>
      <w:r>
        <w:rPr/>
        <w:t>新症輪候時間中位數</w:t>
      </w:r>
    </w:p>
    <w:p>
      <w:pPr>
        <w:pStyle w:val="F21"/>
        <w:rPr/>
      </w:pPr>
      <w:r>
        <w:rPr/>
      </w:r>
    </w:p>
    <w:tbl>
      <w:tblPr>
        <w:tblW w:w="9223" w:type="dxa"/>
        <w:jc w:val="left"/>
        <w:tblInd w:w="0" w:type="dxa"/>
        <w:tblCellMar>
          <w:top w:w="0" w:type="dxa"/>
          <w:left w:w="5" w:type="dxa"/>
          <w:bottom w:w="0" w:type="dxa"/>
          <w:right w:w="5" w:type="dxa"/>
        </w:tblCellMar>
        <w:tblLook w:val="01e0" w:noHBand="0" w:noVBand="0" w:firstColumn="1" w:lastRow="1" w:lastColumn="1" w:firstRow="1"/>
      </w:tblPr>
      <w:tblGrid>
        <w:gridCol w:w="1537"/>
        <w:gridCol w:w="1537"/>
        <w:gridCol w:w="1537"/>
        <w:gridCol w:w="1537"/>
        <w:gridCol w:w="1536"/>
        <w:gridCol w:w="1"/>
        <w:gridCol w:w="1537"/>
      </w:tblGrid>
      <w:tr>
        <w:trPr/>
        <w:tc>
          <w:tcPr>
            <w:tcW w:w="1537"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年度</w:t>
            </w:r>
          </w:p>
        </w:tc>
        <w:tc>
          <w:tcPr>
            <w:tcW w:w="7685" w:type="dxa"/>
            <w:gridSpan w:val="6"/>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專科門診新症輪候時間中位數</w:t>
            </w:r>
            <w:r>
              <w:rPr>
                <w:i/>
              </w:rPr>
              <w:t>(</w:t>
            </w:r>
            <w:r>
              <w:rPr>
                <w:i/>
              </w:rPr>
              <w:t>星期</w:t>
            </w:r>
            <w:r>
              <w:rPr>
                <w:i/>
              </w:rPr>
              <w:t>)</w:t>
            </w:r>
          </w:p>
        </w:tc>
      </w:tr>
      <w:tr>
        <w:trPr/>
        <w:tc>
          <w:tcPr>
            <w:tcW w:w="1537"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tabs>
                <w:tab w:val="clear" w:pos="720"/>
              </w:tabs>
              <w:spacing w:lineRule="auto" w:line="240"/>
              <w:jc w:val="left"/>
              <w:rPr>
                <w:rFonts w:cs="華康細明體"/>
                <w:i/>
                <w:i/>
                <w:spacing w:val="20"/>
                <w:sz w:val="27"/>
                <w:lang w:val="en-US"/>
              </w:rPr>
            </w:pPr>
            <w:r>
              <w:rPr>
                <w:rFonts w:cs="華康細明體"/>
                <w:i/>
                <w:spacing w:val="20"/>
                <w:sz w:val="27"/>
                <w:lang w:val="en-US"/>
              </w:rPr>
            </w:r>
          </w:p>
        </w:tc>
        <w:tc>
          <w:tcPr>
            <w:tcW w:w="6147"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內科</w:t>
            </w:r>
          </w:p>
        </w:tc>
        <w:tc>
          <w:tcPr>
            <w:tcW w:w="1538" w:type="dxa"/>
            <w:gridSpan w:val="2"/>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神經外科</w:t>
            </w:r>
          </w:p>
        </w:tc>
      </w:tr>
      <w:tr>
        <w:trPr/>
        <w:tc>
          <w:tcPr>
            <w:tcW w:w="1537"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tabs>
                <w:tab w:val="clear" w:pos="720"/>
              </w:tabs>
              <w:spacing w:lineRule="auto" w:line="240"/>
              <w:jc w:val="left"/>
              <w:rPr>
                <w:rFonts w:cs="華康細明體"/>
                <w:i/>
                <w:i/>
                <w:spacing w:val="20"/>
                <w:sz w:val="27"/>
                <w:lang w:val="en-US"/>
              </w:rPr>
            </w:pPr>
            <w:r>
              <w:rPr>
                <w:rFonts w:cs="華康細明體"/>
                <w:i/>
                <w:spacing w:val="20"/>
                <w:sz w:val="27"/>
                <w:lang w:val="en-US"/>
              </w:rPr>
            </w:r>
          </w:p>
        </w:tc>
        <w:tc>
          <w:tcPr>
            <w:tcW w:w="15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第一優先類別</w:t>
            </w:r>
          </w:p>
        </w:tc>
        <w:tc>
          <w:tcPr>
            <w:tcW w:w="15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第二優先類別</w:t>
            </w:r>
          </w:p>
        </w:tc>
        <w:tc>
          <w:tcPr>
            <w:tcW w:w="153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例行類別</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right="57" w:hanging="0"/>
              <w:jc w:val="center"/>
              <w:rPr>
                <w:i/>
                <w:i/>
              </w:rPr>
            </w:pPr>
            <w:r>
              <w:rPr>
                <w:i/>
              </w:rPr>
              <w:t>所有類別</w:t>
            </w:r>
          </w:p>
        </w:tc>
        <w:tc>
          <w:tcPr>
            <w:tcW w:w="1537"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tabs>
                <w:tab w:val="clear" w:pos="720"/>
              </w:tabs>
              <w:spacing w:lineRule="auto" w:line="240"/>
              <w:jc w:val="left"/>
              <w:rPr>
                <w:rFonts w:cs="華康細明體"/>
                <w:i/>
                <w:i/>
                <w:spacing w:val="20"/>
                <w:sz w:val="27"/>
                <w:lang w:val="en-US"/>
              </w:rPr>
            </w:pPr>
            <w:r>
              <w:rPr>
                <w:rFonts w:cs="華康細明體"/>
                <w:i/>
                <w:spacing w:val="20"/>
                <w:sz w:val="27"/>
                <w:lang w:val="en-US"/>
              </w:rPr>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2003-2004</w:t>
            </w:r>
          </w:p>
        </w:tc>
        <w:tc>
          <w:tcPr>
            <w:tcW w:w="4611"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沒有資料</w:t>
            </w:r>
          </w:p>
        </w:tc>
        <w:tc>
          <w:tcPr>
            <w:tcW w:w="153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13</w:t>
            </w:r>
          </w:p>
        </w:tc>
        <w:tc>
          <w:tcPr>
            <w:tcW w:w="153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2</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2004-2005</w:t>
            </w:r>
          </w:p>
        </w:tc>
        <w:tc>
          <w:tcPr>
            <w:tcW w:w="4611"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沒有資料</w:t>
            </w:r>
          </w:p>
        </w:tc>
        <w:tc>
          <w:tcPr>
            <w:tcW w:w="153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13</w:t>
            </w:r>
          </w:p>
        </w:tc>
        <w:tc>
          <w:tcPr>
            <w:tcW w:w="153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2005-2006</w:t>
            </w:r>
          </w:p>
        </w:tc>
        <w:tc>
          <w:tcPr>
            <w:tcW w:w="4611"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沒有資料</w:t>
            </w:r>
          </w:p>
        </w:tc>
        <w:tc>
          <w:tcPr>
            <w:tcW w:w="1536"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12</w:t>
            </w:r>
          </w:p>
        </w:tc>
        <w:tc>
          <w:tcPr>
            <w:tcW w:w="1538"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4</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2006-2007</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6</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29</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10</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4</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2007-2008</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6</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30</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9</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2008-2009</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&lt;1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6</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28</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9</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2009-2010</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&lt;1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6</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27</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9</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2010-2011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&lt;1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5</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25</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10</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2011-2012</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&lt;1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6</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31</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13</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w:t>
            </w:r>
          </w:p>
        </w:tc>
      </w:tr>
      <w:tr>
        <w:trPr/>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rPr/>
            </w:pPr>
            <w:r>
              <w:rPr/>
              <w:t>2012-2013</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&lt;1</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5</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34</w:t>
            </w:r>
          </w:p>
        </w:tc>
        <w:tc>
          <w:tcPr>
            <w:tcW w:w="1537"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15</w:t>
            </w:r>
          </w:p>
        </w:tc>
        <w:tc>
          <w:tcPr>
            <w:tcW w:w="153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7" w:right="57" w:hanging="0"/>
              <w:jc w:val="center"/>
              <w:rPr/>
            </w:pPr>
            <w:r>
              <w:rPr/>
              <w:t>4</w:t>
            </w:r>
          </w:p>
        </w:tc>
      </w:tr>
    </w:tbl>
    <w:p>
      <w:pPr>
        <w:pStyle w:val="F21"/>
        <w:spacing w:lineRule="auto" w:line="240"/>
        <w:rPr/>
      </w:pPr>
      <w:r>
        <w:rPr/>
      </w:r>
    </w:p>
    <w:p>
      <w:pPr>
        <w:pStyle w:val="F21"/>
        <w:spacing w:lineRule="auto" w:line="240"/>
        <w:ind w:left="567" w:hanging="567"/>
        <w:rPr>
          <w:sz w:val="20"/>
          <w:szCs w:val="20"/>
        </w:rPr>
      </w:pPr>
      <w:r>
        <w:rPr>
          <w:sz w:val="20"/>
          <w:szCs w:val="20"/>
        </w:rPr>
        <w:t>註：</w:t>
      </w:r>
    </w:p>
    <w:p>
      <w:pPr>
        <w:pStyle w:val="F21"/>
        <w:spacing w:lineRule="auto" w:line="240"/>
        <w:ind w:left="567" w:hanging="567"/>
        <w:rPr>
          <w:sz w:val="20"/>
          <w:szCs w:val="20"/>
        </w:rPr>
      </w:pPr>
      <w:r>
        <w:rPr>
          <w:sz w:val="20"/>
          <w:szCs w:val="20"/>
        </w:rPr>
      </w:r>
    </w:p>
    <w:p>
      <w:pPr>
        <w:pStyle w:val="F21"/>
        <w:spacing w:lineRule="auto" w:line="240"/>
        <w:rPr>
          <w:sz w:val="20"/>
          <w:szCs w:val="20"/>
        </w:rPr>
      </w:pPr>
      <w:r>
        <w:rPr>
          <w:sz w:val="20"/>
          <w:szCs w:val="20"/>
        </w:rPr>
        <w:t>主要專科門診新症的類別劃分由</w:t>
      </w:r>
      <w:r>
        <w:rPr>
          <w:sz w:val="20"/>
          <w:szCs w:val="20"/>
        </w:rPr>
        <w:t>2006</w:t>
      </w:r>
      <w:r>
        <w:rPr>
          <w:sz w:val="20"/>
          <w:szCs w:val="20"/>
        </w:rPr>
        <w:t>年</w:t>
      </w:r>
      <w:r>
        <w:rPr>
          <w:sz w:val="20"/>
          <w:szCs w:val="20"/>
        </w:rPr>
        <w:t>4</w:t>
      </w:r>
      <w:r>
        <w:rPr>
          <w:sz w:val="20"/>
          <w:szCs w:val="20"/>
        </w:rPr>
        <w:t>月開始在各診所實施，而神經外科新症並沒有相若的劃分類別。</w:t>
      </w:r>
    </w:p>
    <w:p>
      <w:pPr>
        <w:pStyle w:val="F21"/>
        <w:rPr>
          <w:szCs w:val="27"/>
        </w:rPr>
      </w:pPr>
      <w:r>
        <w:rPr>
          <w:szCs w:val="27"/>
        </w:rPr>
      </w:r>
    </w:p>
    <w:p>
      <w:pPr>
        <w:pStyle w:val="F21"/>
        <w:rPr/>
      </w:pPr>
      <w:r>
        <w:rPr/>
      </w:r>
    </w:p>
    <w:p>
      <w:pPr>
        <w:pStyle w:val="F21"/>
        <w:rPr>
          <w:rFonts w:eastAsia="華康中黑體" w:cs="Times New Roman"/>
          <w:b/>
          <w:b/>
        </w:rPr>
      </w:pPr>
      <w:bookmarkStart w:id="47" w:name="wrq17"/>
      <w:r>
        <w:rPr>
          <w:rFonts w:cs="Times New Roman" w:eastAsia="華康中黑體"/>
          <w:b/>
        </w:rPr>
        <w:t>合理分配公屋資源</w:t>
      </w:r>
    </w:p>
    <w:p>
      <w:pPr>
        <w:pStyle w:val="Normal"/>
        <w:rPr>
          <w:b/>
          <w:b/>
        </w:rPr>
      </w:pPr>
      <w:bookmarkStart w:id="48" w:name="wrq17"/>
      <w:r>
        <w:rPr>
          <w:b/>
        </w:rPr>
        <w:t>Rational Allocation of Public Rental Housing Resources</w:t>
      </w:r>
      <w:bookmarkEnd w:id="48"/>
    </w:p>
    <w:p>
      <w:pPr>
        <w:pStyle w:val="F21"/>
        <w:rPr/>
      </w:pPr>
      <w:r>
        <w:rPr/>
      </w:r>
    </w:p>
    <w:p>
      <w:pPr>
        <w:pStyle w:val="F21"/>
        <w:rPr>
          <w:i/>
          <w:i/>
        </w:rPr>
      </w:pPr>
      <w:r>
        <w:rPr>
          <w:rFonts w:eastAsia="華康中黑體"/>
          <w:b/>
        </w:rPr>
        <w:t>17.</w:t>
      </w:r>
      <w:r>
        <w:rPr/>
        <w:tab/>
      </w:r>
      <w:r>
        <w:rPr>
          <w:rFonts w:eastAsia="華康中黑體"/>
          <w:b/>
        </w:rPr>
        <w:t>田北俊議員</w:t>
      </w:r>
      <w:r>
        <w:rPr/>
        <w:t>：</w:t>
      </w:r>
      <w:r>
        <w:rPr>
          <w:i/>
        </w:rPr>
        <w:t>主席，有評論指出，現時公屋輪候冊上的申請數目已經超過</w:t>
      </w:r>
      <w:r>
        <w:rPr>
          <w:i/>
        </w:rPr>
        <w:t>23</w:t>
      </w:r>
      <w:r>
        <w:rPr>
          <w:i/>
        </w:rPr>
        <w:t>萬，但公屋住戶資助政策及維護公屋資源的合理分配政策</w:t>
      </w:r>
      <w:r>
        <w:rPr>
          <w:i/>
        </w:rPr>
        <w:t>(</w:t>
      </w:r>
      <w:r>
        <w:rPr>
          <w:i/>
        </w:rPr>
        <w:t>俗稱“富戶政策”</w:t>
      </w:r>
      <w:r>
        <w:rPr>
          <w:i/>
        </w:rPr>
        <w:t>)</w:t>
      </w:r>
      <w:r>
        <w:rPr>
          <w:i/>
        </w:rPr>
        <w:t>根本做不到鼓勵富戶遷出公屋單位，從而確保有限的公屋資源得以合理分配的目標。就此，政府可否告知本會：</w:t>
      </w:r>
    </w:p>
    <w:p>
      <w:pPr>
        <w:pStyle w:val="F21"/>
        <w:rPr>
          <w:i/>
          <w:i/>
        </w:rPr>
      </w:pPr>
      <w:r>
        <w:rPr>
          <w:i/>
        </w:rPr>
      </w:r>
    </w:p>
    <w:p>
      <w:pPr>
        <w:pStyle w:val="F21"/>
        <w:ind w:left="1417" w:hanging="850"/>
        <w:rPr>
          <w:i/>
          <w:i/>
        </w:rPr>
      </w:pPr>
      <w:r>
        <w:rPr>
          <w:i/>
        </w:rPr>
        <w:t>(</w:t>
      </w:r>
      <w:r>
        <w:rPr>
          <w:i/>
        </w:rPr>
        <w:t>一</w:t>
      </w:r>
      <w:r>
        <w:rPr>
          <w:i/>
        </w:rPr>
        <w:t>)</w:t>
        <w:tab/>
      </w:r>
      <w:r>
        <w:rPr>
          <w:i/>
        </w:rPr>
        <w:t>富戶政策的下列每項規定的詳細理據：</w:t>
      </w:r>
    </w:p>
    <w:p>
      <w:pPr>
        <w:pStyle w:val="F21"/>
        <w:rPr>
          <w:i/>
          <w:i/>
        </w:rPr>
      </w:pPr>
      <w:r>
        <w:rPr>
          <w:i/>
        </w:rPr>
      </w:r>
    </w:p>
    <w:p>
      <w:pPr>
        <w:pStyle w:val="F21"/>
        <w:ind w:left="1985" w:hanging="567"/>
        <w:rPr>
          <w:i/>
          <w:i/>
        </w:rPr>
      </w:pPr>
      <w:r>
        <w:rPr>
          <w:i/>
        </w:rPr>
        <w:t>(i)</w:t>
        <w:tab/>
      </w:r>
      <w:r>
        <w:rPr>
          <w:i/>
        </w:rPr>
        <w:t>須申報家庭入息和／或資產的居住年期下限定於</w:t>
      </w:r>
      <w:r>
        <w:rPr>
          <w:i/>
        </w:rPr>
        <w:t>10</w:t>
      </w:r>
      <w:r>
        <w:rPr>
          <w:i/>
        </w:rPr>
        <w:t>年，而不是較短的年期；</w:t>
      </w:r>
    </w:p>
    <w:p>
      <w:pPr>
        <w:pStyle w:val="F21"/>
        <w:ind w:left="1985" w:hanging="567"/>
        <w:rPr>
          <w:i/>
          <w:i/>
        </w:rPr>
      </w:pPr>
      <w:r>
        <w:rPr>
          <w:i/>
        </w:rPr>
      </w:r>
    </w:p>
    <w:p>
      <w:pPr>
        <w:pStyle w:val="F21"/>
        <w:ind w:left="1985" w:hanging="567"/>
        <w:rPr>
          <w:i/>
          <w:i/>
        </w:rPr>
      </w:pPr>
      <w:r>
        <w:rPr>
          <w:i/>
        </w:rPr>
        <w:t>(ii)</w:t>
        <w:tab/>
      </w:r>
      <w:r>
        <w:rPr>
          <w:i/>
        </w:rPr>
        <w:t>須繳交倍半及雙倍淨額租金另加差餉的家庭收入門檻分別定於公屋輪候冊入息限額的兩倍及</w:t>
      </w:r>
      <w:r>
        <w:rPr>
          <w:i/>
        </w:rPr>
        <w:t>3</w:t>
      </w:r>
      <w:r>
        <w:rPr>
          <w:i/>
        </w:rPr>
        <w:t>倍；及</w:t>
      </w:r>
    </w:p>
    <w:p>
      <w:pPr>
        <w:pStyle w:val="F21"/>
        <w:ind w:left="1985" w:hanging="567"/>
        <w:rPr>
          <w:i/>
          <w:i/>
        </w:rPr>
      </w:pPr>
      <w:r>
        <w:rPr>
          <w:i/>
        </w:rPr>
      </w:r>
    </w:p>
    <w:p>
      <w:pPr>
        <w:pStyle w:val="F21"/>
        <w:ind w:left="1985" w:hanging="567"/>
        <w:rPr>
          <w:i/>
          <w:i/>
        </w:rPr>
      </w:pPr>
      <w:r>
        <w:rPr>
          <w:i/>
          <w:spacing w:val="0"/>
        </w:rPr>
        <w:t>(iii)</w:t>
      </w:r>
      <w:r>
        <w:rPr>
          <w:i/>
        </w:rPr>
        <w:tab/>
      </w:r>
      <w:r>
        <w:rPr>
          <w:i/>
        </w:rPr>
        <w:t>須遷出公屋單位的家庭資產淨值門檻定於公屋輪候冊入息限額的</w:t>
      </w:r>
      <w:r>
        <w:rPr>
          <w:i/>
        </w:rPr>
        <w:t>84</w:t>
      </w:r>
      <w:r>
        <w:rPr>
          <w:i/>
        </w:rPr>
        <w:t>倍；</w:t>
      </w:r>
    </w:p>
    <w:p>
      <w:pPr>
        <w:pStyle w:val="F21"/>
        <w:rPr>
          <w:i/>
          <w:i/>
        </w:rPr>
      </w:pPr>
      <w:r>
        <w:rPr>
          <w:i/>
        </w:rPr>
      </w:r>
    </w:p>
    <w:p>
      <w:pPr>
        <w:pStyle w:val="F21"/>
        <w:ind w:left="1417" w:hanging="850"/>
        <w:rPr>
          <w:i/>
          <w:i/>
        </w:rPr>
      </w:pPr>
      <w:r>
        <w:rPr>
          <w:i/>
        </w:rPr>
        <w:t>(</w:t>
      </w:r>
      <w:r>
        <w:rPr>
          <w:i/>
        </w:rPr>
        <w:t>二</w:t>
      </w:r>
      <w:r>
        <w:rPr>
          <w:i/>
        </w:rPr>
        <w:t>)</w:t>
        <w:tab/>
      </w:r>
      <w:r>
        <w:rPr>
          <w:i/>
        </w:rPr>
        <w:t>過去</w:t>
      </w:r>
      <w:r>
        <w:rPr>
          <w:i/>
        </w:rPr>
        <w:t>5</w:t>
      </w:r>
      <w:r>
        <w:rPr>
          <w:i/>
        </w:rPr>
        <w:t>年，每年的富戶數目及其佔公屋住戶總數的百分比為何，並按該等富戶須繳交的租金的水平</w:t>
      </w:r>
      <w:r>
        <w:rPr>
          <w:i/>
        </w:rPr>
        <w:t>(</w:t>
      </w:r>
      <w:r>
        <w:rPr>
          <w:i/>
        </w:rPr>
        <w:t>即倍半租金、雙倍租金或市值租金</w:t>
      </w:r>
      <w:r>
        <w:rPr>
          <w:i/>
        </w:rPr>
        <w:t>)</w:t>
      </w:r>
      <w:r>
        <w:rPr>
          <w:i/>
        </w:rPr>
        <w:t>列出分項數字；</w:t>
      </w:r>
    </w:p>
    <w:p>
      <w:pPr>
        <w:pStyle w:val="F21"/>
        <w:ind w:left="1417" w:hanging="850"/>
        <w:rPr>
          <w:i/>
          <w:i/>
        </w:rPr>
      </w:pPr>
      <w:r>
        <w:rPr>
          <w:i/>
        </w:rPr>
      </w:r>
    </w:p>
    <w:p>
      <w:pPr>
        <w:pStyle w:val="F21"/>
        <w:ind w:left="1417" w:hanging="850"/>
        <w:rPr>
          <w:i/>
          <w:i/>
        </w:rPr>
      </w:pPr>
      <w:r>
        <w:rPr>
          <w:i/>
        </w:rPr>
        <w:t>(</w:t>
      </w:r>
      <w:r>
        <w:rPr>
          <w:i/>
        </w:rPr>
        <w:t>三</w:t>
      </w:r>
      <w:r>
        <w:rPr>
          <w:i/>
        </w:rPr>
        <w:t>)</w:t>
        <w:tab/>
      </w:r>
      <w:r>
        <w:rPr>
          <w:i/>
        </w:rPr>
        <w:t>過去</w:t>
      </w:r>
      <w:r>
        <w:rPr>
          <w:i/>
        </w:rPr>
        <w:t>5</w:t>
      </w:r>
      <w:r>
        <w:rPr>
          <w:i/>
        </w:rPr>
        <w:t>年，每年遷出公屋單位的富戶數目，以及當中有多少是購買居者有其屋</w:t>
      </w:r>
      <w:r>
        <w:rPr>
          <w:i/>
        </w:rPr>
        <w:t>(“</w:t>
      </w:r>
      <w:r>
        <w:rPr>
          <w:i/>
        </w:rPr>
        <w:t>居屋”</w:t>
      </w:r>
      <w:r>
        <w:rPr>
          <w:i/>
        </w:rPr>
        <w:t>)</w:t>
      </w:r>
      <w:r>
        <w:rPr>
          <w:i/>
        </w:rPr>
        <w:t>計劃單位後遷出；</w:t>
      </w:r>
    </w:p>
    <w:p>
      <w:pPr>
        <w:pStyle w:val="F21"/>
        <w:ind w:left="1417" w:hanging="850"/>
        <w:rPr>
          <w:i/>
          <w:i/>
        </w:rPr>
      </w:pPr>
      <w:r>
        <w:rPr>
          <w:i/>
        </w:rPr>
      </w:r>
    </w:p>
    <w:p>
      <w:pPr>
        <w:pStyle w:val="F21"/>
        <w:ind w:left="1417" w:hanging="850"/>
        <w:rPr>
          <w:i/>
          <w:i/>
        </w:rPr>
      </w:pPr>
      <w:r>
        <w:rPr>
          <w:i/>
        </w:rPr>
        <w:t>(</w:t>
      </w:r>
      <w:r>
        <w:rPr>
          <w:i/>
        </w:rPr>
        <w:t>四</w:t>
      </w:r>
      <w:r>
        <w:rPr>
          <w:i/>
        </w:rPr>
        <w:t>)</w:t>
        <w:tab/>
      </w:r>
      <w:r>
        <w:rPr>
          <w:i/>
        </w:rPr>
        <w:t>有否研究下述增加公屋流轉速度的建議是否可行：當住戶每月家庭總收入持續</w:t>
      </w:r>
      <w:r>
        <w:rPr>
          <w:i/>
        </w:rPr>
        <w:t>3</w:t>
      </w:r>
      <w:r>
        <w:rPr>
          <w:i/>
        </w:rPr>
        <w:t>年達到須要繳交雙倍租金的水平時，便須在緊接的</w:t>
      </w:r>
      <w:r>
        <w:rPr>
          <w:i/>
        </w:rPr>
        <w:t>3</w:t>
      </w:r>
      <w:r>
        <w:rPr>
          <w:i/>
        </w:rPr>
        <w:t>年內遷出，而在遷出時可獲退還所繳交的雙倍租金總額的一半作為資助金，並可獲豁免將退回的公屋單位還原的要求；如有，詳情為何；如否，原因為何；及</w:t>
      </w:r>
    </w:p>
    <w:p>
      <w:pPr>
        <w:pStyle w:val="F21"/>
        <w:rPr>
          <w:i/>
          <w:i/>
        </w:rPr>
      </w:pPr>
      <w:r>
        <w:rPr>
          <w:i/>
        </w:rPr>
      </w:r>
    </w:p>
    <w:p>
      <w:pPr>
        <w:pStyle w:val="F21"/>
        <w:ind w:left="1417" w:hanging="850"/>
        <w:rPr>
          <w:i/>
          <w:i/>
        </w:rPr>
      </w:pPr>
      <w:r>
        <w:rPr>
          <w:i/>
        </w:rPr>
        <w:t>(</w:t>
      </w:r>
      <w:r>
        <w:rPr>
          <w:i/>
        </w:rPr>
        <w:t>五</w:t>
      </w:r>
      <w:r>
        <w:rPr>
          <w:i/>
        </w:rPr>
        <w:t>)</w:t>
        <w:tab/>
      </w:r>
      <w:r>
        <w:rPr>
          <w:i/>
        </w:rPr>
        <w:t>有否考慮將現時公屋單位的無時限租約改為定期租約，確保珍貴的公屋資源分配給更有需要的人士；如有，詳情為何；如否，原因為何？</w:t>
      </w:r>
    </w:p>
    <w:p>
      <w:pPr>
        <w:pStyle w:val="F21"/>
        <w:rPr>
          <w:i/>
          <w:i/>
        </w:rPr>
      </w:pPr>
      <w:r>
        <w:rPr>
          <w:i/>
        </w:rPr>
      </w:r>
    </w:p>
    <w:p>
      <w:pPr>
        <w:pStyle w:val="F21"/>
        <w:rPr>
          <w:i/>
          <w:i/>
        </w:rPr>
      </w:pPr>
      <w:r>
        <w:rPr>
          <w:i/>
        </w:rPr>
      </w:r>
    </w:p>
    <w:p>
      <w:pPr>
        <w:pStyle w:val="F21"/>
        <w:rPr/>
      </w:pPr>
      <w:r>
        <w:rPr>
          <w:rFonts w:eastAsia="華康中黑體"/>
          <w:b/>
        </w:rPr>
        <w:t>運輸及房屋局局長</w:t>
      </w:r>
      <w:r>
        <w:rPr/>
        <w:t>：主席，政府的房屋政策，是為沒有能力租住私人樓宇的低收入家庭提供公共租住房屋</w:t>
      </w:r>
      <w:r>
        <w:rPr/>
        <w:t>(</w:t>
      </w:r>
      <w:r>
        <w:rPr>
          <w:szCs w:val="27"/>
        </w:rPr>
        <w:t>“</w:t>
      </w:r>
      <w:r>
        <w:rPr/>
        <w:t>公屋</w:t>
      </w:r>
      <w:r>
        <w:rPr>
          <w:szCs w:val="27"/>
        </w:rPr>
        <w:t>”</w:t>
      </w:r>
      <w:r>
        <w:rPr/>
        <w:t>)</w:t>
      </w:r>
      <w:r>
        <w:rPr/>
        <w:t>。為確保有限的公共房屋資源能夠合理分配，香港房屋委員會</w:t>
      </w:r>
      <w:r>
        <w:rPr/>
        <w:t>(</w:t>
      </w:r>
      <w:r>
        <w:rPr>
          <w:szCs w:val="27"/>
        </w:rPr>
        <w:t>“</w:t>
      </w:r>
      <w:r>
        <w:rPr/>
        <w:t>房委會</w:t>
      </w:r>
      <w:r>
        <w:rPr>
          <w:szCs w:val="27"/>
        </w:rPr>
        <w:t>”</w:t>
      </w:r>
      <w:r>
        <w:rPr/>
        <w:t>)</w:t>
      </w:r>
      <w:r>
        <w:rPr/>
        <w:t>一直鼓勵收入及資產已有穩定改善的公屋租戶將公屋單位交還房委會，以編配給其他更有需要的家庭。房委會於</w:t>
      </w:r>
      <w:r>
        <w:rPr/>
        <w:t>1987</w:t>
      </w:r>
      <w:r>
        <w:rPr/>
        <w:t>年及</w:t>
      </w:r>
      <w:r>
        <w:rPr/>
        <w:t>1996</w:t>
      </w:r>
      <w:r>
        <w:rPr/>
        <w:t>年起分別實施</w:t>
      </w:r>
      <w:r>
        <w:rPr>
          <w:szCs w:val="27"/>
        </w:rPr>
        <w:t>“</w:t>
      </w:r>
      <w:r>
        <w:rPr/>
        <w:t>公屋住戶資助政策</w:t>
      </w:r>
      <w:r>
        <w:rPr>
          <w:szCs w:val="27"/>
        </w:rPr>
        <w:t>”</w:t>
      </w:r>
      <w:r>
        <w:rPr/>
        <w:t>及</w:t>
      </w:r>
      <w:r>
        <w:rPr>
          <w:szCs w:val="27"/>
        </w:rPr>
        <w:t>“</w:t>
      </w:r>
      <w:r>
        <w:rPr/>
        <w:t>維護公屋資源的合理分配政策</w:t>
      </w:r>
      <w:r>
        <w:rPr>
          <w:szCs w:val="27"/>
        </w:rPr>
        <w:t>”</w:t>
      </w:r>
      <w:r>
        <w:rPr/>
        <w:t>(</w:t>
      </w:r>
      <w:r>
        <w:rPr/>
        <w:t>統稱</w:t>
      </w:r>
      <w:r>
        <w:rPr>
          <w:szCs w:val="27"/>
        </w:rPr>
        <w:t>“</w:t>
      </w:r>
      <w:r>
        <w:rPr/>
        <w:t>富戶政策</w:t>
      </w:r>
      <w:r>
        <w:rPr>
          <w:szCs w:val="27"/>
        </w:rPr>
        <w:t>”</w:t>
      </w:r>
      <w:r>
        <w:rPr/>
        <w:t>)</w:t>
      </w:r>
      <w:r>
        <w:rPr/>
        <w:t>，其目標在於向經濟條件較好的租戶減少房屋資助，並以</w:t>
      </w:r>
      <w:r>
        <w:rPr>
          <w:szCs w:val="27"/>
        </w:rPr>
        <w:t>“</w:t>
      </w:r>
      <w:r>
        <w:rPr/>
        <w:t>入息</w:t>
      </w:r>
      <w:r>
        <w:rPr>
          <w:szCs w:val="27"/>
        </w:rPr>
        <w:t>”</w:t>
      </w:r>
      <w:r>
        <w:rPr/>
        <w:t>和</w:t>
      </w:r>
      <w:r>
        <w:rPr>
          <w:szCs w:val="27"/>
        </w:rPr>
        <w:t>“</w:t>
      </w:r>
      <w:r>
        <w:rPr/>
        <w:t>資產</w:t>
      </w:r>
      <w:r>
        <w:rPr>
          <w:szCs w:val="27"/>
        </w:rPr>
        <w:t>”</w:t>
      </w:r>
      <w:r>
        <w:rPr/>
        <w:t>兩個決定因素釐定合適的公屋資助水平。</w:t>
      </w:r>
    </w:p>
    <w:p>
      <w:pPr>
        <w:pStyle w:val="F21"/>
        <w:rPr/>
      </w:pPr>
      <w:r>
        <w:rPr/>
      </w:r>
    </w:p>
    <w:p>
      <w:pPr>
        <w:pStyle w:val="F21"/>
        <w:rPr/>
      </w:pPr>
      <w:r>
        <w:rPr/>
        <w:tab/>
      </w:r>
      <w:r>
        <w:rPr/>
        <w:t>根據</w:t>
      </w:r>
      <w:r>
        <w:rPr>
          <w:szCs w:val="27"/>
        </w:rPr>
        <w:t>“</w:t>
      </w:r>
      <w:r>
        <w:rPr/>
        <w:t>富戶政策</w:t>
      </w:r>
      <w:r>
        <w:rPr>
          <w:szCs w:val="27"/>
        </w:rPr>
        <w:t>”</w:t>
      </w:r>
      <w:r>
        <w:rPr/>
        <w:t>，凡在公屋住滿</w:t>
      </w:r>
      <w:r>
        <w:rPr/>
        <w:t>10</w:t>
      </w:r>
      <w:r>
        <w:rPr/>
        <w:t>年的租戶，須每兩年申報其家庭入息。若家庭收入超逾輪候冊入息限額，視乎程度，須繳交倍半或雙倍淨租金另加差餉。至於須繳交雙倍租金的租戶，他們亦須要每兩年申報資產。若其資產淨值超逾輪候冊入息限額的</w:t>
      </w:r>
      <w:r>
        <w:rPr/>
        <w:t>84</w:t>
      </w:r>
      <w:r>
        <w:rPr/>
        <w:t>倍，又或若租戶選擇不申報資產，則必須遷出其租住的公屋單位。若租戶有困難而無法在指定日期前遷出，房委會可批出暫准居住證，讓租戶在該單位暫住，為期最多</w:t>
      </w:r>
      <w:r>
        <w:rPr/>
        <w:t>12</w:t>
      </w:r>
      <w:r>
        <w:rPr/>
        <w:t>個月，其間須繳交相等於雙倍淨額租金另加差餉或市值租金</w:t>
      </w:r>
      <w:r>
        <w:rPr/>
        <w:t>(</w:t>
      </w:r>
      <w:r>
        <w:rPr/>
        <w:t>以較高者為準</w:t>
      </w:r>
      <w:r>
        <w:rPr/>
        <w:t>)</w:t>
      </w:r>
      <w:r>
        <w:rPr/>
        <w:t>的暫准居住證費。</w:t>
      </w:r>
    </w:p>
    <w:p>
      <w:pPr>
        <w:pStyle w:val="F21"/>
        <w:rPr/>
      </w:pPr>
      <w:r>
        <w:rPr/>
      </w:r>
    </w:p>
    <w:p>
      <w:pPr>
        <w:pStyle w:val="F21"/>
        <w:rPr/>
      </w:pPr>
      <w:r>
        <w:rPr/>
        <w:tab/>
      </w:r>
      <w:r>
        <w:rPr/>
        <w:t>我現就田北俊議員質詢的</w:t>
      </w:r>
      <w:r>
        <w:rPr/>
        <w:t>5</w:t>
      </w:r>
      <w:r>
        <w:rPr/>
        <w:t>個部分答覆如下：</w:t>
      </w:r>
    </w:p>
    <w:p>
      <w:pPr>
        <w:pStyle w:val="F21"/>
        <w:rPr/>
      </w:pPr>
      <w:r>
        <w:rPr/>
      </w:r>
    </w:p>
    <w:p>
      <w:pPr>
        <w:pStyle w:val="Style14"/>
        <w:rPr>
          <w:i w:val="false"/>
          <w:i w:val="false"/>
        </w:rPr>
      </w:pPr>
      <w:r>
        <w:rPr>
          <w:i w:val="false"/>
        </w:rPr>
        <w:t>(</w:t>
      </w:r>
      <w:r>
        <w:rPr>
          <w:i w:val="false"/>
        </w:rPr>
        <w:t>一</w:t>
      </w:r>
      <w:r>
        <w:rPr>
          <w:i w:val="false"/>
        </w:rPr>
        <w:t>)</w:t>
        <w:tab/>
      </w:r>
      <w:r>
        <w:rPr>
          <w:i w:val="false"/>
        </w:rPr>
        <w:t>凡在公屋住滿</w:t>
      </w:r>
      <w:r>
        <w:rPr>
          <w:i w:val="false"/>
        </w:rPr>
        <w:t>10</w:t>
      </w:r>
      <w:r>
        <w:rPr>
          <w:i w:val="false"/>
        </w:rPr>
        <w:t>年的租戶，須每兩年申報其家庭入息。當年訂立</w:t>
      </w:r>
      <w:r>
        <w:rPr>
          <w:i w:val="false"/>
        </w:rPr>
        <w:t>10</w:t>
      </w:r>
      <w:r>
        <w:rPr>
          <w:i w:val="false"/>
        </w:rPr>
        <w:t>年為期的理據是這給予租戶一段合理的安居時間，讓他們可改善其經濟環境。若家庭收入增加，超出合理的標準，可減少給予他們的公共房屋補貼。</w:t>
      </w:r>
    </w:p>
    <w:p>
      <w:pPr>
        <w:pStyle w:val="Style14"/>
        <w:rPr>
          <w:i w:val="false"/>
          <w:i w:val="false"/>
        </w:rPr>
      </w:pPr>
      <w:r>
        <w:rPr>
          <w:i w:val="false"/>
        </w:rPr>
      </w:r>
    </w:p>
    <w:p>
      <w:pPr>
        <w:pStyle w:val="Style14"/>
        <w:rPr>
          <w:i w:val="false"/>
          <w:i w:val="false"/>
        </w:rPr>
      </w:pPr>
      <w:r>
        <w:rPr>
          <w:i w:val="false"/>
        </w:rPr>
        <w:tab/>
      </w:r>
      <w:r>
        <w:rPr>
          <w:i w:val="false"/>
        </w:rPr>
        <w:t>此外，</w:t>
      </w:r>
      <w:r>
        <w:rPr>
          <w:i w:val="false"/>
          <w:szCs w:val="27"/>
        </w:rPr>
        <w:t>“</w:t>
      </w:r>
      <w:r>
        <w:rPr>
          <w:i w:val="false"/>
        </w:rPr>
        <w:t>公屋住戶資助政策</w:t>
      </w:r>
      <w:r>
        <w:rPr>
          <w:i w:val="false"/>
          <w:szCs w:val="27"/>
        </w:rPr>
        <w:t>”</w:t>
      </w:r>
      <w:r>
        <w:rPr>
          <w:i w:val="false"/>
        </w:rPr>
        <w:t>自</w:t>
      </w:r>
      <w:r>
        <w:rPr>
          <w:i w:val="false"/>
        </w:rPr>
        <w:t>1987</w:t>
      </w:r>
      <w:r>
        <w:rPr>
          <w:i w:val="false"/>
        </w:rPr>
        <w:t>年起，逐步實施。鑒於一直有頗多關注團體對政策持有不同意見，房委會遂於</w:t>
      </w:r>
      <w:r>
        <w:rPr>
          <w:i w:val="false"/>
        </w:rPr>
        <w:t>1991</w:t>
      </w:r>
      <w:r>
        <w:rPr>
          <w:i w:val="false"/>
        </w:rPr>
        <w:t>年</w:t>
      </w:r>
      <w:r>
        <w:rPr>
          <w:i w:val="false"/>
        </w:rPr>
        <w:t>7</w:t>
      </w:r>
      <w:r>
        <w:rPr>
          <w:i w:val="false"/>
        </w:rPr>
        <w:t>月決定成立</w:t>
      </w:r>
      <w:r>
        <w:rPr>
          <w:i w:val="false"/>
          <w:szCs w:val="27"/>
        </w:rPr>
        <w:t>“</w:t>
      </w:r>
      <w:r>
        <w:rPr>
          <w:i w:val="false"/>
        </w:rPr>
        <w:t>檢討公屋住戶資助政策專責小組委員會</w:t>
      </w:r>
      <w:r>
        <w:rPr>
          <w:i w:val="false"/>
          <w:szCs w:val="27"/>
        </w:rPr>
        <w:t>”</w:t>
      </w:r>
      <w:r>
        <w:rPr>
          <w:i w:val="false"/>
          <w:szCs w:val="27"/>
        </w:rPr>
        <w:t>(“</w:t>
      </w:r>
      <w:r>
        <w:rPr>
          <w:i w:val="false"/>
        </w:rPr>
        <w:t>專責小組</w:t>
      </w:r>
      <w:r>
        <w:rPr>
          <w:i w:val="false"/>
          <w:szCs w:val="27"/>
        </w:rPr>
        <w:t>”</w:t>
      </w:r>
      <w:r>
        <w:rPr>
          <w:i w:val="false"/>
          <w:szCs w:val="27"/>
        </w:rPr>
        <w:t>)</w:t>
      </w:r>
      <w:r>
        <w:rPr>
          <w:i w:val="false"/>
        </w:rPr>
        <w:t>，全面檢討</w:t>
      </w:r>
      <w:r>
        <w:rPr>
          <w:i w:val="false"/>
          <w:szCs w:val="27"/>
        </w:rPr>
        <w:t>“</w:t>
      </w:r>
      <w:r>
        <w:rPr>
          <w:i w:val="false"/>
        </w:rPr>
        <w:t>公屋住戶資助政策</w:t>
      </w:r>
      <w:r>
        <w:rPr>
          <w:i w:val="false"/>
          <w:szCs w:val="27"/>
        </w:rPr>
        <w:t>”</w:t>
      </w:r>
      <w:r>
        <w:rPr>
          <w:i w:val="false"/>
        </w:rPr>
        <w:t>的推行。專責小組其後建議入息在輪候冊入息限額兩倍至</w:t>
      </w:r>
      <w:r>
        <w:rPr>
          <w:i w:val="false"/>
        </w:rPr>
        <w:t>3</w:t>
      </w:r>
      <w:r>
        <w:rPr>
          <w:i w:val="false"/>
        </w:rPr>
        <w:t>倍的住戶，須繳交倍半淨租金連差餉，以及入息超逾輪候冊入息限額</w:t>
      </w:r>
      <w:r>
        <w:rPr>
          <w:i w:val="false"/>
        </w:rPr>
        <w:t>3</w:t>
      </w:r>
      <w:r>
        <w:rPr>
          <w:i w:val="false"/>
        </w:rPr>
        <w:t>倍者，須交雙倍淨租金連差餉。房委會於</w:t>
      </w:r>
      <w:r>
        <w:rPr>
          <w:i w:val="false"/>
        </w:rPr>
        <w:t>1993</w:t>
      </w:r>
      <w:r>
        <w:rPr>
          <w:i w:val="false"/>
        </w:rPr>
        <w:t>年</w:t>
      </w:r>
      <w:r>
        <w:rPr>
          <w:i w:val="false"/>
        </w:rPr>
        <w:t>3</w:t>
      </w:r>
      <w:r>
        <w:rPr>
          <w:i w:val="false"/>
        </w:rPr>
        <w:t>月</w:t>
      </w:r>
      <w:r>
        <w:rPr>
          <w:i w:val="false"/>
        </w:rPr>
        <w:t>25</w:t>
      </w:r>
      <w:r>
        <w:rPr>
          <w:i w:val="false"/>
        </w:rPr>
        <w:t>日通過並接納專責小組的建議，有關建議於</w:t>
      </w:r>
      <w:r>
        <w:rPr>
          <w:i w:val="false"/>
        </w:rPr>
        <w:t>1993</w:t>
      </w:r>
      <w:r>
        <w:rPr>
          <w:i w:val="false"/>
        </w:rPr>
        <w:t>年</w:t>
      </w:r>
      <w:r>
        <w:rPr>
          <w:i w:val="false"/>
        </w:rPr>
        <w:t>4</w:t>
      </w:r>
      <w:r>
        <w:rPr>
          <w:i w:val="false"/>
        </w:rPr>
        <w:t>月</w:t>
      </w:r>
      <w:r>
        <w:rPr>
          <w:i w:val="false"/>
        </w:rPr>
        <w:t>1</w:t>
      </w:r>
      <w:r>
        <w:rPr>
          <w:i w:val="false"/>
        </w:rPr>
        <w:t>日起生效。</w:t>
      </w:r>
    </w:p>
    <w:p>
      <w:pPr>
        <w:pStyle w:val="Style14"/>
        <w:rPr>
          <w:i w:val="false"/>
          <w:i w:val="false"/>
        </w:rPr>
      </w:pPr>
      <w:r>
        <w:rPr>
          <w:i w:val="false"/>
        </w:rPr>
      </w:r>
    </w:p>
    <w:p>
      <w:pPr>
        <w:pStyle w:val="Style14"/>
        <w:rPr>
          <w:i w:val="false"/>
          <w:i w:val="false"/>
        </w:rPr>
      </w:pPr>
      <w:r>
        <w:rPr>
          <w:i w:val="false"/>
        </w:rPr>
        <w:tab/>
      </w:r>
      <w:r>
        <w:rPr>
          <w:i w:val="false"/>
        </w:rPr>
        <w:t>而輪候冊入息限額</w:t>
      </w:r>
      <w:r>
        <w:rPr>
          <w:i w:val="false"/>
        </w:rPr>
        <w:t>84</w:t>
      </w:r>
      <w:r>
        <w:rPr>
          <w:i w:val="false"/>
        </w:rPr>
        <w:t>倍的資產淨值限額水平是在</w:t>
      </w:r>
      <w:r>
        <w:rPr>
          <w:i w:val="false"/>
        </w:rPr>
        <w:t>2002</w:t>
      </w:r>
      <w:r>
        <w:rPr>
          <w:i w:val="false"/>
        </w:rPr>
        <w:t>年訂立的。該水平是以</w:t>
      </w:r>
      <w:r>
        <w:rPr>
          <w:i w:val="false"/>
        </w:rPr>
        <w:t>2002</w:t>
      </w:r>
      <w:r>
        <w:rPr>
          <w:i w:val="false"/>
        </w:rPr>
        <w:t>年停止推行居屋計劃前，當時位於市區的三睡房居屋單位</w:t>
      </w:r>
      <w:r>
        <w:rPr>
          <w:i w:val="false"/>
        </w:rPr>
        <w:t>(</w:t>
      </w:r>
      <w:r>
        <w:rPr>
          <w:i w:val="false"/>
        </w:rPr>
        <w:t>實用面積約</w:t>
      </w:r>
      <w:r>
        <w:rPr>
          <w:i w:val="false"/>
        </w:rPr>
        <w:t>60</w:t>
      </w:r>
      <w:r>
        <w:rPr>
          <w:i w:val="false"/>
        </w:rPr>
        <w:t>平方米</w:t>
      </w:r>
      <w:r>
        <w:rPr>
          <w:i w:val="false"/>
        </w:rPr>
        <w:t>)</w:t>
      </w:r>
      <w:r>
        <w:rPr>
          <w:i w:val="false"/>
        </w:rPr>
        <w:t>的平均折扣價，除以當時四人家庭的輪候冊入息限額所得出。理據是如果一個公屋家庭能購買一個位於市區的三睡房居屋單位而不需要按揭，應足以證明該家庭不需要公屋資助，因此應遷離公屋。</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過去</w:t>
      </w:r>
      <w:r>
        <w:rPr>
          <w:i w:val="false"/>
        </w:rPr>
        <w:t>5</w:t>
      </w:r>
      <w:r>
        <w:rPr>
          <w:i w:val="false"/>
        </w:rPr>
        <w:t>年，須繳交額外租金的公屋租戶數目表列如下：</w:t>
      </w:r>
    </w:p>
    <w:p>
      <w:pPr>
        <w:pStyle w:val="F21"/>
        <w:rPr/>
      </w:pPr>
      <w:r>
        <w:rPr/>
      </w:r>
    </w:p>
    <w:tbl>
      <w:tblPr>
        <w:tblW w:w="7805" w:type="dxa"/>
        <w:jc w:val="left"/>
        <w:tblInd w:w="1418" w:type="dxa"/>
        <w:tblCellMar>
          <w:top w:w="0" w:type="dxa"/>
          <w:left w:w="5" w:type="dxa"/>
          <w:bottom w:w="0" w:type="dxa"/>
          <w:right w:w="5" w:type="dxa"/>
        </w:tblCellMar>
        <w:tblLook w:val="01e0" w:noHBand="0" w:noVBand="0" w:firstColumn="1" w:lastRow="1" w:lastColumn="1" w:firstRow="1"/>
      </w:tblPr>
      <w:tblGrid>
        <w:gridCol w:w="1300"/>
        <w:gridCol w:w="1301"/>
        <w:gridCol w:w="1301"/>
        <w:gridCol w:w="1301"/>
        <w:gridCol w:w="1300"/>
        <w:gridCol w:w="1301"/>
      </w:tblGrid>
      <w:tr>
        <w:trPr>
          <w:tblHeader w:val="true"/>
        </w:trPr>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年度</w:t>
            </w:r>
            <w:r>
              <w:rPr>
                <w:i/>
              </w:rPr>
              <w:br/>
              <w:t>(</w:t>
            </w:r>
            <w:r>
              <w:rPr>
                <w:i/>
              </w:rPr>
              <w:t>於每年的</w:t>
            </w:r>
            <w:r>
              <w:rPr>
                <w:i/>
              </w:rPr>
              <w:t>3</w:t>
            </w:r>
            <w:r>
              <w:rPr>
                <w:i/>
              </w:rPr>
              <w:t>月底</w:t>
            </w:r>
            <w:r>
              <w:rPr>
                <w:i/>
              </w:rPr>
              <w:t>)</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繳交倍半租金租戶數目</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繳交雙倍租金租戶數目</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繳交市值租金租戶數目</w:t>
            </w:r>
          </w:p>
        </w:tc>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總數</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總數佔</w:t>
            </w:r>
            <w:r>
              <w:rPr>
                <w:i/>
              </w:rPr>
              <w:br/>
            </w:r>
            <w:r>
              <w:rPr>
                <w:i/>
              </w:rPr>
              <w:t>公屋租戶</w:t>
            </w:r>
            <w:r>
              <w:rPr>
                <w:i/>
              </w:rPr>
              <w:br/>
            </w:r>
            <w:r>
              <w:rPr>
                <w:i/>
              </w:rPr>
              <w:t>百分比</w:t>
            </w:r>
          </w:p>
        </w:tc>
      </w:tr>
      <w:tr>
        <w:trPr/>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2009</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20 180</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2 936</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18</w:t>
            </w:r>
          </w:p>
        </w:tc>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23 134</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w:t>
            </w:r>
          </w:p>
        </w:tc>
      </w:tr>
      <w:tr>
        <w:trPr/>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2010</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20 560</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3 204</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37</w:t>
            </w:r>
          </w:p>
        </w:tc>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23 801</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4%</w:t>
            </w:r>
          </w:p>
        </w:tc>
      </w:tr>
      <w:tr>
        <w:trPr/>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2011</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20 848</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2 907</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23</w:t>
            </w:r>
          </w:p>
        </w:tc>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23 778</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w:t>
            </w:r>
          </w:p>
        </w:tc>
      </w:tr>
      <w:tr>
        <w:trPr/>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2012</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20 004</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2 879</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18</w:t>
            </w:r>
          </w:p>
        </w:tc>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22 901</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w:t>
            </w:r>
          </w:p>
        </w:tc>
      </w:tr>
      <w:tr>
        <w:trPr/>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2013</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18 109</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2 321</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15</w:t>
            </w:r>
          </w:p>
        </w:tc>
        <w:tc>
          <w:tcPr>
            <w:tcW w:w="130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20 445</w:t>
            </w:r>
          </w:p>
        </w:tc>
        <w:tc>
          <w:tcPr>
            <w:tcW w:w="13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w:t>
            </w:r>
          </w:p>
        </w:tc>
      </w:tr>
    </w:tbl>
    <w:p>
      <w:pPr>
        <w:pStyle w:val="F21"/>
        <w:rPr/>
      </w:pPr>
      <w:r>
        <w:rPr/>
      </w:r>
    </w:p>
    <w:p>
      <w:pPr>
        <w:pStyle w:val="Style14"/>
        <w:rPr>
          <w:i w:val="false"/>
          <w:i w:val="false"/>
        </w:rPr>
      </w:pPr>
      <w:r>
        <w:rPr>
          <w:i w:val="false"/>
        </w:rPr>
        <w:t>(</w:t>
      </w:r>
      <w:r>
        <w:rPr>
          <w:i w:val="false"/>
        </w:rPr>
        <w:t>三</w:t>
      </w:r>
      <w:r>
        <w:rPr>
          <w:i w:val="false"/>
        </w:rPr>
        <w:t>)</w:t>
        <w:tab/>
      </w:r>
      <w:r>
        <w:rPr>
          <w:i w:val="false"/>
        </w:rPr>
        <w:t>過去</w:t>
      </w:r>
      <w:r>
        <w:rPr>
          <w:i w:val="false"/>
        </w:rPr>
        <w:t>5</w:t>
      </w:r>
      <w:r>
        <w:rPr>
          <w:i w:val="false"/>
        </w:rPr>
        <w:t>年，遷出公屋單位的</w:t>
      </w:r>
      <w:r>
        <w:rPr>
          <w:i w:val="false"/>
          <w:szCs w:val="27"/>
        </w:rPr>
        <w:t>“</w:t>
      </w:r>
      <w:r>
        <w:rPr>
          <w:i w:val="false"/>
        </w:rPr>
        <w:t>富戶</w:t>
      </w:r>
      <w:r>
        <w:rPr>
          <w:i w:val="false"/>
          <w:szCs w:val="27"/>
        </w:rPr>
        <w:t>”</w:t>
      </w:r>
      <w:r>
        <w:rPr>
          <w:i w:val="false"/>
        </w:rPr>
        <w:t>數目表列如下：</w:t>
      </w:r>
    </w:p>
    <w:p>
      <w:pPr>
        <w:pStyle w:val="F21"/>
        <w:rPr/>
      </w:pPr>
      <w:r>
        <w:rPr/>
      </w:r>
    </w:p>
    <w:tbl>
      <w:tblPr>
        <w:tblW w:w="7805" w:type="dxa"/>
        <w:jc w:val="left"/>
        <w:tblInd w:w="1418" w:type="dxa"/>
        <w:tblCellMar>
          <w:top w:w="0" w:type="dxa"/>
          <w:left w:w="5" w:type="dxa"/>
          <w:bottom w:w="0" w:type="dxa"/>
          <w:right w:w="5" w:type="dxa"/>
        </w:tblCellMar>
        <w:tblLook w:val="01e0" w:noHBand="0" w:noVBand="0" w:firstColumn="1" w:lastRow="1" w:lastColumn="1" w:firstRow="1"/>
      </w:tblPr>
      <w:tblGrid>
        <w:gridCol w:w="3867"/>
        <w:gridCol w:w="787"/>
        <w:gridCol w:w="787"/>
        <w:gridCol w:w="788"/>
        <w:gridCol w:w="787"/>
        <w:gridCol w:w="788"/>
      </w:tblGrid>
      <w:tr>
        <w:trPr/>
        <w:tc>
          <w:tcPr>
            <w:tcW w:w="38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年度</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2008-2009</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2009-2010</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2010-2011</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2011-2012</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i/>
                <w:i/>
              </w:rPr>
            </w:pPr>
            <w:r>
              <w:rPr>
                <w:i/>
              </w:rPr>
              <w:t>2012-2013</w:t>
            </w:r>
          </w:p>
        </w:tc>
      </w:tr>
      <w:tr>
        <w:trPr/>
        <w:tc>
          <w:tcPr>
            <w:tcW w:w="38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hanging="0"/>
              <w:rPr/>
            </w:pPr>
            <w:r>
              <w:rPr/>
              <w:t>遷出公屋單位的</w:t>
            </w:r>
            <w:r>
              <w:rPr>
                <w:szCs w:val="27"/>
              </w:rPr>
              <w:t>“</w:t>
            </w:r>
            <w:r>
              <w:rPr/>
              <w:t>富戶</w:t>
            </w:r>
            <w:r>
              <w:rPr>
                <w:szCs w:val="27"/>
              </w:rPr>
              <w:t>”</w:t>
            </w:r>
            <w:r>
              <w:rPr/>
              <w:t>總數</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536</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362</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772</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318</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261</w:t>
            </w:r>
          </w:p>
        </w:tc>
      </w:tr>
      <w:tr>
        <w:trPr/>
        <w:tc>
          <w:tcPr>
            <w:tcW w:w="38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hanging="0"/>
              <w:rPr/>
            </w:pPr>
            <w:r>
              <w:rPr/>
              <w:t>購買居屋單位而遷出的公屋</w:t>
            </w:r>
            <w:r>
              <w:rPr>
                <w:szCs w:val="27"/>
              </w:rPr>
              <w:t>“</w:t>
            </w:r>
            <w:r>
              <w:rPr/>
              <w:t>富戶</w:t>
            </w:r>
            <w:r>
              <w:rPr>
                <w:szCs w:val="27"/>
              </w:rPr>
              <w:t>”</w:t>
            </w:r>
            <w:r>
              <w:rPr/>
              <w:t>數目</w:t>
            </w:r>
            <w:r>
              <w:rPr/>
              <w:t>(</w:t>
            </w:r>
            <w:r>
              <w:rPr/>
              <w:t>包括購買由房委會推售的居屋單位和從居屋第二市場購入未繳付補價的居屋單位</w:t>
            </w:r>
            <w:r>
              <w:rPr/>
              <w:t>)</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377</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225</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587</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148</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165</w:t>
            </w:r>
          </w:p>
        </w:tc>
      </w:tr>
      <w:tr>
        <w:trPr/>
        <w:tc>
          <w:tcPr>
            <w:tcW w:w="386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left="57" w:hanging="0"/>
              <w:rPr/>
            </w:pPr>
            <w:r>
              <w:rPr/>
              <w:t>因購買居屋單位而遷出的公屋</w:t>
            </w:r>
            <w:r>
              <w:rPr>
                <w:szCs w:val="27"/>
              </w:rPr>
              <w:t>“</w:t>
            </w:r>
            <w:r>
              <w:rPr/>
              <w:t>富戶</w:t>
            </w:r>
            <w:r>
              <w:rPr>
                <w:szCs w:val="27"/>
              </w:rPr>
              <w:t>”</w:t>
            </w:r>
            <w:r>
              <w:rPr/>
              <w:t>佔總遷出</w:t>
            </w:r>
            <w:r>
              <w:rPr>
                <w:szCs w:val="27"/>
              </w:rPr>
              <w:t>“</w:t>
            </w:r>
            <w:r>
              <w:rPr/>
              <w:t>富戶</w:t>
            </w:r>
            <w:r>
              <w:rPr>
                <w:szCs w:val="27"/>
              </w:rPr>
              <w:t>”</w:t>
            </w:r>
            <w:r>
              <w:rPr/>
              <w:t>數目的百分比</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70%</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62%</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76%</w:t>
            </w:r>
          </w:p>
        </w:tc>
        <w:tc>
          <w:tcPr>
            <w:tcW w:w="7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47%</w:t>
            </w:r>
          </w:p>
        </w:tc>
        <w:tc>
          <w:tcPr>
            <w:tcW w:w="788"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jc w:val="center"/>
              <w:rPr/>
            </w:pPr>
            <w:r>
              <w:rPr/>
              <w:t>63%</w:t>
            </w:r>
          </w:p>
        </w:tc>
      </w:tr>
    </w:tbl>
    <w:p>
      <w:pPr>
        <w:pStyle w:val="F21"/>
        <w:rPr/>
      </w:pPr>
      <w:r>
        <w:rPr/>
      </w:r>
    </w:p>
    <w:p>
      <w:pPr>
        <w:pStyle w:val="Style14"/>
        <w:rPr>
          <w:i w:val="false"/>
          <w:i w:val="false"/>
        </w:rPr>
      </w:pPr>
      <w:r>
        <w:rPr>
          <w:i w:val="false"/>
        </w:rPr>
        <w:t>(</w:t>
      </w:r>
      <w:r>
        <w:rPr>
          <w:i w:val="false"/>
        </w:rPr>
        <w:t>四</w:t>
      </w:r>
      <w:r>
        <w:rPr>
          <w:i w:val="false"/>
        </w:rPr>
        <w:t>)</w:t>
      </w:r>
      <w:r>
        <w:rPr>
          <w:i w:val="false"/>
        </w:rPr>
        <w:t>及</w:t>
      </w:r>
      <w:r>
        <w:rPr>
          <w:i w:val="false"/>
        </w:rPr>
        <w:t>(</w:t>
      </w:r>
      <w:r>
        <w:rPr>
          <w:i w:val="false"/>
        </w:rPr>
        <w:t>五</w:t>
      </w:r>
      <w:r>
        <w:rPr>
          <w:i w:val="false"/>
        </w:rPr>
        <w:t>)</w:t>
      </w:r>
    </w:p>
    <w:p>
      <w:pPr>
        <w:pStyle w:val="Style14"/>
        <w:rPr>
          <w:i w:val="false"/>
          <w:i w:val="false"/>
        </w:rPr>
      </w:pPr>
      <w:r>
        <w:rPr>
          <w:i w:val="false"/>
        </w:rPr>
      </w:r>
    </w:p>
    <w:p>
      <w:pPr>
        <w:pStyle w:val="Style14"/>
        <w:rPr>
          <w:i w:val="false"/>
          <w:i w:val="false"/>
        </w:rPr>
      </w:pPr>
      <w:r>
        <w:rPr>
          <w:i w:val="false"/>
        </w:rPr>
        <w:tab/>
      </w:r>
      <w:r>
        <w:rPr>
          <w:i w:val="false"/>
        </w:rPr>
        <w:t>一如前述，房委會設有</w:t>
      </w:r>
      <w:r>
        <w:rPr>
          <w:i w:val="false"/>
          <w:szCs w:val="27"/>
        </w:rPr>
        <w:t>“</w:t>
      </w:r>
      <w:r>
        <w:rPr>
          <w:i w:val="false"/>
        </w:rPr>
        <w:t>富戶政策</w:t>
      </w:r>
      <w:r>
        <w:rPr>
          <w:i w:val="false"/>
          <w:szCs w:val="27"/>
        </w:rPr>
        <w:t>”</w:t>
      </w:r>
      <w:r>
        <w:rPr>
          <w:i w:val="false"/>
        </w:rPr>
        <w:t>，促進公屋單位的流轉，讓房委會能將公屋編配予最有需要的家庭。一直以來，社會上對</w:t>
      </w:r>
      <w:r>
        <w:rPr>
          <w:i w:val="false"/>
          <w:szCs w:val="27"/>
        </w:rPr>
        <w:t>“</w:t>
      </w:r>
      <w:r>
        <w:rPr>
          <w:i w:val="false"/>
        </w:rPr>
        <w:t>富戶政策</w:t>
      </w:r>
      <w:r>
        <w:rPr>
          <w:i w:val="false"/>
          <w:szCs w:val="27"/>
        </w:rPr>
        <w:t>”</w:t>
      </w:r>
      <w:r>
        <w:rPr>
          <w:i w:val="false"/>
        </w:rPr>
        <w:t>有各種不同意見。在長遠房屋策略諮詢文件中，亦有就</w:t>
      </w:r>
      <w:r>
        <w:rPr>
          <w:i w:val="false"/>
          <w:szCs w:val="27"/>
        </w:rPr>
        <w:t>“</w:t>
      </w:r>
      <w:r>
        <w:rPr>
          <w:i w:val="false"/>
        </w:rPr>
        <w:t>富戶政策</w:t>
      </w:r>
      <w:r>
        <w:rPr>
          <w:i w:val="false"/>
          <w:szCs w:val="27"/>
        </w:rPr>
        <w:t>”</w:t>
      </w:r>
      <w:r>
        <w:rPr>
          <w:i w:val="false"/>
        </w:rPr>
        <w:t>提出看法和建議。政府會將在長遠房屋策略公眾諮詢期內收到有關</w:t>
      </w:r>
      <w:r>
        <w:rPr>
          <w:i w:val="false"/>
          <w:szCs w:val="27"/>
        </w:rPr>
        <w:t>“</w:t>
      </w:r>
      <w:r>
        <w:rPr>
          <w:i w:val="false"/>
        </w:rPr>
        <w:t>富戶政策</w:t>
      </w:r>
      <w:r>
        <w:rPr>
          <w:i w:val="false"/>
          <w:szCs w:val="27"/>
        </w:rPr>
        <w:t>”</w:t>
      </w:r>
      <w:r>
        <w:rPr>
          <w:i w:val="false"/>
        </w:rPr>
        <w:t>的意見轉交房委會考慮。至於田議員在質詢中表達的建議，也會轉交房委會研究。</w:t>
      </w:r>
    </w:p>
    <w:p>
      <w:pPr>
        <w:pStyle w:val="F21"/>
        <w:rPr/>
      </w:pPr>
      <w:r>
        <w:rPr/>
      </w:r>
    </w:p>
    <w:p>
      <w:pPr>
        <w:pStyle w:val="F21"/>
        <w:rPr/>
      </w:pPr>
      <w:r>
        <w:rPr/>
      </w:r>
    </w:p>
    <w:p>
      <w:pPr>
        <w:pStyle w:val="F21"/>
        <w:rPr>
          <w:rFonts w:eastAsia="華康中黑體" w:cs="Times New Roman"/>
          <w:b/>
          <w:b/>
        </w:rPr>
      </w:pPr>
      <w:bookmarkStart w:id="49" w:name="wrq18"/>
      <w:r>
        <w:rPr>
          <w:rFonts w:cs="Times New Roman" w:eastAsia="華康中黑體"/>
          <w:b/>
        </w:rPr>
        <w:t>保障動物福利</w:t>
      </w:r>
    </w:p>
    <w:p>
      <w:pPr>
        <w:pStyle w:val="Normal"/>
        <w:rPr>
          <w:b/>
          <w:b/>
        </w:rPr>
      </w:pPr>
      <w:bookmarkStart w:id="50" w:name="wrq18"/>
      <w:r>
        <w:rPr>
          <w:b/>
        </w:rPr>
        <w:t>Protection of Welfare of Animals</w:t>
      </w:r>
      <w:bookmarkEnd w:id="50"/>
    </w:p>
    <w:p>
      <w:pPr>
        <w:pStyle w:val="F21"/>
        <w:rPr/>
      </w:pPr>
      <w:r>
        <w:rPr/>
      </w:r>
    </w:p>
    <w:p>
      <w:pPr>
        <w:pStyle w:val="F21"/>
        <w:rPr>
          <w:i/>
          <w:i/>
        </w:rPr>
      </w:pPr>
      <w:r>
        <w:rPr>
          <w:rFonts w:eastAsia="華康中黑體"/>
          <w:b/>
        </w:rPr>
        <w:t>18.</w:t>
      </w:r>
      <w:r>
        <w:rPr/>
        <w:tab/>
      </w:r>
      <w:r>
        <w:rPr>
          <w:rFonts w:eastAsia="華康中黑體"/>
          <w:b/>
        </w:rPr>
        <w:t>梁家傑議員</w:t>
      </w:r>
      <w:r>
        <w:rPr/>
        <w:t>：</w:t>
      </w:r>
      <w:r>
        <w:rPr>
          <w:i/>
        </w:rPr>
        <w:t>主席，政府去年就加強規管寵物買賣的建議措施諮詢公眾。漁農自然護理署</w:t>
      </w:r>
      <w:r>
        <w:rPr>
          <w:i/>
        </w:rPr>
        <w:t>(“</w:t>
      </w:r>
      <w:r>
        <w:rPr>
          <w:i/>
        </w:rPr>
        <w:t>漁護署”</w:t>
      </w:r>
      <w:r>
        <w:rPr>
          <w:i/>
        </w:rPr>
        <w:t>)</w:t>
      </w:r>
      <w:r>
        <w:rPr>
          <w:i/>
        </w:rPr>
        <w:t>在本年</w:t>
      </w:r>
      <w:r>
        <w:rPr>
          <w:i/>
        </w:rPr>
        <w:t>4</w:t>
      </w:r>
      <w:r>
        <w:rPr>
          <w:i/>
        </w:rPr>
        <w:t>月</w:t>
      </w:r>
      <w:r>
        <w:rPr>
          <w:i/>
        </w:rPr>
        <w:t>16</w:t>
      </w:r>
      <w:r>
        <w:rPr>
          <w:i/>
        </w:rPr>
        <w:t>日向本會事務委員會匯報諮詢結果時表示，目標是在今年內提出修訂《公眾衞生</w:t>
      </w:r>
      <w:r>
        <w:rPr>
          <w:i/>
        </w:rPr>
        <w:t>(</w:t>
      </w:r>
      <w:r>
        <w:rPr>
          <w:i/>
        </w:rPr>
        <w:t>動物及禽鳥</w:t>
      </w:r>
      <w:r>
        <w:rPr>
          <w:i/>
        </w:rPr>
        <w:t>)(</w:t>
      </w:r>
      <w:r>
        <w:rPr>
          <w:i/>
        </w:rPr>
        <w:t>動物售賣商</w:t>
      </w:r>
      <w:r>
        <w:rPr>
          <w:i/>
        </w:rPr>
        <w:t>)</w:t>
      </w:r>
      <w:r>
        <w:rPr>
          <w:i/>
        </w:rPr>
        <w:t>規例》</w:t>
      </w:r>
      <w:r>
        <w:rPr>
          <w:i/>
        </w:rPr>
        <w:t>(</w:t>
      </w:r>
      <w:r>
        <w:rPr>
          <w:i/>
        </w:rPr>
        <w:t>第</w:t>
      </w:r>
      <w:r>
        <w:rPr>
          <w:i/>
        </w:rPr>
        <w:t>139</w:t>
      </w:r>
      <w:r>
        <w:rPr>
          <w:i/>
        </w:rPr>
        <w:t>章，附屬法例</w:t>
      </w:r>
      <w:r>
        <w:rPr>
          <w:i/>
        </w:rPr>
        <w:t>B)</w:t>
      </w:r>
      <w:r>
        <w:rPr>
          <w:i/>
        </w:rPr>
        <w:t>，但至今仍未向本會提交任何立法建議。此外，有關注動物權益團體反映，由於只有繁殖和售賣狗隻活動受到規管，擬議的修訂條文未能全面監管私人繁殖場。就此，政府可否告知本會：</w:t>
      </w:r>
    </w:p>
    <w:p>
      <w:pPr>
        <w:pStyle w:val="F21"/>
        <w:rPr>
          <w:i/>
          <w:i/>
        </w:rPr>
      </w:pPr>
      <w:r>
        <w:rPr>
          <w:i/>
        </w:rPr>
      </w:r>
    </w:p>
    <w:p>
      <w:pPr>
        <w:pStyle w:val="F21"/>
        <w:ind w:left="1417" w:hanging="850"/>
        <w:rPr>
          <w:i/>
          <w:i/>
        </w:rPr>
      </w:pPr>
      <w:r>
        <w:rPr>
          <w:i/>
        </w:rPr>
        <w:t>(</w:t>
      </w:r>
      <w:r>
        <w:rPr>
          <w:i/>
        </w:rPr>
        <w:t>一</w:t>
      </w:r>
      <w:r>
        <w:rPr>
          <w:i/>
        </w:rPr>
        <w:t>)</w:t>
        <w:tab/>
      </w:r>
      <w:r>
        <w:rPr>
          <w:i/>
        </w:rPr>
        <w:t>過去</w:t>
      </w:r>
      <w:r>
        <w:rPr>
          <w:i/>
        </w:rPr>
        <w:t>3</w:t>
      </w:r>
      <w:r>
        <w:rPr>
          <w:i/>
        </w:rPr>
        <w:t>年，漁護署及警方接獲虐待動物的舉報及提出檢控的個案數目分別為何，並按被虐動物的種類列出分項資料；</w:t>
      </w:r>
    </w:p>
    <w:p>
      <w:pPr>
        <w:pStyle w:val="F21"/>
        <w:ind w:left="1417" w:hanging="850"/>
        <w:rPr>
          <w:i/>
          <w:i/>
        </w:rPr>
      </w:pPr>
      <w:r>
        <w:rPr>
          <w:i/>
        </w:rPr>
      </w:r>
    </w:p>
    <w:p>
      <w:pPr>
        <w:pStyle w:val="F21"/>
        <w:ind w:left="1417" w:hanging="850"/>
        <w:rPr>
          <w:i/>
          <w:i/>
        </w:rPr>
      </w:pPr>
      <w:r>
        <w:rPr>
          <w:i/>
        </w:rPr>
        <w:t>(</w:t>
      </w:r>
      <w:r>
        <w:rPr>
          <w:i/>
        </w:rPr>
        <w:t>二</w:t>
      </w:r>
      <w:r>
        <w:rPr>
          <w:i/>
        </w:rPr>
        <w:t>)</w:t>
        <w:tab/>
      </w:r>
      <w:r>
        <w:rPr>
          <w:i/>
        </w:rPr>
        <w:t>過去</w:t>
      </w:r>
      <w:r>
        <w:rPr>
          <w:i/>
        </w:rPr>
        <w:t>3</w:t>
      </w:r>
      <w:r>
        <w:rPr>
          <w:i/>
        </w:rPr>
        <w:t>年，每年的寵物銷售額，並按動物的種類列出分項資料；</w:t>
      </w:r>
    </w:p>
    <w:p>
      <w:pPr>
        <w:pStyle w:val="F21"/>
        <w:ind w:left="1417" w:hanging="850"/>
        <w:rPr>
          <w:i/>
          <w:i/>
        </w:rPr>
      </w:pPr>
      <w:r>
        <w:rPr>
          <w:i/>
        </w:rPr>
      </w:r>
    </w:p>
    <w:p>
      <w:pPr>
        <w:pStyle w:val="F21"/>
        <w:ind w:left="1417" w:hanging="850"/>
        <w:rPr>
          <w:i/>
          <w:i/>
        </w:rPr>
      </w:pPr>
      <w:r>
        <w:rPr>
          <w:i/>
        </w:rPr>
        <w:t>(</w:t>
      </w:r>
      <w:r>
        <w:rPr>
          <w:i/>
        </w:rPr>
        <w:t>三</w:t>
      </w:r>
      <w:r>
        <w:rPr>
          <w:i/>
        </w:rPr>
        <w:t>)</w:t>
        <w:tab/>
      </w:r>
      <w:r>
        <w:rPr>
          <w:i/>
        </w:rPr>
        <w:t>為何至今仍未向本會提交上述的立法建議及將於何時提交；</w:t>
      </w:r>
    </w:p>
    <w:p>
      <w:pPr>
        <w:pStyle w:val="F21"/>
        <w:ind w:left="1417" w:hanging="850"/>
        <w:rPr>
          <w:i/>
          <w:i/>
        </w:rPr>
      </w:pPr>
      <w:r>
        <w:rPr>
          <w:i/>
        </w:rPr>
      </w:r>
    </w:p>
    <w:p>
      <w:pPr>
        <w:pStyle w:val="F21"/>
        <w:ind w:left="1417" w:hanging="850"/>
        <w:rPr>
          <w:i/>
          <w:i/>
        </w:rPr>
      </w:pPr>
      <w:r>
        <w:rPr>
          <w:i/>
        </w:rPr>
        <w:t>(</w:t>
      </w:r>
      <w:r>
        <w:rPr>
          <w:i/>
        </w:rPr>
        <w:t>四</w:t>
      </w:r>
      <w:r>
        <w:rPr>
          <w:i/>
        </w:rPr>
        <w:t>)</w:t>
        <w:tab/>
      </w:r>
      <w:r>
        <w:rPr>
          <w:i/>
        </w:rPr>
        <w:t>鑒於有關注動物權益團體憂慮，擬議的修訂並未禁止在私人住宅內經營動物繁殖場以致當局難以突擊巡查該等繁殖場、容許以私人名義申領牌照繁殖及買賣動物，以及沒有就全港的發牌數目設定上限，當局有否評估該等情況有否構成規管漏洞，令當局難以有效監管私人繁殖寵物活動；如有，詳情為何；如否，原因為何；及</w:t>
      </w:r>
    </w:p>
    <w:p>
      <w:pPr>
        <w:pStyle w:val="F21"/>
        <w:rPr>
          <w:i/>
          <w:i/>
        </w:rPr>
      </w:pPr>
      <w:r>
        <w:rPr>
          <w:i/>
        </w:rPr>
      </w:r>
    </w:p>
    <w:p>
      <w:pPr>
        <w:pStyle w:val="F21"/>
        <w:ind w:left="1417" w:hanging="850"/>
        <w:rPr>
          <w:i/>
          <w:i/>
        </w:rPr>
      </w:pPr>
      <w:r>
        <w:rPr>
          <w:i/>
        </w:rPr>
        <w:t>(</w:t>
      </w:r>
      <w:r>
        <w:rPr>
          <w:i/>
        </w:rPr>
        <w:t>五</w:t>
      </w:r>
      <w:r>
        <w:rPr>
          <w:i/>
        </w:rPr>
        <w:t>)</w:t>
        <w:tab/>
      </w:r>
      <w:r>
        <w:rPr>
          <w:i/>
        </w:rPr>
        <w:t>漁護署有否評估，全面禁止私人繁殖寵物作商業用途的國家或地方，虐待及遺棄動物的個案數字是否較少；如評估結果為是，詳情為何，以及漁護署會否考慮採取該做法；如沒有評估，原因為何？</w:t>
      </w:r>
    </w:p>
    <w:p>
      <w:pPr>
        <w:pStyle w:val="F21"/>
        <w:rPr>
          <w:i/>
          <w:i/>
        </w:rPr>
      </w:pPr>
      <w:r>
        <w:rPr>
          <w:i/>
        </w:rPr>
      </w:r>
    </w:p>
    <w:p>
      <w:pPr>
        <w:pStyle w:val="F21"/>
        <w:rPr>
          <w:i/>
          <w:i/>
        </w:rPr>
      </w:pPr>
      <w:r>
        <w:rPr>
          <w:i/>
        </w:rPr>
      </w:r>
    </w:p>
    <w:p>
      <w:pPr>
        <w:pStyle w:val="F21"/>
        <w:rPr/>
      </w:pPr>
      <w:r>
        <w:rPr>
          <w:rFonts w:eastAsia="華康中黑體"/>
          <w:b/>
        </w:rPr>
        <w:t>食物及衞生局局長</w:t>
      </w:r>
      <w:r>
        <w:rPr/>
        <w:t>：主席，現時，根據《公眾衞生</w:t>
      </w:r>
      <w:r>
        <w:rPr/>
        <w:t>(</w:t>
      </w:r>
      <w:r>
        <w:rPr/>
        <w:t>動物及禽鳥</w:t>
      </w:r>
      <w:r>
        <w:rPr/>
        <w:t>)(</w:t>
      </w:r>
      <w:r>
        <w:rPr/>
        <w:t>動物售賣商</w:t>
      </w:r>
      <w:r>
        <w:rPr/>
        <w:t>)</w:t>
      </w:r>
      <w:r>
        <w:rPr/>
        <w:t>規例》</w:t>
      </w:r>
      <w:r>
        <w:rPr/>
        <w:t>(</w:t>
      </w:r>
      <w:r>
        <w:rPr/>
        <w:t>第</w:t>
      </w:r>
      <w:r>
        <w:rPr/>
        <w:t>139B</w:t>
      </w:r>
      <w:r>
        <w:rPr/>
        <w:t>章</w:t>
      </w:r>
      <w:r>
        <w:rPr/>
        <w:t>)</w:t>
      </w:r>
      <w:r>
        <w:rPr/>
        <w:t>，任何出售動物或禽鳥或提供動物或禽鳥出售的人，均須向漁護署署長領取動物售賣商牌照，但將自己任何作為寵物飼養的動物或禽鳥或其後代出售，則可獲豁免。部分商業繁殖者利用這項豁免，以私人寵物飼養人士的名義作掩飾以進行經營，藉此逃避遵從相關法規，以致引起公眾衞生和動物福利方面的問題。這個問題在狗隻售賣中尤見嚴重。</w:t>
      </w:r>
    </w:p>
    <w:p>
      <w:pPr>
        <w:pStyle w:val="F21"/>
        <w:rPr/>
      </w:pPr>
      <w:r>
        <w:rPr/>
      </w:r>
    </w:p>
    <w:p>
      <w:pPr>
        <w:pStyle w:val="F21"/>
        <w:rPr/>
      </w:pPr>
      <w:r>
        <w:rPr/>
        <w:tab/>
      </w:r>
      <w:r>
        <w:rPr/>
        <w:t>為加強規管寵物買賣以促進動物健康和福利，當局檢討了寵物業的運作模式、相關的執法行動及法例，並於</w:t>
      </w:r>
      <w:r>
        <w:rPr/>
        <w:t>2012</w:t>
      </w:r>
      <w:r>
        <w:rPr/>
        <w:t>年</w:t>
      </w:r>
      <w:r>
        <w:rPr/>
        <w:t>10</w:t>
      </w:r>
      <w:r>
        <w:rPr/>
        <w:t>月舉行了為期兩個月的公眾諮詢。主要的建議包括引入新的牌照</w:t>
      </w:r>
      <w:r>
        <w:rPr>
          <w:szCs w:val="27"/>
        </w:rPr>
        <w:t>／</w:t>
      </w:r>
      <w:r>
        <w:rPr/>
        <w:t>許可證制度，以加強規管繁殖及售賣狗隻的人士、提高第</w:t>
      </w:r>
      <w:r>
        <w:rPr/>
        <w:t>139B</w:t>
      </w:r>
      <w:r>
        <w:rPr/>
        <w:t>章所訂罰則，以及賦權漁護署署長在特定情況下撤銷動物售賣商牌照。其後，我們於</w:t>
      </w:r>
      <w:r>
        <w:rPr/>
        <w:t>2013</w:t>
      </w:r>
      <w:r>
        <w:rPr/>
        <w:t>年</w:t>
      </w:r>
      <w:r>
        <w:rPr/>
        <w:t>4</w:t>
      </w:r>
      <w:r>
        <w:rPr/>
        <w:t>月向立法會食物安全及環境衞生事務委員會</w:t>
      </w:r>
      <w:r>
        <w:rPr/>
        <w:t>(“</w:t>
      </w:r>
      <w:r>
        <w:rPr/>
        <w:t>事務委員會”</w:t>
      </w:r>
      <w:r>
        <w:rPr/>
        <w:t>)</w:t>
      </w:r>
      <w:r>
        <w:rPr/>
        <w:t>匯報諮詢結果。</w:t>
      </w:r>
    </w:p>
    <w:p>
      <w:pPr>
        <w:pStyle w:val="F21"/>
        <w:rPr/>
      </w:pPr>
      <w:r>
        <w:rPr/>
      </w:r>
    </w:p>
    <w:p>
      <w:pPr>
        <w:pStyle w:val="F21"/>
        <w:rPr/>
      </w:pPr>
      <w:r>
        <w:rPr/>
        <w:tab/>
      </w:r>
      <w:r>
        <w:rPr/>
        <w:t>我現就質詢的各部分答覆如下：</w:t>
      </w:r>
    </w:p>
    <w:p>
      <w:pPr>
        <w:pStyle w:val="F21"/>
        <w:rPr/>
      </w:pPr>
      <w:r>
        <w:rPr/>
      </w:r>
    </w:p>
    <w:p>
      <w:pPr>
        <w:pStyle w:val="Style14"/>
        <w:rPr>
          <w:i w:val="false"/>
          <w:i w:val="false"/>
        </w:rPr>
      </w:pPr>
      <w:r>
        <w:rPr>
          <w:i w:val="false"/>
        </w:rPr>
        <w:t>(</w:t>
      </w:r>
      <w:r>
        <w:rPr>
          <w:i w:val="false"/>
        </w:rPr>
        <w:t>一</w:t>
      </w:r>
      <w:r>
        <w:rPr>
          <w:i w:val="false"/>
        </w:rPr>
        <w:t>)</w:t>
        <w:tab/>
      </w:r>
      <w:r>
        <w:rPr>
          <w:i w:val="false"/>
        </w:rPr>
        <w:t>過去</w:t>
      </w:r>
      <w:r>
        <w:rPr>
          <w:i w:val="false"/>
        </w:rPr>
        <w:t>3</w:t>
      </w:r>
      <w:r>
        <w:rPr>
          <w:i w:val="false"/>
        </w:rPr>
        <w:t>年，政府接獲有關懷疑虐待動物的舉報個案，分別為</w:t>
      </w:r>
      <w:r>
        <w:rPr>
          <w:i w:val="false"/>
        </w:rPr>
        <w:t>2010</w:t>
      </w:r>
      <w:r>
        <w:rPr>
          <w:i w:val="false"/>
        </w:rPr>
        <w:t>年的</w:t>
      </w:r>
      <w:r>
        <w:rPr>
          <w:i w:val="false"/>
        </w:rPr>
        <w:t>153</w:t>
      </w:r>
      <w:r>
        <w:rPr>
          <w:i w:val="false"/>
        </w:rPr>
        <w:t>宗、</w:t>
      </w:r>
      <w:r>
        <w:rPr>
          <w:i w:val="false"/>
        </w:rPr>
        <w:t>2011</w:t>
      </w:r>
      <w:r>
        <w:rPr>
          <w:i w:val="false"/>
        </w:rPr>
        <w:t>年的</w:t>
      </w:r>
      <w:r>
        <w:rPr>
          <w:i w:val="false"/>
        </w:rPr>
        <w:t>129</w:t>
      </w:r>
      <w:r>
        <w:rPr>
          <w:i w:val="false"/>
        </w:rPr>
        <w:t>宗和</w:t>
      </w:r>
      <w:r>
        <w:rPr>
          <w:i w:val="false"/>
        </w:rPr>
        <w:t>2012</w:t>
      </w:r>
      <w:r>
        <w:rPr>
          <w:i w:val="false"/>
        </w:rPr>
        <w:t>年的</w:t>
      </w:r>
      <w:r>
        <w:rPr>
          <w:i w:val="false"/>
        </w:rPr>
        <w:t>112</w:t>
      </w:r>
      <w:r>
        <w:rPr>
          <w:i w:val="false"/>
        </w:rPr>
        <w:t>宗。大部分舉報個案經相關部門調查後均證實為不涉及虐待動物。其中根據《防止殘酷對待動物條例》提出的檢控宗數分別為</w:t>
      </w:r>
      <w:r>
        <w:rPr>
          <w:i w:val="false"/>
        </w:rPr>
        <w:t>2010</w:t>
      </w:r>
      <w:r>
        <w:rPr>
          <w:i w:val="false"/>
        </w:rPr>
        <w:t>年的</w:t>
      </w:r>
      <w:r>
        <w:rPr>
          <w:i w:val="false"/>
        </w:rPr>
        <w:t>11</w:t>
      </w:r>
      <w:r>
        <w:rPr>
          <w:i w:val="false"/>
        </w:rPr>
        <w:t>宗、</w:t>
      </w:r>
      <w:r>
        <w:rPr>
          <w:i w:val="false"/>
        </w:rPr>
        <w:t>2011</w:t>
      </w:r>
      <w:r>
        <w:rPr>
          <w:i w:val="false"/>
        </w:rPr>
        <w:t>年的</w:t>
      </w:r>
      <w:r>
        <w:rPr>
          <w:i w:val="false"/>
        </w:rPr>
        <w:t>15</w:t>
      </w:r>
      <w:r>
        <w:rPr>
          <w:i w:val="false"/>
        </w:rPr>
        <w:t>宗和</w:t>
      </w:r>
      <w:r>
        <w:rPr>
          <w:i w:val="false"/>
        </w:rPr>
        <w:t>2012</w:t>
      </w:r>
      <w:r>
        <w:rPr>
          <w:i w:val="false"/>
        </w:rPr>
        <w:t>年的</w:t>
      </w:r>
      <w:r>
        <w:rPr>
          <w:i w:val="false"/>
        </w:rPr>
        <w:t>19</w:t>
      </w:r>
      <w:r>
        <w:rPr>
          <w:i w:val="false"/>
        </w:rPr>
        <w:t>宗，當中絕大多數都能把涉案人士成功定罪。至於有關個案所涉及的動物種類，當局沒有備存相關的統計數字。</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根據現行法例，動物售賣商無需向漁護署匯報寵物銷售數字，故當局沒有備存相關的統計數字。</w:t>
      </w:r>
    </w:p>
    <w:p>
      <w:pPr>
        <w:pStyle w:val="Style14"/>
        <w:rPr>
          <w:i w:val="false"/>
          <w:i w:val="false"/>
        </w:rPr>
      </w:pPr>
      <w:r>
        <w:rPr>
          <w:i w:val="false"/>
        </w:rPr>
      </w:r>
    </w:p>
    <w:p>
      <w:pPr>
        <w:pStyle w:val="Style14"/>
        <w:rPr>
          <w:i w:val="false"/>
          <w:i w:val="false"/>
        </w:rPr>
      </w:pPr>
      <w:r>
        <w:rPr>
          <w:i w:val="false"/>
        </w:rPr>
        <w:t>(</w:t>
      </w:r>
      <w:r>
        <w:rPr>
          <w:i w:val="false"/>
        </w:rPr>
        <w:t>三</w:t>
      </w:r>
      <w:r>
        <w:rPr>
          <w:i w:val="false"/>
        </w:rPr>
        <w:t>)</w:t>
        <w:tab/>
      </w:r>
      <w:r>
        <w:rPr>
          <w:i w:val="false"/>
        </w:rPr>
        <w:t>當局於今年</w:t>
      </w:r>
      <w:r>
        <w:rPr>
          <w:i w:val="false"/>
        </w:rPr>
        <w:t>4</w:t>
      </w:r>
      <w:r>
        <w:rPr>
          <w:i w:val="false"/>
        </w:rPr>
        <w:t>月</w:t>
      </w:r>
      <w:r>
        <w:rPr>
          <w:i w:val="false"/>
        </w:rPr>
        <w:t>16</w:t>
      </w:r>
      <w:r>
        <w:rPr>
          <w:i w:val="false"/>
        </w:rPr>
        <w:t>日向事務委員會匯報公眾諮詢的結果時，提到我們的目標是在</w:t>
      </w:r>
      <w:r>
        <w:rPr>
          <w:i w:val="false"/>
        </w:rPr>
        <w:t>2013</w:t>
      </w:r>
      <w:r>
        <w:rPr>
          <w:i w:val="false"/>
        </w:rPr>
        <w:t>年內把修訂規例提交立法會審議。然而，在該次會議上多名委員對政府所提議的新發牌制度提出不同的意見。一些動物團體和寵物售賣及繁殖業界亦在公眾諮詢結束後就擬議的新發牌制度提出了新的觀點。為了跟進這些意見及觀點，過去數月，當局再次會見相關的立法會議員、動物團體及業界代表，就規管的形式及細節詳細交換意見。我們現正仔細研究這些意見，以期在確保動物福利的同時落實一套切實可行的規管制度，並會盡快把修訂規例提交立法會審議。</w:t>
      </w:r>
    </w:p>
    <w:p>
      <w:pPr>
        <w:pStyle w:val="Style14"/>
        <w:rPr>
          <w:i w:val="false"/>
          <w:i w:val="false"/>
        </w:rPr>
      </w:pPr>
      <w:r>
        <w:rPr>
          <w:i w:val="false"/>
        </w:rPr>
      </w:r>
    </w:p>
    <w:p>
      <w:pPr>
        <w:pStyle w:val="Style14"/>
        <w:rPr>
          <w:i w:val="false"/>
          <w:i w:val="false"/>
        </w:rPr>
      </w:pPr>
      <w:r>
        <w:rPr>
          <w:i w:val="false"/>
        </w:rPr>
        <w:t>(</w:t>
      </w:r>
      <w:r>
        <w:rPr>
          <w:i w:val="false"/>
        </w:rPr>
        <w:t>四</w:t>
      </w:r>
      <w:r>
        <w:rPr>
          <w:i w:val="false"/>
        </w:rPr>
        <w:t>)</w:t>
        <w:tab/>
      </w:r>
      <w:r>
        <w:rPr>
          <w:i w:val="false"/>
        </w:rPr>
        <w:t>當局備悉有一些動物團體對漁護署的執法效力表示關注。事實上，漁護署在審批牌照申請時會到擬用的售賣</w:t>
      </w:r>
      <w:r>
        <w:rPr>
          <w:i w:val="false"/>
          <w:szCs w:val="27"/>
        </w:rPr>
        <w:t>／</w:t>
      </w:r>
      <w:r>
        <w:rPr>
          <w:i w:val="false"/>
        </w:rPr>
        <w:t>繁殖處所巡視，在牌照發出後漁護署亦會到有關處所進行巡查，以確保持牌人遵循相關的發牌條件及營業守則。除非漁護署署長信納申請人或持牌人擬用的處所符合相關的規定，否則不會批給牌照或將牌照續期。</w:t>
      </w:r>
    </w:p>
    <w:p>
      <w:pPr>
        <w:pStyle w:val="Style14"/>
        <w:rPr>
          <w:i w:val="false"/>
          <w:i w:val="false"/>
        </w:rPr>
      </w:pPr>
      <w:r>
        <w:rPr>
          <w:i w:val="false"/>
        </w:rPr>
      </w:r>
    </w:p>
    <w:p>
      <w:pPr>
        <w:pStyle w:val="Style14"/>
        <w:rPr>
          <w:i w:val="false"/>
          <w:i w:val="false"/>
        </w:rPr>
      </w:pPr>
      <w:r>
        <w:rPr>
          <w:i w:val="false"/>
        </w:rPr>
        <w:tab/>
      </w:r>
      <w:r>
        <w:rPr>
          <w:i w:val="false"/>
        </w:rPr>
        <w:t>此外，議員指有一些動物團體關注當局的建議將容許市民以</w:t>
      </w:r>
      <w:r>
        <w:rPr>
          <w:i w:val="false"/>
          <w:szCs w:val="27"/>
        </w:rPr>
        <w:t>“</w:t>
      </w:r>
      <w:r>
        <w:rPr>
          <w:i w:val="false"/>
        </w:rPr>
        <w:t>私人名義</w:t>
      </w:r>
      <w:r>
        <w:rPr>
          <w:i w:val="false"/>
          <w:szCs w:val="27"/>
        </w:rPr>
        <w:t>”</w:t>
      </w:r>
      <w:r>
        <w:rPr>
          <w:i w:val="false"/>
        </w:rPr>
        <w:t>申領牌照繁殖及買賣動物。是次建議修例的目的，正是要透過發牌制度去規管這些實際上是商業繁殖者的人士，他們現時利用法例的豁免，以私人寵物飼養人士的名義作掩飾經營動物繁殖及買賣。</w:t>
      </w:r>
    </w:p>
    <w:p>
      <w:pPr>
        <w:pStyle w:val="Style14"/>
        <w:rPr>
          <w:i w:val="false"/>
          <w:i w:val="false"/>
        </w:rPr>
      </w:pPr>
      <w:r>
        <w:rPr>
          <w:i w:val="false"/>
        </w:rPr>
      </w:r>
    </w:p>
    <w:p>
      <w:pPr>
        <w:pStyle w:val="Style14"/>
        <w:rPr>
          <w:i w:val="false"/>
          <w:i w:val="false"/>
        </w:rPr>
      </w:pPr>
      <w:r>
        <w:rPr>
          <w:i w:val="false"/>
        </w:rPr>
        <w:tab/>
      </w:r>
      <w:r>
        <w:rPr>
          <w:i w:val="false"/>
        </w:rPr>
        <w:t>我們希望可以透過擬議的發牌制度去全面規管所有繁殖動物以作售賣用途的人士，因此當局不建議為發牌數目設定上限。</w:t>
      </w:r>
    </w:p>
    <w:p>
      <w:pPr>
        <w:pStyle w:val="Style14"/>
        <w:rPr>
          <w:i w:val="false"/>
          <w:i w:val="false"/>
        </w:rPr>
      </w:pPr>
      <w:r>
        <w:rPr>
          <w:i w:val="false"/>
        </w:rPr>
      </w:r>
    </w:p>
    <w:p>
      <w:pPr>
        <w:pStyle w:val="Style14"/>
        <w:rPr/>
      </w:pPr>
      <w:r>
        <w:rPr>
          <w:i w:val="false"/>
        </w:rPr>
        <w:t>(</w:t>
      </w:r>
      <w:r>
        <w:rPr>
          <w:i w:val="false"/>
        </w:rPr>
        <w:t>五</w:t>
      </w:r>
      <w:r>
        <w:rPr>
          <w:i w:val="false"/>
        </w:rPr>
        <w:t>)</w:t>
        <w:tab/>
      </w:r>
      <w:r>
        <w:rPr>
          <w:i w:val="false"/>
        </w:rPr>
        <w:t>根據漁護署掌握的資料，目前沒有國家或地方全面禁止私人繁殖寵物作商業用途，包括英國、美國、澳洲及新西蘭這些已發展國家。</w:t>
      </w:r>
    </w:p>
    <w:p>
      <w:pPr>
        <w:pStyle w:val="F21"/>
        <w:rPr/>
      </w:pPr>
      <w:r>
        <w:rPr/>
      </w:r>
    </w:p>
    <w:p>
      <w:pPr>
        <w:pStyle w:val="F21"/>
        <w:rPr>
          <w:szCs w:val="27"/>
        </w:rPr>
      </w:pPr>
      <w:r>
        <w:rPr>
          <w:szCs w:val="27"/>
        </w:rPr>
      </w:r>
    </w:p>
    <w:p>
      <w:pPr>
        <w:pStyle w:val="F21"/>
        <w:rPr>
          <w:rFonts w:eastAsia="華康中黑體" w:cs="Times New Roman"/>
          <w:b/>
          <w:b/>
        </w:rPr>
      </w:pPr>
      <w:bookmarkStart w:id="51" w:name="wrq19"/>
      <w:r>
        <w:rPr>
          <w:rFonts w:cs="Times New Roman" w:eastAsia="華康中黑體"/>
          <w:b/>
        </w:rPr>
        <w:t>就非政府機構所作決定提出司法覆核</w:t>
      </w:r>
    </w:p>
    <w:p>
      <w:pPr>
        <w:pStyle w:val="Normal"/>
        <w:rPr>
          <w:b/>
          <w:b/>
        </w:rPr>
      </w:pPr>
      <w:bookmarkStart w:id="52" w:name="wrq19"/>
      <w:r>
        <w:rPr>
          <w:b/>
        </w:rPr>
        <w:t>Judicial Review Against Decisions Made by Non-governmental Organizations</w:t>
      </w:r>
      <w:bookmarkEnd w:id="52"/>
    </w:p>
    <w:p>
      <w:pPr>
        <w:pStyle w:val="F21"/>
        <w:rPr/>
      </w:pPr>
      <w:r>
        <w:rPr/>
      </w:r>
    </w:p>
    <w:p>
      <w:pPr>
        <w:pStyle w:val="F21"/>
        <w:rPr>
          <w:i/>
          <w:i/>
        </w:rPr>
      </w:pPr>
      <w:r>
        <w:rPr>
          <w:rFonts w:eastAsia="華康中黑體"/>
          <w:b/>
        </w:rPr>
        <w:t>19.</w:t>
      </w:r>
      <w:r>
        <w:rPr/>
        <w:tab/>
      </w:r>
      <w:r>
        <w:rPr>
          <w:rFonts w:eastAsia="華康中黑體"/>
          <w:b/>
        </w:rPr>
        <w:t>梁國雄議員</w:t>
      </w:r>
      <w:r>
        <w:rPr/>
        <w:t>：</w:t>
      </w:r>
      <w:r>
        <w:rPr>
          <w:i/>
        </w:rPr>
        <w:t>主席，本人獲悉，香港國際社會服務社</w:t>
      </w:r>
      <w:r>
        <w:rPr>
          <w:i/>
        </w:rPr>
        <w:t>(“</w:t>
      </w:r>
      <w:r>
        <w:rPr>
          <w:i/>
        </w:rPr>
        <w:t>國際服務社”</w:t>
      </w:r>
      <w:r>
        <w:rPr>
          <w:i/>
        </w:rPr>
        <w:t>)</w:t>
      </w:r>
      <w:r>
        <w:rPr>
          <w:i/>
        </w:rPr>
        <w:t>設於深水埗的綜合家庭服務中心</w:t>
      </w:r>
      <w:r>
        <w:rPr>
          <w:i/>
        </w:rPr>
        <w:t>(“</w:t>
      </w:r>
      <w:r>
        <w:rPr>
          <w:i/>
        </w:rPr>
        <w:t>深水埗中心”</w:t>
      </w:r>
      <w:r>
        <w:rPr>
          <w:i/>
        </w:rPr>
        <w:t>)</w:t>
      </w:r>
      <w:r>
        <w:rPr>
          <w:i/>
        </w:rPr>
        <w:t>的註冊社工曾多次拒絕向當局推薦體恤安置、公屋分戶及有條件租約計劃</w:t>
      </w:r>
      <w:r>
        <w:rPr>
          <w:i/>
        </w:rPr>
        <w:t>(</w:t>
      </w:r>
      <w:r>
        <w:rPr>
          <w:i/>
        </w:rPr>
        <w:t>下稱“房屋援助”</w:t>
      </w:r>
      <w:r>
        <w:rPr>
          <w:i/>
        </w:rPr>
        <w:t>)</w:t>
      </w:r>
      <w:r>
        <w:rPr>
          <w:i/>
        </w:rPr>
        <w:t>的申請。有關申請人曾就有關決定向高等法院提出司法覆核許可申請，但遭拒絕受理。就此，政府可否告知本會：</w:t>
      </w:r>
    </w:p>
    <w:p>
      <w:pPr>
        <w:pStyle w:val="F21"/>
        <w:rPr>
          <w:i/>
          <w:i/>
        </w:rPr>
      </w:pPr>
      <w:r>
        <w:rPr>
          <w:i/>
        </w:rPr>
      </w:r>
    </w:p>
    <w:p>
      <w:pPr>
        <w:pStyle w:val="F21"/>
        <w:ind w:left="1417" w:hanging="850"/>
        <w:rPr>
          <w:i/>
          <w:i/>
        </w:rPr>
      </w:pPr>
      <w:r>
        <w:rPr>
          <w:i/>
        </w:rPr>
        <w:t>(</w:t>
      </w:r>
      <w:r>
        <w:rPr>
          <w:i/>
        </w:rPr>
        <w:t>一</w:t>
      </w:r>
      <w:r>
        <w:rPr>
          <w:i/>
        </w:rPr>
        <w:t>)</w:t>
        <w:tab/>
      </w:r>
      <w:r>
        <w:rPr>
          <w:i/>
        </w:rPr>
        <w:t>儘管政府在本年</w:t>
      </w:r>
      <w:r>
        <w:rPr>
          <w:i/>
        </w:rPr>
        <w:t>11</w:t>
      </w:r>
      <w:r>
        <w:rPr>
          <w:i/>
        </w:rPr>
        <w:t>月</w:t>
      </w:r>
      <w:r>
        <w:rPr>
          <w:i/>
        </w:rPr>
        <w:t>13</w:t>
      </w:r>
      <w:r>
        <w:rPr>
          <w:i/>
        </w:rPr>
        <w:t>日回覆本人的質詢時表示，香港居民有權對行政部門和行政人員的行為向法院提出訴訟，但鑒於有法律界人士告知本人，高等法院登記處根本不會處理市民就非政府機構所作決定而提出的司法覆核許可申請，亦不會將該等申請存檔或排期聆訊，當局有否研究市民可否根據《基本法》第三十五條，就非政府機構轄下綜合家庭服務中心的社工所作決定提出司法覆核；若有研究，結果為何；有否措施保障市民就該等決定尋求司法覆核的權利；若有，詳情為何；若否，如何確保社會福利署</w:t>
      </w:r>
      <w:r>
        <w:rPr>
          <w:i/>
        </w:rPr>
        <w:t>(“</w:t>
      </w:r>
      <w:r>
        <w:rPr>
          <w:i/>
        </w:rPr>
        <w:t>社署”</w:t>
      </w:r>
      <w:r>
        <w:rPr>
          <w:i/>
        </w:rPr>
        <w:t>)</w:t>
      </w:r>
      <w:r>
        <w:rPr>
          <w:i/>
        </w:rPr>
        <w:t>不會透過服務外判制度，剝削市民尋求司法濟助的權利；</w:t>
      </w:r>
    </w:p>
    <w:p>
      <w:pPr>
        <w:pStyle w:val="F21"/>
        <w:rPr>
          <w:i/>
          <w:i/>
        </w:rPr>
      </w:pPr>
      <w:r>
        <w:rPr>
          <w:i/>
        </w:rPr>
      </w:r>
    </w:p>
    <w:p>
      <w:pPr>
        <w:pStyle w:val="F21"/>
        <w:ind w:left="1417" w:hanging="850"/>
        <w:rPr>
          <w:i/>
          <w:i/>
        </w:rPr>
      </w:pPr>
      <w:r>
        <w:rPr>
          <w:i/>
        </w:rPr>
        <w:t>(</w:t>
      </w:r>
      <w:r>
        <w:rPr>
          <w:i/>
        </w:rPr>
        <w:t>二</w:t>
      </w:r>
      <w:r>
        <w:rPr>
          <w:i/>
        </w:rPr>
        <w:t>)</w:t>
        <w:tab/>
      </w:r>
      <w:r>
        <w:rPr>
          <w:i/>
        </w:rPr>
        <w:t>是否知悉，深水埗中心的註冊社工的數目；當中多少人曾接受評估房屋援助申請的相關訓練；過去</w:t>
      </w:r>
      <w:r>
        <w:rPr>
          <w:i/>
        </w:rPr>
        <w:t>5</w:t>
      </w:r>
      <w:r>
        <w:rPr>
          <w:i/>
        </w:rPr>
        <w:t>年，該中心每年</w:t>
      </w:r>
      <w:r>
        <w:rPr>
          <w:i/>
        </w:rPr>
        <w:t>(i)</w:t>
      </w:r>
      <w:r>
        <w:rPr>
          <w:i/>
        </w:rPr>
        <w:t>向當局推薦的各項房屋援助申請的宗數分別為何，以及</w:t>
      </w:r>
      <w:r>
        <w:rPr>
          <w:i/>
        </w:rPr>
        <w:t>(ii)</w:t>
      </w:r>
      <w:r>
        <w:rPr>
          <w:i/>
        </w:rPr>
        <w:t>接獲多少宗由立法會議員或區議會議員轉介的該等個案和向當局推薦了當中多少宗申請；</w:t>
      </w:r>
    </w:p>
    <w:p>
      <w:pPr>
        <w:pStyle w:val="F21"/>
        <w:ind w:left="1417" w:hanging="850"/>
        <w:rPr>
          <w:i/>
          <w:i/>
        </w:rPr>
      </w:pPr>
      <w:r>
        <w:rPr>
          <w:i/>
        </w:rPr>
      </w:r>
    </w:p>
    <w:p>
      <w:pPr>
        <w:pStyle w:val="F21"/>
        <w:ind w:left="1417" w:hanging="850"/>
        <w:rPr>
          <w:i/>
          <w:i/>
        </w:rPr>
      </w:pPr>
      <w:r>
        <w:rPr>
          <w:i/>
        </w:rPr>
        <w:t>(</w:t>
      </w:r>
      <w:r>
        <w:rPr>
          <w:i/>
        </w:rPr>
        <w:t>三</w:t>
      </w:r>
      <w:r>
        <w:rPr>
          <w:i/>
        </w:rPr>
        <w:t>)</w:t>
        <w:tab/>
      </w:r>
      <w:r>
        <w:rPr>
          <w:i/>
        </w:rPr>
        <w:t>是否知悉，過去</w:t>
      </w:r>
      <w:r>
        <w:rPr>
          <w:i/>
        </w:rPr>
        <w:t>5</w:t>
      </w:r>
      <w:r>
        <w:rPr>
          <w:i/>
        </w:rPr>
        <w:t>年，社會工作者註冊局、香港申訴專員公署或平等機會委員會有否裁定或批評深水埗中心或其社工就評估房屋援助申請所作的決定不妥當，或指令該中心或其社工就有關的過失向申請人道歉；</w:t>
      </w:r>
    </w:p>
    <w:p>
      <w:pPr>
        <w:pStyle w:val="F21"/>
        <w:rPr>
          <w:i/>
          <w:i/>
        </w:rPr>
      </w:pPr>
      <w:r>
        <w:rPr>
          <w:i/>
        </w:rPr>
      </w:r>
    </w:p>
    <w:p>
      <w:pPr>
        <w:pStyle w:val="F21"/>
        <w:ind w:left="1417" w:hanging="850"/>
        <w:rPr>
          <w:i/>
          <w:i/>
        </w:rPr>
      </w:pPr>
      <w:r>
        <w:rPr>
          <w:i/>
        </w:rPr>
        <w:t>(</w:t>
      </w:r>
      <w:r>
        <w:rPr>
          <w:i/>
        </w:rPr>
        <w:t>四</w:t>
      </w:r>
      <w:r>
        <w:rPr>
          <w:i/>
        </w:rPr>
        <w:t>)</w:t>
        <w:tab/>
      </w:r>
      <w:r>
        <w:rPr>
          <w:i/>
        </w:rPr>
        <w:t>深水埗中心服務的地區是否涵蓋通州街公園一帶；若然，是否知悉該中心的社工在過去</w:t>
      </w:r>
      <w:r>
        <w:rPr>
          <w:i/>
        </w:rPr>
        <w:t>5</w:t>
      </w:r>
      <w:r>
        <w:rPr>
          <w:i/>
        </w:rPr>
        <w:t>年有否就該公園附近的露宿者提出的房屋援助申請進行資格評審；若有，評審的個案數目為何；若否，原因為何；及</w:t>
      </w:r>
    </w:p>
    <w:p>
      <w:pPr>
        <w:pStyle w:val="F21"/>
        <w:ind w:left="1417" w:hanging="850"/>
        <w:rPr>
          <w:i/>
          <w:i/>
        </w:rPr>
      </w:pPr>
      <w:r>
        <w:rPr>
          <w:i/>
        </w:rPr>
      </w:r>
    </w:p>
    <w:p>
      <w:pPr>
        <w:pStyle w:val="F21"/>
        <w:ind w:left="1417" w:hanging="850"/>
        <w:rPr>
          <w:i/>
          <w:i/>
        </w:rPr>
      </w:pPr>
      <w:r>
        <w:rPr>
          <w:i/>
        </w:rPr>
        <w:t>(</w:t>
      </w:r>
      <w:r>
        <w:rPr>
          <w:i/>
        </w:rPr>
        <w:t>五</w:t>
      </w:r>
      <w:r>
        <w:rPr>
          <w:i/>
        </w:rPr>
        <w:t>)</w:t>
        <w:tab/>
      </w:r>
      <w:r>
        <w:rPr>
          <w:i/>
        </w:rPr>
        <w:t>當市民就非政府機構的決定提出司法覆核，律政司會否委派法律代表協助有關機構答辯；若會，法律基礎是甚麼；有關機構的訴訟費用是否由公帑支付；若是，訴訟費用是否包括在政府給予該機構的一筆過撥款之內；若否，訴訟費用是否須由有關機構自行支付；有否評估若非政府機構動用平日所籌善款進行訴訟，會否違反團體的相關宗旨？</w:t>
      </w:r>
    </w:p>
    <w:p>
      <w:pPr>
        <w:pStyle w:val="F21"/>
        <w:rPr>
          <w:i/>
          <w:i/>
        </w:rPr>
      </w:pPr>
      <w:r>
        <w:rPr>
          <w:i/>
        </w:rPr>
      </w:r>
    </w:p>
    <w:p>
      <w:pPr>
        <w:pStyle w:val="F21"/>
        <w:rPr>
          <w:i/>
          <w:i/>
        </w:rPr>
      </w:pPr>
      <w:r>
        <w:rPr>
          <w:i/>
        </w:rPr>
      </w:r>
    </w:p>
    <w:p>
      <w:pPr>
        <w:pStyle w:val="F21"/>
        <w:rPr/>
      </w:pPr>
      <w:r>
        <w:rPr>
          <w:rFonts w:eastAsia="華康中黑體"/>
          <w:b/>
        </w:rPr>
        <w:t>勞工及福利局局長</w:t>
      </w:r>
      <w:r>
        <w:rPr/>
        <w:t>：主席，就梁國雄議員的質詢，我現答覆如下：</w:t>
      </w:r>
    </w:p>
    <w:p>
      <w:pPr>
        <w:pStyle w:val="F21"/>
        <w:rPr/>
      </w:pPr>
      <w:r>
        <w:rPr/>
      </w:r>
    </w:p>
    <w:p>
      <w:pPr>
        <w:pStyle w:val="Style14"/>
        <w:rPr>
          <w:i w:val="false"/>
          <w:i w:val="false"/>
        </w:rPr>
      </w:pPr>
      <w:r>
        <w:rPr>
          <w:i w:val="false"/>
        </w:rPr>
        <w:t>(</w:t>
      </w:r>
      <w:r>
        <w:rPr>
          <w:i w:val="false"/>
        </w:rPr>
        <w:t>一</w:t>
      </w:r>
      <w:r>
        <w:rPr>
          <w:i w:val="false"/>
        </w:rPr>
        <w:t>)</w:t>
        <w:tab/>
      </w:r>
      <w:r>
        <w:rPr>
          <w:i w:val="false"/>
        </w:rPr>
        <w:t>司法覆核是指高等法院原訟法庭，對公共機構行使</w:t>
      </w:r>
      <w:r>
        <w:rPr>
          <w:i w:val="false"/>
        </w:rPr>
        <w:t>(</w:t>
      </w:r>
      <w:r>
        <w:rPr>
          <w:i w:val="false"/>
        </w:rPr>
        <w:t>或拒絕行使</w:t>
      </w:r>
      <w:r>
        <w:rPr>
          <w:i w:val="false"/>
        </w:rPr>
        <w:t>)</w:t>
      </w:r>
      <w:r>
        <w:rPr>
          <w:i w:val="false"/>
        </w:rPr>
        <w:t>公共決策權力的決定作出覆核。司法覆核的目的，是裁定該決定是否合法和有效。</w:t>
      </w:r>
    </w:p>
    <w:p>
      <w:pPr>
        <w:pStyle w:val="Style14"/>
        <w:rPr>
          <w:i w:val="false"/>
          <w:i w:val="false"/>
        </w:rPr>
      </w:pPr>
      <w:r>
        <w:rPr>
          <w:i w:val="false"/>
        </w:rPr>
      </w:r>
    </w:p>
    <w:p>
      <w:pPr>
        <w:pStyle w:val="Style14"/>
        <w:rPr>
          <w:i w:val="false"/>
          <w:i w:val="false"/>
        </w:rPr>
      </w:pPr>
      <w:r>
        <w:rPr>
          <w:i w:val="false"/>
        </w:rPr>
        <w:tab/>
      </w:r>
      <w:r>
        <w:rPr>
          <w:i w:val="false"/>
        </w:rPr>
        <w:t>香港房屋委員會</w:t>
      </w:r>
      <w:r>
        <w:rPr>
          <w:i w:val="false"/>
        </w:rPr>
        <w:t>(</w:t>
      </w:r>
      <w:r>
        <w:rPr>
          <w:i w:val="false"/>
          <w:szCs w:val="27"/>
        </w:rPr>
        <w:t>“</w:t>
      </w:r>
      <w:r>
        <w:rPr>
          <w:i w:val="false"/>
        </w:rPr>
        <w:t>房委會</w:t>
      </w:r>
      <w:r>
        <w:rPr>
          <w:i w:val="false"/>
          <w:szCs w:val="27"/>
        </w:rPr>
        <w:t>”</w:t>
      </w:r>
      <w:r>
        <w:rPr>
          <w:i w:val="false"/>
        </w:rPr>
        <w:t>)</w:t>
      </w:r>
      <w:r>
        <w:rPr>
          <w:i w:val="false"/>
        </w:rPr>
        <w:t>是根據《房屋條例》於</w:t>
      </w:r>
      <w:r>
        <w:rPr>
          <w:i w:val="false"/>
        </w:rPr>
        <w:t>1973</w:t>
      </w:r>
      <w:r>
        <w:rPr>
          <w:i w:val="false"/>
        </w:rPr>
        <w:t>年</w:t>
      </w:r>
      <w:r>
        <w:rPr>
          <w:i w:val="false"/>
        </w:rPr>
        <w:t>4</w:t>
      </w:r>
      <w:r>
        <w:rPr>
          <w:i w:val="false"/>
        </w:rPr>
        <w:t>月成立的法定機構，房委會負責制訂和推行本港的公共房屋計劃，從而達至滿足無法負擔私營租住樓宇人士的住屋需要的政府政策目標。房屋署是房委會的執行機關。當局有不同的房屋援助計劃，包括體恤安置，為有真正及迫切房屋需要而沒有能力自行解決其居住問題的個人或家庭提供房屋援助。有需要的人士可向社署轄下的綜合家庭服務中心或社會保障辦事處，或透過資助醫院的醫務社會工作辦事處，社署認可的非政府機構或感化及社會服務令辦事處作出申請。社署在調查申請個案後，若證實申請人符合資格，便會把個案推薦給房屋署，房屋署在資源許可下會盡快編配租住公屋單位給申請人。在考慮個別人士或家庭是否需要個別福利服務及作出有關推薦時，社署社工及非政府機構的社工均會根據既定的機制及相同的程序指引，按個別申請人的實際情況作出客觀而專業的判斷。</w:t>
      </w:r>
    </w:p>
    <w:p>
      <w:pPr>
        <w:pStyle w:val="Style14"/>
        <w:rPr>
          <w:i w:val="false"/>
          <w:i w:val="false"/>
        </w:rPr>
      </w:pPr>
      <w:r>
        <w:rPr>
          <w:i w:val="false"/>
        </w:rPr>
      </w:r>
    </w:p>
    <w:p>
      <w:pPr>
        <w:pStyle w:val="Style14"/>
        <w:rPr>
          <w:i w:val="false"/>
          <w:i w:val="false"/>
        </w:rPr>
      </w:pPr>
      <w:r>
        <w:rPr>
          <w:i w:val="false"/>
        </w:rPr>
        <w:tab/>
      </w:r>
      <w:r>
        <w:rPr>
          <w:i w:val="false"/>
        </w:rPr>
        <w:t>至於法庭在個別案件中，是否給予司法覆核申請許可，法庭會視乎個別案情及理據作出決定。</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現時，國際服務社深水埗</w:t>
      </w:r>
      <w:r>
        <w:rPr>
          <w:i w:val="false"/>
        </w:rPr>
        <w:t>(</w:t>
      </w:r>
      <w:r>
        <w:rPr>
          <w:i w:val="false"/>
        </w:rPr>
        <w:t>南</w:t>
      </w:r>
      <w:r>
        <w:rPr>
          <w:i w:val="false"/>
        </w:rPr>
        <w:t>)</w:t>
      </w:r>
      <w:r>
        <w:rPr>
          <w:i w:val="false"/>
        </w:rPr>
        <w:t>綜合家庭服務中心</w:t>
      </w:r>
      <w:r>
        <w:rPr>
          <w:i w:val="false"/>
        </w:rPr>
        <w:t>(“</w:t>
      </w:r>
      <w:r>
        <w:rPr>
          <w:i w:val="false"/>
        </w:rPr>
        <w:t>服務中心”</w:t>
      </w:r>
      <w:r>
        <w:rPr>
          <w:i w:val="false"/>
        </w:rPr>
        <w:t>)</w:t>
      </w:r>
      <w:r>
        <w:rPr>
          <w:i w:val="false"/>
        </w:rPr>
        <w:t>共有</w:t>
      </w:r>
      <w:r>
        <w:rPr>
          <w:i w:val="false"/>
        </w:rPr>
        <w:t>18</w:t>
      </w:r>
      <w:r>
        <w:rPr>
          <w:i w:val="false"/>
        </w:rPr>
        <w:t>位註冊社工，他們全都曾接受評估房屋援助申請的相關訓練。</w:t>
      </w:r>
    </w:p>
    <w:p>
      <w:pPr>
        <w:pStyle w:val="Style14"/>
        <w:rPr>
          <w:i w:val="false"/>
          <w:i w:val="false"/>
        </w:rPr>
      </w:pPr>
      <w:r>
        <w:rPr>
          <w:i w:val="false"/>
        </w:rPr>
      </w:r>
    </w:p>
    <w:p>
      <w:pPr>
        <w:pStyle w:val="Style14"/>
        <w:rPr>
          <w:i w:val="false"/>
          <w:i w:val="false"/>
        </w:rPr>
      </w:pPr>
      <w:r>
        <w:rPr>
          <w:i w:val="false"/>
        </w:rPr>
        <w:tab/>
      </w:r>
      <w:r>
        <w:rPr>
          <w:i w:val="false"/>
        </w:rPr>
        <w:t>服務中心在過去</w:t>
      </w:r>
      <w:r>
        <w:rPr>
          <w:i w:val="false"/>
        </w:rPr>
        <w:t>5</w:t>
      </w:r>
      <w:r>
        <w:rPr>
          <w:i w:val="false"/>
        </w:rPr>
        <w:t>年分別推薦了</w:t>
      </w:r>
      <w:r>
        <w:rPr>
          <w:i w:val="false"/>
        </w:rPr>
        <w:t>63</w:t>
      </w:r>
      <w:r>
        <w:rPr>
          <w:i w:val="false"/>
        </w:rPr>
        <w:t>宗、</w:t>
      </w:r>
      <w:r>
        <w:rPr>
          <w:i w:val="false"/>
        </w:rPr>
        <w:t>101</w:t>
      </w:r>
      <w:r>
        <w:rPr>
          <w:i w:val="false"/>
        </w:rPr>
        <w:t>宗、</w:t>
      </w:r>
      <w:r>
        <w:rPr>
          <w:i w:val="false"/>
        </w:rPr>
        <w:t>66</w:t>
      </w:r>
      <w:r>
        <w:rPr>
          <w:i w:val="false"/>
        </w:rPr>
        <w:t>宗、</w:t>
      </w:r>
      <w:r>
        <w:rPr>
          <w:i w:val="false"/>
        </w:rPr>
        <w:t>67</w:t>
      </w:r>
      <w:r>
        <w:rPr>
          <w:i w:val="false"/>
        </w:rPr>
        <w:t>宗和</w:t>
      </w:r>
      <w:r>
        <w:rPr>
          <w:i w:val="false"/>
        </w:rPr>
        <w:t>60</w:t>
      </w:r>
      <w:r>
        <w:rPr>
          <w:i w:val="false"/>
        </w:rPr>
        <w:t>宗房屋援助申請，其中共有</w:t>
      </w:r>
      <w:r>
        <w:rPr>
          <w:i w:val="false"/>
        </w:rPr>
        <w:t>18</w:t>
      </w:r>
      <w:r>
        <w:rPr>
          <w:i w:val="false"/>
        </w:rPr>
        <w:t>宗是由立法會議員或區議員轉介。</w:t>
      </w:r>
    </w:p>
    <w:p>
      <w:pPr>
        <w:pStyle w:val="Style14"/>
        <w:rPr>
          <w:i w:val="false"/>
          <w:i w:val="false"/>
        </w:rPr>
      </w:pPr>
      <w:r>
        <w:rPr>
          <w:i w:val="false"/>
        </w:rPr>
      </w:r>
    </w:p>
    <w:p>
      <w:pPr>
        <w:pStyle w:val="Style14"/>
        <w:rPr>
          <w:i w:val="false"/>
          <w:i w:val="false"/>
        </w:rPr>
      </w:pPr>
      <w:r>
        <w:rPr>
          <w:i w:val="false"/>
        </w:rPr>
        <w:t>(</w:t>
      </w:r>
      <w:r>
        <w:rPr>
          <w:i w:val="false"/>
        </w:rPr>
        <w:t>三</w:t>
      </w:r>
      <w:r>
        <w:rPr>
          <w:i w:val="false"/>
        </w:rPr>
        <w:t>)</w:t>
        <w:tab/>
      </w:r>
      <w:r>
        <w:rPr>
          <w:i w:val="false"/>
        </w:rPr>
        <w:t>根據社署掌握資料，過去</w:t>
      </w:r>
      <w:r>
        <w:rPr>
          <w:i w:val="false"/>
        </w:rPr>
        <w:t>5</w:t>
      </w:r>
      <w:r>
        <w:rPr>
          <w:i w:val="false"/>
        </w:rPr>
        <w:t>年，社會工作者註冊局、香港申訴專員公署或平等機會委員會並未有就評估房屋援助申請，裁定或批評服務中心或其社工所作的建議不妥當。</w:t>
      </w:r>
    </w:p>
    <w:p>
      <w:pPr>
        <w:pStyle w:val="Style14"/>
        <w:rPr>
          <w:i w:val="false"/>
          <w:i w:val="false"/>
        </w:rPr>
      </w:pPr>
      <w:r>
        <w:rPr>
          <w:i w:val="false"/>
        </w:rPr>
      </w:r>
    </w:p>
    <w:p>
      <w:pPr>
        <w:pStyle w:val="Style14"/>
        <w:rPr>
          <w:i w:val="false"/>
          <w:i w:val="false"/>
        </w:rPr>
      </w:pPr>
      <w:r>
        <w:rPr>
          <w:i w:val="false"/>
        </w:rPr>
        <w:t>(</w:t>
      </w:r>
      <w:r>
        <w:rPr>
          <w:i w:val="false"/>
        </w:rPr>
        <w:t>四</w:t>
      </w:r>
      <w:r>
        <w:rPr>
          <w:i w:val="false"/>
        </w:rPr>
        <w:t>)</w:t>
        <w:tab/>
      </w:r>
      <w:r>
        <w:rPr>
          <w:i w:val="false"/>
        </w:rPr>
        <w:t>現時，服務中心及由社署資助的基督教關懷無家者協會深水埗區露宿者綜合服務隊</w:t>
      </w:r>
      <w:r>
        <w:rPr>
          <w:i w:val="false"/>
        </w:rPr>
        <w:t>(</w:t>
      </w:r>
      <w:r>
        <w:rPr>
          <w:i w:val="false"/>
          <w:szCs w:val="27"/>
        </w:rPr>
        <w:t>“</w:t>
      </w:r>
      <w:r>
        <w:rPr>
          <w:i w:val="false"/>
        </w:rPr>
        <w:t>服務隊</w:t>
      </w:r>
      <w:r>
        <w:rPr>
          <w:i w:val="false"/>
          <w:szCs w:val="27"/>
        </w:rPr>
        <w:t>”</w:t>
      </w:r>
      <w:r>
        <w:rPr>
          <w:i w:val="false"/>
        </w:rPr>
        <w:t>)</w:t>
      </w:r>
      <w:r>
        <w:rPr>
          <w:i w:val="false"/>
        </w:rPr>
        <w:t>會為通州街公園一帶的露宿者提供支援服務。</w:t>
      </w:r>
    </w:p>
    <w:p>
      <w:pPr>
        <w:pStyle w:val="Style14"/>
        <w:rPr>
          <w:i w:val="false"/>
          <w:i w:val="false"/>
        </w:rPr>
      </w:pPr>
      <w:r>
        <w:rPr>
          <w:i w:val="false"/>
        </w:rPr>
      </w:r>
    </w:p>
    <w:p>
      <w:pPr>
        <w:pStyle w:val="Style14"/>
        <w:rPr>
          <w:i w:val="false"/>
          <w:i w:val="false"/>
        </w:rPr>
      </w:pPr>
      <w:r>
        <w:rPr>
          <w:i w:val="false"/>
        </w:rPr>
        <w:tab/>
      </w:r>
      <w:r>
        <w:rPr>
          <w:i w:val="false"/>
        </w:rPr>
        <w:t>服務中心及服務隊社工會定期探訪露宿者，為他們提供一站式綜合服務，包括緊急及短期住宿、輔導、就業支援、起居照顧、短暫經濟援助、協助申請綜合社會保障援助計劃，以及其他服務轉介等。視乎需要，服務隊亦會協助他們申請公屋，或轉介有特殊醫療及社會因素的露宿者至服務中心進行體恤安置評估。過去</w:t>
      </w:r>
      <w:r>
        <w:rPr>
          <w:i w:val="false"/>
        </w:rPr>
        <w:t>5</w:t>
      </w:r>
      <w:r>
        <w:rPr>
          <w:i w:val="false"/>
        </w:rPr>
        <w:t>年，服務中心共推薦了</w:t>
      </w:r>
      <w:r>
        <w:rPr>
          <w:i w:val="false"/>
        </w:rPr>
        <w:t>7</w:t>
      </w:r>
      <w:r>
        <w:rPr>
          <w:i w:val="false"/>
        </w:rPr>
        <w:t>宗露宿者個案接受體恤安置。</w:t>
      </w:r>
    </w:p>
    <w:p>
      <w:pPr>
        <w:pStyle w:val="Style14"/>
        <w:rPr>
          <w:i w:val="false"/>
          <w:i w:val="false"/>
        </w:rPr>
      </w:pPr>
      <w:r>
        <w:rPr>
          <w:i w:val="false"/>
        </w:rPr>
      </w:r>
    </w:p>
    <w:p>
      <w:pPr>
        <w:pStyle w:val="Style14"/>
        <w:rPr>
          <w:i w:val="false"/>
          <w:i w:val="false"/>
        </w:rPr>
      </w:pPr>
      <w:r>
        <w:rPr>
          <w:i w:val="false"/>
        </w:rPr>
        <w:t>(</w:t>
      </w:r>
      <w:r>
        <w:rPr>
          <w:i w:val="false"/>
        </w:rPr>
        <w:t>五</w:t>
      </w:r>
      <w:r>
        <w:rPr>
          <w:i w:val="false"/>
        </w:rPr>
        <w:t>)</w:t>
        <w:tab/>
      </w:r>
      <w:r>
        <w:rPr>
          <w:i w:val="false"/>
        </w:rPr>
        <w:t>律政司是政府的法律代表及法律顧問，因此並不會向有關的非政府機構提供法律服務。若非政府機構在提供有關服務時遇上法律訴訟，由於每個個案的性質並不相同，社署樂意與機構商討如何跟進。</w:t>
      </w:r>
    </w:p>
    <w:p>
      <w:pPr>
        <w:pStyle w:val="F21"/>
        <w:rPr/>
      </w:pPr>
      <w:r>
        <w:rPr/>
      </w:r>
    </w:p>
    <w:p>
      <w:pPr>
        <w:pStyle w:val="F21"/>
        <w:rPr/>
      </w:pPr>
      <w:r>
        <w:rPr/>
      </w:r>
    </w:p>
    <w:p>
      <w:pPr>
        <w:pStyle w:val="F21"/>
        <w:rPr>
          <w:rFonts w:eastAsia="華康中黑體" w:cs="Times New Roman"/>
          <w:b/>
          <w:b/>
        </w:rPr>
      </w:pPr>
      <w:bookmarkStart w:id="53" w:name="wrq20"/>
      <w:r>
        <w:rPr>
          <w:rFonts w:cs="Times New Roman" w:eastAsia="華康中黑體"/>
          <w:b/>
        </w:rPr>
        <w:t>專營巴士服務</w:t>
      </w:r>
    </w:p>
    <w:p>
      <w:pPr>
        <w:pStyle w:val="Normal"/>
        <w:rPr>
          <w:b/>
          <w:b/>
        </w:rPr>
      </w:pPr>
      <w:bookmarkStart w:id="54" w:name="wrq20"/>
      <w:r>
        <w:rPr>
          <w:b/>
        </w:rPr>
        <w:t>Franchised Bus Services</w:t>
      </w:r>
      <w:bookmarkEnd w:id="54"/>
    </w:p>
    <w:p>
      <w:pPr>
        <w:pStyle w:val="F21"/>
        <w:rPr/>
      </w:pPr>
      <w:r>
        <w:rPr/>
      </w:r>
    </w:p>
    <w:p>
      <w:pPr>
        <w:pStyle w:val="F21"/>
        <w:rPr>
          <w:i/>
          <w:i/>
        </w:rPr>
      </w:pPr>
      <w:r>
        <w:rPr>
          <w:rFonts w:eastAsia="華康中黑體"/>
          <w:b/>
        </w:rPr>
        <w:t>20.</w:t>
      </w:r>
      <w:r>
        <w:rPr/>
        <w:tab/>
      </w:r>
      <w:r>
        <w:rPr>
          <w:rFonts w:eastAsia="華康中黑體"/>
          <w:b/>
        </w:rPr>
        <w:t>蔣麗芸議員</w:t>
      </w:r>
      <w:r>
        <w:rPr/>
        <w:t>：</w:t>
      </w:r>
      <w:r>
        <w:rPr>
          <w:i/>
        </w:rPr>
        <w:t>主席，近日有不少市民向本人投訴，專營巴士服務經常脫班，以致他們需浪費很多時間候車。據悉，很多城市的巴士公司已利用衞星導航系統追蹤旗下巴士的位置，以向候車乘客提供巴士的預計抵達時間。關於專營巴士服務，政府可否告知本會：</w:t>
      </w:r>
    </w:p>
    <w:p>
      <w:pPr>
        <w:pStyle w:val="F21"/>
        <w:rPr>
          <w:i/>
          <w:i/>
        </w:rPr>
      </w:pPr>
      <w:r>
        <w:rPr>
          <w:i/>
        </w:rPr>
      </w:r>
    </w:p>
    <w:p>
      <w:pPr>
        <w:pStyle w:val="F21"/>
        <w:ind w:left="1417" w:hanging="850"/>
        <w:rPr>
          <w:i/>
          <w:i/>
        </w:rPr>
      </w:pPr>
      <w:r>
        <w:rPr>
          <w:i/>
        </w:rPr>
        <w:t>(</w:t>
      </w:r>
      <w:r>
        <w:rPr>
          <w:i/>
        </w:rPr>
        <w:t>一</w:t>
      </w:r>
      <w:r>
        <w:rPr>
          <w:i/>
        </w:rPr>
        <w:t>)</w:t>
        <w:tab/>
      </w:r>
      <w:r>
        <w:rPr>
          <w:i/>
        </w:rPr>
        <w:t>過去</w:t>
      </w:r>
      <w:r>
        <w:rPr>
          <w:i/>
        </w:rPr>
        <w:t>3</w:t>
      </w:r>
      <w:r>
        <w:rPr>
          <w:i/>
        </w:rPr>
        <w:t>年，交通諮詢委員會轄下交通投訴組、政府熱線</w:t>
      </w:r>
      <w:r>
        <w:rPr>
          <w:i/>
        </w:rPr>
        <w:t>1823</w:t>
      </w:r>
      <w:r>
        <w:rPr>
          <w:i/>
        </w:rPr>
        <w:t>，以及有關的專營巴士公司的熱線電話，分別接獲多少宗關於專營巴士服務的投訴</w:t>
      </w:r>
      <w:r>
        <w:rPr>
          <w:i/>
        </w:rPr>
        <w:t>(</w:t>
      </w:r>
      <w:r>
        <w:rPr>
          <w:i/>
        </w:rPr>
        <w:t>按下表列出</w:t>
      </w:r>
      <w:r>
        <w:rPr>
          <w:i/>
        </w:rPr>
        <w:t>)</w:t>
      </w:r>
      <w:r>
        <w:rPr>
          <w:i/>
        </w:rPr>
        <w:t>；如未能提供相關資料，原因為何；</w:t>
      </w:r>
    </w:p>
    <w:p>
      <w:pPr>
        <w:pStyle w:val="F21"/>
        <w:rPr>
          <w:i/>
          <w:i/>
        </w:rPr>
      </w:pPr>
      <w:r>
        <w:rPr>
          <w:i/>
        </w:rPr>
      </w:r>
    </w:p>
    <w:tbl>
      <w:tblPr>
        <w:tblW w:w="7774" w:type="dxa"/>
        <w:jc w:val="left"/>
        <w:tblInd w:w="1468" w:type="dxa"/>
        <w:tblCellMar>
          <w:top w:w="0" w:type="dxa"/>
          <w:left w:w="28" w:type="dxa"/>
          <w:bottom w:w="0" w:type="dxa"/>
          <w:right w:w="28" w:type="dxa"/>
        </w:tblCellMar>
        <w:tblLook w:val="00a0" w:noHBand="0" w:noVBand="0" w:firstColumn="1" w:lastRow="0" w:lastColumn="0" w:firstRow="1"/>
      </w:tblPr>
      <w:tblGrid>
        <w:gridCol w:w="2880"/>
        <w:gridCol w:w="1631"/>
        <w:gridCol w:w="1631"/>
        <w:gridCol w:w="1631"/>
      </w:tblGrid>
      <w:tr>
        <w:trPr/>
        <w:tc>
          <w:tcPr>
            <w:tcW w:w="2880"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auto" w:line="240"/>
              <w:jc w:val="center"/>
              <w:rPr>
                <w:i/>
                <w:i/>
                <w:spacing w:val="20"/>
                <w:kern w:val="2"/>
                <w:sz w:val="27"/>
                <w:szCs w:val="27"/>
              </w:rPr>
            </w:pPr>
            <w:r>
              <w:rPr>
                <w:i/>
                <w:color w:val="000000"/>
                <w:spacing w:val="20"/>
                <w:kern w:val="2"/>
                <w:sz w:val="27"/>
                <w:szCs w:val="27"/>
              </w:rPr>
              <w:t>被投訴的專營</w:t>
            </w:r>
            <w:r>
              <w:rPr>
                <w:i/>
                <w:color w:val="000000"/>
                <w:spacing w:val="20"/>
                <w:kern w:val="2"/>
                <w:sz w:val="27"/>
                <w:szCs w:val="27"/>
              </w:rPr>
              <w:br/>
            </w:r>
            <w:r>
              <w:rPr>
                <w:i/>
                <w:color w:val="000000"/>
                <w:spacing w:val="20"/>
                <w:kern w:val="2"/>
                <w:sz w:val="27"/>
                <w:szCs w:val="27"/>
              </w:rPr>
              <w:t>巴士公司</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auto" w:line="240"/>
              <w:jc w:val="center"/>
              <w:rPr>
                <w:i/>
                <w:i/>
                <w:color w:val="000000"/>
                <w:spacing w:val="20"/>
                <w:kern w:val="2"/>
                <w:sz w:val="27"/>
                <w:szCs w:val="27"/>
              </w:rPr>
            </w:pPr>
            <w:r>
              <w:rPr>
                <w:i/>
                <w:color w:val="000000"/>
                <w:spacing w:val="20"/>
                <w:kern w:val="2"/>
                <w:sz w:val="27"/>
                <w:szCs w:val="27"/>
              </w:rPr>
              <w:t>交通</w:t>
            </w:r>
            <w:r>
              <w:rPr>
                <w:i/>
                <w:color w:val="000000"/>
                <w:spacing w:val="20"/>
                <w:kern w:val="2"/>
                <w:sz w:val="27"/>
                <w:szCs w:val="27"/>
              </w:rPr>
              <w:br/>
            </w:r>
            <w:r>
              <w:rPr>
                <w:i/>
                <w:color w:val="000000"/>
                <w:spacing w:val="20"/>
                <w:kern w:val="2"/>
                <w:sz w:val="27"/>
                <w:szCs w:val="27"/>
              </w:rPr>
              <w:t>投訴組</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auto" w:line="240"/>
              <w:jc w:val="center"/>
              <w:rPr>
                <w:i/>
                <w:i/>
                <w:spacing w:val="20"/>
                <w:kern w:val="2"/>
                <w:sz w:val="27"/>
                <w:szCs w:val="27"/>
              </w:rPr>
            </w:pPr>
            <w:r>
              <w:rPr>
                <w:i/>
                <w:color w:val="000000"/>
                <w:spacing w:val="20"/>
                <w:kern w:val="2"/>
                <w:sz w:val="27"/>
                <w:szCs w:val="27"/>
              </w:rPr>
              <w:t>政府熱線</w:t>
            </w:r>
            <w:r>
              <w:rPr>
                <w:i/>
                <w:color w:val="000000"/>
                <w:spacing w:val="20"/>
                <w:kern w:val="2"/>
                <w:sz w:val="27"/>
                <w:szCs w:val="27"/>
              </w:rPr>
              <w:t>1823</w:t>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auto" w:line="240"/>
              <w:jc w:val="center"/>
              <w:rPr>
                <w:i/>
                <w:i/>
                <w:color w:val="000000"/>
                <w:spacing w:val="20"/>
                <w:kern w:val="2"/>
                <w:sz w:val="27"/>
                <w:szCs w:val="27"/>
              </w:rPr>
            </w:pPr>
            <w:r>
              <w:rPr>
                <w:i/>
                <w:color w:val="000000"/>
                <w:spacing w:val="20"/>
                <w:kern w:val="2"/>
                <w:sz w:val="27"/>
                <w:szCs w:val="27"/>
              </w:rPr>
              <w:t>有關的專營</w:t>
            </w:r>
            <w:r>
              <w:rPr>
                <w:i/>
                <w:color w:val="000000"/>
                <w:spacing w:val="20"/>
                <w:kern w:val="2"/>
                <w:sz w:val="27"/>
                <w:szCs w:val="27"/>
              </w:rPr>
              <w:br/>
            </w:r>
            <w:r>
              <w:rPr>
                <w:i/>
                <w:color w:val="000000"/>
                <w:spacing w:val="20"/>
                <w:kern w:val="2"/>
                <w:sz w:val="27"/>
                <w:szCs w:val="27"/>
              </w:rPr>
              <w:t>巴士公司</w:t>
            </w:r>
          </w:p>
        </w:tc>
      </w:tr>
      <w:tr>
        <w:trPr/>
        <w:tc>
          <w:tcPr>
            <w:tcW w:w="2880"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color w:val="000000"/>
                <w:spacing w:val="20"/>
                <w:kern w:val="2"/>
                <w:sz w:val="27"/>
                <w:szCs w:val="27"/>
              </w:rPr>
              <w:t>九龍巴士</w:t>
            </w:r>
            <w:r>
              <w:rPr>
                <w:i/>
                <w:color w:val="000000"/>
                <w:spacing w:val="20"/>
                <w:kern w:val="2"/>
                <w:sz w:val="27"/>
                <w:szCs w:val="27"/>
              </w:rPr>
              <w:t>(</w:t>
            </w:r>
            <w:r>
              <w:rPr>
                <w:i/>
                <w:color w:val="000000"/>
                <w:spacing w:val="20"/>
                <w:kern w:val="2"/>
                <w:sz w:val="27"/>
                <w:szCs w:val="27"/>
              </w:rPr>
              <w:t>一九三三</w:t>
            </w:r>
            <w:r>
              <w:rPr>
                <w:i/>
                <w:color w:val="000000"/>
                <w:spacing w:val="20"/>
                <w:kern w:val="2"/>
                <w:sz w:val="27"/>
                <w:szCs w:val="27"/>
              </w:rPr>
              <w:t>)</w:t>
            </w:r>
            <w:r>
              <w:rPr>
                <w:i/>
                <w:color w:val="000000"/>
                <w:spacing w:val="20"/>
                <w:kern w:val="2"/>
                <w:sz w:val="27"/>
                <w:szCs w:val="27"/>
              </w:rPr>
              <w:t>有限公司</w:t>
            </w:r>
            <w:r>
              <w:rPr>
                <w:i/>
                <w:color w:val="000000"/>
                <w:spacing w:val="20"/>
                <w:kern w:val="2"/>
                <w:sz w:val="27"/>
                <w:szCs w:val="27"/>
              </w:rPr>
              <w:t>(“</w:t>
            </w:r>
            <w:r>
              <w:rPr>
                <w:i/>
                <w:color w:val="000000"/>
                <w:spacing w:val="20"/>
                <w:kern w:val="2"/>
                <w:sz w:val="27"/>
                <w:szCs w:val="27"/>
              </w:rPr>
              <w:t>九巴”</w:t>
            </w:r>
            <w:r>
              <w:rPr>
                <w:i/>
                <w:color w:val="000000"/>
                <w:spacing w:val="20"/>
                <w:kern w:val="2"/>
                <w:sz w:val="27"/>
                <w:szCs w:val="27"/>
              </w:rPr>
              <w:t>)</w:t>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r>
      <w:tr>
        <w:trPr/>
        <w:tc>
          <w:tcPr>
            <w:tcW w:w="2880"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color w:val="000000"/>
                <w:spacing w:val="20"/>
                <w:kern w:val="2"/>
                <w:sz w:val="27"/>
                <w:szCs w:val="27"/>
              </w:rPr>
            </w:pPr>
            <w:r>
              <w:rPr>
                <w:i/>
                <w:color w:val="000000"/>
                <w:spacing w:val="20"/>
                <w:kern w:val="2"/>
                <w:sz w:val="27"/>
                <w:szCs w:val="27"/>
              </w:rPr>
              <w:t>新世界第一巴士服務</w:t>
            </w:r>
          </w:p>
          <w:p>
            <w:pPr>
              <w:pStyle w:val="Normal"/>
              <w:widowControl/>
              <w:snapToGrid w:val="false"/>
              <w:spacing w:lineRule="auto" w:line="240"/>
              <w:rPr>
                <w:i/>
                <w:i/>
                <w:spacing w:val="20"/>
                <w:kern w:val="2"/>
                <w:sz w:val="27"/>
                <w:szCs w:val="27"/>
              </w:rPr>
            </w:pPr>
            <w:r>
              <w:rPr>
                <w:i/>
                <w:color w:val="000000"/>
                <w:spacing w:val="20"/>
                <w:kern w:val="2"/>
                <w:sz w:val="27"/>
                <w:szCs w:val="27"/>
              </w:rPr>
              <w:t>有限公司</w:t>
            </w:r>
            <w:r>
              <w:rPr>
                <w:i/>
                <w:color w:val="000000"/>
                <w:spacing w:val="20"/>
                <w:kern w:val="2"/>
                <w:sz w:val="27"/>
                <w:szCs w:val="27"/>
              </w:rPr>
              <w:t>(“</w:t>
            </w:r>
            <w:r>
              <w:rPr>
                <w:i/>
                <w:color w:val="000000"/>
                <w:spacing w:val="20"/>
                <w:kern w:val="2"/>
                <w:sz w:val="27"/>
                <w:szCs w:val="27"/>
              </w:rPr>
              <w:t>新巴”</w:t>
            </w:r>
            <w:r>
              <w:rPr>
                <w:i/>
                <w:color w:val="000000"/>
                <w:spacing w:val="20"/>
                <w:kern w:val="2"/>
                <w:sz w:val="27"/>
                <w:szCs w:val="27"/>
              </w:rPr>
              <w:t>)</w:t>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r>
      <w:tr>
        <w:trPr/>
        <w:tc>
          <w:tcPr>
            <w:tcW w:w="2880"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color w:val="000000"/>
                <w:spacing w:val="20"/>
                <w:kern w:val="2"/>
                <w:sz w:val="27"/>
                <w:szCs w:val="27"/>
              </w:rPr>
              <w:t>城巴有限公司</w:t>
            </w:r>
            <w:r>
              <w:rPr>
                <w:i/>
                <w:color w:val="000000"/>
                <w:spacing w:val="20"/>
                <w:kern w:val="2"/>
                <w:sz w:val="27"/>
                <w:szCs w:val="27"/>
              </w:rPr>
              <w:t>(“</w:t>
            </w:r>
            <w:r>
              <w:rPr>
                <w:i/>
                <w:color w:val="000000"/>
                <w:spacing w:val="20"/>
                <w:kern w:val="2"/>
                <w:sz w:val="27"/>
                <w:szCs w:val="27"/>
              </w:rPr>
              <w:t>城巴”</w:t>
            </w:r>
            <w:r>
              <w:rPr>
                <w:i/>
                <w:color w:val="000000"/>
                <w:spacing w:val="20"/>
                <w:kern w:val="2"/>
                <w:sz w:val="27"/>
                <w:szCs w:val="27"/>
              </w:rPr>
              <w:t>)</w:t>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r>
      <w:tr>
        <w:trPr/>
        <w:tc>
          <w:tcPr>
            <w:tcW w:w="2880"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color w:val="000000"/>
                <w:spacing w:val="20"/>
                <w:kern w:val="2"/>
                <w:sz w:val="27"/>
                <w:szCs w:val="27"/>
              </w:rPr>
              <w:t>新大嶼山巴士</w:t>
            </w:r>
            <w:r>
              <w:rPr>
                <w:i/>
                <w:color w:val="000000"/>
                <w:spacing w:val="20"/>
                <w:kern w:val="2"/>
                <w:sz w:val="27"/>
                <w:szCs w:val="27"/>
              </w:rPr>
              <w:t>(</w:t>
            </w:r>
            <w:r>
              <w:rPr>
                <w:i/>
                <w:color w:val="000000"/>
                <w:spacing w:val="20"/>
                <w:kern w:val="2"/>
                <w:sz w:val="27"/>
                <w:szCs w:val="27"/>
              </w:rPr>
              <w:t>一九七三</w:t>
            </w:r>
            <w:r>
              <w:rPr>
                <w:i/>
                <w:color w:val="000000"/>
                <w:spacing w:val="20"/>
                <w:kern w:val="2"/>
                <w:sz w:val="27"/>
                <w:szCs w:val="27"/>
              </w:rPr>
              <w:t>)</w:t>
            </w:r>
            <w:r>
              <w:rPr>
                <w:i/>
                <w:color w:val="000000"/>
                <w:spacing w:val="20"/>
                <w:kern w:val="2"/>
                <w:sz w:val="27"/>
                <w:szCs w:val="27"/>
              </w:rPr>
              <w:t>有限公司</w:t>
            </w:r>
            <w:r>
              <w:rPr>
                <w:i/>
                <w:color w:val="000000"/>
                <w:spacing w:val="20"/>
                <w:kern w:val="2"/>
                <w:sz w:val="27"/>
                <w:szCs w:val="27"/>
              </w:rPr>
              <w:t>(“</w:t>
            </w:r>
            <w:r>
              <w:rPr>
                <w:i/>
                <w:color w:val="000000"/>
                <w:spacing w:val="20"/>
                <w:kern w:val="2"/>
                <w:sz w:val="27"/>
                <w:szCs w:val="27"/>
              </w:rPr>
              <w:t>嶼巴”</w:t>
            </w:r>
            <w:r>
              <w:rPr>
                <w:i/>
                <w:color w:val="000000"/>
                <w:spacing w:val="20"/>
                <w:kern w:val="2"/>
                <w:sz w:val="27"/>
                <w:szCs w:val="27"/>
              </w:rPr>
              <w:t>)</w:t>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rPr>
                <w:i/>
                <w:i/>
                <w:spacing w:val="20"/>
                <w:kern w:val="2"/>
                <w:sz w:val="27"/>
                <w:szCs w:val="27"/>
              </w:rPr>
            </w:pPr>
            <w:r>
              <w:rPr>
                <w:i/>
                <w:spacing w:val="20"/>
                <w:kern w:val="2"/>
                <w:sz w:val="27"/>
                <w:szCs w:val="27"/>
              </w:rPr>
            </w:r>
          </w:p>
        </w:tc>
        <w:tc>
          <w:tcPr>
            <w:tcW w:w="1631"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auto" w:line="240"/>
              <w:rPr>
                <w:i/>
                <w:i/>
                <w:spacing w:val="20"/>
                <w:kern w:val="2"/>
                <w:sz w:val="27"/>
                <w:szCs w:val="27"/>
              </w:rPr>
            </w:pPr>
            <w:r>
              <w:rPr>
                <w:i/>
                <w:spacing w:val="20"/>
                <w:kern w:val="2"/>
                <w:sz w:val="27"/>
                <w:szCs w:val="27"/>
              </w:rPr>
            </w:r>
          </w:p>
        </w:tc>
      </w:tr>
    </w:tbl>
    <w:p>
      <w:pPr>
        <w:pStyle w:val="F21"/>
        <w:rPr>
          <w:i/>
          <w:i/>
        </w:rPr>
      </w:pPr>
      <w:r>
        <w:rPr>
          <w:i/>
        </w:rPr>
      </w:r>
    </w:p>
    <w:p>
      <w:pPr>
        <w:pStyle w:val="F21"/>
        <w:ind w:left="1417" w:hanging="850"/>
        <w:rPr>
          <w:i/>
          <w:i/>
        </w:rPr>
      </w:pPr>
      <w:r>
        <w:rPr>
          <w:i/>
        </w:rPr>
        <w:t>(</w:t>
      </w:r>
      <w:r>
        <w:rPr>
          <w:i/>
        </w:rPr>
        <w:t>二</w:t>
      </w:r>
      <w:r>
        <w:rPr>
          <w:i/>
        </w:rPr>
        <w:t>)</w:t>
        <w:tab/>
      </w:r>
      <w:r>
        <w:rPr>
          <w:i/>
        </w:rPr>
        <w:t>過去</w:t>
      </w:r>
      <w:r>
        <w:rPr>
          <w:i/>
        </w:rPr>
        <w:t>3</w:t>
      </w:r>
      <w:r>
        <w:rPr>
          <w:i/>
        </w:rPr>
        <w:t>年，運輸署因接獲巴士脫班投訴而派員實地調查的次數為何，並按調查地點所在的區議會分區列出分項資料；如未能提供相關資料，原因為何；</w:t>
      </w:r>
    </w:p>
    <w:p>
      <w:pPr>
        <w:pStyle w:val="F21"/>
        <w:ind w:left="1417" w:hanging="850"/>
        <w:rPr>
          <w:i/>
          <w:i/>
        </w:rPr>
      </w:pPr>
      <w:r>
        <w:rPr>
          <w:i/>
        </w:rPr>
      </w:r>
    </w:p>
    <w:p>
      <w:pPr>
        <w:pStyle w:val="F21"/>
        <w:ind w:left="1417" w:hanging="850"/>
        <w:rPr>
          <w:i/>
          <w:i/>
        </w:rPr>
      </w:pPr>
      <w:r>
        <w:rPr>
          <w:i/>
        </w:rPr>
        <w:t>(</w:t>
      </w:r>
      <w:r>
        <w:rPr>
          <w:i/>
        </w:rPr>
        <w:t>三</w:t>
      </w:r>
      <w:r>
        <w:rPr>
          <w:i/>
        </w:rPr>
        <w:t>)</w:t>
        <w:tab/>
      </w:r>
      <w:r>
        <w:rPr>
          <w:i/>
        </w:rPr>
        <w:t>鑒於政府在</w:t>
      </w:r>
      <w:r>
        <w:rPr>
          <w:i/>
        </w:rPr>
        <w:t>2011</w:t>
      </w:r>
      <w:r>
        <w:rPr>
          <w:i/>
        </w:rPr>
        <w:t>年</w:t>
      </w:r>
      <w:r>
        <w:rPr>
          <w:i/>
        </w:rPr>
        <w:t>5</w:t>
      </w:r>
      <w:r>
        <w:rPr>
          <w:i/>
        </w:rPr>
        <w:t>月回答本會議員質詢時表示，“運輸署與巴士公司及車長工會經常會面就改善巴士服務交換意見”，過去</w:t>
      </w:r>
      <w:r>
        <w:rPr>
          <w:i/>
        </w:rPr>
        <w:t>5</w:t>
      </w:r>
      <w:r>
        <w:rPr>
          <w:i/>
        </w:rPr>
        <w:t>年的有關會面的詳情</w:t>
      </w:r>
      <w:r>
        <w:rPr>
          <w:i/>
        </w:rPr>
        <w:t>(</w:t>
      </w:r>
      <w:r>
        <w:rPr>
          <w:i/>
        </w:rPr>
        <w:t>包括討論事項</w:t>
      </w:r>
      <w:r>
        <w:rPr>
          <w:i/>
        </w:rPr>
        <w:t>)</w:t>
      </w:r>
      <w:r>
        <w:rPr>
          <w:i/>
        </w:rPr>
        <w:t>為何；如未能提供相關資料，原因為何；</w:t>
      </w:r>
    </w:p>
    <w:p>
      <w:pPr>
        <w:pStyle w:val="F21"/>
        <w:ind w:left="1417" w:hanging="850"/>
        <w:rPr>
          <w:i/>
          <w:i/>
        </w:rPr>
      </w:pPr>
      <w:r>
        <w:rPr>
          <w:i/>
        </w:rPr>
      </w:r>
    </w:p>
    <w:p>
      <w:pPr>
        <w:pStyle w:val="F21"/>
        <w:ind w:left="1417" w:hanging="850"/>
        <w:rPr>
          <w:i/>
          <w:i/>
        </w:rPr>
      </w:pPr>
      <w:r>
        <w:rPr>
          <w:i/>
        </w:rPr>
        <w:t>(</w:t>
      </w:r>
      <w:r>
        <w:rPr>
          <w:i/>
        </w:rPr>
        <w:t>四</w:t>
      </w:r>
      <w:r>
        <w:rPr>
          <w:i/>
        </w:rPr>
        <w:t>)</w:t>
        <w:tab/>
      </w:r>
      <w:r>
        <w:rPr>
          <w:i/>
        </w:rPr>
        <w:t>鑒於政府在回答上述質詢時表示，“若專營巴士公司未能就相關投訴作出改善或提出合理解釋，運輸署會就投訴個案發信給相關的巴士公司，要求巴士公司維持達致令人滿意及有效率的公共巴士服務，並在一定的時間內落實改善措施，如該公司未能在指定時間內作出改善，運輸署會對該公司發出警告信”，運輸署在過去</w:t>
      </w:r>
      <w:r>
        <w:rPr>
          <w:i/>
        </w:rPr>
        <w:t>3</w:t>
      </w:r>
      <w:r>
        <w:rPr>
          <w:i/>
        </w:rPr>
        <w:t>年向每間專營巴士公司分別</w:t>
      </w:r>
      <w:r>
        <w:rPr>
          <w:i/>
        </w:rPr>
        <w:t>(i)</w:t>
      </w:r>
      <w:r>
        <w:rPr>
          <w:i/>
        </w:rPr>
        <w:t>就投訴個案發信及</w:t>
      </w:r>
      <w:r>
        <w:rPr>
          <w:i/>
        </w:rPr>
        <w:t>(ii)</w:t>
      </w:r>
      <w:r>
        <w:rPr>
          <w:i/>
        </w:rPr>
        <w:t>發出警告信的數目，以及該等信件的詳情；未如能提供相關資料，原因為何；</w:t>
      </w:r>
    </w:p>
    <w:p>
      <w:pPr>
        <w:pStyle w:val="F21"/>
        <w:ind w:left="1417" w:hanging="850"/>
        <w:rPr>
          <w:i/>
          <w:i/>
        </w:rPr>
      </w:pPr>
      <w:r>
        <w:rPr>
          <w:i/>
        </w:rPr>
      </w:r>
    </w:p>
    <w:p>
      <w:pPr>
        <w:pStyle w:val="F21"/>
        <w:ind w:left="1417" w:hanging="850"/>
        <w:rPr>
          <w:i/>
          <w:i/>
        </w:rPr>
      </w:pPr>
      <w:r>
        <w:rPr>
          <w:i/>
        </w:rPr>
        <w:t>(</w:t>
      </w:r>
      <w:r>
        <w:rPr>
          <w:i/>
        </w:rPr>
        <w:t>五</w:t>
      </w:r>
      <w:r>
        <w:rPr>
          <w:i/>
        </w:rPr>
        <w:t>)</w:t>
        <w:tab/>
      </w:r>
      <w:r>
        <w:rPr>
          <w:i/>
        </w:rPr>
        <w:t>鑒於政府在回答上述質詢時表示，就引入智能技術以監察及減低專營巴士脫班或誤點情況，會繼續與相關機構聯絡以了解科技發展，現時這方面的進展為何；如未能提供相關資料，原因為何；</w:t>
      </w:r>
    </w:p>
    <w:p>
      <w:pPr>
        <w:pStyle w:val="F21"/>
        <w:ind w:left="1417" w:hanging="850"/>
        <w:rPr>
          <w:i/>
          <w:i/>
        </w:rPr>
      </w:pPr>
      <w:r>
        <w:rPr>
          <w:i/>
        </w:rPr>
      </w:r>
    </w:p>
    <w:p>
      <w:pPr>
        <w:pStyle w:val="F21"/>
        <w:ind w:left="1417" w:hanging="850"/>
        <w:rPr>
          <w:i/>
          <w:i/>
        </w:rPr>
      </w:pPr>
      <w:r>
        <w:rPr>
          <w:i/>
        </w:rPr>
        <w:t>(</w:t>
      </w:r>
      <w:r>
        <w:rPr>
          <w:i/>
        </w:rPr>
        <w:t>六</w:t>
      </w:r>
      <w:r>
        <w:rPr>
          <w:i/>
        </w:rPr>
        <w:t>)</w:t>
        <w:tab/>
      </w:r>
      <w:r>
        <w:rPr>
          <w:i/>
        </w:rPr>
        <w:t>當局會否考慮在日後與巴士公司簽訂的專營權協議中加入條款，規定巴士公司須向所有路線的乘客提供巴士服務的實時資訊；如會，詳情為何；如否，原因為何；及</w:t>
      </w:r>
    </w:p>
    <w:p>
      <w:pPr>
        <w:pStyle w:val="F21"/>
        <w:ind w:left="1417" w:hanging="850"/>
        <w:rPr>
          <w:i/>
          <w:i/>
        </w:rPr>
      </w:pPr>
      <w:r>
        <w:rPr>
          <w:i/>
        </w:rPr>
      </w:r>
    </w:p>
    <w:p>
      <w:pPr>
        <w:pStyle w:val="F21"/>
        <w:ind w:left="1417" w:hanging="850"/>
        <w:rPr>
          <w:i/>
          <w:i/>
        </w:rPr>
      </w:pPr>
      <w:r>
        <w:rPr>
          <w:i/>
        </w:rPr>
        <w:t>(</w:t>
      </w:r>
      <w:r>
        <w:rPr>
          <w:i/>
        </w:rPr>
        <w:t>七</w:t>
      </w:r>
      <w:r>
        <w:rPr>
          <w:i/>
        </w:rPr>
        <w:t>)</w:t>
        <w:tab/>
      </w:r>
      <w:r>
        <w:rPr>
          <w:i/>
        </w:rPr>
        <w:t>鑒於本人獲悉，部分專營巴士路線</w:t>
      </w:r>
      <w:r>
        <w:rPr>
          <w:i/>
        </w:rPr>
        <w:t>(</w:t>
      </w:r>
      <w:r>
        <w:rPr>
          <w:i/>
        </w:rPr>
        <w:t>例如九巴的</w:t>
      </w:r>
      <w:r>
        <w:rPr>
          <w:i/>
        </w:rPr>
        <w:t>2B</w:t>
      </w:r>
      <w:r>
        <w:rPr>
          <w:i/>
        </w:rPr>
        <w:t>、</w:t>
      </w:r>
      <w:r>
        <w:rPr>
          <w:i/>
        </w:rPr>
        <w:t>2C</w:t>
      </w:r>
      <w:r>
        <w:rPr>
          <w:i/>
        </w:rPr>
        <w:t>、</w:t>
      </w:r>
      <w:r>
        <w:rPr>
          <w:i/>
        </w:rPr>
        <w:t>2D</w:t>
      </w:r>
      <w:r>
        <w:rPr>
          <w:i/>
        </w:rPr>
        <w:t>號路線</w:t>
      </w:r>
      <w:r>
        <w:rPr>
          <w:i/>
        </w:rPr>
        <w:t>)</w:t>
      </w:r>
      <w:r>
        <w:rPr>
          <w:i/>
        </w:rPr>
        <w:t>的大部分班次並非由可供輪椅上落的低地台巴士行走，加上班次疏落及脫班問題嚴重，令輪椅使用者的候車時間往往長達一小時，政府會否要求專營巴士公司使用低地台巴士行走有較多輪椅使用者乘搭的路線的所有班次；如會，詳情為何；如否，原因為何？</w:t>
      </w:r>
    </w:p>
    <w:p>
      <w:pPr>
        <w:pStyle w:val="F21"/>
        <w:rPr>
          <w:i/>
          <w:i/>
        </w:rPr>
      </w:pPr>
      <w:r>
        <w:rPr>
          <w:i/>
        </w:rPr>
      </w:r>
    </w:p>
    <w:p>
      <w:pPr>
        <w:pStyle w:val="F21"/>
        <w:rPr>
          <w:i/>
          <w:i/>
        </w:rPr>
      </w:pPr>
      <w:r>
        <w:rPr>
          <w:i/>
        </w:rPr>
      </w:r>
    </w:p>
    <w:p>
      <w:pPr>
        <w:pStyle w:val="F21"/>
        <w:rPr/>
      </w:pPr>
      <w:r>
        <w:rPr>
          <w:rFonts w:eastAsia="華康中黑體"/>
          <w:b/>
        </w:rPr>
        <w:t>運輸及房屋局局長</w:t>
      </w:r>
      <w:r>
        <w:rPr/>
        <w:t>：主席，巴士服務脫班，主要原因涉及車長不足、巴士須進行維修而導致數量不足、車輛機械故障、以及路上交通擠塞或交通意外等。運輸署一直密切監察及跟進脫班情況。在署方敦促及巴士公司採取積極改善措施後，情況自</w:t>
      </w:r>
      <w:r>
        <w:rPr/>
        <w:t>2012</w:t>
      </w:r>
      <w:r>
        <w:rPr/>
        <w:t>年年中起已有明顯改善。署方會繼續致力協助及監督專營巴士公司改善服務及提升設施。</w:t>
      </w:r>
    </w:p>
    <w:p>
      <w:pPr>
        <w:pStyle w:val="F21"/>
        <w:rPr/>
      </w:pPr>
      <w:r>
        <w:rPr/>
      </w:r>
    </w:p>
    <w:p>
      <w:pPr>
        <w:pStyle w:val="F21"/>
        <w:rPr/>
      </w:pPr>
      <w:r>
        <w:rPr/>
        <w:tab/>
      </w:r>
      <w:r>
        <w:rPr/>
        <w:t>就蔣麗芸議員質詢的各部分，現答覆如下：</w:t>
      </w:r>
    </w:p>
    <w:p>
      <w:pPr>
        <w:pStyle w:val="F21"/>
        <w:rPr/>
      </w:pPr>
      <w:r>
        <w:rPr/>
      </w:r>
    </w:p>
    <w:p>
      <w:pPr>
        <w:pStyle w:val="F21"/>
        <w:ind w:left="1418" w:hanging="851"/>
        <w:rPr/>
      </w:pPr>
      <w:r>
        <w:rPr/>
        <w:t>(</w:t>
      </w:r>
      <w:r>
        <w:rPr/>
        <w:t>一</w:t>
      </w:r>
      <w:r>
        <w:rPr/>
        <w:t>)</w:t>
        <w:tab/>
      </w:r>
      <w:r>
        <w:rPr/>
        <w:t>在</w:t>
      </w:r>
      <w:r>
        <w:rPr/>
        <w:t>2010</w:t>
      </w:r>
      <w:r>
        <w:rPr/>
        <w:t>年至</w:t>
      </w:r>
      <w:r>
        <w:rPr/>
        <w:t>2012</w:t>
      </w:r>
      <w:r>
        <w:rPr/>
        <w:t>年</w:t>
      </w:r>
      <w:r>
        <w:rPr/>
        <w:t>3</w:t>
      </w:r>
      <w:r>
        <w:rPr/>
        <w:t>年期間，運輸署從交通諮詢委員會轄下的交通投訴組及政府熱線</w:t>
      </w:r>
      <w:r>
        <w:rPr/>
        <w:t>1823</w:t>
      </w:r>
      <w:r>
        <w:rPr/>
        <w:t>接獲關於巴士服務班次不穩的意見的個案數目見附表一。</w:t>
      </w:r>
    </w:p>
    <w:p>
      <w:pPr>
        <w:pStyle w:val="F21"/>
        <w:ind w:left="1418" w:hanging="851"/>
        <w:rPr/>
      </w:pPr>
      <w:r>
        <w:rPr/>
      </w:r>
    </w:p>
    <w:p>
      <w:pPr>
        <w:pStyle w:val="F21"/>
        <w:ind w:left="1418" w:hanging="851"/>
        <w:rPr/>
      </w:pPr>
      <w:r>
        <w:rPr/>
        <w:t>(</w:t>
      </w:r>
      <w:r>
        <w:rPr/>
        <w:t>二</w:t>
      </w:r>
      <w:r>
        <w:rPr/>
        <w:t>)</w:t>
        <w:tab/>
      </w:r>
      <w:r>
        <w:rPr/>
        <w:t>不論是否收到脫班投訴，運輸署均會不時進行實地視察，以監察巴士服務提供的情況及收集服務水平的資料。在</w:t>
      </w:r>
      <w:r>
        <w:rPr/>
        <w:t>2010</w:t>
      </w:r>
      <w:r>
        <w:rPr/>
        <w:t>年至</w:t>
      </w:r>
      <w:r>
        <w:rPr/>
        <w:t>2012</w:t>
      </w:r>
      <w:r>
        <w:rPr/>
        <w:t>年</w:t>
      </w:r>
      <w:r>
        <w:rPr/>
        <w:t>3</w:t>
      </w:r>
      <w:r>
        <w:rPr/>
        <w:t>年期間，運輸署就監察專營巴士服務班次而進行的實地視察分別約有</w:t>
      </w:r>
      <w:r>
        <w:rPr/>
        <w:t>1 100</w:t>
      </w:r>
      <w:r>
        <w:rPr/>
        <w:t>次、</w:t>
      </w:r>
      <w:r>
        <w:rPr/>
        <w:t>1 300</w:t>
      </w:r>
      <w:r>
        <w:rPr/>
        <w:t>次及</w:t>
      </w:r>
      <w:r>
        <w:rPr/>
        <w:t>1 700</w:t>
      </w:r>
      <w:r>
        <w:rPr/>
        <w:t>次。署方並沒有只針對因收到脫班投訴而進行實地視察的分項統計數字。</w:t>
      </w:r>
    </w:p>
    <w:p>
      <w:pPr>
        <w:pStyle w:val="F21"/>
        <w:spacing w:lineRule="atLeast" w:line="350"/>
        <w:ind w:left="1418" w:hanging="851"/>
        <w:rPr/>
      </w:pPr>
      <w:r>
        <w:rPr/>
      </w:r>
    </w:p>
    <w:p>
      <w:pPr>
        <w:pStyle w:val="F21"/>
        <w:spacing w:lineRule="atLeast" w:line="350"/>
        <w:ind w:left="1418" w:hanging="851"/>
        <w:rPr/>
      </w:pPr>
      <w:r>
        <w:rPr/>
        <w:tab/>
      </w:r>
      <w:r>
        <w:rPr/>
        <w:t>同一次視察可能會涉及一條或多條巴士路線，而一條路線亦可能同時覆蓋多個區議會或區議會分區，署方因此沒有關於實地視察的分區統計資料。</w:t>
      </w:r>
    </w:p>
    <w:p>
      <w:pPr>
        <w:pStyle w:val="F21"/>
        <w:spacing w:lineRule="atLeast" w:line="350"/>
        <w:ind w:left="1418" w:hanging="851"/>
        <w:rPr/>
      </w:pPr>
      <w:r>
        <w:rPr/>
      </w:r>
    </w:p>
    <w:p>
      <w:pPr>
        <w:pStyle w:val="F21"/>
        <w:spacing w:lineRule="atLeast" w:line="350"/>
        <w:ind w:left="1418" w:hanging="851"/>
        <w:rPr/>
      </w:pPr>
      <w:r>
        <w:rPr/>
        <w:t>(</w:t>
      </w:r>
      <w:r>
        <w:rPr/>
        <w:t>三</w:t>
      </w:r>
      <w:r>
        <w:rPr/>
        <w:t>)</w:t>
        <w:tab/>
      </w:r>
      <w:r>
        <w:rPr/>
        <w:t>作為規管者，運輸署會因應實際情況，不時與專營巴士公司會面，討論關乎巴士服務及其他雙方關注的課題。在</w:t>
      </w:r>
      <w:r>
        <w:rPr/>
        <w:t>2008</w:t>
      </w:r>
      <w:r>
        <w:rPr/>
        <w:t>年至</w:t>
      </w:r>
      <w:r>
        <w:rPr/>
        <w:t>2012</w:t>
      </w:r>
      <w:r>
        <w:rPr/>
        <w:t>年</w:t>
      </w:r>
      <w:r>
        <w:rPr/>
        <w:t>5</w:t>
      </w:r>
      <w:r>
        <w:rPr/>
        <w:t>年期間，運輸署與專營巴士公司每年平均有</w:t>
      </w:r>
      <w:r>
        <w:rPr/>
        <w:t>17</w:t>
      </w:r>
      <w:r>
        <w:rPr/>
        <w:t>次正式會面，討論的課題包括路線規劃、班次運作、服務水平、營運安全、車長工作環境等。同期，運輸署亦有與車長工會每年平均兩次正式會面，討論內容包括工作安排、改善營運安全措施等。而車長工會代表會藉此向署方反映車長工作環境、員工福利等的意見。此外，署方亦不時和巴士公司及車長工會保持非正式接觸。</w:t>
      </w:r>
    </w:p>
    <w:p>
      <w:pPr>
        <w:pStyle w:val="F21"/>
        <w:spacing w:lineRule="atLeast" w:line="350"/>
        <w:ind w:left="1418" w:hanging="851"/>
        <w:rPr/>
      </w:pPr>
      <w:r>
        <w:rPr/>
      </w:r>
    </w:p>
    <w:p>
      <w:pPr>
        <w:pStyle w:val="F21"/>
        <w:spacing w:lineRule="atLeast" w:line="350"/>
        <w:ind w:left="1418" w:hanging="851"/>
        <w:rPr/>
      </w:pPr>
      <w:r>
        <w:rPr/>
        <w:t>(</w:t>
      </w:r>
      <w:r>
        <w:rPr/>
        <w:t>四</w:t>
      </w:r>
      <w:r>
        <w:rPr/>
        <w:t>)</w:t>
        <w:tab/>
      </w:r>
      <w:r>
        <w:rPr/>
        <w:t>當運輸署透過不同渠道收到投訴或進行專營巴士服務視察時，若懷疑有脫班的情況，署方一般會透過書信或電郵向巴士公司作出跟進。若公司未能提出合理解釋或作出改善，署方會再以書面方式向巴士公司作出提示，要求巴士公司維持達致令人滿意及有效率的公共巴士服務，並在一定的時間內落實改善措施。運輸署亦會視乎個案的持續性和嚴重程度，就個別或整體路線的脫班情況發出警告信，再要求巴士公司必須在指定的時間內作出改善。在</w:t>
      </w:r>
      <w:r>
        <w:rPr/>
        <w:t>2010</w:t>
      </w:r>
      <w:r>
        <w:rPr/>
        <w:t>年至</w:t>
      </w:r>
      <w:r>
        <w:rPr/>
        <w:t>2012</w:t>
      </w:r>
      <w:r>
        <w:rPr/>
        <w:t>年</w:t>
      </w:r>
      <w:r>
        <w:rPr/>
        <w:t>3</w:t>
      </w:r>
      <w:r>
        <w:rPr/>
        <w:t>年期間，運輸署就巴士脫班個案向專營巴士公司發出警告信的數目見附表二。而署方就一般跟進及提示公司須作出改善而發出的信件</w:t>
      </w:r>
      <w:r>
        <w:rPr/>
        <w:t>(</w:t>
      </w:r>
      <w:r>
        <w:rPr/>
        <w:t>或電郵</w:t>
      </w:r>
      <w:r>
        <w:rPr/>
        <w:t>)</w:t>
      </w:r>
      <w:r>
        <w:rPr/>
        <w:t>數目則未有分項統計數據。</w:t>
      </w:r>
    </w:p>
    <w:p>
      <w:pPr>
        <w:pStyle w:val="F21"/>
        <w:spacing w:lineRule="atLeast" w:line="350"/>
        <w:ind w:left="1418" w:hanging="851"/>
        <w:rPr/>
      </w:pPr>
      <w:r>
        <w:rPr/>
      </w:r>
    </w:p>
    <w:p>
      <w:pPr>
        <w:pStyle w:val="F21"/>
        <w:spacing w:lineRule="atLeast" w:line="350"/>
        <w:ind w:left="1418" w:hanging="851"/>
        <w:rPr/>
      </w:pPr>
      <w:r>
        <w:rPr/>
        <w:t>(</w:t>
      </w:r>
      <w:r>
        <w:rPr/>
        <w:t>五</w:t>
      </w:r>
      <w:r>
        <w:rPr/>
        <w:t>)</w:t>
      </w:r>
      <w:r>
        <w:rPr/>
        <w:t>及</w:t>
      </w:r>
      <w:r>
        <w:rPr/>
        <w:t>(</w:t>
      </w:r>
      <w:r>
        <w:rPr/>
        <w:t>六</w:t>
      </w:r>
      <w:r>
        <w:rPr/>
        <w:t>)</w:t>
      </w:r>
    </w:p>
    <w:p>
      <w:pPr>
        <w:pStyle w:val="F21"/>
        <w:spacing w:lineRule="atLeast" w:line="350"/>
        <w:ind w:left="1418" w:hanging="851"/>
        <w:rPr/>
      </w:pPr>
      <w:r>
        <w:rPr/>
      </w:r>
    </w:p>
    <w:p>
      <w:pPr>
        <w:pStyle w:val="F21"/>
        <w:spacing w:lineRule="atLeast" w:line="340"/>
        <w:ind w:left="1418" w:hanging="851"/>
        <w:rPr/>
      </w:pPr>
      <w:r>
        <w:rPr/>
        <w:tab/>
      </w:r>
      <w:r>
        <w:rPr/>
        <w:t>運輸署一向鼓勵巴士公司利用智能科技為乘客提供服務資訊。新巴、龍運巴士有限公司</w:t>
      </w:r>
      <w:r>
        <w:rPr/>
        <w:t>(“</w:t>
      </w:r>
      <w:r>
        <w:rPr/>
        <w:t>龍運”</w:t>
      </w:r>
      <w:r>
        <w:rPr/>
        <w:t>)</w:t>
      </w:r>
      <w:r>
        <w:rPr/>
        <w:t>及城巴有限公司</w:t>
      </w:r>
      <w:r>
        <w:rPr/>
        <w:t>(</w:t>
      </w:r>
      <w:r>
        <w:rPr/>
        <w:t>機場及北大嶼山巴士網絡專營權</w:t>
      </w:r>
      <w:r>
        <w:rPr/>
        <w:t>)(“</w:t>
      </w:r>
      <w:r>
        <w:rPr/>
        <w:t>城巴</w:t>
      </w:r>
      <w:r>
        <w:rPr/>
        <w:t>(</w:t>
      </w:r>
      <w:r>
        <w:rPr/>
        <w:t>專營權二</w:t>
      </w:r>
      <w:r>
        <w:rPr/>
        <w:t>)”)</w:t>
      </w:r>
      <w:r>
        <w:rPr/>
        <w:t>在今年開展的新專營權中，已更新相關條款，加強運輸署署長對規管巴士公司向乘客提供資訊的種類、形式和方法的權力。經修訂的專營權條款特別規定，專營巴士公司須按署長要求在其網站提供服務資訊。此外，該等公司已承諾透過互聯網和智能電話應用程式，提供乘客資訊及查詢系統，並可在日後按需要進一步改良資訊及查詢系統。政府計劃在另外</w:t>
      </w:r>
      <w:r>
        <w:rPr/>
        <w:t>3</w:t>
      </w:r>
      <w:r>
        <w:rPr/>
        <w:t>個專營權在</w:t>
      </w:r>
      <w:r>
        <w:rPr/>
        <w:t>2016-2017</w:t>
      </w:r>
      <w:r>
        <w:rPr/>
        <w:t>年度屆滿時，引入相類的條款及要求巴士公司作出相類的承諾。</w:t>
      </w:r>
    </w:p>
    <w:p>
      <w:pPr>
        <w:pStyle w:val="F21"/>
        <w:spacing w:lineRule="atLeast" w:line="340"/>
        <w:ind w:left="1418" w:hanging="851"/>
        <w:rPr/>
      </w:pPr>
      <w:r>
        <w:rPr/>
      </w:r>
    </w:p>
    <w:p>
      <w:pPr>
        <w:pStyle w:val="F21"/>
        <w:spacing w:lineRule="atLeast" w:line="340"/>
        <w:ind w:left="1418" w:hanging="851"/>
        <w:rPr/>
      </w:pPr>
      <w:r>
        <w:rPr/>
        <w:tab/>
      </w:r>
      <w:r>
        <w:rPr/>
        <w:t>事實上，現時已有巴士公司在其網站及通過智能電話程式，就選定路線提供實時到站資訊，亦有巴士公司在主要的轉乘站內，試用實時巴士到站預報系統。</w:t>
      </w:r>
    </w:p>
    <w:p>
      <w:pPr>
        <w:pStyle w:val="F21"/>
        <w:spacing w:lineRule="atLeast" w:line="340"/>
        <w:ind w:left="1418" w:hanging="851"/>
        <w:rPr/>
      </w:pPr>
      <w:r>
        <w:rPr/>
      </w:r>
    </w:p>
    <w:p>
      <w:pPr>
        <w:pStyle w:val="F21"/>
        <w:spacing w:lineRule="atLeast" w:line="340"/>
        <w:ind w:left="1418" w:hanging="851"/>
        <w:rPr/>
      </w:pPr>
      <w:r>
        <w:rPr/>
        <w:tab/>
      </w:r>
      <w:r>
        <w:rPr/>
        <w:t>按《公共巴士服務條例》</w:t>
      </w:r>
      <w:r>
        <w:rPr/>
        <w:t>(</w:t>
      </w:r>
      <w:r>
        <w:rPr/>
        <w:t>香港法例第</w:t>
      </w:r>
      <w:r>
        <w:rPr/>
        <w:t>230</w:t>
      </w:r>
      <w:r>
        <w:rPr/>
        <w:t>章</w:t>
      </w:r>
      <w:r>
        <w:rPr/>
        <w:t>)</w:t>
      </w:r>
      <w:r>
        <w:rPr/>
        <w:t>第</w:t>
      </w:r>
      <w:r>
        <w:rPr/>
        <w:t>18</w:t>
      </w:r>
      <w:r>
        <w:rPr/>
        <w:t>條及現有的專營權條款，專營巴士公司須就巴士營運資料備存妥當紀錄以達致署長滿意的程度，其中包括各路線使用的巴士數目、每天行走的旅程次數及公里總數、以及因意外、壞車、車輛和人手不足而脫班等資料，並須按署長規定的時間、格式及形式</w:t>
      </w:r>
      <w:r>
        <w:rPr/>
        <w:t>(</w:t>
      </w:r>
      <w:r>
        <w:rPr/>
        <w:t>例如以電腦輸出的形式</w:t>
      </w:r>
      <w:r>
        <w:rPr/>
        <w:t>)</w:t>
      </w:r>
      <w:r>
        <w:rPr/>
        <w:t>，向署長提供紀錄副本。現時運輸署已可透過設置電腦終端機以電子形式直接查閱這些營運資料紀錄。如有發現個別路線在個別地點及時段有巴士脫班情況，運輸署會作出跟進。這安排配以署方的實地視察，發揮了有效的監察作用。</w:t>
      </w:r>
    </w:p>
    <w:p>
      <w:pPr>
        <w:pStyle w:val="F21"/>
        <w:spacing w:lineRule="atLeast" w:line="340"/>
        <w:ind w:left="1418" w:hanging="851"/>
        <w:rPr/>
      </w:pPr>
      <w:r>
        <w:rPr/>
      </w:r>
    </w:p>
    <w:p>
      <w:pPr>
        <w:pStyle w:val="F21"/>
        <w:spacing w:lineRule="atLeast" w:line="340"/>
        <w:ind w:left="1418" w:hanging="851"/>
        <w:rPr/>
      </w:pPr>
      <w:r>
        <w:rPr/>
        <w:t>(</w:t>
      </w:r>
      <w:r>
        <w:rPr/>
        <w:t>七</w:t>
      </w:r>
      <w:r>
        <w:rPr/>
        <w:t>)</w:t>
        <w:tab/>
      </w:r>
      <w:r>
        <w:rPr/>
        <w:t>自</w:t>
      </w:r>
      <w:r>
        <w:rPr/>
        <w:t>2001</w:t>
      </w:r>
      <w:r>
        <w:rPr/>
        <w:t>年起，專營巴士公司在可行的情況下，在添置新車或更換舊有巴士時均會選購可供輪椅上落的低地台巴士。嶼巴是唯一例外，原因是南大嶼山部分路面因陡斜或有急彎而不適合使用可供輪椅上落的低地台巴士型號，該公司因而只能盡量購置可供輪椅上落的低地台巴士行走其他不途經該等路段的巴士路線。現時龍運及城巴</w:t>
      </w:r>
      <w:r>
        <w:rPr/>
        <w:t>(</w:t>
      </w:r>
      <w:r>
        <w:rPr/>
        <w:t>專營權二</w:t>
      </w:r>
      <w:r>
        <w:rPr/>
        <w:t>)</w:t>
      </w:r>
      <w:r>
        <w:rPr/>
        <w:t>巴士車隊已全數為低地台巴士。</w:t>
      </w:r>
    </w:p>
    <w:p>
      <w:pPr>
        <w:pStyle w:val="F21"/>
        <w:spacing w:lineRule="atLeast" w:line="340"/>
        <w:ind w:left="1418" w:hanging="851"/>
        <w:rPr/>
      </w:pPr>
      <w:r>
        <w:rPr/>
      </w:r>
    </w:p>
    <w:p>
      <w:pPr>
        <w:pStyle w:val="F21"/>
        <w:spacing w:lineRule="atLeast" w:line="340"/>
        <w:ind w:left="1418" w:hanging="851"/>
        <w:rPr/>
      </w:pPr>
      <w:r>
        <w:rPr/>
        <w:tab/>
      </w:r>
      <w:r>
        <w:rPr/>
        <w:t>截至今年</w:t>
      </w:r>
      <w:r>
        <w:rPr/>
        <w:t>9</w:t>
      </w:r>
      <w:r>
        <w:rPr/>
        <w:t>月底，可供輪椅上落的低地台巴士數目約</w:t>
      </w:r>
      <w:r>
        <w:rPr/>
        <w:t>4 050</w:t>
      </w:r>
      <w:r>
        <w:rPr/>
        <w:t>輛，佔整體專營巴士車隊的七成。而蔣麗芸議員質詢中所指的九巴</w:t>
      </w:r>
      <w:r>
        <w:rPr/>
        <w:t>2B</w:t>
      </w:r>
      <w:r>
        <w:rPr/>
        <w:t>、</w:t>
      </w:r>
      <w:r>
        <w:rPr/>
        <w:t>2C</w:t>
      </w:r>
      <w:r>
        <w:rPr/>
        <w:t>及</w:t>
      </w:r>
      <w:r>
        <w:rPr/>
        <w:t>2D</w:t>
      </w:r>
      <w:r>
        <w:rPr/>
        <w:t>號路線使用的車輛，絕大多數</w:t>
      </w:r>
      <w:r>
        <w:rPr/>
        <w:t>(80%</w:t>
      </w:r>
      <w:r>
        <w:rPr/>
        <w:t>至</w:t>
      </w:r>
      <w:r>
        <w:rPr/>
        <w:t>100%)</w:t>
      </w:r>
      <w:r>
        <w:rPr/>
        <w:t>為低地台巴士。預計到</w:t>
      </w:r>
      <w:r>
        <w:rPr/>
        <w:t>2015-2016</w:t>
      </w:r>
      <w:r>
        <w:rPr/>
        <w:t>年左右，所有專營巴士</w:t>
      </w:r>
      <w:r>
        <w:rPr/>
        <w:t>(</w:t>
      </w:r>
      <w:r>
        <w:rPr/>
        <w:t>少數嶼巴除外</w:t>
      </w:r>
      <w:r>
        <w:rPr/>
        <w:t>)</w:t>
      </w:r>
      <w:r>
        <w:rPr/>
        <w:t>將均會使用可供輪椅上落的低地台巴士。</w:t>
      </w:r>
    </w:p>
    <w:p>
      <w:pPr>
        <w:pStyle w:val="F21"/>
        <w:spacing w:lineRule="atLeast" w:line="340"/>
        <w:ind w:left="1418" w:hanging="851"/>
        <w:rPr/>
      </w:pPr>
      <w:r>
        <w:rPr/>
      </w:r>
    </w:p>
    <w:p>
      <w:pPr>
        <w:pStyle w:val="F21"/>
        <w:spacing w:lineRule="atLeast" w:line="340"/>
        <w:ind w:left="1418" w:hanging="851"/>
        <w:rPr/>
      </w:pPr>
      <w:r>
        <w:rPr/>
        <w:tab/>
      </w:r>
      <w:r>
        <w:rPr/>
        <w:t>目前，巴士公司會因應實際運作情況及乘客需求編排各路線的低地台巴士數目。如有需要，輪椅乘客可透過巴士公司顧客服務熱線，就個別路線</w:t>
      </w:r>
      <w:r>
        <w:rPr/>
        <w:t>(</w:t>
      </w:r>
      <w:r>
        <w:rPr/>
        <w:t>例如九巴的</w:t>
      </w:r>
      <w:r>
        <w:rPr/>
        <w:t>2B</w:t>
      </w:r>
      <w:r>
        <w:rPr/>
        <w:t>、</w:t>
      </w:r>
      <w:r>
        <w:rPr/>
        <w:t>2C</w:t>
      </w:r>
      <w:r>
        <w:rPr/>
        <w:t>及</w:t>
      </w:r>
      <w:r>
        <w:rPr/>
        <w:t>2D</w:t>
      </w:r>
      <w:r>
        <w:rPr/>
        <w:t>號路線</w:t>
      </w:r>
      <w:r>
        <w:rPr/>
        <w:t>)</w:t>
      </w:r>
      <w:r>
        <w:rPr/>
        <w:t>查詢以低地台型號巴士營運的班次的時間。</w:t>
      </w:r>
    </w:p>
    <w:p>
      <w:pPr>
        <w:pStyle w:val="F21"/>
        <w:spacing w:lineRule="atLeast" w:line="320"/>
        <w:jc w:val="right"/>
        <w:rPr/>
      </w:pPr>
      <w:r>
        <w:rPr/>
        <w:t>附表一</w:t>
      </w:r>
    </w:p>
    <w:p>
      <w:pPr>
        <w:pStyle w:val="F21"/>
        <w:spacing w:lineRule="atLeast" w:line="320"/>
        <w:jc w:val="center"/>
        <w:rPr/>
      </w:pPr>
      <w:r>
        <w:rPr/>
      </w:r>
    </w:p>
    <w:p>
      <w:pPr>
        <w:pStyle w:val="F21"/>
        <w:spacing w:lineRule="atLeast" w:line="320"/>
        <w:jc w:val="center"/>
        <w:rPr/>
      </w:pPr>
      <w:r>
        <w:rPr/>
        <w:t>2010</w:t>
      </w:r>
      <w:r>
        <w:rPr/>
        <w:t>年至</w:t>
      </w:r>
      <w:r>
        <w:rPr/>
        <w:t>2012</w:t>
      </w:r>
      <w:r>
        <w:rPr/>
        <w:t>年關於巴士服務班次不穩的意見</w:t>
      </w:r>
      <w:r>
        <w:rPr>
          <w:vertAlign w:val="superscript"/>
        </w:rPr>
        <w:t>(1)</w:t>
      </w:r>
      <w:r>
        <w:rPr/>
        <w:t>個案數目</w:t>
      </w:r>
    </w:p>
    <w:p>
      <w:pPr>
        <w:pStyle w:val="F21"/>
        <w:spacing w:lineRule="atLeast" w:line="320"/>
        <w:rPr/>
      </w:pPr>
      <w:r>
        <w:rPr/>
      </w:r>
    </w:p>
    <w:p>
      <w:pPr>
        <w:pStyle w:val="F21"/>
        <w:spacing w:lineRule="atLeast" w:line="320"/>
        <w:rPr/>
      </w:pPr>
      <w:r>
        <w:rPr/>
        <w:t>(i) 2010</w:t>
      </w:r>
      <w:r>
        <w:rPr/>
        <w:t>年</w:t>
      </w:r>
    </w:p>
    <w:p>
      <w:pPr>
        <w:pStyle w:val="F21"/>
        <w:spacing w:lineRule="atLeast" w:line="320"/>
        <w:ind w:left="108" w:hanging="0"/>
        <w:rPr/>
      </w:pPr>
      <w:r>
        <w:rPr/>
      </w:r>
    </w:p>
    <w:tbl>
      <w:tblPr>
        <w:tblW w:w="9269" w:type="dxa"/>
        <w:jc w:val="left"/>
        <w:tblInd w:w="0" w:type="dxa"/>
        <w:tblCellMar>
          <w:top w:w="0" w:type="dxa"/>
          <w:left w:w="28" w:type="dxa"/>
          <w:bottom w:w="0" w:type="dxa"/>
          <w:right w:w="28" w:type="dxa"/>
        </w:tblCellMar>
        <w:tblLook w:val="01e0" w:noHBand="0" w:noVBand="0" w:firstColumn="1" w:lastRow="1" w:lastColumn="1" w:firstRow="1"/>
      </w:tblPr>
      <w:tblGrid>
        <w:gridCol w:w="2307"/>
        <w:gridCol w:w="2321"/>
        <w:gridCol w:w="2320"/>
        <w:gridCol w:w="2320"/>
      </w:tblGrid>
      <w:tr>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專營巴士公司</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交通投訴組</w:t>
            </w:r>
            <w:r>
              <w:rPr>
                <w:i/>
                <w:vertAlign w:val="superscript"/>
              </w:rPr>
              <w:t>(2)</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政府熱線</w:t>
            </w:r>
            <w:r>
              <w:rPr>
                <w:i/>
              </w:rPr>
              <w:t>1823</w:t>
            </w:r>
            <w:r>
              <w:rPr>
                <w:i/>
                <w:vertAlign w:val="superscript"/>
              </w:rPr>
              <w:t>(2)</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個案</w:t>
            </w:r>
            <w:r>
              <w:rPr>
                <w:i/>
              </w:rPr>
              <w:t>(</w:t>
            </w:r>
            <w:r>
              <w:rPr>
                <w:i/>
              </w:rPr>
              <w:t>交通投訴組及政府熱線</w:t>
            </w:r>
            <w:r>
              <w:rPr>
                <w:i/>
              </w:rPr>
              <w:t>1823)</w:t>
            </w:r>
            <w:r>
              <w:rPr>
                <w:i/>
              </w:rPr>
              <w:t>按每百萬乘客計的比例</w:t>
            </w:r>
          </w:p>
        </w:tc>
      </w:tr>
      <w:tr>
        <w:trPr>
          <w:trHeight w:val="567" w:hRule="atLeast"/>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left="57" w:hanging="0"/>
              <w:rPr/>
            </w:pPr>
            <w:r>
              <w:rPr/>
              <w:t>九巴</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718</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592</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jc w:val="center"/>
              <w:rPr/>
            </w:pPr>
            <w:r>
              <w:rPr/>
              <w:t>1.38</w:t>
            </w:r>
          </w:p>
        </w:tc>
      </w:tr>
      <w:tr>
        <w:trPr>
          <w:trHeight w:val="567" w:hRule="atLeast"/>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left="57" w:hanging="0"/>
              <w:rPr/>
            </w:pPr>
            <w:r>
              <w:rPr/>
              <w:t>新巴</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175</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130</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jc w:val="center"/>
              <w:rPr/>
            </w:pPr>
            <w:r>
              <w:rPr/>
              <w:t>1.77</w:t>
            </w:r>
          </w:p>
        </w:tc>
      </w:tr>
      <w:tr>
        <w:trPr>
          <w:trHeight w:val="567" w:hRule="atLeast"/>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left="57" w:hanging="0"/>
              <w:rPr/>
            </w:pPr>
            <w:r>
              <w:rPr/>
              <w:t>城巴</w:t>
            </w:r>
            <w:r>
              <w:rPr/>
              <w:t>(</w:t>
            </w:r>
            <w:r>
              <w:rPr/>
              <w:t>專營權一</w:t>
            </w:r>
            <w:r>
              <w:rPr/>
              <w:t>)</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163</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122</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jc w:val="center"/>
              <w:rPr/>
            </w:pPr>
            <w:r>
              <w:rPr/>
              <w:t>1.51</w:t>
            </w:r>
          </w:p>
        </w:tc>
      </w:tr>
      <w:tr>
        <w:trPr>
          <w:trHeight w:val="567" w:hRule="atLeast"/>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left="57" w:hanging="0"/>
              <w:rPr/>
            </w:pPr>
            <w:r>
              <w:rPr/>
              <w:t>城巴</w:t>
            </w:r>
            <w:r>
              <w:rPr/>
              <w:t>(</w:t>
            </w:r>
            <w:r>
              <w:rPr/>
              <w:t>專營權二</w:t>
            </w:r>
            <w:r>
              <w:rPr/>
              <w:t>)</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19</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12</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jc w:val="center"/>
              <w:rPr/>
            </w:pPr>
            <w:r>
              <w:rPr/>
              <w:t>1.35</w:t>
            </w:r>
          </w:p>
        </w:tc>
      </w:tr>
      <w:tr>
        <w:trPr>
          <w:trHeight w:val="567" w:hRule="atLeast"/>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left="57" w:hanging="0"/>
              <w:rPr/>
            </w:pPr>
            <w:r>
              <w:rPr/>
              <w:t>龍運</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22</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16</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jc w:val="center"/>
              <w:rPr/>
            </w:pPr>
            <w:r>
              <w:rPr/>
              <w:t>1.31</w:t>
            </w:r>
          </w:p>
        </w:tc>
      </w:tr>
      <w:tr>
        <w:trPr>
          <w:trHeight w:val="567" w:hRule="atLeast"/>
        </w:trPr>
        <w:tc>
          <w:tcPr>
            <w:tcW w:w="230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left="57" w:hanging="0"/>
              <w:rPr/>
            </w:pPr>
            <w:r>
              <w:rPr/>
              <w:t>嶼巴</w:t>
            </w:r>
          </w:p>
        </w:tc>
        <w:tc>
          <w:tcPr>
            <w:tcW w:w="232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3</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ind w:right="972" w:hanging="0"/>
              <w:jc w:val="right"/>
              <w:rPr/>
            </w:pPr>
            <w:r>
              <w:rPr/>
              <w:t>3</w:t>
            </w:r>
          </w:p>
        </w:tc>
        <w:tc>
          <w:tcPr>
            <w:tcW w:w="232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jc w:val="center"/>
              <w:rPr/>
            </w:pPr>
            <w:r>
              <w:rPr/>
              <w:t>0.32</w:t>
            </w:r>
          </w:p>
        </w:tc>
      </w:tr>
    </w:tbl>
    <w:p>
      <w:pPr>
        <w:pStyle w:val="F21"/>
        <w:spacing w:lineRule="atLeast" w:line="320"/>
        <w:rPr/>
      </w:pPr>
      <w:r>
        <w:rPr/>
      </w:r>
    </w:p>
    <w:p>
      <w:pPr>
        <w:pStyle w:val="F21"/>
        <w:spacing w:lineRule="atLeast" w:line="320"/>
        <w:rPr/>
      </w:pPr>
      <w:r>
        <w:rPr/>
        <w:t>(ii) 2011</w:t>
      </w:r>
      <w:r>
        <w:rPr/>
        <w:t>年</w:t>
      </w:r>
    </w:p>
    <w:p>
      <w:pPr>
        <w:pStyle w:val="F21"/>
        <w:spacing w:lineRule="atLeast" w:line="320"/>
        <w:rPr/>
      </w:pPr>
      <w:r>
        <w:rPr/>
      </w:r>
    </w:p>
    <w:tbl>
      <w:tblPr>
        <w:tblW w:w="9239" w:type="dxa"/>
        <w:jc w:val="left"/>
        <w:tblInd w:w="109" w:type="dxa"/>
        <w:tblCellMar>
          <w:top w:w="0" w:type="dxa"/>
          <w:left w:w="57" w:type="dxa"/>
          <w:bottom w:w="0" w:type="dxa"/>
          <w:right w:w="57" w:type="dxa"/>
        </w:tblCellMar>
        <w:tblLook w:val="01e0" w:noHBand="0" w:noVBand="0" w:firstColumn="1" w:lastRow="1" w:lastColumn="1" w:firstRow="1"/>
      </w:tblPr>
      <w:tblGrid>
        <w:gridCol w:w="2282"/>
        <w:gridCol w:w="2323"/>
        <w:gridCol w:w="2324"/>
        <w:gridCol w:w="2309"/>
      </w:tblGrid>
      <w:tr>
        <w:trPr>
          <w:tblHeader w:val="true"/>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專營巴士公司</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交通投訴組</w:t>
            </w:r>
            <w:r>
              <w:rPr>
                <w:i/>
                <w:vertAlign w:val="superscript"/>
              </w:rPr>
              <w:t>(2)</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clear" w:pos="567"/>
              </w:tabs>
              <w:spacing w:lineRule="auto" w:line="240"/>
              <w:jc w:val="center"/>
              <w:rPr>
                <w:i/>
                <w:i/>
              </w:rPr>
            </w:pPr>
            <w:r>
              <w:rPr>
                <w:i/>
              </w:rPr>
              <w:t>政府熱線</w:t>
            </w:r>
            <w:r>
              <w:rPr>
                <w:i/>
              </w:rPr>
              <w:t>1823</w:t>
            </w:r>
            <w:r>
              <w:rPr>
                <w:i/>
                <w:vertAlign w:val="superscript"/>
              </w:rPr>
              <w:t>(2)</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個案</w:t>
            </w:r>
            <w:r>
              <w:rPr>
                <w:i/>
              </w:rPr>
              <w:t>(</w:t>
            </w:r>
            <w:r>
              <w:rPr>
                <w:i/>
              </w:rPr>
              <w:t>交通投訴組及政府熱線</w:t>
            </w:r>
          </w:p>
          <w:p>
            <w:pPr>
              <w:pStyle w:val="F21"/>
              <w:spacing w:lineRule="auto" w:line="240"/>
              <w:jc w:val="center"/>
              <w:rPr>
                <w:i/>
                <w:i/>
              </w:rPr>
            </w:pPr>
            <w:r>
              <w:rPr>
                <w:i/>
              </w:rPr>
              <w:t>1823)</w:t>
            </w:r>
            <w:r>
              <w:rPr>
                <w:i/>
              </w:rPr>
              <w:t>按每百萬乘客計的比例</w:t>
            </w:r>
          </w:p>
        </w:tc>
      </w:tr>
      <w:tr>
        <w:trPr>
          <w:trHeight w:val="567" w:hRule="atLeast"/>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rPr/>
            </w:pPr>
            <w:r>
              <w:rPr/>
              <w:t>九巴</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1 046</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786" w:hanging="0"/>
              <w:jc w:val="right"/>
              <w:rPr/>
            </w:pPr>
            <w:r>
              <w:rPr/>
              <w:t>1 125</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2.32</w:t>
            </w:r>
          </w:p>
        </w:tc>
      </w:tr>
      <w:tr>
        <w:trPr>
          <w:trHeight w:val="567" w:hRule="atLeast"/>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rPr/>
            </w:pPr>
            <w:r>
              <w:rPr/>
              <w:t>新巴</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177</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786" w:hanging="0"/>
              <w:jc w:val="right"/>
              <w:rPr/>
            </w:pPr>
            <w:r>
              <w:rPr/>
              <w:t>225</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2.30</w:t>
            </w:r>
          </w:p>
        </w:tc>
      </w:tr>
      <w:tr>
        <w:trPr>
          <w:trHeight w:val="567" w:hRule="atLeast"/>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rPr/>
            </w:pPr>
            <w:r>
              <w:rPr/>
              <w:t>城巴</w:t>
            </w:r>
            <w:r>
              <w:rPr/>
              <w:t>(</w:t>
            </w:r>
            <w:r>
              <w:rPr/>
              <w:t>專營權一</w:t>
            </w:r>
            <w:r>
              <w:rPr/>
              <w:t>)</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172</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786" w:hanging="0"/>
              <w:jc w:val="right"/>
              <w:rPr/>
            </w:pPr>
            <w:r>
              <w:rPr/>
              <w:t>198</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1.89</w:t>
            </w:r>
          </w:p>
        </w:tc>
      </w:tr>
      <w:tr>
        <w:trPr>
          <w:trHeight w:val="567" w:hRule="atLeast"/>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rPr/>
            </w:pPr>
            <w:r>
              <w:rPr/>
              <w:t>城巴</w:t>
            </w:r>
            <w:r>
              <w:rPr/>
              <w:t>(</w:t>
            </w:r>
            <w:r>
              <w:rPr/>
              <w:t>專營權二</w:t>
            </w:r>
            <w:r>
              <w:rPr/>
              <w:t>)</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21</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786" w:hanging="0"/>
              <w:jc w:val="right"/>
              <w:rPr/>
            </w:pPr>
            <w:r>
              <w:rPr/>
              <w:t>27</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2.09</w:t>
            </w:r>
          </w:p>
        </w:tc>
      </w:tr>
      <w:tr>
        <w:trPr>
          <w:trHeight w:val="567" w:hRule="atLeast"/>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tLeast" w:line="320"/>
              <w:rPr/>
            </w:pPr>
            <w:r>
              <w:rPr/>
              <w:t>龍運</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52</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786" w:hanging="0"/>
              <w:jc w:val="right"/>
              <w:rPr/>
            </w:pPr>
            <w:r>
              <w:rPr/>
              <w:t>29</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spacing w:lineRule="atLeast" w:line="320"/>
              <w:ind w:right="800" w:hanging="0"/>
              <w:jc w:val="right"/>
              <w:rPr/>
            </w:pPr>
            <w:r>
              <w:rPr/>
              <w:t>2.70</w:t>
            </w:r>
          </w:p>
        </w:tc>
      </w:tr>
      <w:tr>
        <w:trPr>
          <w:trHeight w:val="567" w:hRule="atLeast"/>
        </w:trPr>
        <w:tc>
          <w:tcPr>
            <w:tcW w:w="228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rPr/>
            </w:pPr>
            <w:r>
              <w:rPr/>
              <w:t>嶼巴</w:t>
            </w:r>
          </w:p>
        </w:tc>
        <w:tc>
          <w:tcPr>
            <w:tcW w:w="232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right="800" w:hanging="0"/>
              <w:jc w:val="right"/>
              <w:rPr/>
            </w:pPr>
            <w:r>
              <w:rPr/>
              <w:t>0</w:t>
            </w:r>
          </w:p>
        </w:tc>
        <w:tc>
          <w:tcPr>
            <w:tcW w:w="232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right="786" w:hanging="0"/>
              <w:jc w:val="right"/>
              <w:rPr/>
            </w:pPr>
            <w:r>
              <w:rPr/>
              <w:t>8</w:t>
            </w:r>
          </w:p>
        </w:tc>
        <w:tc>
          <w:tcPr>
            <w:tcW w:w="230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ind w:right="800" w:hanging="0"/>
              <w:jc w:val="right"/>
              <w:rPr/>
            </w:pPr>
            <w:r>
              <w:rPr/>
              <w:t>0.38</w:t>
            </w:r>
          </w:p>
        </w:tc>
      </w:tr>
    </w:tbl>
    <w:p>
      <w:pPr>
        <w:pStyle w:val="F21"/>
        <w:spacing w:lineRule="atLeast" w:line="400"/>
        <w:rPr/>
      </w:pPr>
      <w:r>
        <w:rPr/>
      </w:r>
    </w:p>
    <w:p>
      <w:pPr>
        <w:pStyle w:val="F21"/>
        <w:spacing w:lineRule="atLeast" w:line="400"/>
        <w:rPr/>
      </w:pPr>
      <w:r>
        <w:rPr/>
      </w:r>
    </w:p>
    <w:p>
      <w:pPr>
        <w:pStyle w:val="F21"/>
        <w:spacing w:lineRule="atLeast" w:line="400"/>
        <w:ind w:left="57" w:hanging="0"/>
        <w:rPr/>
      </w:pPr>
      <w:r>
        <w:rPr/>
        <w:t>(iii) 2012</w:t>
      </w:r>
      <w:r>
        <w:rPr/>
        <w:t>年</w:t>
      </w:r>
    </w:p>
    <w:p>
      <w:pPr>
        <w:pStyle w:val="F21"/>
        <w:spacing w:lineRule="atLeast" w:line="400"/>
        <w:rPr/>
      </w:pPr>
      <w:r>
        <w:rPr/>
      </w:r>
    </w:p>
    <w:tbl>
      <w:tblPr>
        <w:tblW w:w="9163" w:type="dxa"/>
        <w:jc w:val="left"/>
        <w:tblInd w:w="108" w:type="dxa"/>
        <w:tblCellMar>
          <w:top w:w="0" w:type="dxa"/>
          <w:left w:w="57" w:type="dxa"/>
          <w:bottom w:w="0" w:type="dxa"/>
          <w:right w:w="57" w:type="dxa"/>
        </w:tblCellMar>
        <w:tblLook w:val="01e0" w:noHBand="0" w:noVBand="0" w:firstColumn="1" w:lastRow="1" w:lastColumn="1" w:firstRow="1"/>
      </w:tblPr>
      <w:tblGrid>
        <w:gridCol w:w="2273"/>
        <w:gridCol w:w="2353"/>
        <w:gridCol w:w="2293"/>
        <w:gridCol w:w="2243"/>
      </w:tblGrid>
      <w:tr>
        <w:trPr>
          <w:trHeight w:val="1985"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專營巴士公司</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交通投訴組</w:t>
            </w:r>
            <w:r>
              <w:rPr>
                <w:i/>
                <w:vertAlign w:val="superscript"/>
              </w:rPr>
              <w:t>(2)</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政府熱線</w:t>
            </w:r>
            <w:r>
              <w:rPr>
                <w:i/>
              </w:rPr>
              <w:t>1823</w:t>
            </w:r>
            <w:r>
              <w:rPr>
                <w:i/>
                <w:vertAlign w:val="superscript"/>
              </w:rPr>
              <w:t>(2)</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jc w:val="center"/>
              <w:rPr>
                <w:i/>
                <w:i/>
              </w:rPr>
            </w:pPr>
            <w:r>
              <w:rPr>
                <w:i/>
              </w:rPr>
              <w:t>個案</w:t>
            </w:r>
            <w:r>
              <w:rPr>
                <w:i/>
              </w:rPr>
              <w:t>(</w:t>
            </w:r>
            <w:r>
              <w:rPr>
                <w:i/>
              </w:rPr>
              <w:t>交通投訴組及政府熱線</w:t>
            </w:r>
            <w:r>
              <w:rPr>
                <w:i/>
              </w:rPr>
              <w:t>1823)</w:t>
            </w:r>
            <w:r>
              <w:rPr>
                <w:i/>
              </w:rPr>
              <w:t>按每百萬乘客計的比例</w:t>
            </w:r>
          </w:p>
        </w:tc>
      </w:tr>
      <w:tr>
        <w:trPr>
          <w:trHeight w:val="1134"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rPr/>
            </w:pPr>
            <w:r>
              <w:rPr/>
              <w:t>九巴</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2 508</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2 448</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5.26</w:t>
            </w:r>
          </w:p>
        </w:tc>
      </w:tr>
      <w:tr>
        <w:trPr>
          <w:trHeight w:val="1134"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rPr/>
            </w:pPr>
            <w:r>
              <w:rPr/>
              <w:t>新巴</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448</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488</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5.23</w:t>
            </w:r>
          </w:p>
        </w:tc>
      </w:tr>
      <w:tr>
        <w:trPr>
          <w:trHeight w:val="1134"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rPr/>
            </w:pPr>
            <w:r>
              <w:rPr/>
              <w:t>城巴</w:t>
            </w:r>
            <w:r>
              <w:rPr/>
              <w:t>(</w:t>
            </w:r>
            <w:r>
              <w:rPr/>
              <w:t>專營權一</w:t>
            </w:r>
            <w:r>
              <w:rPr/>
              <w:t>)</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434</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418</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4.20</w:t>
            </w:r>
          </w:p>
        </w:tc>
      </w:tr>
      <w:tr>
        <w:trPr>
          <w:trHeight w:val="1134"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rPr/>
            </w:pPr>
            <w:r>
              <w:rPr/>
              <w:t>城巴</w:t>
            </w:r>
            <w:r>
              <w:rPr/>
              <w:t>(</w:t>
            </w:r>
            <w:r>
              <w:rPr/>
              <w:t>專營權二</w:t>
            </w:r>
            <w:r>
              <w:rPr/>
              <w:t>)</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49</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55</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4.16</w:t>
            </w:r>
          </w:p>
        </w:tc>
      </w:tr>
      <w:tr>
        <w:trPr>
          <w:trHeight w:val="1134"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rPr/>
            </w:pPr>
            <w:r>
              <w:rPr/>
              <w:t>龍運</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64</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67</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4.23</w:t>
            </w:r>
          </w:p>
        </w:tc>
      </w:tr>
      <w:tr>
        <w:trPr>
          <w:trHeight w:val="1134" w:hRule="atLeast"/>
        </w:trPr>
        <w:tc>
          <w:tcPr>
            <w:tcW w:w="227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rPr/>
            </w:pPr>
            <w:r>
              <w:rPr/>
              <w:t>嶼巴</w:t>
            </w:r>
          </w:p>
        </w:tc>
        <w:tc>
          <w:tcPr>
            <w:tcW w:w="235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5</w:t>
            </w:r>
          </w:p>
        </w:tc>
        <w:tc>
          <w:tcPr>
            <w:tcW w:w="229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9</w:t>
            </w:r>
          </w:p>
        </w:tc>
        <w:tc>
          <w:tcPr>
            <w:tcW w:w="2243"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auto" w:line="240"/>
              <w:ind w:right="800" w:hanging="0"/>
              <w:jc w:val="right"/>
              <w:rPr/>
            </w:pPr>
            <w:r>
              <w:rPr/>
              <w:t>0.64</w:t>
            </w:r>
          </w:p>
        </w:tc>
      </w:tr>
    </w:tbl>
    <w:p>
      <w:pPr>
        <w:pStyle w:val="F21"/>
        <w:spacing w:lineRule="auto" w:line="240"/>
        <w:rPr>
          <w:sz w:val="20"/>
          <w:szCs w:val="20"/>
        </w:rPr>
      </w:pPr>
      <w:r>
        <w:rPr>
          <w:sz w:val="20"/>
          <w:szCs w:val="20"/>
        </w:rPr>
      </w:r>
    </w:p>
    <w:p>
      <w:pPr>
        <w:pStyle w:val="F21"/>
        <w:spacing w:lineRule="auto" w:line="240"/>
        <w:rPr>
          <w:sz w:val="20"/>
          <w:szCs w:val="20"/>
        </w:rPr>
      </w:pPr>
      <w:r>
        <w:rPr>
          <w:sz w:val="20"/>
          <w:szCs w:val="20"/>
        </w:rPr>
        <w:t>註</w:t>
      </w:r>
      <w:r>
        <w:rPr>
          <w:sz w:val="20"/>
          <w:szCs w:val="20"/>
        </w:rPr>
        <w:t>:</w:t>
      </w:r>
    </w:p>
    <w:p>
      <w:pPr>
        <w:pStyle w:val="F21"/>
        <w:spacing w:lineRule="auto" w:line="240"/>
        <w:rPr>
          <w:sz w:val="20"/>
          <w:szCs w:val="20"/>
        </w:rPr>
      </w:pPr>
      <w:r>
        <w:rPr>
          <w:sz w:val="20"/>
          <w:szCs w:val="20"/>
        </w:rPr>
      </w:r>
    </w:p>
    <w:p>
      <w:pPr>
        <w:pStyle w:val="F21"/>
        <w:spacing w:lineRule="auto" w:line="240"/>
        <w:ind w:left="567" w:hanging="567"/>
        <w:rPr>
          <w:sz w:val="20"/>
          <w:szCs w:val="20"/>
        </w:rPr>
      </w:pPr>
      <w:r>
        <w:rPr>
          <w:sz w:val="20"/>
          <w:szCs w:val="20"/>
        </w:rPr>
        <w:t>(1)</w:t>
        <w:tab/>
      </w:r>
      <w:r>
        <w:rPr>
          <w:sz w:val="20"/>
          <w:szCs w:val="20"/>
        </w:rPr>
        <w:t>意見包括投訴或建議。</w:t>
      </w:r>
    </w:p>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(2)</w:t>
        <w:tab/>
      </w:r>
      <w:r>
        <w:rPr>
          <w:sz w:val="20"/>
          <w:szCs w:val="20"/>
        </w:rPr>
        <w:t>同一市民或會向交通投訴組及政府熱線</w:t>
      </w:r>
      <w:r>
        <w:rPr>
          <w:sz w:val="20"/>
          <w:szCs w:val="20"/>
        </w:rPr>
        <w:t>1823</w:t>
      </w:r>
      <w:r>
        <w:rPr>
          <w:sz w:val="20"/>
          <w:szCs w:val="20"/>
        </w:rPr>
        <w:t>提出相同的意見，個案數字或會重複計算。</w:t>
      </w:r>
    </w:p>
    <w:p>
      <w:pPr>
        <w:pStyle w:val="F21"/>
        <w:spacing w:lineRule="atLeast" w:line="400"/>
        <w:ind w:left="567" w:hanging="0"/>
        <w:rPr>
          <w:sz w:val="20"/>
          <w:szCs w:val="20"/>
        </w:rPr>
      </w:pPr>
      <w:r>
        <w:rPr>
          <w:sz w:val="20"/>
          <w:szCs w:val="20"/>
        </w:rPr>
      </w:r>
    </w:p>
    <w:p>
      <w:pPr>
        <w:pStyle w:val="F21"/>
        <w:spacing w:lineRule="atLeast" w:line="400"/>
        <w:rPr>
          <w:spacing w:val="24"/>
          <w:szCs w:val="27"/>
        </w:rPr>
      </w:pPr>
      <w:r>
        <w:rPr>
          <w:spacing w:val="24"/>
          <w:szCs w:val="27"/>
        </w:rPr>
        <w:tab/>
      </w:r>
      <w:r>
        <w:rPr>
          <w:spacing w:val="24"/>
          <w:szCs w:val="27"/>
        </w:rPr>
        <w:t>此外，專營巴士公司也設有熱線電話，接受市民對巴士服務的查詢、投訴及建議。惟每間巴士公司統計個案的方法及分類不盡相同。</w:t>
      </w:r>
    </w:p>
    <w:p>
      <w:pPr>
        <w:pStyle w:val="F21"/>
        <w:spacing w:lineRule="atLeast" w:line="400"/>
        <w:rPr/>
      </w:pPr>
      <w:r>
        <w:rPr/>
      </w:r>
    </w:p>
    <w:p>
      <w:pPr>
        <w:pStyle w:val="F21"/>
        <w:spacing w:lineRule="atLeast" w:line="320"/>
        <w:jc w:val="right"/>
        <w:rPr/>
      </w:pPr>
      <w:r>
        <w:rPr/>
        <w:t>附表二</w:t>
      </w:r>
    </w:p>
    <w:p>
      <w:pPr>
        <w:pStyle w:val="F21"/>
        <w:spacing w:lineRule="exact" w:line="300"/>
        <w:rPr/>
      </w:pPr>
      <w:r>
        <w:rPr/>
      </w:r>
    </w:p>
    <w:p>
      <w:pPr>
        <w:pStyle w:val="F21"/>
        <w:spacing w:lineRule="atLeast" w:line="320"/>
        <w:jc w:val="center"/>
        <w:rPr/>
      </w:pPr>
      <w:r>
        <w:rPr/>
        <w:t>2010</w:t>
      </w:r>
      <w:r>
        <w:rPr/>
        <w:t>年至</w:t>
      </w:r>
      <w:r>
        <w:rPr/>
        <w:t>2012</w:t>
      </w:r>
      <w:r>
        <w:rPr/>
        <w:t>年運輸署就巴士脫班個案</w:t>
      </w:r>
    </w:p>
    <w:p>
      <w:pPr>
        <w:pStyle w:val="F21"/>
        <w:spacing w:lineRule="atLeast" w:line="320"/>
        <w:jc w:val="center"/>
        <w:rPr/>
      </w:pPr>
      <w:r>
        <w:rPr/>
        <w:t>向專營巴士公司發出警告信的數目</w:t>
      </w:r>
    </w:p>
    <w:p>
      <w:pPr>
        <w:pStyle w:val="F21"/>
        <w:spacing w:lineRule="exact" w:line="300"/>
        <w:rPr/>
      </w:pPr>
      <w:r>
        <w:rPr/>
      </w:r>
    </w:p>
    <w:tbl>
      <w:tblPr>
        <w:tblW w:w="9115" w:type="dxa"/>
        <w:jc w:val="left"/>
        <w:tblInd w:w="108" w:type="dxa"/>
        <w:tblCellMar>
          <w:top w:w="0" w:type="dxa"/>
          <w:left w:w="5" w:type="dxa"/>
          <w:bottom w:w="0" w:type="dxa"/>
          <w:right w:w="5" w:type="dxa"/>
        </w:tblCellMar>
        <w:tblLook w:val="01e0" w:noHBand="0" w:noVBand="0" w:firstColumn="1" w:lastRow="1" w:lastColumn="1" w:firstRow="1"/>
      </w:tblPr>
      <w:tblGrid>
        <w:gridCol w:w="2966"/>
        <w:gridCol w:w="3074"/>
        <w:gridCol w:w="3075"/>
      </w:tblGrid>
      <w:tr>
        <w:trPr>
          <w:trHeight w:val="284" w:hRule="atLeast"/>
        </w:trPr>
        <w:tc>
          <w:tcPr>
            <w:tcW w:w="9115" w:type="dxa"/>
            <w:gridSpan w:val="3"/>
            <w:tcBorders>
              <w:top w:val="single" w:sz="4" w:space="0" w:color="000000"/>
              <w:left w:val="single" w:sz="4" w:space="0" w:color="000000"/>
              <w:bottom w:val="single" w:sz="4" w:space="0" w:color="000000"/>
              <w:right w:val="single" w:sz="4" w:space="0" w:color="000000"/>
            </w:tcBorders>
            <w:shd w:color="auto" w:fill="auto" w:val="clear"/>
          </w:tcPr>
          <w:p>
            <w:pPr>
              <w:pStyle w:val="F21"/>
              <w:spacing w:lineRule="auto" w:line="240"/>
              <w:jc w:val="center"/>
              <w:rPr>
                <w:i/>
                <w:i/>
              </w:rPr>
            </w:pPr>
            <w:r>
              <w:rPr>
                <w:i/>
              </w:rPr>
              <w:t>發出警告信的數目</w:t>
            </w:r>
          </w:p>
        </w:tc>
      </w:tr>
      <w:tr>
        <w:trPr>
          <w:trHeight w:val="284" w:hRule="atLeast"/>
        </w:trPr>
        <w:tc>
          <w:tcPr>
            <w:tcW w:w="2966" w:type="dxa"/>
            <w:tcBorders>
              <w:top w:val="single" w:sz="4" w:space="0" w:color="000000"/>
              <w:left w:val="single" w:sz="4" w:space="0" w:color="000000"/>
              <w:bottom w:val="single" w:sz="4" w:space="0" w:color="000000"/>
              <w:right w:val="single" w:sz="4" w:space="0" w:color="000000"/>
            </w:tcBorders>
            <w:shd w:color="auto" w:fill="auto" w:val="clear"/>
          </w:tcPr>
          <w:p>
            <w:pPr>
              <w:pStyle w:val="F21"/>
              <w:spacing w:lineRule="auto" w:line="240"/>
              <w:jc w:val="center"/>
              <w:rPr>
                <w:i/>
                <w:i/>
              </w:rPr>
            </w:pPr>
            <w:r>
              <w:rPr>
                <w:i/>
              </w:rPr>
              <w:t>2010</w:t>
            </w:r>
            <w:r>
              <w:rPr>
                <w:i/>
              </w:rPr>
              <w:t>年</w:t>
            </w:r>
          </w:p>
        </w:tc>
        <w:tc>
          <w:tcPr>
            <w:tcW w:w="3074" w:type="dxa"/>
            <w:tcBorders>
              <w:top w:val="single" w:sz="4" w:space="0" w:color="000000"/>
              <w:left w:val="single" w:sz="4" w:space="0" w:color="000000"/>
              <w:bottom w:val="single" w:sz="4" w:space="0" w:color="000000"/>
              <w:right w:val="single" w:sz="4" w:space="0" w:color="000000"/>
            </w:tcBorders>
            <w:shd w:color="auto" w:fill="auto" w:val="clear"/>
          </w:tcPr>
          <w:p>
            <w:pPr>
              <w:pStyle w:val="F21"/>
              <w:spacing w:lineRule="auto" w:line="240"/>
              <w:jc w:val="center"/>
              <w:rPr>
                <w:i/>
                <w:i/>
              </w:rPr>
            </w:pPr>
            <w:r>
              <w:rPr>
                <w:i/>
              </w:rPr>
              <w:t>2011</w:t>
            </w:r>
            <w:r>
              <w:rPr>
                <w:i/>
              </w:rPr>
              <w:t>年</w:t>
            </w:r>
          </w:p>
        </w:tc>
        <w:tc>
          <w:tcPr>
            <w:tcW w:w="3075" w:type="dxa"/>
            <w:tcBorders>
              <w:top w:val="single" w:sz="4" w:space="0" w:color="000000"/>
              <w:left w:val="single" w:sz="4" w:space="0" w:color="000000"/>
              <w:bottom w:val="single" w:sz="4" w:space="0" w:color="000000"/>
              <w:right w:val="single" w:sz="4" w:space="0" w:color="000000"/>
            </w:tcBorders>
            <w:shd w:color="auto" w:fill="auto" w:val="clear"/>
          </w:tcPr>
          <w:p>
            <w:pPr>
              <w:pStyle w:val="F21"/>
              <w:spacing w:lineRule="auto" w:line="240"/>
              <w:jc w:val="center"/>
              <w:rPr>
                <w:i/>
                <w:i/>
              </w:rPr>
            </w:pPr>
            <w:r>
              <w:rPr>
                <w:i/>
              </w:rPr>
              <w:t>2012</w:t>
            </w:r>
            <w:r>
              <w:rPr>
                <w:i/>
              </w:rPr>
              <w:t>年</w:t>
            </w:r>
          </w:p>
        </w:tc>
      </w:tr>
      <w:tr>
        <w:trPr>
          <w:trHeight w:val="284" w:hRule="atLeast"/>
        </w:trPr>
        <w:tc>
          <w:tcPr>
            <w:tcW w:w="296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exact" w:line="300"/>
              <w:jc w:val="center"/>
              <w:rPr/>
            </w:pPr>
            <w:r>
              <w:rPr/>
              <w:t>2</w:t>
            </w:r>
          </w:p>
          <w:p>
            <w:pPr>
              <w:pStyle w:val="F21"/>
              <w:spacing w:lineRule="exact" w:line="300"/>
              <w:jc w:val="center"/>
              <w:rPr/>
            </w:pPr>
            <w:r>
              <w:rPr/>
              <w:t>(</w:t>
            </w:r>
            <w:r>
              <w:rPr/>
              <w:t>向九巴發出</w:t>
            </w:r>
            <w:r>
              <w:rPr/>
              <w:t>)</w:t>
            </w:r>
          </w:p>
        </w:tc>
        <w:tc>
          <w:tcPr>
            <w:tcW w:w="307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exact" w:line="300"/>
              <w:jc w:val="center"/>
              <w:rPr/>
            </w:pPr>
            <w:r>
              <w:rPr/>
              <w:t>6</w:t>
            </w:r>
          </w:p>
          <w:p>
            <w:pPr>
              <w:pStyle w:val="F21"/>
              <w:spacing w:lineRule="exact" w:line="300"/>
              <w:jc w:val="center"/>
              <w:rPr/>
            </w:pPr>
            <w:r>
              <w:rPr/>
              <w:t>(</w:t>
            </w:r>
            <w:r>
              <w:rPr/>
              <w:t>向九巴發出</w:t>
            </w:r>
            <w:r>
              <w:rPr/>
              <w:t>)</w:t>
            </w:r>
          </w:p>
        </w:tc>
        <w:tc>
          <w:tcPr>
            <w:tcW w:w="3075"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spacing w:lineRule="exact" w:line="300"/>
              <w:jc w:val="center"/>
              <w:rPr/>
            </w:pPr>
            <w:r>
              <w:rPr/>
              <w:t>2</w:t>
            </w:r>
          </w:p>
          <w:p>
            <w:pPr>
              <w:pStyle w:val="F21"/>
              <w:spacing w:lineRule="exact" w:line="300"/>
              <w:jc w:val="center"/>
              <w:rPr/>
            </w:pPr>
            <w:r>
              <w:rPr/>
              <w:t>(</w:t>
            </w:r>
            <w:r>
              <w:rPr/>
              <w:t>分別向九巴及</w:t>
            </w:r>
          </w:p>
          <w:p>
            <w:pPr>
              <w:pStyle w:val="F21"/>
              <w:spacing w:lineRule="exact" w:line="300"/>
              <w:jc w:val="center"/>
              <w:rPr/>
            </w:pPr>
            <w:r>
              <w:rPr/>
              <w:t>新巴發出</w:t>
            </w:r>
            <w:r>
              <w:rPr/>
              <w:t>)</w:t>
            </w:r>
          </w:p>
        </w:tc>
      </w:tr>
    </w:tbl>
    <w:p>
      <w:pPr>
        <w:pStyle w:val="F21"/>
        <w:spacing w:lineRule="atLeast" w:line="380"/>
        <w:rPr/>
      </w:pPr>
      <w:r>
        <w:rPr/>
      </w:r>
    </w:p>
    <w:p>
      <w:pPr>
        <w:pStyle w:val="F21"/>
        <w:spacing w:lineRule="atLeast" w:line="380"/>
        <w:rPr/>
      </w:pPr>
      <w:r>
        <w:rPr/>
      </w:r>
    </w:p>
    <w:p>
      <w:pPr>
        <w:pStyle w:val="F21"/>
        <w:rPr/>
      </w:pPr>
      <w:bookmarkStart w:id="55" w:name="wrq21"/>
      <w:r>
        <w:rPr>
          <w:rFonts w:cs="Times New Roman" w:eastAsia="華康中黑體"/>
          <w:b/>
        </w:rPr>
        <w:t>長者醫療券計劃</w:t>
      </w:r>
    </w:p>
    <w:p>
      <w:pPr>
        <w:pStyle w:val="Normal"/>
        <w:rPr/>
      </w:pPr>
      <w:bookmarkStart w:id="56" w:name="wrq21"/>
      <w:r>
        <w:rPr>
          <w:b/>
        </w:rPr>
        <w:t>Elderly Health Care Voucher Scheme</w:t>
      </w:r>
      <w:bookmarkEnd w:id="56"/>
    </w:p>
    <w:p>
      <w:pPr>
        <w:pStyle w:val="F21"/>
        <w:spacing w:lineRule="atLeast" w:line="380"/>
        <w:rPr>
          <w:rFonts w:eastAsia="華康中黑體" w:cs="Times New Roman"/>
          <w:b/>
          <w:b/>
        </w:rPr>
      </w:pPr>
      <w:r>
        <w:rPr>
          <w:rFonts w:eastAsia="華康中黑體" w:cs="Times New Roman"/>
          <w:b/>
        </w:rPr>
      </w:r>
    </w:p>
    <w:p>
      <w:pPr>
        <w:pStyle w:val="F21"/>
        <w:spacing w:lineRule="atLeast" w:line="380"/>
        <w:rPr>
          <w:i/>
          <w:i/>
        </w:rPr>
      </w:pPr>
      <w:r>
        <w:rPr>
          <w:rFonts w:eastAsia="華康中黑體"/>
          <w:b/>
        </w:rPr>
        <w:t>21.</w:t>
      </w:r>
      <w:r>
        <w:rPr/>
        <w:tab/>
      </w:r>
      <w:r>
        <w:rPr>
          <w:rFonts w:eastAsia="華康中黑體"/>
          <w:b/>
        </w:rPr>
        <w:t>鍾樹根議員</w:t>
      </w:r>
      <w:r>
        <w:rPr/>
        <w:t>：</w:t>
      </w:r>
      <w:r>
        <w:rPr>
          <w:i/>
        </w:rPr>
        <w:t>主席，政府自</w:t>
      </w:r>
      <w:r>
        <w:rPr>
          <w:i/>
        </w:rPr>
        <w:t>2009</w:t>
      </w:r>
      <w:r>
        <w:rPr>
          <w:i/>
        </w:rPr>
        <w:t>年</w:t>
      </w:r>
      <w:r>
        <w:rPr>
          <w:i/>
        </w:rPr>
        <w:t>1</w:t>
      </w:r>
      <w:r>
        <w:rPr>
          <w:i/>
        </w:rPr>
        <w:t>月起推行長者醫療券計劃</w:t>
      </w:r>
      <w:r>
        <w:rPr>
          <w:i/>
        </w:rPr>
        <w:t>(</w:t>
      </w:r>
      <w:r>
        <w:rPr>
          <w:i/>
        </w:rPr>
        <w:t>下稱“該計劃”</w:t>
      </w:r>
      <w:r>
        <w:rPr>
          <w:i/>
        </w:rPr>
        <w:t>)</w:t>
      </w:r>
      <w:r>
        <w:rPr>
          <w:i/>
        </w:rPr>
        <w:t>。根據該計劃，</w:t>
      </w:r>
      <w:r>
        <w:rPr>
          <w:i/>
        </w:rPr>
        <w:t>70</w:t>
      </w:r>
      <w:r>
        <w:rPr>
          <w:i/>
        </w:rPr>
        <w:t>歲或以上的長者現時每人每年可獲</w:t>
      </w:r>
      <w:r>
        <w:rPr>
          <w:i/>
        </w:rPr>
        <w:t>20</w:t>
      </w:r>
      <w:r>
        <w:rPr>
          <w:i/>
        </w:rPr>
        <w:t>張面值</w:t>
      </w:r>
      <w:r>
        <w:rPr>
          <w:i/>
        </w:rPr>
        <w:t>50</w:t>
      </w:r>
      <w:r>
        <w:rPr>
          <w:i/>
        </w:rPr>
        <w:t>元的醫療券。關於該計劃的推行情況，政府可否告知本會：</w:t>
      </w:r>
    </w:p>
    <w:p>
      <w:pPr>
        <w:pStyle w:val="F21"/>
        <w:spacing w:lineRule="atLeast" w:line="380"/>
        <w:rPr>
          <w:i/>
          <w:i/>
        </w:rPr>
      </w:pPr>
      <w:r>
        <w:rPr>
          <w:i/>
        </w:rPr>
      </w:r>
    </w:p>
    <w:p>
      <w:pPr>
        <w:pStyle w:val="F21"/>
        <w:spacing w:lineRule="atLeast" w:line="380"/>
        <w:ind w:left="1417" w:hanging="850"/>
        <w:rPr>
          <w:i/>
          <w:i/>
        </w:rPr>
      </w:pPr>
      <w:r>
        <w:rPr>
          <w:i/>
        </w:rPr>
        <w:t>(</w:t>
      </w:r>
      <w:r>
        <w:rPr>
          <w:i/>
        </w:rPr>
        <w:t>一</w:t>
      </w:r>
      <w:r>
        <w:rPr>
          <w:i/>
        </w:rPr>
        <w:t>)</w:t>
        <w:tab/>
      </w:r>
      <w:r>
        <w:rPr>
          <w:i/>
        </w:rPr>
        <w:t>現時全港合資格使用醫療券的長者的數目；</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二</w:t>
      </w:r>
      <w:r>
        <w:rPr>
          <w:i/>
        </w:rPr>
        <w:t>)</w:t>
        <w:tab/>
      </w:r>
      <w:r>
        <w:rPr>
          <w:i/>
        </w:rPr>
        <w:t>會否再次考慮將該計劃的受惠年齡下限降低至</w:t>
      </w:r>
      <w:r>
        <w:rPr>
          <w:i/>
        </w:rPr>
        <w:t>65</w:t>
      </w:r>
      <w:r>
        <w:rPr>
          <w:i/>
        </w:rPr>
        <w:t>歲；若會，預計所需的額外開支為何，以及實施時間表為何；若否，原因為何；</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三</w:t>
      </w:r>
      <w:r>
        <w:rPr>
          <w:i/>
        </w:rPr>
        <w:t>)</w:t>
        <w:tab/>
      </w:r>
      <w:r>
        <w:rPr>
          <w:i/>
        </w:rPr>
        <w:t>現時從未使用過醫療券的長者的數目及其佔合資格長者總數的百分比；當局有否調查他們從未使用醫療券的原因；若否，會否進行調查；</w:t>
      </w:r>
    </w:p>
    <w:p>
      <w:pPr>
        <w:pStyle w:val="F21"/>
        <w:spacing w:lineRule="atLeast" w:line="380"/>
        <w:ind w:left="1417" w:hanging="850"/>
        <w:rPr>
          <w:i/>
          <w:i/>
        </w:rPr>
      </w:pPr>
      <w:r>
        <w:rPr>
          <w:i/>
        </w:rPr>
      </w:r>
    </w:p>
    <w:p>
      <w:pPr>
        <w:pStyle w:val="F21"/>
        <w:spacing w:lineRule="atLeast" w:line="380"/>
        <w:ind w:left="1417" w:hanging="850"/>
        <w:rPr>
          <w:i/>
          <w:i/>
        </w:rPr>
      </w:pPr>
      <w:r>
        <w:rPr>
          <w:i/>
        </w:rPr>
        <w:t>(</w:t>
      </w:r>
      <w:r>
        <w:rPr>
          <w:i/>
        </w:rPr>
        <w:t>四</w:t>
      </w:r>
      <w:r>
        <w:rPr>
          <w:i/>
        </w:rPr>
        <w:t>)</w:t>
        <w:tab/>
      </w:r>
      <w:r>
        <w:rPr>
          <w:i/>
        </w:rPr>
        <w:t>現時主要透過甚麼途徑和形式向長者宣傳該計劃；鑒於有長者指出，該計劃現時的電視宣傳短片主要向長者宣傳可以到貼有該計劃標誌的診所登記使用醫療券，令不少長者誤以為醫療券只可用於支付西醫的診療費，當局會否推出電視宣傳短片，明確地告知長者，醫療券亦可用於支付中醫、脊醫、牙醫、物理治療師、註冊或登記護士、醫務化驗師和視光師等醫療服務提供者所提供的醫護服務；</w:t>
      </w:r>
    </w:p>
    <w:p>
      <w:pPr>
        <w:pStyle w:val="F21"/>
        <w:spacing w:lineRule="atLeast" w:line="380"/>
        <w:ind w:left="1417" w:hanging="850"/>
        <w:rPr>
          <w:i/>
          <w:i/>
        </w:rPr>
      </w:pPr>
      <w:r>
        <w:rPr>
          <w:i/>
        </w:rPr>
      </w:r>
    </w:p>
    <w:p>
      <w:pPr>
        <w:pStyle w:val="F21"/>
        <w:spacing w:lineRule="atLeast" w:line="370"/>
        <w:ind w:left="1417" w:hanging="850"/>
        <w:rPr>
          <w:i/>
          <w:i/>
        </w:rPr>
      </w:pPr>
      <w:r>
        <w:rPr>
          <w:i/>
        </w:rPr>
        <w:t>(</w:t>
      </w:r>
      <w:r>
        <w:rPr>
          <w:i/>
        </w:rPr>
        <w:t>五</w:t>
      </w:r>
      <w:r>
        <w:rPr>
          <w:i/>
        </w:rPr>
        <w:t>)</w:t>
        <w:tab/>
      </w:r>
      <w:r>
        <w:rPr>
          <w:i/>
        </w:rPr>
        <w:t>鑒於現時市民可透過</w:t>
      </w:r>
      <w:r>
        <w:rPr>
          <w:i/>
        </w:rPr>
        <w:t>(i)</w:t>
      </w:r>
      <w:r>
        <w:rPr>
          <w:i/>
        </w:rPr>
        <w:t>登入醫療券網站的“醫健通”系統，或</w:t>
      </w:r>
      <w:r>
        <w:rPr>
          <w:i/>
        </w:rPr>
        <w:t>(ii)</w:t>
      </w:r>
      <w:r>
        <w:rPr>
          <w:i/>
        </w:rPr>
        <w:t>致電衞生署醫療券組的電話錄音信息系統查詢及透過傳真索取資料，以取得“已登記醫療服務提供者名單”，但這兩個途徑對一般長者而言太繁複，當局會否研究提供更便利長者的查詢途徑，例如設立由真人接聽的熱線電話，並依據長者的居住地區、所患疾病的種類，以及他們的醫療需要等，以口述或郵寄方式為長者提供合適的醫療服務提供者的資料；</w:t>
      </w:r>
    </w:p>
    <w:p>
      <w:pPr>
        <w:pStyle w:val="F21"/>
        <w:spacing w:lineRule="atLeast" w:line="370"/>
        <w:ind w:left="1417" w:hanging="850"/>
        <w:rPr>
          <w:i/>
          <w:i/>
        </w:rPr>
      </w:pPr>
      <w:r>
        <w:rPr>
          <w:i/>
        </w:rPr>
      </w:r>
    </w:p>
    <w:p>
      <w:pPr>
        <w:pStyle w:val="F21"/>
        <w:spacing w:lineRule="atLeast" w:line="370"/>
        <w:ind w:left="1417" w:hanging="850"/>
        <w:rPr>
          <w:i/>
          <w:i/>
        </w:rPr>
      </w:pPr>
      <w:r>
        <w:rPr>
          <w:i/>
        </w:rPr>
        <w:t>(</w:t>
      </w:r>
      <w:r>
        <w:rPr>
          <w:i/>
        </w:rPr>
        <w:t>六</w:t>
      </w:r>
      <w:r>
        <w:rPr>
          <w:i/>
        </w:rPr>
        <w:t>)</w:t>
        <w:tab/>
      </w:r>
      <w:r>
        <w:rPr>
          <w:i/>
        </w:rPr>
        <w:t>鑒於有不少長者行動不便或因病無法外出求診，而部分有長期病患的長者更需要醫護人員定期上門提供服務，醫療券現時是否可用於支付上門的外展醫療及護理服務；若是，當局有否就這方面進行宣傳；若否，會否盡快作出有關安排；及</w:t>
      </w:r>
    </w:p>
    <w:p>
      <w:pPr>
        <w:pStyle w:val="F21"/>
        <w:spacing w:lineRule="atLeast" w:line="370"/>
        <w:ind w:left="1417" w:hanging="850"/>
        <w:rPr>
          <w:i/>
          <w:i/>
        </w:rPr>
      </w:pPr>
      <w:r>
        <w:rPr>
          <w:i/>
        </w:rPr>
      </w:r>
    </w:p>
    <w:p>
      <w:pPr>
        <w:pStyle w:val="F21"/>
        <w:spacing w:lineRule="atLeast" w:line="370"/>
        <w:ind w:left="1417" w:hanging="850"/>
        <w:rPr>
          <w:i/>
          <w:i/>
        </w:rPr>
      </w:pPr>
      <w:r>
        <w:rPr>
          <w:i/>
        </w:rPr>
        <w:t>(</w:t>
      </w:r>
      <w:r>
        <w:rPr>
          <w:i/>
        </w:rPr>
        <w:t>七</w:t>
      </w:r>
      <w:r>
        <w:rPr>
          <w:i/>
        </w:rPr>
        <w:t>)</w:t>
        <w:tab/>
      </w:r>
      <w:r>
        <w:rPr>
          <w:i/>
        </w:rPr>
        <w:t>自該計劃推行以來，當局發現多少宗醫療服務提供者利用該計劃進行詐騙的個案，所涉款額，以及當局是透過甚麼途徑得悉該等個案；當局有否主動抽查可疑的個案？</w:t>
      </w:r>
    </w:p>
    <w:p>
      <w:pPr>
        <w:pStyle w:val="F21"/>
        <w:spacing w:lineRule="atLeast" w:line="370"/>
        <w:rPr>
          <w:i/>
          <w:i/>
        </w:rPr>
      </w:pPr>
      <w:r>
        <w:rPr>
          <w:i/>
        </w:rPr>
      </w:r>
    </w:p>
    <w:p>
      <w:pPr>
        <w:pStyle w:val="F21"/>
        <w:spacing w:lineRule="atLeast" w:line="370"/>
        <w:rPr>
          <w:i/>
          <w:i/>
        </w:rPr>
      </w:pPr>
      <w:r>
        <w:rPr>
          <w:i/>
        </w:rPr>
      </w:r>
    </w:p>
    <w:p>
      <w:pPr>
        <w:pStyle w:val="F21"/>
        <w:spacing w:lineRule="atLeast" w:line="370"/>
        <w:rPr/>
      </w:pPr>
      <w:r>
        <w:rPr>
          <w:rFonts w:eastAsia="華康中黑體"/>
          <w:b/>
        </w:rPr>
        <w:t>食物及衞生局局長</w:t>
      </w:r>
      <w:r>
        <w:rPr/>
        <w:t>：主席，就鍾樹根議員的質詢，現答覆如下：</w:t>
      </w:r>
    </w:p>
    <w:p>
      <w:pPr>
        <w:pStyle w:val="F21"/>
        <w:spacing w:lineRule="atLeast" w:line="370"/>
        <w:rPr/>
      </w:pPr>
      <w:r>
        <w:rPr/>
      </w:r>
    </w:p>
    <w:p>
      <w:pPr>
        <w:pStyle w:val="Style14"/>
        <w:spacing w:lineRule="atLeast" w:line="370"/>
        <w:rPr>
          <w:i w:val="false"/>
          <w:i w:val="false"/>
        </w:rPr>
      </w:pPr>
      <w:r>
        <w:rPr/>
        <w:t>(</w:t>
      </w:r>
      <w:r>
        <w:rPr>
          <w:i w:val="false"/>
        </w:rPr>
        <w:t>一</w:t>
      </w:r>
      <w:r>
        <w:rPr>
          <w:i w:val="false"/>
        </w:rPr>
        <w:t>)</w:t>
        <w:tab/>
      </w:r>
      <w:r>
        <w:rPr>
          <w:i w:val="false"/>
        </w:rPr>
        <w:t>根據政府統計處發表的《香港人口推算</w:t>
      </w:r>
      <w:r>
        <w:rPr>
          <w:i w:val="false"/>
        </w:rPr>
        <w:t>2012-2041</w:t>
      </w:r>
      <w:r>
        <w:rPr>
          <w:i w:val="false"/>
        </w:rPr>
        <w:t>》，在</w:t>
      </w:r>
      <w:r>
        <w:rPr>
          <w:i w:val="false"/>
        </w:rPr>
        <w:t>2013</w:t>
      </w:r>
      <w:r>
        <w:rPr>
          <w:i w:val="false"/>
        </w:rPr>
        <w:t>年，</w:t>
      </w:r>
      <w:r>
        <w:rPr>
          <w:i w:val="false"/>
        </w:rPr>
        <w:t>70</w:t>
      </w:r>
      <w:r>
        <w:rPr>
          <w:i w:val="false"/>
        </w:rPr>
        <w:t>歲或以上的長者數目約為</w:t>
      </w:r>
      <w:r>
        <w:rPr>
          <w:i w:val="false"/>
        </w:rPr>
        <w:t>723 500</w:t>
      </w:r>
      <w:r>
        <w:rPr>
          <w:i w:val="false"/>
        </w:rPr>
        <w:t>人。</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二</w:t>
      </w:r>
      <w:r>
        <w:rPr>
          <w:i w:val="false"/>
        </w:rPr>
        <w:t>)</w:t>
        <w:tab/>
      </w:r>
      <w:r>
        <w:rPr>
          <w:i w:val="false"/>
        </w:rPr>
        <w:t>政府在</w:t>
      </w:r>
      <w:r>
        <w:rPr>
          <w:i w:val="false"/>
        </w:rPr>
        <w:t>2009</w:t>
      </w:r>
      <w:r>
        <w:rPr>
          <w:i w:val="false"/>
        </w:rPr>
        <w:t>年</w:t>
      </w:r>
      <w:r>
        <w:rPr>
          <w:i w:val="false"/>
        </w:rPr>
        <w:t>1</w:t>
      </w:r>
      <w:r>
        <w:rPr>
          <w:i w:val="false"/>
        </w:rPr>
        <w:t>月推出長者醫療券試驗計劃，資助</w:t>
      </w:r>
      <w:r>
        <w:rPr>
          <w:i w:val="false"/>
        </w:rPr>
        <w:t>70</w:t>
      </w:r>
      <w:r>
        <w:rPr>
          <w:i w:val="false"/>
        </w:rPr>
        <w:t>歲或以上本港居民使用私營市場提供的基層醫療服務，包括預防性護理服務。自</w:t>
      </w:r>
      <w:r>
        <w:rPr>
          <w:i w:val="false"/>
        </w:rPr>
        <w:t>2013</w:t>
      </w:r>
      <w:r>
        <w:rPr>
          <w:i w:val="false"/>
        </w:rPr>
        <w:t>年</w:t>
      </w:r>
      <w:r>
        <w:rPr>
          <w:i w:val="false"/>
        </w:rPr>
        <w:t>1</w:t>
      </w:r>
      <w:r>
        <w:rPr>
          <w:i w:val="false"/>
        </w:rPr>
        <w:t>月</w:t>
      </w:r>
      <w:r>
        <w:rPr>
          <w:i w:val="false"/>
        </w:rPr>
        <w:t>1</w:t>
      </w:r>
      <w:r>
        <w:rPr>
          <w:i w:val="false"/>
        </w:rPr>
        <w:t>日起，每名合資格長者可獲發的醫療券金額由每年</w:t>
      </w:r>
      <w:r>
        <w:rPr>
          <w:i w:val="false"/>
        </w:rPr>
        <w:t>500</w:t>
      </w:r>
      <w:r>
        <w:rPr>
          <w:i w:val="false"/>
        </w:rPr>
        <w:t>元倍增至</w:t>
      </w:r>
      <w:r>
        <w:rPr>
          <w:i w:val="false"/>
        </w:rPr>
        <w:t>1,000</w:t>
      </w:r>
      <w:r>
        <w:rPr>
          <w:i w:val="false"/>
        </w:rPr>
        <w:t>元，計劃亦將於</w:t>
      </w:r>
      <w:r>
        <w:rPr>
          <w:i w:val="false"/>
        </w:rPr>
        <w:t>2014</w:t>
      </w:r>
      <w:r>
        <w:rPr>
          <w:i w:val="false"/>
        </w:rPr>
        <w:t>年由試驗性質轉為常規化長者支援計劃。當局會在常規化計劃推行一段時間後，對計劃的成效作進一步檢討。</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把醫療券合資格年齡由</w:t>
      </w:r>
      <w:r>
        <w:rPr>
          <w:i w:val="false"/>
        </w:rPr>
        <w:t>70</w:t>
      </w:r>
      <w:r>
        <w:rPr>
          <w:i w:val="false"/>
        </w:rPr>
        <w:t>歲降至</w:t>
      </w:r>
      <w:r>
        <w:rPr>
          <w:i w:val="false"/>
        </w:rPr>
        <w:t>65</w:t>
      </w:r>
      <w:r>
        <w:rPr>
          <w:i w:val="false"/>
        </w:rPr>
        <w:t>歲涉及的財政影響載於附件。</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三</w:t>
      </w:r>
      <w:r>
        <w:rPr>
          <w:i w:val="false"/>
        </w:rPr>
        <w:t>)</w:t>
        <w:tab/>
      </w:r>
      <w:r>
        <w:rPr>
          <w:i w:val="false"/>
        </w:rPr>
        <w:t>自</w:t>
      </w:r>
      <w:r>
        <w:rPr>
          <w:i w:val="false"/>
        </w:rPr>
        <w:t>2009</w:t>
      </w:r>
      <w:r>
        <w:rPr>
          <w:i w:val="false"/>
        </w:rPr>
        <w:t>年推出計劃以來，約</w:t>
      </w:r>
      <w:r>
        <w:rPr>
          <w:i w:val="false"/>
        </w:rPr>
        <w:t>55</w:t>
      </w:r>
      <w:r>
        <w:rPr>
          <w:i w:val="false"/>
        </w:rPr>
        <w:t>萬名合資格長者曾經使用醫療券，佔現時合資格長者人口約</w:t>
      </w:r>
      <w:r>
        <w:rPr>
          <w:i w:val="false"/>
        </w:rPr>
        <w:t>76%</w:t>
      </w:r>
      <w:r>
        <w:rPr>
          <w:i w:val="false"/>
        </w:rPr>
        <w:t>。當局曾於</w:t>
      </w:r>
      <w:r>
        <w:rPr>
          <w:i w:val="false"/>
        </w:rPr>
        <w:t>2010</w:t>
      </w:r>
      <w:r>
        <w:rPr>
          <w:i w:val="false"/>
        </w:rPr>
        <w:t>年進行長者醫療券試驗計劃中期檢討，向未有使用醫療券的長者進行意見調查，主要原因包括：</w:t>
      </w:r>
      <w:r>
        <w:rPr>
          <w:i w:val="false"/>
        </w:rPr>
        <w:t>(i)</w:t>
      </w:r>
      <w:r>
        <w:rPr>
          <w:i w:val="false"/>
        </w:rPr>
        <w:t>他們慣常求診的醫護人員沒有參與醫療券計劃；</w:t>
      </w:r>
      <w:r>
        <w:rPr>
          <w:i w:val="false"/>
        </w:rPr>
        <w:t>(ii)</w:t>
      </w:r>
      <w:r>
        <w:rPr>
          <w:i w:val="false"/>
        </w:rPr>
        <w:t>長者慣常向公營醫療機構求診；及</w:t>
      </w:r>
      <w:r>
        <w:rPr>
          <w:i w:val="false"/>
        </w:rPr>
        <w:t>(iii)</w:t>
      </w:r>
      <w:r>
        <w:rPr>
          <w:i w:val="false"/>
        </w:rPr>
        <w:t>長者身體健康因而無需求診。</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四</w:t>
      </w:r>
      <w:r>
        <w:rPr>
          <w:i w:val="false"/>
        </w:rPr>
        <w:t>)</w:t>
        <w:tab/>
      </w:r>
      <w:r>
        <w:rPr>
          <w:i w:val="false"/>
        </w:rPr>
        <w:t>政府一直透過不同宣傳活動及媒體向公眾推廣長者醫療券計劃，包括播放政府宣傳短片及聲帶，於公營醫院及診所、長者中心和護老院舍派發宣傳光碟／海報／單張、在公共屋邨商場張貼海報，以及在鐵路設施內播放宣傳短片及信息等。</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有關長者醫療券的宣傳單張、光碟及醫療券的網頁已詳細介紹所有醫療券適用的醫療服務範圍及醫療專業類別。最新一輯的政府宣傳短片裏，亦加插了西醫、中醫、牙醫及視光師的畫面。我們未來會考慮採用不同的內容或形式推廣長者醫療券的使用，包括醫療券適用的醫療服務範圍</w:t>
      </w:r>
      <w:r>
        <w:rPr>
          <w:i w:val="false"/>
        </w:rPr>
        <w:t>(</w:t>
      </w:r>
      <w:r>
        <w:rPr>
          <w:i w:val="false"/>
        </w:rPr>
        <w:t>例如牙醫、物理治療師等</w:t>
      </w:r>
      <w:r>
        <w:rPr>
          <w:i w:val="false"/>
        </w:rPr>
        <w:t>)</w:t>
      </w:r>
      <w:r>
        <w:rPr>
          <w:i w:val="false"/>
        </w:rPr>
        <w:t>。</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五</w:t>
      </w:r>
      <w:r>
        <w:rPr>
          <w:i w:val="false"/>
        </w:rPr>
        <w:t>)</w:t>
        <w:tab/>
      </w:r>
      <w:r>
        <w:rPr>
          <w:i w:val="false"/>
        </w:rPr>
        <w:t>現時，長者如要查詢已登記參與醫療券計劃的醫療服務提供者名單，除了瀏覽“醫健通”網頁及致電醫療券熱線電話索取傳真外，亦可透過醫療券熱線電話聯絡衞生署醫療券組同事，索取有關資料。我們會考慮進一步改善這方面的支援。</w:t>
      </w:r>
    </w:p>
    <w:p>
      <w:pPr>
        <w:pStyle w:val="Style14"/>
        <w:spacing w:lineRule="atLeast" w:line="370"/>
        <w:rPr>
          <w:i w:val="false"/>
          <w:i w:val="false"/>
        </w:rPr>
      </w:pPr>
      <w:r>
        <w:rPr>
          <w:i w:val="false"/>
        </w:rPr>
      </w:r>
    </w:p>
    <w:p>
      <w:pPr>
        <w:pStyle w:val="Style14"/>
        <w:spacing w:lineRule="atLeast" w:line="370"/>
        <w:rPr>
          <w:i w:val="false"/>
          <w:i w:val="false"/>
        </w:rPr>
      </w:pPr>
      <w:r>
        <w:rPr>
          <w:i w:val="false"/>
        </w:rPr>
        <w:tab/>
      </w:r>
      <w:r>
        <w:rPr>
          <w:i w:val="false"/>
        </w:rPr>
        <w:t>有關長者醫療券的宣傳資料及刊物亦可於普通科門診診所、公立醫院、長者卡辦事處、長者健康中心、</w:t>
      </w:r>
      <w:r>
        <w:rPr>
          <w:i w:val="false"/>
        </w:rPr>
        <w:t>18</w:t>
      </w:r>
      <w:r>
        <w:rPr>
          <w:i w:val="false"/>
        </w:rPr>
        <w:t>區的民政事務處、長者地區中心、長者鄰舍中心院舍、安老院舍及個別醫療服務提供者的診所索取。</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六</w:t>
      </w:r>
      <w:r>
        <w:rPr>
          <w:i w:val="false"/>
        </w:rPr>
        <w:t>)</w:t>
        <w:tab/>
      </w:r>
      <w:r>
        <w:rPr>
          <w:i w:val="false"/>
        </w:rPr>
        <w:t>長者醫療券適用於任何已登記計劃的私營醫療服務提供者提供的服務，計劃沒有限制提供服務的方式，例如上門或外展的醫護服務等。如有需要，我們會加強在不同渠道宣傳及傳遞這方面的信息。</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七</w:t>
      </w:r>
      <w:r>
        <w:rPr>
          <w:i w:val="false"/>
        </w:rPr>
        <w:t>)</w:t>
        <w:tab/>
      </w:r>
      <w:r>
        <w:rPr>
          <w:i w:val="false"/>
        </w:rPr>
        <w:t>為確保已登記醫療服務提供者適當地申領發還醫療券款項及公帑得以妥善運用，衞生署制訂了查核及審計措施和程序，包括：</w:t>
      </w:r>
      <w:r>
        <w:rPr>
          <w:i w:val="false"/>
        </w:rPr>
        <w:t>(i)</w:t>
      </w:r>
      <w:r>
        <w:rPr>
          <w:i w:val="false"/>
        </w:rPr>
        <w:t>例行查核，主動巡查服務提供者的診所以查核有關的申領紀錄；</w:t>
      </w:r>
      <w:r>
        <w:rPr>
          <w:i w:val="false"/>
        </w:rPr>
        <w:t>(ii)</w:t>
      </w:r>
      <w:r>
        <w:rPr>
          <w:i w:val="false"/>
        </w:rPr>
        <w:t>透過電子“醫健通”系統進行例行監察，偵測使用醫療券的異常情況，以便及時跟進和作出所需的調查；及</w:t>
      </w:r>
      <w:r>
        <w:rPr>
          <w:i w:val="false"/>
        </w:rPr>
        <w:t>(iii)</w:t>
      </w:r>
      <w:r>
        <w:rPr>
          <w:i w:val="false"/>
        </w:rPr>
        <w:t>就接獲的投訴進行調查。</w:t>
      </w:r>
    </w:p>
    <w:p>
      <w:pPr>
        <w:pStyle w:val="Style14"/>
        <w:spacing w:lineRule="atLeast" w:line="380"/>
        <w:rPr>
          <w:i w:val="false"/>
          <w:i w:val="false"/>
        </w:rPr>
      </w:pPr>
      <w:r>
        <w:rPr>
          <w:i w:val="false"/>
        </w:rPr>
      </w:r>
    </w:p>
    <w:p>
      <w:pPr>
        <w:pStyle w:val="Style14"/>
        <w:spacing w:lineRule="atLeast" w:line="380"/>
        <w:rPr/>
      </w:pPr>
      <w:r>
        <w:rPr>
          <w:i w:val="false"/>
        </w:rPr>
        <w:tab/>
      </w:r>
      <w:r>
        <w:rPr>
          <w:i w:val="false"/>
        </w:rPr>
        <w:t>在過去</w:t>
      </w:r>
      <w:r>
        <w:rPr>
          <w:i w:val="false"/>
        </w:rPr>
        <w:t>4</w:t>
      </w:r>
      <w:r>
        <w:rPr>
          <w:i w:val="false"/>
        </w:rPr>
        <w:t>年多的時間，衞生署進行了約</w:t>
      </w:r>
      <w:r>
        <w:rPr>
          <w:i w:val="false"/>
        </w:rPr>
        <w:t>7 100</w:t>
      </w:r>
      <w:r>
        <w:rPr>
          <w:i w:val="false"/>
        </w:rPr>
        <w:t>次巡查，過程中查核了約</w:t>
      </w:r>
      <w:r>
        <w:rPr>
          <w:i w:val="false"/>
        </w:rPr>
        <w:t>130 500</w:t>
      </w:r>
      <w:r>
        <w:rPr>
          <w:i w:val="false"/>
        </w:rPr>
        <w:t>宗醫療券申領交易。其中</w:t>
      </w:r>
      <w:r>
        <w:rPr>
          <w:i w:val="false"/>
        </w:rPr>
        <w:t>91</w:t>
      </w:r>
      <w:r>
        <w:rPr>
          <w:i w:val="false"/>
        </w:rPr>
        <w:t>宗沒有依循既定申領程序或要求，涉及約</w:t>
      </w:r>
      <w:r>
        <w:rPr>
          <w:i w:val="false"/>
        </w:rPr>
        <w:t>1 900</w:t>
      </w:r>
      <w:r>
        <w:rPr>
          <w:i w:val="false"/>
        </w:rPr>
        <w:t>項申領交易及醫療券金額約</w:t>
      </w:r>
      <w:r>
        <w:rPr>
          <w:i w:val="false"/>
        </w:rPr>
        <w:t>564,700</w:t>
      </w:r>
      <w:r>
        <w:rPr>
          <w:i w:val="false"/>
        </w:rPr>
        <w:t>元。這些個案大多涉及程序或文件紀錄上的錯誤，只有少數個案須轉交有關執法機構跟進。</w:t>
      </w:r>
    </w:p>
    <w:p>
      <w:pPr>
        <w:pStyle w:val="F21"/>
        <w:spacing w:lineRule="atLeast" w:line="380"/>
        <w:ind w:left="1418" w:hanging="851"/>
        <w:rPr/>
      </w:pPr>
      <w:r>
        <w:rPr/>
      </w:r>
    </w:p>
    <w:p>
      <w:pPr>
        <w:pStyle w:val="F21"/>
        <w:spacing w:lineRule="atLeast" w:line="380"/>
        <w:ind w:left="1418" w:hanging="851"/>
        <w:rPr/>
      </w:pPr>
      <w:r>
        <w:rPr/>
      </w:r>
    </w:p>
    <w:p>
      <w:pPr>
        <w:pStyle w:val="F21"/>
        <w:jc w:val="right"/>
        <w:rPr/>
      </w:pPr>
      <w:r>
        <w:rPr/>
        <w:t>附件</w:t>
      </w:r>
    </w:p>
    <w:p>
      <w:pPr>
        <w:pStyle w:val="F21"/>
        <w:rPr/>
      </w:pPr>
      <w:r>
        <w:rPr/>
      </w:r>
    </w:p>
    <w:p>
      <w:pPr>
        <w:pStyle w:val="F21"/>
        <w:jc w:val="center"/>
        <w:rPr/>
      </w:pPr>
      <w:r>
        <w:rPr/>
        <w:t>長者醫療券計劃</w:t>
      </w:r>
    </w:p>
    <w:p>
      <w:pPr>
        <w:pStyle w:val="F21"/>
        <w:jc w:val="center"/>
        <w:rPr/>
      </w:pPr>
      <w:r>
        <w:rPr/>
        <w:t>降低合資格年齡對財政的影響</w:t>
      </w:r>
    </w:p>
    <w:p>
      <w:pPr>
        <w:pStyle w:val="F21"/>
        <w:jc w:val="center"/>
        <w:rPr/>
      </w:pPr>
      <w:r>
        <w:rPr/>
      </w:r>
    </w:p>
    <w:p>
      <w:pPr>
        <w:pStyle w:val="F21"/>
        <w:jc w:val="center"/>
        <w:rPr/>
      </w:pPr>
      <w:r>
        <w:rPr/>
        <w:t>計劃於</w:t>
      </w:r>
      <w:r>
        <w:rPr/>
        <w:t>2013</w:t>
      </w:r>
      <w:r>
        <w:rPr/>
        <w:t>年的估計開支</w:t>
      </w:r>
    </w:p>
    <w:p>
      <w:pPr>
        <w:pStyle w:val="F21"/>
        <w:jc w:val="center"/>
        <w:rPr/>
      </w:pPr>
      <w:r>
        <w:rPr/>
        <w:t>(</w:t>
      </w:r>
      <w:r>
        <w:rPr/>
        <w:t>以現時合資格年齡為</w:t>
      </w:r>
      <w:r>
        <w:rPr/>
        <w:t>70</w:t>
      </w:r>
      <w:r>
        <w:rPr/>
        <w:t>歲作出估算</w:t>
      </w:r>
      <w:r>
        <w:rPr/>
        <w:t>)</w:t>
      </w:r>
    </w:p>
    <w:p>
      <w:pPr>
        <w:pStyle w:val="F21"/>
        <w:jc w:val="center"/>
        <w:rPr/>
      </w:pPr>
      <w:r>
        <w:rPr/>
      </w:r>
    </w:p>
    <w:tbl>
      <w:tblPr>
        <w:tblW w:w="9262" w:type="dxa"/>
        <w:jc w:val="left"/>
        <w:tblInd w:w="57" w:type="dxa"/>
        <w:tblCellMar>
          <w:top w:w="0" w:type="dxa"/>
          <w:left w:w="57" w:type="dxa"/>
          <w:bottom w:w="0" w:type="dxa"/>
          <w:right w:w="57" w:type="dxa"/>
        </w:tblCellMar>
        <w:tblLook w:val="01e0" w:noHBand="0" w:noVBand="0" w:firstColumn="1" w:lastRow="1" w:lastColumn="1" w:firstRow="1"/>
      </w:tblPr>
      <w:tblGrid>
        <w:gridCol w:w="4251"/>
        <w:gridCol w:w="2504"/>
        <w:gridCol w:w="2507"/>
      </w:tblGrid>
      <w:tr>
        <w:trPr/>
        <w:tc>
          <w:tcPr>
            <w:tcW w:w="425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i/>
                <w:i/>
                <w:sz w:val="24"/>
                <w:szCs w:val="24"/>
              </w:rPr>
            </w:pPr>
            <w:r>
              <w:rPr>
                <w:i/>
                <w:sz w:val="24"/>
                <w:szCs w:val="24"/>
              </w:rPr>
            </w:r>
          </w:p>
        </w:tc>
        <w:tc>
          <w:tcPr>
            <w:tcW w:w="5011" w:type="dxa"/>
            <w:gridSpan w:val="2"/>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i/>
                <w:i/>
                <w:sz w:val="24"/>
                <w:szCs w:val="24"/>
              </w:rPr>
            </w:pPr>
            <w:r>
              <w:rPr>
                <w:i/>
                <w:sz w:val="24"/>
                <w:szCs w:val="24"/>
              </w:rPr>
              <w:t>2013</w:t>
            </w:r>
            <w:r>
              <w:rPr>
                <w:i/>
                <w:sz w:val="24"/>
                <w:szCs w:val="24"/>
              </w:rPr>
              <w:t>年</w:t>
            </w:r>
          </w:p>
        </w:tc>
      </w:tr>
      <w:tr>
        <w:trPr/>
        <w:tc>
          <w:tcPr>
            <w:tcW w:w="4251" w:type="dxa"/>
            <w:vMerge w:val="restart"/>
            <w:tcBorders>
              <w:top w:val="single" w:sz="4" w:space="0" w:color="000000"/>
              <w:left w:val="single" w:sz="4" w:space="0" w:color="000000"/>
              <w:bottom w:val="single" w:sz="4" w:space="0" w:color="000000"/>
              <w:right w:val="single" w:sz="4" w:space="0" w:color="000000"/>
            </w:tcBorders>
            <w:shd w:color="auto" w:fill="auto" w:val="clear"/>
            <w:vAlign w:val="center"/>
          </w:tcPr>
          <w:p>
            <w:pPr>
              <w:pStyle w:val="F21"/>
              <w:tabs>
                <w:tab w:val="left" w:pos="480" w:leader="none"/>
                <w:tab w:val="left" w:pos="567" w:leader="none"/>
              </w:tabs>
              <w:rPr>
                <w:sz w:val="24"/>
                <w:szCs w:val="24"/>
              </w:rPr>
            </w:pPr>
            <w:r>
              <w:rPr>
                <w:sz w:val="24"/>
                <w:szCs w:val="24"/>
              </w:rPr>
              <w:t>人口推算</w:t>
            </w:r>
            <w:r>
              <w:rPr>
                <w:sz w:val="24"/>
                <w:szCs w:val="24"/>
                <w:vertAlign w:val="superscript"/>
              </w:rPr>
              <w:t>(1)</w:t>
            </w:r>
          </w:p>
        </w:tc>
        <w:tc>
          <w:tcPr>
            <w:tcW w:w="250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70</w:t>
            </w:r>
            <w:r>
              <w:rPr>
                <w:sz w:val="24"/>
                <w:szCs w:val="24"/>
              </w:rPr>
              <w:t>歲或以上長者</w:t>
            </w:r>
          </w:p>
        </w:tc>
        <w:tc>
          <w:tcPr>
            <w:tcW w:w="250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65</w:t>
            </w:r>
            <w:r>
              <w:rPr>
                <w:sz w:val="24"/>
                <w:szCs w:val="24"/>
              </w:rPr>
              <w:t>歲或以上長者</w:t>
            </w:r>
          </w:p>
        </w:tc>
      </w:tr>
      <w:tr>
        <w:trPr/>
        <w:tc>
          <w:tcPr>
            <w:tcW w:w="4251" w:type="dxa"/>
            <w:vMerge w:val="continue"/>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tabs>
                <w:tab w:val="clear" w:pos="720"/>
              </w:tabs>
              <w:spacing w:lineRule="auto" w:line="240"/>
              <w:jc w:val="left"/>
              <w:rPr>
                <w:rFonts w:cs="華康細明體"/>
                <w:spacing w:val="20"/>
                <w:sz w:val="24"/>
                <w:szCs w:val="24"/>
                <w:lang w:val="en-US"/>
              </w:rPr>
            </w:pPr>
            <w:r>
              <w:rPr>
                <w:rFonts w:cs="華康細明體"/>
                <w:spacing w:val="20"/>
                <w:sz w:val="24"/>
                <w:szCs w:val="24"/>
                <w:lang w:val="en-US"/>
              </w:rPr>
            </w:r>
          </w:p>
        </w:tc>
        <w:tc>
          <w:tcPr>
            <w:tcW w:w="250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723 500</w:t>
            </w:r>
          </w:p>
        </w:tc>
        <w:tc>
          <w:tcPr>
            <w:tcW w:w="250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1 018 400</w:t>
            </w:r>
          </w:p>
        </w:tc>
      </w:tr>
      <w:tr>
        <w:trPr/>
        <w:tc>
          <w:tcPr>
            <w:tcW w:w="425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67" w:hanging="567"/>
              <w:rPr>
                <w:sz w:val="24"/>
                <w:szCs w:val="24"/>
              </w:rPr>
            </w:pPr>
            <w:r>
              <w:rPr>
                <w:sz w:val="24"/>
                <w:szCs w:val="24"/>
              </w:rPr>
              <w:t>(1)</w:t>
              <w:tab/>
            </w:r>
            <w:r>
              <w:rPr>
                <w:sz w:val="24"/>
                <w:szCs w:val="24"/>
              </w:rPr>
              <w:t>根據長者人口推算為每名合資格長者提供</w:t>
            </w:r>
            <w:r>
              <w:rPr>
                <w:sz w:val="24"/>
                <w:szCs w:val="24"/>
              </w:rPr>
              <w:t>1,000</w:t>
            </w:r>
            <w:r>
              <w:rPr>
                <w:sz w:val="24"/>
                <w:szCs w:val="24"/>
              </w:rPr>
              <w:t>元所涉及的最高開支</w:t>
            </w:r>
            <w:r>
              <w:rPr>
                <w:sz w:val="24"/>
                <w:szCs w:val="24"/>
              </w:rPr>
              <w:t>(</w:t>
            </w:r>
            <w:r>
              <w:rPr>
                <w:sz w:val="24"/>
                <w:szCs w:val="24"/>
              </w:rPr>
              <w:t>以百萬元計</w:t>
            </w:r>
            <w:r>
              <w:rPr>
                <w:sz w:val="24"/>
                <w:szCs w:val="24"/>
              </w:rPr>
              <w:t>)</w:t>
            </w:r>
          </w:p>
        </w:tc>
        <w:tc>
          <w:tcPr>
            <w:tcW w:w="250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723.5</w:t>
            </w:r>
          </w:p>
        </w:tc>
        <w:tc>
          <w:tcPr>
            <w:tcW w:w="250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1,018.4</w:t>
            </w:r>
          </w:p>
        </w:tc>
      </w:tr>
      <w:tr>
        <w:trPr/>
        <w:tc>
          <w:tcPr>
            <w:tcW w:w="425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67" w:hanging="567"/>
              <w:rPr>
                <w:sz w:val="24"/>
                <w:szCs w:val="24"/>
              </w:rPr>
            </w:pPr>
            <w:r>
              <w:rPr>
                <w:sz w:val="24"/>
                <w:szCs w:val="24"/>
              </w:rPr>
              <w:t>(2)</w:t>
              <w:tab/>
            </w:r>
            <w:r>
              <w:rPr>
                <w:sz w:val="24"/>
                <w:szCs w:val="24"/>
              </w:rPr>
              <w:t>估計的參與比率</w:t>
            </w:r>
          </w:p>
        </w:tc>
        <w:tc>
          <w:tcPr>
            <w:tcW w:w="250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70%</w:t>
            </w:r>
          </w:p>
        </w:tc>
        <w:tc>
          <w:tcPr>
            <w:tcW w:w="250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70%</w:t>
            </w:r>
          </w:p>
        </w:tc>
      </w:tr>
      <w:tr>
        <w:trPr/>
        <w:tc>
          <w:tcPr>
            <w:tcW w:w="425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67" w:hanging="567"/>
              <w:rPr>
                <w:sz w:val="24"/>
                <w:szCs w:val="24"/>
              </w:rPr>
            </w:pPr>
            <w:r>
              <w:rPr>
                <w:sz w:val="24"/>
                <w:szCs w:val="24"/>
              </w:rPr>
              <w:t>(3)</w:t>
              <w:tab/>
            </w:r>
            <w:r>
              <w:rPr>
                <w:sz w:val="24"/>
                <w:szCs w:val="24"/>
              </w:rPr>
              <w:t>按參與計劃的醫療券使用者的比率估算作出調整後所需的金額</w:t>
            </w:r>
          </w:p>
          <w:p>
            <w:pPr>
              <w:pStyle w:val="F21"/>
              <w:tabs>
                <w:tab w:val="left" w:pos="480" w:leader="none"/>
                <w:tab w:val="left" w:pos="567" w:leader="none"/>
              </w:tabs>
              <w:ind w:left="567" w:hanging="567"/>
              <w:rPr>
                <w:sz w:val="24"/>
                <w:szCs w:val="24"/>
              </w:rPr>
            </w:pPr>
            <w:r>
              <w:rPr>
                <w:sz w:val="24"/>
                <w:szCs w:val="24"/>
              </w:rPr>
              <w:tab/>
              <w:t>[(1) x (2)](</w:t>
            </w:r>
            <w:r>
              <w:rPr>
                <w:sz w:val="24"/>
                <w:szCs w:val="24"/>
              </w:rPr>
              <w:t>以百萬元計</w:t>
            </w:r>
            <w:r>
              <w:rPr>
                <w:sz w:val="24"/>
                <w:szCs w:val="24"/>
              </w:rPr>
              <w:t>)</w:t>
            </w:r>
          </w:p>
        </w:tc>
        <w:tc>
          <w:tcPr>
            <w:tcW w:w="250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506.5</w:t>
            </w:r>
          </w:p>
        </w:tc>
        <w:tc>
          <w:tcPr>
            <w:tcW w:w="250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712.9</w:t>
            </w:r>
          </w:p>
        </w:tc>
      </w:tr>
      <w:tr>
        <w:trPr/>
        <w:tc>
          <w:tcPr>
            <w:tcW w:w="4251"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ind w:left="567" w:hanging="567"/>
              <w:rPr>
                <w:sz w:val="24"/>
                <w:szCs w:val="24"/>
              </w:rPr>
            </w:pPr>
            <w:r>
              <w:rPr>
                <w:sz w:val="24"/>
                <w:szCs w:val="24"/>
              </w:rPr>
              <w:t>(4)</w:t>
              <w:tab/>
            </w:r>
            <w:r>
              <w:rPr>
                <w:sz w:val="24"/>
                <w:szCs w:val="24"/>
              </w:rPr>
              <w:t>估算所需的現金流量</w:t>
            </w:r>
            <w:r>
              <w:rPr>
                <w:sz w:val="24"/>
                <w:szCs w:val="24"/>
                <w:vertAlign w:val="superscript"/>
              </w:rPr>
              <w:t>(2)</w:t>
              <w:br/>
            </w:r>
            <w:r>
              <w:rPr>
                <w:sz w:val="24"/>
                <w:szCs w:val="24"/>
              </w:rPr>
              <w:t>[(3) x 67.5%](</w:t>
            </w:r>
            <w:r>
              <w:rPr>
                <w:sz w:val="24"/>
                <w:szCs w:val="24"/>
              </w:rPr>
              <w:t>以百萬元計</w:t>
            </w:r>
            <w:r>
              <w:rPr>
                <w:sz w:val="24"/>
                <w:szCs w:val="24"/>
              </w:rPr>
              <w:t>)</w:t>
            </w:r>
          </w:p>
        </w:tc>
        <w:tc>
          <w:tcPr>
            <w:tcW w:w="2504"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341.9</w:t>
            </w:r>
          </w:p>
        </w:tc>
        <w:tc>
          <w:tcPr>
            <w:tcW w:w="2507" w:type="dxa"/>
            <w:tcBorders>
              <w:top w:val="single" w:sz="4" w:space="0" w:color="000000"/>
              <w:left w:val="single" w:sz="4" w:space="0" w:color="000000"/>
              <w:bottom w:val="single" w:sz="4" w:space="0" w:color="000000"/>
              <w:right w:val="single" w:sz="4" w:space="0" w:color="000000"/>
            </w:tcBorders>
            <w:shd w:color="auto" w:fill="auto" w:val="clear"/>
          </w:tcPr>
          <w:p>
            <w:pPr>
              <w:pStyle w:val="F21"/>
              <w:tabs>
                <w:tab w:val="left" w:pos="480" w:leader="none"/>
                <w:tab w:val="left" w:pos="567" w:leader="none"/>
              </w:tabs>
              <w:jc w:val="center"/>
              <w:rPr>
                <w:sz w:val="24"/>
                <w:szCs w:val="24"/>
              </w:rPr>
            </w:pPr>
            <w:r>
              <w:rPr>
                <w:sz w:val="24"/>
                <w:szCs w:val="24"/>
              </w:rPr>
              <w:t>481.2</w:t>
            </w:r>
          </w:p>
        </w:tc>
      </w:tr>
    </w:tbl>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註︰</w:t>
      </w:r>
    </w:p>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(1)</w:t>
        <w:tab/>
      </w:r>
      <w:r>
        <w:rPr>
          <w:sz w:val="20"/>
          <w:szCs w:val="20"/>
        </w:rPr>
        <w:t>政府統計處編製的《香港人口推算</w:t>
      </w:r>
      <w:r>
        <w:rPr>
          <w:sz w:val="20"/>
          <w:szCs w:val="20"/>
        </w:rPr>
        <w:t>2012-2041</w:t>
      </w:r>
      <w:r>
        <w:rPr>
          <w:sz w:val="20"/>
          <w:szCs w:val="20"/>
        </w:rPr>
        <w:t>》。</w:t>
      </w:r>
    </w:p>
    <w:p>
      <w:pPr>
        <w:pStyle w:val="F21"/>
        <w:spacing w:lineRule="auto" w:line="240"/>
        <w:ind w:left="567" w:hanging="567"/>
        <w:rPr>
          <w:sz w:val="20"/>
          <w:szCs w:val="20"/>
        </w:rPr>
      </w:pPr>
      <w:r>
        <w:rPr>
          <w:sz w:val="20"/>
          <w:szCs w:val="20"/>
        </w:rPr>
      </w:r>
    </w:p>
    <w:p>
      <w:pPr>
        <w:pStyle w:val="F21"/>
        <w:spacing w:lineRule="auto" w:line="240"/>
        <w:ind w:left="567" w:hanging="567"/>
        <w:rPr>
          <w:sz w:val="20"/>
          <w:szCs w:val="20"/>
        </w:rPr>
      </w:pPr>
      <w:r>
        <w:rPr>
          <w:sz w:val="20"/>
          <w:szCs w:val="20"/>
        </w:rPr>
        <w:t>(2)</w:t>
        <w:tab/>
      </w:r>
      <w:r>
        <w:rPr>
          <w:sz w:val="20"/>
          <w:szCs w:val="20"/>
        </w:rPr>
        <w:t>以首</w:t>
      </w:r>
      <w:r>
        <w:rPr>
          <w:sz w:val="20"/>
          <w:szCs w:val="20"/>
        </w:rPr>
        <w:t>3</w:t>
      </w:r>
      <w:r>
        <w:rPr>
          <w:sz w:val="20"/>
          <w:szCs w:val="20"/>
        </w:rPr>
        <w:t>年試驗期</w:t>
      </w:r>
      <w:r>
        <w:rPr>
          <w:sz w:val="20"/>
          <w:szCs w:val="20"/>
        </w:rPr>
        <w:t>(</w:t>
      </w:r>
      <w:r>
        <w:rPr>
          <w:sz w:val="20"/>
          <w:szCs w:val="20"/>
        </w:rPr>
        <w:t>即</w:t>
      </w:r>
      <w:r>
        <w:rPr>
          <w:sz w:val="20"/>
          <w:szCs w:val="20"/>
        </w:rPr>
        <w:t>2009</w:t>
      </w:r>
      <w:r>
        <w:rPr>
          <w:sz w:val="20"/>
          <w:szCs w:val="20"/>
        </w:rPr>
        <w:t>年</w:t>
      </w:r>
      <w:r>
        <w:rPr>
          <w:sz w:val="20"/>
          <w:szCs w:val="20"/>
        </w:rPr>
        <w:t>1</w:t>
      </w:r>
      <w:r>
        <w:rPr>
          <w:sz w:val="20"/>
          <w:szCs w:val="20"/>
        </w:rPr>
        <w:t>月至</w:t>
      </w:r>
      <w:r>
        <w:rPr>
          <w:sz w:val="20"/>
          <w:szCs w:val="20"/>
        </w:rPr>
        <w:t>2011</w:t>
      </w:r>
      <w:r>
        <w:rPr>
          <w:sz w:val="20"/>
          <w:szCs w:val="20"/>
        </w:rPr>
        <w:t>年</w:t>
      </w:r>
      <w:r>
        <w:rPr>
          <w:sz w:val="20"/>
          <w:szCs w:val="20"/>
        </w:rPr>
        <w:t>12</w:t>
      </w:r>
      <w:r>
        <w:rPr>
          <w:sz w:val="20"/>
          <w:szCs w:val="20"/>
        </w:rPr>
        <w:t>月</w:t>
      </w:r>
      <w:r>
        <w:rPr>
          <w:sz w:val="20"/>
          <w:szCs w:val="20"/>
        </w:rPr>
        <w:t>)</w:t>
      </w:r>
      <w:r>
        <w:rPr>
          <w:sz w:val="20"/>
          <w:szCs w:val="20"/>
        </w:rPr>
        <w:t>的使用率</w:t>
      </w:r>
      <w:r>
        <w:rPr>
          <w:sz w:val="20"/>
          <w:szCs w:val="20"/>
        </w:rPr>
        <w:t>(67.5%)</w:t>
      </w:r>
      <w:r>
        <w:rPr>
          <w:sz w:val="20"/>
          <w:szCs w:val="20"/>
        </w:rPr>
        <w:t>作假設。</w:t>
      </w:r>
    </w:p>
    <w:p>
      <w:pPr>
        <w:pStyle w:val="F21"/>
        <w:rPr/>
      </w:pPr>
      <w:r>
        <w:rPr/>
      </w:r>
    </w:p>
    <w:p>
      <w:pPr>
        <w:pStyle w:val="F21"/>
        <w:rPr>
          <w:spacing w:val="22"/>
        </w:rPr>
      </w:pPr>
      <w:bookmarkStart w:id="57" w:name="wrq22"/>
      <w:r>
        <w:rPr>
          <w:rFonts w:cs="Times New Roman" w:eastAsia="華康中黑體"/>
          <w:b/>
          <w:spacing w:val="22"/>
        </w:rPr>
        <w:t>公眾取覽政策局、政府部門及法定機構持有的顧問研究報告及會議文件</w:t>
      </w:r>
      <w:r>
        <w:br w:type="page"/>
      </w:r>
    </w:p>
    <w:p>
      <w:pPr>
        <w:pStyle w:val="Normal"/>
        <w:rPr/>
      </w:pPr>
      <w:bookmarkStart w:id="58" w:name="wrq22"/>
      <w:r>
        <w:rPr>
          <w:b/>
        </w:rPr>
        <w:t>Public Access to Consultancy Study Reports and Meeting Documents Held by Policy Bureaux, Government Departments and Statutory Organizations</w:t>
      </w:r>
      <w:bookmarkEnd w:id="58"/>
    </w:p>
    <w:p>
      <w:pPr>
        <w:pStyle w:val="F21"/>
        <w:rPr>
          <w:rFonts w:eastAsia="華康中黑體" w:cs="Times New Roman"/>
          <w:b/>
          <w:b/>
        </w:rPr>
      </w:pPr>
      <w:r>
        <w:rPr>
          <w:rFonts w:eastAsia="華康中黑體" w:cs="Times New Roman"/>
          <w:b/>
        </w:rPr>
      </w:r>
    </w:p>
    <w:p>
      <w:pPr>
        <w:pStyle w:val="F21"/>
        <w:rPr>
          <w:i/>
          <w:i/>
        </w:rPr>
      </w:pPr>
      <w:r>
        <w:rPr>
          <w:rFonts w:eastAsia="華康中黑體"/>
          <w:b/>
        </w:rPr>
        <w:t>22.</w:t>
      </w:r>
      <w:r>
        <w:rPr/>
        <w:tab/>
      </w:r>
      <w:r>
        <w:rPr>
          <w:rFonts w:eastAsia="華康中黑體"/>
          <w:b/>
        </w:rPr>
        <w:t>胡志偉議員</w:t>
      </w:r>
      <w:r>
        <w:rPr/>
        <w:t>：</w:t>
      </w:r>
      <w:r>
        <w:rPr>
          <w:i/>
        </w:rPr>
        <w:t>主席，有市民向本人反映，不同的政策局和政府部門目前向公眾發放資料的方式及範圍差異極大。例如，規劃署和環境保護署</w:t>
      </w:r>
      <w:r>
        <w:rPr>
          <w:i/>
        </w:rPr>
        <w:t>(“</w:t>
      </w:r>
      <w:r>
        <w:rPr>
          <w:i/>
        </w:rPr>
        <w:t>環保署”</w:t>
      </w:r>
      <w:r>
        <w:rPr>
          <w:i/>
        </w:rPr>
        <w:t>)</w:t>
      </w:r>
      <w:r>
        <w:rPr>
          <w:i/>
        </w:rPr>
        <w:t>的網站只提供顧問研究報告的摘要，而欲索閱報告全文的市民需親身前往有關的部門，而且部分報告只製備中文或英文本。此外，一些就重大公共利益作決策的法定機構，包括城市規劃委員會</w:t>
      </w:r>
      <w:r>
        <w:rPr>
          <w:i/>
        </w:rPr>
        <w:t>(“</w:t>
      </w:r>
      <w:r>
        <w:rPr>
          <w:i/>
        </w:rPr>
        <w:t>城規會”</w:t>
      </w:r>
      <w:r>
        <w:rPr>
          <w:i/>
        </w:rPr>
        <w:t>)</w:t>
      </w:r>
      <w:r>
        <w:rPr>
          <w:i/>
        </w:rPr>
        <w:t>及環境諮詢委員會</w:t>
      </w:r>
      <w:r>
        <w:rPr>
          <w:i/>
        </w:rPr>
        <w:t>(“</w:t>
      </w:r>
      <w:r>
        <w:rPr>
          <w:i/>
        </w:rPr>
        <w:t>環諮會”</w:t>
      </w:r>
      <w:r>
        <w:rPr>
          <w:i/>
        </w:rPr>
        <w:t>)</w:t>
      </w:r>
      <w:r>
        <w:rPr>
          <w:i/>
        </w:rPr>
        <w:t>的會議的議程、紀要及文件往往只備有英文本，對不諳英語的市民造成不便。有評論認為，此情況與政府在《公開資料守則》中聲稱它“明白到市民是需要充分認識政府及其提供的服務，以及對個人和整個社會均有影響的政策和決定的依據”的說法並不相符。就此，政府可否告知本會：</w:t>
      </w:r>
    </w:p>
    <w:p>
      <w:pPr>
        <w:pStyle w:val="F21"/>
        <w:rPr>
          <w:i/>
          <w:i/>
        </w:rPr>
      </w:pPr>
      <w:r>
        <w:rPr>
          <w:i/>
        </w:rPr>
      </w:r>
    </w:p>
    <w:p>
      <w:pPr>
        <w:pStyle w:val="F21"/>
        <w:ind w:left="1417" w:hanging="850"/>
        <w:rPr>
          <w:i/>
          <w:i/>
        </w:rPr>
      </w:pPr>
      <w:r>
        <w:rPr>
          <w:i/>
        </w:rPr>
        <w:t>(</w:t>
      </w:r>
      <w:r>
        <w:rPr>
          <w:i/>
        </w:rPr>
        <w:t>一</w:t>
      </w:r>
      <w:r>
        <w:rPr>
          <w:i/>
        </w:rPr>
        <w:t>)</w:t>
        <w:tab/>
      </w:r>
      <w:r>
        <w:rPr>
          <w:i/>
        </w:rPr>
        <w:t>表一所列政策局、政府部門及法定機構發放資料的</w:t>
      </w:r>
      <w:r>
        <w:rPr>
          <w:i/>
        </w:rPr>
        <w:t>(i)</w:t>
      </w:r>
      <w:r>
        <w:rPr>
          <w:i/>
        </w:rPr>
        <w:t>準則、</w:t>
      </w:r>
      <w:r>
        <w:rPr>
          <w:i/>
        </w:rPr>
        <w:t>(ii)</w:t>
      </w:r>
      <w:r>
        <w:rPr>
          <w:i/>
        </w:rPr>
        <w:t>範圍、</w:t>
      </w:r>
      <w:r>
        <w:rPr>
          <w:i/>
        </w:rPr>
        <w:t>(iii)</w:t>
      </w:r>
      <w:r>
        <w:rPr>
          <w:i/>
        </w:rPr>
        <w:t>時效及有關規定的原因，以及</w:t>
      </w:r>
      <w:r>
        <w:rPr>
          <w:i/>
        </w:rPr>
        <w:t>(iv)</w:t>
      </w:r>
      <w:r>
        <w:rPr>
          <w:i/>
        </w:rPr>
        <w:t>格式分別為何；</w:t>
      </w:r>
    </w:p>
    <w:p>
      <w:pPr>
        <w:pStyle w:val="F21"/>
        <w:rPr>
          <w:i/>
          <w:i/>
        </w:rPr>
      </w:pPr>
      <w:r>
        <w:rPr>
          <w:i/>
        </w:rPr>
      </w:r>
    </w:p>
    <w:p>
      <w:pPr>
        <w:pStyle w:val="Style14"/>
        <w:ind w:left="1417" w:hanging="850"/>
        <w:rPr/>
      </w:pPr>
      <w:r>
        <w:rPr/>
        <w:tab/>
      </w:r>
      <w:r>
        <w:rPr/>
        <w:t>表一</w:t>
      </w:r>
    </w:p>
    <w:p>
      <w:pPr>
        <w:pStyle w:val="Style14"/>
        <w:ind w:left="1417" w:hanging="850"/>
        <w:rPr/>
      </w:pPr>
      <w:r>
        <w:rPr/>
      </w:r>
    </w:p>
    <w:tbl>
      <w:tblPr>
        <w:tblW w:w="7743" w:type="dxa"/>
        <w:jc w:val="left"/>
        <w:tblInd w:w="1526" w:type="dxa"/>
        <w:tblCellMar>
          <w:top w:w="0" w:type="dxa"/>
          <w:left w:w="57" w:type="dxa"/>
          <w:bottom w:w="0" w:type="dxa"/>
          <w:right w:w="57" w:type="dxa"/>
        </w:tblCellMar>
        <w:tblLook w:val="01e0" w:noHBand="0" w:noVBand="0" w:firstColumn="1" w:lastRow="1" w:lastColumn="1" w:firstRow="1"/>
      </w:tblPr>
      <w:tblGrid>
        <w:gridCol w:w="3947"/>
        <w:gridCol w:w="969"/>
        <w:gridCol w:w="970"/>
        <w:gridCol w:w="968"/>
        <w:gridCol w:w="889"/>
      </w:tblGrid>
      <w:tr>
        <w:trPr>
          <w:tblHeader w:val="true"/>
        </w:trPr>
        <w:tc>
          <w:tcPr>
            <w:tcW w:w="3947"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spacing w:lineRule="exact" w:line="400"/>
              <w:jc w:val="center"/>
              <w:rPr>
                <w:i/>
                <w:i/>
                <w:spacing w:val="20"/>
                <w:sz w:val="27"/>
                <w:szCs w:val="27"/>
              </w:rPr>
            </w:pPr>
            <w:r>
              <w:rPr>
                <w:i/>
                <w:spacing w:val="20"/>
                <w:sz w:val="27"/>
                <w:szCs w:val="27"/>
              </w:rPr>
              <w:t>政策局、政府部門及</w:t>
            </w:r>
          </w:p>
          <w:p>
            <w:pPr>
              <w:pStyle w:val="Normal"/>
              <w:widowControl/>
              <w:overflowPunct w:val="true"/>
              <w:spacing w:lineRule="exact" w:line="400"/>
              <w:jc w:val="center"/>
              <w:rPr>
                <w:i/>
                <w:i/>
                <w:spacing w:val="20"/>
                <w:sz w:val="27"/>
                <w:szCs w:val="27"/>
              </w:rPr>
            </w:pPr>
            <w:r>
              <w:rPr>
                <w:i/>
                <w:spacing w:val="20"/>
                <w:sz w:val="27"/>
                <w:szCs w:val="27"/>
              </w:rPr>
              <w:t>法定機構名稱</w:t>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spacing w:lineRule="exact" w:line="400"/>
              <w:ind w:left="-84" w:right="-84" w:hanging="0"/>
              <w:jc w:val="center"/>
              <w:rPr>
                <w:i/>
                <w:i/>
                <w:spacing w:val="20"/>
                <w:sz w:val="27"/>
                <w:szCs w:val="27"/>
              </w:rPr>
            </w:pPr>
            <w:r>
              <w:rPr>
                <w:i/>
                <w:spacing w:val="20"/>
                <w:sz w:val="27"/>
                <w:szCs w:val="27"/>
              </w:rPr>
              <w:t>(i)</w:t>
            </w:r>
          </w:p>
        </w:tc>
        <w:tc>
          <w:tcPr>
            <w:tcW w:w="970"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spacing w:lineRule="exact" w:line="400"/>
              <w:ind w:left="-84" w:right="-84" w:hanging="0"/>
              <w:jc w:val="center"/>
              <w:rPr>
                <w:i/>
                <w:i/>
                <w:spacing w:val="20"/>
                <w:sz w:val="27"/>
                <w:szCs w:val="27"/>
              </w:rPr>
            </w:pPr>
            <w:r>
              <w:rPr>
                <w:i/>
                <w:spacing w:val="20"/>
                <w:sz w:val="27"/>
                <w:szCs w:val="27"/>
              </w:rPr>
              <w:t>(ii)</w:t>
            </w:r>
          </w:p>
        </w:tc>
        <w:tc>
          <w:tcPr>
            <w:tcW w:w="968"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spacing w:lineRule="exact" w:line="400"/>
              <w:ind w:left="-84" w:right="-84" w:hanging="0"/>
              <w:jc w:val="center"/>
              <w:rPr>
                <w:i/>
                <w:i/>
                <w:spacing w:val="20"/>
                <w:sz w:val="27"/>
                <w:szCs w:val="27"/>
              </w:rPr>
            </w:pPr>
            <w:r>
              <w:rPr>
                <w:i/>
                <w:spacing w:val="20"/>
                <w:sz w:val="27"/>
                <w:szCs w:val="27"/>
              </w:rPr>
              <w:t>(iii)</w:t>
            </w:r>
          </w:p>
        </w:tc>
        <w:tc>
          <w:tcPr>
            <w:tcW w:w="889"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spacing w:lineRule="exact" w:line="400"/>
              <w:ind w:left="-84" w:right="-84" w:hanging="0"/>
              <w:jc w:val="center"/>
              <w:rPr>
                <w:i/>
                <w:i/>
                <w:spacing w:val="20"/>
                <w:sz w:val="27"/>
                <w:szCs w:val="27"/>
              </w:rPr>
            </w:pPr>
            <w:r>
              <w:rPr>
                <w:i/>
                <w:spacing w:val="20"/>
                <w:sz w:val="27"/>
                <w:szCs w:val="27"/>
              </w:rPr>
              <w:t>(iv)</w:t>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中央政策組</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土木工程拓展署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機電工程署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規劃署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康樂及文化事務署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屋宇署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運輸署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路政署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環保署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民政事務總署</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運輸及房屋局</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發展局</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勞工及福利局</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環境局</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民政事務局</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城規會</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環諮會</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r>
        <w:trPr>
          <w:trHeight w:val="454" w:hRule="atLeast"/>
        </w:trPr>
        <w:tc>
          <w:tcPr>
            <w:tcW w:w="3947"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rPr>
                <w:i/>
                <w:i/>
                <w:spacing w:val="20"/>
                <w:sz w:val="27"/>
                <w:szCs w:val="27"/>
              </w:rPr>
            </w:pPr>
            <w:r>
              <w:rPr>
                <w:i/>
                <w:spacing w:val="20"/>
                <w:sz w:val="27"/>
                <w:szCs w:val="27"/>
              </w:rPr>
              <w:t>郊野公園及海岸公園委員會</w:t>
            </w:r>
          </w:p>
        </w:tc>
        <w:tc>
          <w:tcPr>
            <w:tcW w:w="96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70"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968"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c>
          <w:tcPr>
            <w:tcW w:w="889" w:type="dxa"/>
            <w:tcBorders>
              <w:top w:val="single" w:sz="4" w:space="0" w:color="000000"/>
              <w:left w:val="single" w:sz="4" w:space="0" w:color="000000"/>
              <w:bottom w:val="single" w:sz="4" w:space="0" w:color="000000"/>
              <w:right w:val="single" w:sz="4" w:space="0" w:color="000000"/>
            </w:tcBorders>
          </w:tcPr>
          <w:p>
            <w:pPr>
              <w:pStyle w:val="Normal"/>
              <w:widowControl/>
              <w:overflowPunct w:val="true"/>
              <w:spacing w:lineRule="exact" w:line="400"/>
              <w:ind w:left="-84" w:right="-84" w:hanging="0"/>
              <w:rPr>
                <w:i/>
                <w:i/>
                <w:spacing w:val="20"/>
                <w:sz w:val="27"/>
                <w:szCs w:val="27"/>
              </w:rPr>
            </w:pPr>
            <w:r>
              <w:rPr>
                <w:i/>
                <w:spacing w:val="20"/>
                <w:sz w:val="27"/>
                <w:szCs w:val="27"/>
              </w:rPr>
            </w:r>
          </w:p>
        </w:tc>
      </w:tr>
    </w:tbl>
    <w:p>
      <w:pPr>
        <w:pStyle w:val="F21"/>
        <w:rPr>
          <w:i/>
          <w:i/>
        </w:rPr>
      </w:pPr>
      <w:r>
        <w:rPr>
          <w:i/>
        </w:rPr>
      </w:r>
    </w:p>
    <w:p>
      <w:pPr>
        <w:pStyle w:val="F21"/>
        <w:ind w:left="1417" w:hanging="850"/>
        <w:rPr>
          <w:i/>
          <w:i/>
        </w:rPr>
      </w:pPr>
      <w:r>
        <w:rPr>
          <w:i/>
        </w:rPr>
        <w:t>(</w:t>
      </w:r>
      <w:r>
        <w:rPr>
          <w:i/>
        </w:rPr>
        <w:t>二</w:t>
      </w:r>
      <w:r>
        <w:rPr>
          <w:i/>
        </w:rPr>
        <w:t>)</w:t>
        <w:tab/>
      </w:r>
      <w:r>
        <w:rPr>
          <w:i/>
        </w:rPr>
        <w:t>為何各政策局、政府部門及法定機構發放資料的方式及準則不一，以及會否統一他們發放資料的方式及準則；</w:t>
      </w:r>
    </w:p>
    <w:p>
      <w:pPr>
        <w:pStyle w:val="F21"/>
        <w:ind w:left="1417" w:hanging="850"/>
        <w:rPr>
          <w:i/>
          <w:i/>
        </w:rPr>
      </w:pPr>
      <w:r>
        <w:rPr>
          <w:i/>
        </w:rPr>
      </w:r>
    </w:p>
    <w:p>
      <w:pPr>
        <w:pStyle w:val="F21"/>
        <w:ind w:left="1417" w:hanging="850"/>
        <w:rPr>
          <w:i/>
          <w:i/>
        </w:rPr>
      </w:pPr>
      <w:r>
        <w:rPr>
          <w:i/>
        </w:rPr>
        <w:t>(</w:t>
      </w:r>
      <w:r>
        <w:rPr>
          <w:i/>
        </w:rPr>
        <w:t>三</w:t>
      </w:r>
      <w:r>
        <w:rPr>
          <w:i/>
        </w:rPr>
        <w:t>)</w:t>
        <w:tab/>
      </w:r>
      <w:r>
        <w:rPr>
          <w:i/>
        </w:rPr>
        <w:t>表二所列政策局及政府部門在過去</w:t>
      </w:r>
      <w:r>
        <w:rPr>
          <w:i/>
        </w:rPr>
        <w:t>5</w:t>
      </w:r>
      <w:r>
        <w:rPr>
          <w:i/>
        </w:rPr>
        <w:t>年所完成的各顧問研究報告的</w:t>
      </w:r>
      <w:r>
        <w:rPr>
          <w:i/>
        </w:rPr>
        <w:t>(i)</w:t>
      </w:r>
      <w:r>
        <w:rPr>
          <w:i/>
        </w:rPr>
        <w:t>名稱及完成日期、</w:t>
      </w:r>
      <w:r>
        <w:rPr>
          <w:i/>
        </w:rPr>
        <w:t>(ii)</w:t>
      </w:r>
      <w:r>
        <w:rPr>
          <w:i/>
        </w:rPr>
        <w:t>供公眾閱覽方法、</w:t>
      </w:r>
      <w:r>
        <w:rPr>
          <w:i/>
        </w:rPr>
        <w:t>(iii)</w:t>
      </w:r>
      <w:r>
        <w:rPr>
          <w:i/>
        </w:rPr>
        <w:t>可供參閱的內容及語言，及</w:t>
      </w:r>
      <w:r>
        <w:rPr>
          <w:i/>
        </w:rPr>
        <w:t>(iv)</w:t>
      </w:r>
      <w:r>
        <w:rPr>
          <w:i/>
        </w:rPr>
        <w:t>有否在部門網站或透過政府新聞處知會公眾有關報告可供閱覽；</w:t>
      </w:r>
    </w:p>
    <w:p>
      <w:pPr>
        <w:pStyle w:val="F21"/>
        <w:ind w:left="1417" w:hanging="850"/>
        <w:rPr>
          <w:i/>
          <w:i/>
        </w:rPr>
      </w:pPr>
      <w:r>
        <w:rPr>
          <w:i/>
        </w:rPr>
      </w:r>
    </w:p>
    <w:p>
      <w:pPr>
        <w:pStyle w:val="F21"/>
        <w:ind w:left="1417" w:hanging="850"/>
        <w:rPr>
          <w:i/>
          <w:i/>
        </w:rPr>
      </w:pPr>
      <w:r>
        <w:rPr/>
        <w:tab/>
      </w:r>
      <w:r>
        <w:rPr>
          <w:i/>
        </w:rPr>
        <w:t>表二</w:t>
      </w:r>
    </w:p>
    <w:p>
      <w:pPr>
        <w:pStyle w:val="F21"/>
        <w:ind w:left="1417" w:hanging="850"/>
        <w:rPr/>
      </w:pPr>
      <w:r>
        <w:rPr/>
      </w:r>
    </w:p>
    <w:tbl>
      <w:tblPr>
        <w:tblW w:w="7774" w:type="dxa"/>
        <w:jc w:val="left"/>
        <w:tblInd w:w="1468" w:type="dxa"/>
        <w:tblCellMar>
          <w:top w:w="0" w:type="dxa"/>
          <w:left w:w="28" w:type="dxa"/>
          <w:bottom w:w="0" w:type="dxa"/>
          <w:right w:w="28" w:type="dxa"/>
        </w:tblCellMar>
        <w:tblLook w:val="01e0" w:noHBand="0" w:noVBand="0" w:firstColumn="1" w:lastRow="1" w:lastColumn="1" w:firstRow="1"/>
      </w:tblPr>
      <w:tblGrid>
        <w:gridCol w:w="3521"/>
        <w:gridCol w:w="1064"/>
        <w:gridCol w:w="1062"/>
        <w:gridCol w:w="1064"/>
        <w:gridCol w:w="1063"/>
      </w:tblGrid>
      <w:tr>
        <w:trPr>
          <w:tblHeader w:val="true"/>
          <w:trHeight w:val="567" w:hRule="atLeast"/>
        </w:trPr>
        <w:tc>
          <w:tcPr>
            <w:tcW w:w="3521"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jc w:val="center"/>
              <w:rPr>
                <w:i/>
                <w:i/>
                <w:spacing w:val="20"/>
                <w:sz w:val="27"/>
                <w:szCs w:val="27"/>
              </w:rPr>
            </w:pPr>
            <w:r>
              <w:rPr>
                <w:i/>
                <w:spacing w:val="20"/>
                <w:sz w:val="27"/>
                <w:szCs w:val="27"/>
              </w:rPr>
              <w:t>政策局及政府部門名稱</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jc w:val="center"/>
              <w:rPr>
                <w:i/>
                <w:i/>
                <w:spacing w:val="20"/>
                <w:sz w:val="27"/>
                <w:szCs w:val="27"/>
              </w:rPr>
            </w:pPr>
            <w:r>
              <w:rPr>
                <w:i/>
                <w:spacing w:val="20"/>
                <w:sz w:val="27"/>
                <w:szCs w:val="27"/>
              </w:rPr>
              <w:t>(i)</w:t>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jc w:val="center"/>
              <w:rPr>
                <w:i/>
                <w:i/>
                <w:spacing w:val="20"/>
                <w:sz w:val="27"/>
                <w:szCs w:val="27"/>
              </w:rPr>
            </w:pPr>
            <w:r>
              <w:rPr>
                <w:i/>
                <w:spacing w:val="20"/>
                <w:sz w:val="27"/>
                <w:szCs w:val="27"/>
              </w:rPr>
              <w:t>(ii)</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jc w:val="center"/>
              <w:rPr>
                <w:i/>
                <w:i/>
                <w:spacing w:val="20"/>
                <w:sz w:val="27"/>
                <w:szCs w:val="27"/>
              </w:rPr>
            </w:pPr>
            <w:r>
              <w:rPr>
                <w:i/>
                <w:spacing w:val="20"/>
                <w:sz w:val="27"/>
                <w:szCs w:val="27"/>
              </w:rPr>
              <w:t>(iii)</w:t>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jc w:val="center"/>
              <w:rPr>
                <w:i/>
                <w:i/>
                <w:spacing w:val="20"/>
                <w:sz w:val="27"/>
                <w:szCs w:val="27"/>
              </w:rPr>
            </w:pPr>
            <w:r>
              <w:rPr>
                <w:i/>
                <w:spacing w:val="20"/>
                <w:sz w:val="27"/>
                <w:szCs w:val="27"/>
              </w:rPr>
              <w:t>(iv)</w:t>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中央政策組</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土木工程拓展署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機電工程署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規劃署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康樂及文化事務署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屋宇署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運輸署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路政署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環保署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民政事務總署</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運輸及房屋局</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發展局</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勞工及福利局</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環境局</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r>
        <w:trPr>
          <w:trHeight w:val="567" w:hRule="atLeast"/>
        </w:trPr>
        <w:tc>
          <w:tcPr>
            <w:tcW w:w="3521" w:type="dxa"/>
            <w:tcBorders>
              <w:top w:val="single" w:sz="4" w:space="0" w:color="000000"/>
              <w:left w:val="single" w:sz="4" w:space="0" w:color="000000"/>
              <w:bottom w:val="single" w:sz="4" w:space="0" w:color="000000"/>
              <w:right w:val="single" w:sz="4" w:space="0" w:color="000000"/>
            </w:tcBorders>
            <w:tcMar>
              <w:left w:w="57" w:type="dxa"/>
              <w:right w:w="57" w:type="dxa"/>
            </w:tcMar>
            <w:vAlign w:val="center"/>
          </w:tcPr>
          <w:p>
            <w:pPr>
              <w:pStyle w:val="Normal"/>
              <w:widowControl/>
              <w:overflowPunct w:val="true"/>
              <w:rPr>
                <w:i/>
                <w:i/>
                <w:spacing w:val="20"/>
                <w:sz w:val="27"/>
                <w:szCs w:val="27"/>
              </w:rPr>
            </w:pPr>
            <w:r>
              <w:rPr>
                <w:i/>
                <w:spacing w:val="20"/>
                <w:sz w:val="27"/>
                <w:szCs w:val="27"/>
              </w:rPr>
              <w:t>民政事務局</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2"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c>
          <w:tcPr>
            <w:tcW w:w="1063" w:type="dxa"/>
            <w:tcBorders>
              <w:top w:val="single" w:sz="4" w:space="0" w:color="000000"/>
              <w:left w:val="single" w:sz="4" w:space="0" w:color="000000"/>
              <w:bottom w:val="single" w:sz="4" w:space="0" w:color="000000"/>
              <w:right w:val="single" w:sz="4" w:space="0" w:color="000000"/>
            </w:tcBorders>
            <w:vAlign w:val="center"/>
          </w:tcPr>
          <w:p>
            <w:pPr>
              <w:pStyle w:val="Normal"/>
              <w:widowControl/>
              <w:overflowPunct w:val="true"/>
              <w:rPr>
                <w:i/>
                <w:i/>
                <w:spacing w:val="20"/>
                <w:sz w:val="27"/>
                <w:szCs w:val="27"/>
              </w:rPr>
            </w:pPr>
            <w:r>
              <w:rPr>
                <w:i/>
                <w:spacing w:val="20"/>
                <w:sz w:val="27"/>
                <w:szCs w:val="27"/>
              </w:rPr>
            </w:r>
          </w:p>
        </w:tc>
      </w:tr>
    </w:tbl>
    <w:p>
      <w:pPr>
        <w:pStyle w:val="F21"/>
        <w:ind w:left="1417" w:hanging="850"/>
        <w:rPr>
          <w:i/>
          <w:i/>
        </w:rPr>
      </w:pPr>
      <w:r>
        <w:rPr>
          <w:i/>
        </w:rPr>
      </w:r>
    </w:p>
    <w:p>
      <w:pPr>
        <w:pStyle w:val="F21"/>
        <w:ind w:left="1417" w:hanging="850"/>
        <w:rPr>
          <w:i/>
          <w:i/>
        </w:rPr>
      </w:pPr>
      <w:r>
        <w:rPr>
          <w:i/>
        </w:rPr>
        <w:t>(</w:t>
      </w:r>
      <w:r>
        <w:rPr>
          <w:i/>
        </w:rPr>
        <w:t>四</w:t>
      </w:r>
      <w:r>
        <w:rPr>
          <w:i/>
        </w:rPr>
        <w:t>)</w:t>
        <w:tab/>
      </w:r>
      <w:r>
        <w:rPr>
          <w:i/>
        </w:rPr>
        <w:t>會否統一要求各政策局、政府部門和法定機構</w:t>
      </w:r>
      <w:r>
        <w:rPr>
          <w:i/>
        </w:rPr>
        <w:t>(</w:t>
      </w:r>
      <w:r>
        <w:rPr>
          <w:i/>
        </w:rPr>
        <w:t>特別是規劃署、運輸署、路政署、環保署、城規會及環諮會</w:t>
      </w:r>
      <w:r>
        <w:rPr>
          <w:i/>
        </w:rPr>
        <w:t>)</w:t>
      </w:r>
      <w:r>
        <w:rPr>
          <w:i/>
        </w:rPr>
        <w:t>必須把其自香港特別行政區成立以來委託進行並已完成的顧問研究的報告摘要及全文上載到其網站，供公眾閱覽；</w:t>
      </w:r>
    </w:p>
    <w:p>
      <w:pPr>
        <w:pStyle w:val="F21"/>
        <w:ind w:left="1417" w:hanging="850"/>
        <w:rPr>
          <w:i/>
          <w:i/>
        </w:rPr>
      </w:pPr>
      <w:r>
        <w:rPr>
          <w:i/>
        </w:rPr>
      </w:r>
    </w:p>
    <w:p>
      <w:pPr>
        <w:pStyle w:val="F21"/>
        <w:ind w:left="1417" w:hanging="850"/>
        <w:rPr>
          <w:i/>
          <w:i/>
        </w:rPr>
      </w:pPr>
      <w:r>
        <w:rPr>
          <w:i/>
        </w:rPr>
        <w:t>(</w:t>
      </w:r>
      <w:r>
        <w:rPr>
          <w:i/>
        </w:rPr>
        <w:t>五</w:t>
      </w:r>
      <w:r>
        <w:rPr>
          <w:i/>
        </w:rPr>
        <w:t>)</w:t>
        <w:tab/>
      </w:r>
      <w:r>
        <w:rPr>
          <w:i/>
        </w:rPr>
        <w:t>會否制訂指引，規定日後所有公開的顧問研究報告的行政摘要及全文必須兼備中英文本；會否要求城規會及環諮會日後提供兼備中英文本的會議議程、會議紀錄及資料文件，供公眾閱覽；</w:t>
      </w:r>
    </w:p>
    <w:p>
      <w:pPr>
        <w:pStyle w:val="F21"/>
        <w:ind w:left="1417" w:hanging="850"/>
        <w:rPr>
          <w:i/>
          <w:i/>
        </w:rPr>
      </w:pPr>
      <w:r>
        <w:rPr>
          <w:i/>
        </w:rPr>
      </w:r>
    </w:p>
    <w:p>
      <w:pPr>
        <w:pStyle w:val="F21"/>
        <w:ind w:left="1417" w:hanging="850"/>
        <w:rPr>
          <w:i/>
          <w:i/>
        </w:rPr>
      </w:pPr>
      <w:r>
        <w:rPr>
          <w:i/>
        </w:rPr>
        <w:t>(</w:t>
      </w:r>
      <w:r>
        <w:rPr>
          <w:i/>
        </w:rPr>
        <w:t>六</w:t>
      </w:r>
      <w:r>
        <w:rPr>
          <w:i/>
        </w:rPr>
        <w:t>)</w:t>
        <w:tab/>
      </w:r>
      <w:r>
        <w:rPr>
          <w:i/>
        </w:rPr>
        <w:t>對於按照《城市規劃條例》</w:t>
      </w:r>
      <w:r>
        <w:rPr>
          <w:i/>
        </w:rPr>
        <w:t>(</w:t>
      </w:r>
      <w:r>
        <w:rPr>
          <w:i/>
        </w:rPr>
        <w:t>第</w:t>
      </w:r>
      <w:r>
        <w:rPr>
          <w:i/>
        </w:rPr>
        <w:t>131</w:t>
      </w:r>
      <w:r>
        <w:rPr>
          <w:i/>
        </w:rPr>
        <w:t>章</w:t>
      </w:r>
      <w:r>
        <w:rPr>
          <w:i/>
        </w:rPr>
        <w:t>)</w:t>
      </w:r>
      <w:r>
        <w:rPr>
          <w:i/>
        </w:rPr>
        <w:t>及《環境影響評估條例》</w:t>
      </w:r>
      <w:r>
        <w:rPr>
          <w:i/>
        </w:rPr>
        <w:t>(</w:t>
      </w:r>
      <w:r>
        <w:rPr>
          <w:i/>
        </w:rPr>
        <w:t>第</w:t>
      </w:r>
      <w:r>
        <w:rPr>
          <w:i/>
        </w:rPr>
        <w:t>499</w:t>
      </w:r>
      <w:r>
        <w:rPr>
          <w:i/>
        </w:rPr>
        <w:t>章</w:t>
      </w:r>
      <w:r>
        <w:rPr>
          <w:i/>
        </w:rPr>
        <w:t>)</w:t>
      </w:r>
      <w:r>
        <w:rPr>
          <w:i/>
        </w:rPr>
        <w:t>提出並已完成審議的申請，政府會否檢討與該等申請有關的資料的儲存及發放方式，例如研究設立網上數據庫供市民下載有關資料；及</w:t>
      </w:r>
    </w:p>
    <w:p>
      <w:pPr>
        <w:pStyle w:val="F21"/>
        <w:ind w:left="1417" w:hanging="850"/>
        <w:rPr>
          <w:i/>
          <w:i/>
        </w:rPr>
      </w:pPr>
      <w:r>
        <w:rPr>
          <w:i/>
        </w:rPr>
      </w:r>
    </w:p>
    <w:p>
      <w:pPr>
        <w:pStyle w:val="F21"/>
        <w:ind w:left="1417" w:hanging="850"/>
        <w:rPr>
          <w:i/>
          <w:i/>
        </w:rPr>
      </w:pPr>
      <w:r>
        <w:rPr>
          <w:i/>
        </w:rPr>
        <w:t>(</w:t>
      </w:r>
      <w:r>
        <w:rPr>
          <w:i/>
        </w:rPr>
        <w:t>七</w:t>
      </w:r>
      <w:r>
        <w:rPr>
          <w:i/>
        </w:rPr>
        <w:t>)</w:t>
        <w:tab/>
      </w:r>
      <w:r>
        <w:rPr>
          <w:i/>
        </w:rPr>
        <w:t>有否計劃推出綜合網站，便利市民總覽各個部門曾經或現正進行的顧問研究及相關資料；若有計劃，會否在綜合網站提供電郵註冊服務，讓市民登記以便定期接收相關顧問研究的最新資訊，以及法定機構</w:t>
      </w:r>
      <w:r>
        <w:rPr>
          <w:i/>
        </w:rPr>
        <w:t>(</w:t>
      </w:r>
      <w:r>
        <w:rPr>
          <w:i/>
        </w:rPr>
        <w:t>例如城規會</w:t>
      </w:r>
      <w:r>
        <w:rPr>
          <w:i/>
        </w:rPr>
        <w:t>)</w:t>
      </w:r>
      <w:r>
        <w:rPr>
          <w:i/>
        </w:rPr>
        <w:t>的會議內容及相關公開資料？</w:t>
      </w:r>
    </w:p>
    <w:p>
      <w:pPr>
        <w:pStyle w:val="F21"/>
        <w:ind w:left="1417" w:hanging="850"/>
        <w:rPr>
          <w:i/>
          <w:i/>
        </w:rPr>
      </w:pPr>
      <w:r>
        <w:rPr>
          <w:i/>
        </w:rPr>
      </w:r>
    </w:p>
    <w:p>
      <w:pPr>
        <w:pStyle w:val="F21"/>
        <w:rPr>
          <w:i/>
          <w:i/>
        </w:rPr>
      </w:pPr>
      <w:r>
        <w:rPr>
          <w:i/>
        </w:rPr>
      </w:r>
    </w:p>
    <w:p>
      <w:pPr>
        <w:pStyle w:val="F21"/>
        <w:rPr/>
      </w:pPr>
      <w:r>
        <w:rPr>
          <w:rFonts w:eastAsia="華康中黑體"/>
          <w:b/>
        </w:rPr>
        <w:t>民政事務局局長</w:t>
      </w:r>
      <w:r>
        <w:rPr/>
        <w:t>：主席，就胡議員的質詢，我們經諮詢有關政策局及部門，現統籌答覆如下：</w:t>
      </w:r>
    </w:p>
    <w:p>
      <w:pPr>
        <w:pStyle w:val="Style14"/>
        <w:spacing w:lineRule="atLeast" w:line="400"/>
        <w:rPr>
          <w:i w:val="false"/>
          <w:i w:val="false"/>
        </w:rPr>
      </w:pPr>
      <w:r>
        <w:rPr>
          <w:i w:val="false"/>
        </w:rPr>
        <w:t>(</w:t>
      </w:r>
      <w:r>
        <w:rPr>
          <w:i w:val="false"/>
        </w:rPr>
        <w:t>一</w:t>
      </w:r>
      <w:r>
        <w:rPr>
          <w:i w:val="false"/>
        </w:rPr>
        <w:t>)</w:t>
      </w:r>
      <w:r>
        <w:rPr>
          <w:i w:val="false"/>
        </w:rPr>
        <w:t>及</w:t>
      </w:r>
      <w:r>
        <w:rPr>
          <w:i w:val="false"/>
        </w:rPr>
        <w:t>(</w:t>
      </w:r>
      <w:r>
        <w:rPr>
          <w:i w:val="false"/>
        </w:rPr>
        <w:t>二</w:t>
      </w:r>
      <w:r>
        <w:rPr>
          <w:i w:val="false"/>
        </w:rPr>
        <w:t>)</w:t>
      </w:r>
      <w:r>
        <w:br w:type="page"/>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政府一直秉持公開及具透明度的原則，通過各種渠道向市民大眾發放資訊。各政策局和部門，或其轄下的法定機構會按資訊的性質，以及實際情況，決定發放資訊的具體安排，以期在符合上述的原則的同時，在個別情況亦切實可行。</w:t>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就發放資訊的方式，政府已制訂指引，鼓勵政府部門應盡量使用資訊科技，特別是其互聯網站，向市民發放資訊。政府部門的網站應以有效及具效能的方式向公眾提供相關資訊，發放的方式亦應有助鼓勵更多市民大眾獲取資訊。具體要求包括：政府部門若在其他媒體發放資訊，亦應同步於其互聯網站發放同樣資訊；重要的公告亦應盡快透過互聯網發放；政府部門應盡量將其硬副本或印刷本的資料上載至其互聯網頁。</w:t>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至於發放資訊的範圍及其準則，政府的基本原則是盡量讓市民充分認識政府及其提供的服務，以及對個人和整個社會均有影響的政策和決定的依據。政府會按慣例公布資訊，亦會根據《公開資料守則》的規定，應要求提供額外資料。</w:t>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公開及具透明度的原則同樣適用於法定機構。政府亦有發出指引，要求各政策局及部門應更多使用其互聯網站提供有關其轄下的法定機構的資訊。部門亦應鼓勵其轄下的法定機構將其會議文件</w:t>
      </w:r>
      <w:r>
        <w:rPr>
          <w:i w:val="false"/>
        </w:rPr>
        <w:t>(</w:t>
      </w:r>
      <w:r>
        <w:rPr>
          <w:i w:val="false"/>
        </w:rPr>
        <w:t>包括會議議程及紀錄</w:t>
      </w:r>
      <w:r>
        <w:rPr>
          <w:i w:val="false"/>
        </w:rPr>
        <w:t>)</w:t>
      </w:r>
      <w:r>
        <w:rPr>
          <w:i w:val="false"/>
        </w:rPr>
        <w:t>上載至其互聯網頁。現時各政策局的互聯網站均有關於其轄下的法定機構的專頁。</w:t>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表一資料附載於附件一。</w:t>
      </w:r>
    </w:p>
    <w:p>
      <w:pPr>
        <w:pStyle w:val="Style14"/>
        <w:spacing w:lineRule="atLeast" w:line="400"/>
        <w:rPr>
          <w:i w:val="false"/>
          <w:i w:val="false"/>
        </w:rPr>
      </w:pPr>
      <w:r>
        <w:rPr>
          <w:i w:val="false"/>
        </w:rPr>
      </w:r>
    </w:p>
    <w:p>
      <w:pPr>
        <w:pStyle w:val="Style14"/>
        <w:spacing w:lineRule="atLeast" w:line="400"/>
        <w:rPr>
          <w:i w:val="false"/>
          <w:i w:val="false"/>
        </w:rPr>
      </w:pPr>
      <w:r>
        <w:rPr>
          <w:i w:val="false"/>
        </w:rPr>
        <w:t>(</w:t>
      </w:r>
      <w:r>
        <w:rPr>
          <w:i w:val="false"/>
        </w:rPr>
        <w:t>三</w:t>
      </w:r>
      <w:r>
        <w:rPr>
          <w:i w:val="false"/>
        </w:rPr>
        <w:t>)</w:t>
        <w:tab/>
      </w:r>
      <w:r>
        <w:rPr>
          <w:i w:val="false"/>
        </w:rPr>
        <w:t>表二資料附載於附件二。</w:t>
      </w:r>
    </w:p>
    <w:p>
      <w:pPr>
        <w:pStyle w:val="Style14"/>
        <w:spacing w:lineRule="atLeast" w:line="410"/>
        <w:rPr>
          <w:i w:val="false"/>
          <w:i w:val="false"/>
        </w:rPr>
      </w:pPr>
      <w:r>
        <w:rPr>
          <w:i w:val="false"/>
        </w:rPr>
      </w:r>
    </w:p>
    <w:p>
      <w:pPr>
        <w:pStyle w:val="Style14"/>
        <w:spacing w:lineRule="atLeast" w:line="390"/>
        <w:rPr>
          <w:i w:val="false"/>
          <w:i w:val="false"/>
        </w:rPr>
      </w:pPr>
      <w:r>
        <w:rPr>
          <w:i w:val="false"/>
        </w:rPr>
        <w:t>(</w:t>
      </w:r>
      <w:r>
        <w:rPr>
          <w:i w:val="false"/>
        </w:rPr>
        <w:t>四</w:t>
      </w:r>
      <w:r>
        <w:rPr>
          <w:i w:val="false"/>
        </w:rPr>
        <w:t>)</w:t>
        <w:tab/>
      </w:r>
      <w:r>
        <w:rPr>
          <w:i w:val="false"/>
        </w:rPr>
        <w:t>顧問研究報告是政府政策局、部門及法定機構的資訊的一種。如第一部分答覆所述，按政府發出的指引，政策局及部門應盡量將資料上載至其互聯網頁，尤以公眾關心的資料為甚。政府部門在就個別情況決定發放資料的安排時，會考慮上文第一段所述的因素，並符合公開及具透明度的原則及《公開資料守則》的規定。</w:t>
      </w:r>
    </w:p>
    <w:p>
      <w:pPr>
        <w:pStyle w:val="Style14"/>
        <w:spacing w:lineRule="atLeast" w:line="390"/>
        <w:rPr>
          <w:i w:val="false"/>
          <w:i w:val="false"/>
        </w:rPr>
      </w:pPr>
      <w:r>
        <w:rPr>
          <w:i w:val="false"/>
        </w:rPr>
      </w:r>
    </w:p>
    <w:p>
      <w:pPr>
        <w:pStyle w:val="Style14"/>
        <w:spacing w:lineRule="atLeast" w:line="390"/>
        <w:rPr>
          <w:i w:val="false"/>
          <w:i w:val="false"/>
        </w:rPr>
      </w:pPr>
      <w:r>
        <w:rPr>
          <w:i w:val="false"/>
        </w:rPr>
        <w:t>(</w:t>
      </w:r>
      <w:r>
        <w:rPr>
          <w:i w:val="false"/>
        </w:rPr>
        <w:t>五</w:t>
      </w:r>
      <w:r>
        <w:rPr>
          <w:i w:val="false"/>
        </w:rPr>
        <w:t>)</w:t>
        <w:tab/>
      </w:r>
      <w:r>
        <w:rPr>
          <w:i w:val="false"/>
        </w:rPr>
        <w:t>政府已有指導原則，訂明政策局及部門向公眾發布的文件，包括報告書，應中英文本兼備。若遇特殊情況，在運作或財政方面有充分理由，則可用單一語言發布資料。這些單語的資料應有中英文標題，或以另一法定語文扼要說明讀者可循甚麼途徑，得知以另一法定語文提供的相關資料。政策局及部門會繼續提醒各有關人員遵守相關原則。</w:t>
      </w:r>
    </w:p>
    <w:p>
      <w:pPr>
        <w:pStyle w:val="Style14"/>
        <w:spacing w:lineRule="atLeast" w:line="390"/>
        <w:rPr>
          <w:i w:val="false"/>
          <w:i w:val="false"/>
        </w:rPr>
      </w:pPr>
      <w:r>
        <w:rPr>
          <w:i w:val="false"/>
        </w:rPr>
      </w:r>
    </w:p>
    <w:p>
      <w:pPr>
        <w:pStyle w:val="Style14"/>
        <w:spacing w:lineRule="atLeast" w:line="390"/>
        <w:rPr>
          <w:i w:val="false"/>
          <w:i w:val="false"/>
        </w:rPr>
      </w:pPr>
      <w:r>
        <w:rPr>
          <w:i w:val="false"/>
        </w:rPr>
        <w:tab/>
      </w:r>
      <w:r>
        <w:rPr>
          <w:i w:val="false"/>
        </w:rPr>
        <w:t>由於環保議題多涉及以英文為主的專業用語，而且環諮會亦有外籍人士的委員，故此環諮會及其</w:t>
      </w:r>
      <w:r>
        <w:rPr>
          <w:i w:val="false"/>
        </w:rPr>
        <w:t>3</w:t>
      </w:r>
      <w:r>
        <w:rPr>
          <w:i w:val="false"/>
        </w:rPr>
        <w:t>個小組</w:t>
      </w:r>
      <w:r>
        <w:rPr>
          <w:i w:val="false"/>
        </w:rPr>
        <w:t>(</w:t>
      </w:r>
      <w:r>
        <w:rPr>
          <w:i w:val="false"/>
        </w:rPr>
        <w:t>即環境影響評估小組、廢物管理小組和自然保育小組</w:t>
      </w:r>
      <w:r>
        <w:rPr>
          <w:i w:val="false"/>
        </w:rPr>
        <w:t>)</w:t>
      </w:r>
      <w:r>
        <w:rPr>
          <w:i w:val="false"/>
        </w:rPr>
        <w:t>均以英文準備討論文件和進行會議。環諮會及其下</w:t>
      </w:r>
      <w:r>
        <w:rPr>
          <w:i w:val="false"/>
        </w:rPr>
        <w:t>3</w:t>
      </w:r>
      <w:r>
        <w:rPr>
          <w:i w:val="false"/>
        </w:rPr>
        <w:t>個小組的會議議程、</w:t>
      </w:r>
      <w:r>
        <w:rPr>
          <w:i w:val="false"/>
          <w:spacing w:val="16"/>
        </w:rPr>
        <w:t>討論文件和會議紀錄均已上載環諮會網頁</w:t>
      </w:r>
      <w:r>
        <w:rPr>
          <w:i w:val="false"/>
        </w:rPr>
        <w:t>&lt;http://www.epd.</w:t>
      </w:r>
      <w:r>
        <w:rPr>
          <w:i w:val="false"/>
          <w:spacing w:val="26"/>
        </w:rPr>
        <w:t>gov.hk/epd/english/boards/advisory_council/maincontent.html&gt;</w:t>
      </w:r>
      <w:r>
        <w:rPr>
          <w:i w:val="false"/>
        </w:rPr>
        <w:t>供市民查閱，環諮會及其環境影響評估小組的會議議程由</w:t>
      </w:r>
      <w:r>
        <w:rPr>
          <w:i w:val="false"/>
        </w:rPr>
        <w:t>2013</w:t>
      </w:r>
      <w:r>
        <w:rPr>
          <w:i w:val="false"/>
        </w:rPr>
        <w:t>年</w:t>
      </w:r>
      <w:r>
        <w:rPr>
          <w:i w:val="false"/>
        </w:rPr>
        <w:t>9</w:t>
      </w:r>
      <w:r>
        <w:rPr>
          <w:i w:val="false"/>
        </w:rPr>
        <w:t>月起備有中、英文版方便公眾參考。</w:t>
      </w:r>
    </w:p>
    <w:p>
      <w:pPr>
        <w:pStyle w:val="Style14"/>
        <w:spacing w:lineRule="atLeast" w:line="390"/>
        <w:rPr>
          <w:i w:val="false"/>
          <w:i w:val="false"/>
        </w:rPr>
      </w:pPr>
      <w:r>
        <w:rPr>
          <w:i w:val="false"/>
        </w:rPr>
      </w:r>
    </w:p>
    <w:p>
      <w:pPr>
        <w:pStyle w:val="Style14"/>
        <w:spacing w:lineRule="atLeast" w:line="390"/>
        <w:rPr>
          <w:i w:val="false"/>
          <w:i w:val="false"/>
        </w:rPr>
      </w:pPr>
      <w:r>
        <w:rPr>
          <w:i w:val="false"/>
        </w:rPr>
        <w:tab/>
      </w:r>
      <w:r>
        <w:rPr>
          <w:i w:val="false"/>
        </w:rPr>
        <w:t>考慮到妥善運用政府的人手和資源，環諮會並無計劃要求當局為委員會及其小組全面提供中英文兼備的討論文件和會議紀錄。環諮會會因應會議時的實際情況決定以粵語或英語進行會議。此外，環諮會會議已就大部分討論事宜的簡介和問答環節開放讓公眾旁聽，並設即時轉播，讓旁聽人士能更準確掌握環委會的討論事項和有關的意見。同時，環諮會秘書處會因應出席旁聽的公眾於會前提出的申請，由</w:t>
      </w:r>
      <w:r>
        <w:rPr>
          <w:i w:val="false"/>
        </w:rPr>
        <w:t>2013</w:t>
      </w:r>
      <w:r>
        <w:rPr>
          <w:i w:val="false"/>
        </w:rPr>
        <w:t>年</w:t>
      </w:r>
      <w:r>
        <w:rPr>
          <w:i w:val="false"/>
        </w:rPr>
        <w:t>9</w:t>
      </w:r>
      <w:r>
        <w:rPr>
          <w:i w:val="false"/>
        </w:rPr>
        <w:t>月起為會議公開環節安排即時傳譯服務。環諮會主席在會議後亦會與傳媒會面，解釋會上討論的事宜，讓他們能更精準報道環諮會的討論和意見。</w:t>
      </w:r>
    </w:p>
    <w:p>
      <w:pPr>
        <w:pStyle w:val="Style14"/>
        <w:spacing w:lineRule="atLeast" w:line="410"/>
        <w:rPr>
          <w:i w:val="false"/>
          <w:i w:val="false"/>
        </w:rPr>
      </w:pPr>
      <w:r>
        <w:rPr>
          <w:i w:val="false"/>
        </w:rPr>
      </w:r>
    </w:p>
    <w:p>
      <w:pPr>
        <w:pStyle w:val="Style14"/>
        <w:spacing w:lineRule="atLeast" w:line="400"/>
        <w:rPr>
          <w:i w:val="false"/>
          <w:i w:val="false"/>
        </w:rPr>
      </w:pPr>
      <w:r>
        <w:rPr>
          <w:i w:val="false"/>
        </w:rPr>
        <w:tab/>
      </w:r>
      <w:r>
        <w:rPr>
          <w:i w:val="false"/>
        </w:rPr>
        <w:t>至於城規會，其會議議程、會議紀錄，以及規劃申請的摘要均兼備中文和英文版本。公眾人士如對只有英文版本的申請資料和會議文件有任何疑問，規劃署規劃資料查詢處的職員亦會提供協助。</w:t>
      </w:r>
    </w:p>
    <w:p>
      <w:pPr>
        <w:pStyle w:val="Style14"/>
        <w:spacing w:lineRule="atLeast" w:line="400"/>
        <w:rPr>
          <w:i w:val="false"/>
          <w:i w:val="false"/>
        </w:rPr>
      </w:pPr>
      <w:r>
        <w:rPr>
          <w:i w:val="false"/>
        </w:rPr>
      </w:r>
    </w:p>
    <w:p>
      <w:pPr>
        <w:pStyle w:val="Style14"/>
        <w:spacing w:lineRule="atLeast" w:line="400"/>
        <w:rPr>
          <w:i w:val="false"/>
          <w:i w:val="false"/>
        </w:rPr>
      </w:pPr>
      <w:r>
        <w:rPr>
          <w:i w:val="false"/>
        </w:rPr>
        <w:t>(</w:t>
      </w:r>
      <w:r>
        <w:rPr>
          <w:i w:val="false"/>
        </w:rPr>
        <w:t>六</w:t>
      </w:r>
      <w:r>
        <w:rPr>
          <w:i w:val="false"/>
        </w:rPr>
        <w:t>)</w:t>
        <w:tab/>
      </w:r>
      <w:r>
        <w:rPr>
          <w:i w:val="false"/>
        </w:rPr>
        <w:t>自《環境影響評估條例》於</w:t>
      </w:r>
      <w:r>
        <w:rPr>
          <w:i w:val="false"/>
        </w:rPr>
        <w:t>1998</w:t>
      </w:r>
      <w:r>
        <w:rPr>
          <w:i w:val="false"/>
        </w:rPr>
        <w:t>年實施至今，所有的申請個案詳情及環保署的審批結果，包括工程項目簡介、環評研究概要、環評報告及環境許可證，都上載於環保署網頁，供市民閱覽及下載。</w:t>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規劃申請</w:t>
      </w:r>
      <w:r>
        <w:rPr>
          <w:i w:val="false"/>
        </w:rPr>
        <w:t>(</w:t>
      </w:r>
      <w:r>
        <w:rPr>
          <w:i w:val="false"/>
        </w:rPr>
        <w:t>包括按《城市規劃條例》第</w:t>
      </w:r>
      <w:r>
        <w:rPr>
          <w:i w:val="false"/>
        </w:rPr>
        <w:t>12A</w:t>
      </w:r>
      <w:r>
        <w:rPr>
          <w:i w:val="false"/>
        </w:rPr>
        <w:t>、</w:t>
      </w:r>
      <w:r>
        <w:rPr>
          <w:i w:val="false"/>
        </w:rPr>
        <w:t>16</w:t>
      </w:r>
      <w:r>
        <w:rPr>
          <w:i w:val="false"/>
        </w:rPr>
        <w:t>及</w:t>
      </w:r>
      <w:r>
        <w:rPr>
          <w:i w:val="false"/>
        </w:rPr>
        <w:t>17</w:t>
      </w:r>
      <w:r>
        <w:rPr>
          <w:i w:val="false"/>
        </w:rPr>
        <w:t>條的申請</w:t>
      </w:r>
      <w:r>
        <w:rPr>
          <w:i w:val="false"/>
        </w:rPr>
        <w:t>)</w:t>
      </w:r>
      <w:r>
        <w:rPr>
          <w:i w:val="false"/>
        </w:rPr>
        <w:t>的摘要和報章通知，均會上載至城規會的網頁，直至城規會或其小組委員會作出決定為止。至於已完成審議的規劃申請，公眾可在城規會網頁內的法定規劃綜合網站繼續閱覽其摘要及相關的城規會決定。公眾人士亦可透過規劃署的規劃資料查詢處，查閱規劃申請的詳細資料。</w:t>
      </w:r>
    </w:p>
    <w:p>
      <w:pPr>
        <w:pStyle w:val="Style14"/>
        <w:spacing w:lineRule="atLeast" w:line="400"/>
        <w:rPr>
          <w:i w:val="false"/>
          <w:i w:val="false"/>
        </w:rPr>
      </w:pPr>
      <w:r>
        <w:rPr>
          <w:i w:val="false"/>
        </w:rPr>
      </w:r>
    </w:p>
    <w:p>
      <w:pPr>
        <w:pStyle w:val="Style14"/>
        <w:spacing w:lineRule="atLeast" w:line="400"/>
        <w:rPr>
          <w:i w:val="false"/>
          <w:i w:val="false"/>
          <w:spacing w:val="24"/>
        </w:rPr>
      </w:pPr>
      <w:r>
        <w:rPr>
          <w:i w:val="false"/>
        </w:rPr>
        <w:t>(</w:t>
      </w:r>
      <w:r>
        <w:rPr>
          <w:i w:val="false"/>
        </w:rPr>
        <w:t>七</w:t>
      </w:r>
      <w:r>
        <w:rPr>
          <w:i w:val="false"/>
        </w:rPr>
        <w:t>)</w:t>
        <w:tab/>
      </w:r>
      <w:r>
        <w:rPr>
          <w:i w:val="false"/>
          <w:spacing w:val="24"/>
        </w:rPr>
        <w:t>政府一向重視資訊的發放，透過“香港政府一站通”一站式入門網站，整合公眾最常用的公共服務和資訊。不同部門亦按服務性質、市民需要及使用習慣，推出相關電子服務，包括讓市民註冊電郵以便定期獲取資訊，使用其他網上或智能手機程式服務等。例如，現時市民可透過“我的政府一站通”訂閱展示給公眾提供意見的工程項目簡介及環評報告，當有相關報告時，市民會收到有關簡介及報告的提示信息。不同政府部門可按需要向市民提供這類提示服務。</w:t>
      </w:r>
    </w:p>
    <w:p>
      <w:pPr>
        <w:pStyle w:val="Style14"/>
        <w:spacing w:lineRule="atLeast" w:line="400"/>
        <w:rPr>
          <w:i w:val="false"/>
          <w:i w:val="false"/>
          <w:spacing w:val="24"/>
        </w:rPr>
      </w:pPr>
      <w:r>
        <w:rPr>
          <w:i w:val="false"/>
          <w:spacing w:val="24"/>
        </w:rPr>
      </w:r>
    </w:p>
    <w:p>
      <w:pPr>
        <w:pStyle w:val="Style14"/>
        <w:spacing w:lineRule="atLeast" w:line="400"/>
        <w:rPr>
          <w:i w:val="false"/>
          <w:i w:val="false"/>
        </w:rPr>
      </w:pPr>
      <w:r>
        <w:rPr>
          <w:i w:val="false"/>
        </w:rPr>
        <w:tab/>
      </w:r>
      <w:r>
        <w:rPr>
          <w:i w:val="false"/>
        </w:rPr>
        <w:t>各政策局的網站現時均按相關指引的要求，就其公開資料、刊物及相關機構設有相關網頁，方便市民查閱。市民到相關政策局網站便可找尋所需資訊。</w:t>
      </w:r>
    </w:p>
    <w:p>
      <w:pPr>
        <w:pStyle w:val="Style14"/>
        <w:spacing w:lineRule="atLeast" w:line="400"/>
        <w:rPr>
          <w:i w:val="false"/>
          <w:i w:val="false"/>
        </w:rPr>
      </w:pPr>
      <w:r>
        <w:rPr>
          <w:i w:val="false"/>
        </w:rPr>
      </w:r>
    </w:p>
    <w:p>
      <w:pPr>
        <w:pStyle w:val="Style14"/>
        <w:spacing w:lineRule="atLeast" w:line="400"/>
        <w:rPr>
          <w:i w:val="false"/>
          <w:i w:val="false"/>
        </w:rPr>
      </w:pPr>
      <w:r>
        <w:rPr>
          <w:i w:val="false"/>
        </w:rPr>
        <w:tab/>
      </w:r>
      <w:r>
        <w:rPr>
          <w:i w:val="false"/>
        </w:rPr>
        <w:t>政府會繼續因應市民的需要及部門運作實際情況，善用資訊科技為市民提供更佳的資訊及服務。</w:t>
      </w:r>
    </w:p>
    <w:p>
      <w:pPr>
        <w:pStyle w:val="F21"/>
        <w:jc w:val="right"/>
        <w:rPr>
          <w:szCs w:val="27"/>
        </w:rPr>
      </w:pPr>
      <w:r>
        <w:rPr>
          <w:szCs w:val="27"/>
        </w:rPr>
        <w:t>附件一</w:t>
      </w:r>
      <w:r>
        <w:br w:type="page"/>
      </w:r>
    </w:p>
    <w:p>
      <w:pPr>
        <w:pStyle w:val="F21"/>
        <w:rPr>
          <w:szCs w:val="27"/>
        </w:rPr>
      </w:pPr>
      <w:r>
        <w:rPr>
          <w:szCs w:val="27"/>
        </w:rPr>
      </w:r>
    </w:p>
    <w:p>
      <w:pPr>
        <w:pStyle w:val="F21"/>
        <w:rPr>
          <w:szCs w:val="27"/>
        </w:rPr>
      </w:pPr>
      <w:r>
        <w:rPr>
          <w:szCs w:val="27"/>
        </w:rPr>
        <w:t>表一</w:t>
      </w:r>
    </w:p>
    <w:p>
      <w:pPr>
        <w:pStyle w:val="F21"/>
        <w:rPr>
          <w:szCs w:val="27"/>
        </w:rPr>
      </w:pPr>
      <w:r>
        <w:rPr>
          <w:szCs w:val="27"/>
        </w:rPr>
      </w:r>
    </w:p>
    <w:tbl>
      <w:tblPr>
        <w:tblW w:w="5000" w:type="pct"/>
        <w:jc w:val="left"/>
        <w:tblInd w:w="0" w:type="dxa"/>
        <w:tblCellMar>
          <w:top w:w="0" w:type="dxa"/>
          <w:left w:w="5" w:type="dxa"/>
          <w:bottom w:w="0" w:type="dxa"/>
          <w:right w:w="5" w:type="dxa"/>
        </w:tblCellMar>
        <w:tblLook w:val="0000" w:noHBand="0" w:noVBand="0" w:firstColumn="0" w:lastRow="0" w:lastColumn="0" w:firstRow="0"/>
      </w:tblPr>
      <w:tblGrid>
        <w:gridCol w:w="1842"/>
        <w:gridCol w:w="1842"/>
        <w:gridCol w:w="1843"/>
        <w:gridCol w:w="1843"/>
        <w:gridCol w:w="1843"/>
      </w:tblGrid>
      <w:tr>
        <w:trPr>
          <w:tblHeader w:val="true"/>
          <w:trHeight w:val="57" w:hRule="atLeast"/>
        </w:trPr>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240"/>
              <w:ind w:left="57" w:right="57" w:hanging="0"/>
              <w:jc w:val="center"/>
              <w:rPr>
                <w:i/>
                <w:i/>
                <w:spacing w:val="20"/>
                <w:w w:val="101"/>
                <w:sz w:val="24"/>
                <w:szCs w:val="24"/>
              </w:rPr>
            </w:pPr>
            <w:r>
              <w:rPr>
                <w:i/>
                <w:spacing w:val="20"/>
                <w:w w:val="101"/>
                <w:sz w:val="24"/>
                <w:szCs w:val="24"/>
              </w:rPr>
              <w:t>政策局、政府部門及法定</w:t>
            </w:r>
          </w:p>
          <w:p>
            <w:pPr>
              <w:pStyle w:val="Normal"/>
              <w:snapToGrid w:val="false"/>
              <w:spacing w:lineRule="auto" w:line="240"/>
              <w:ind w:left="57" w:right="57" w:hanging="0"/>
              <w:jc w:val="center"/>
              <w:rPr>
                <w:i/>
                <w:i/>
                <w:spacing w:val="20"/>
                <w:sz w:val="24"/>
                <w:szCs w:val="24"/>
              </w:rPr>
            </w:pPr>
            <w:r>
              <w:rPr>
                <w:i/>
                <w:spacing w:val="20"/>
                <w:w w:val="101"/>
                <w:sz w:val="24"/>
                <w:szCs w:val="24"/>
              </w:rPr>
              <w:t>組織名稱</w:t>
            </w:r>
          </w:p>
        </w:tc>
        <w:tc>
          <w:tcPr>
            <w:tcW w:w="1842"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240"/>
              <w:ind w:left="57" w:right="57" w:hanging="0"/>
              <w:jc w:val="center"/>
              <w:rPr>
                <w:i/>
                <w:i/>
                <w:spacing w:val="20"/>
                <w:sz w:val="24"/>
                <w:szCs w:val="24"/>
              </w:rPr>
            </w:pPr>
            <w:r>
              <w:rPr>
                <w:i/>
                <w:spacing w:val="20"/>
                <w:sz w:val="24"/>
                <w:szCs w:val="24"/>
              </w:rPr>
              <w:t>(i)</w:t>
            </w:r>
          </w:p>
          <w:p>
            <w:pPr>
              <w:pStyle w:val="Normal"/>
              <w:snapToGrid w:val="false"/>
              <w:spacing w:lineRule="auto" w:line="240"/>
              <w:ind w:left="57" w:right="57" w:hanging="0"/>
              <w:jc w:val="center"/>
              <w:rPr>
                <w:i/>
                <w:i/>
                <w:spacing w:val="20"/>
                <w:w w:val="101"/>
                <w:sz w:val="24"/>
                <w:szCs w:val="24"/>
              </w:rPr>
            </w:pPr>
            <w:r>
              <w:rPr>
                <w:i/>
                <w:spacing w:val="20"/>
                <w:w w:val="101"/>
                <w:sz w:val="24"/>
                <w:szCs w:val="24"/>
              </w:rPr>
              <w:t>發放資料的</w:t>
            </w:r>
          </w:p>
          <w:p>
            <w:pPr>
              <w:pStyle w:val="Normal"/>
              <w:snapToGrid w:val="false"/>
              <w:spacing w:lineRule="auto" w:line="240"/>
              <w:ind w:left="57" w:right="57" w:hanging="0"/>
              <w:jc w:val="center"/>
              <w:rPr>
                <w:i/>
                <w:i/>
                <w:spacing w:val="20"/>
                <w:sz w:val="24"/>
                <w:szCs w:val="24"/>
              </w:rPr>
            </w:pPr>
            <w:r>
              <w:rPr>
                <w:i/>
                <w:spacing w:val="20"/>
                <w:w w:val="101"/>
                <w:sz w:val="24"/>
                <w:szCs w:val="24"/>
              </w:rPr>
              <w:t>準則</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240"/>
              <w:ind w:left="57" w:right="57" w:hanging="0"/>
              <w:jc w:val="center"/>
              <w:rPr>
                <w:i/>
                <w:i/>
                <w:spacing w:val="20"/>
                <w:sz w:val="24"/>
                <w:szCs w:val="24"/>
              </w:rPr>
            </w:pPr>
            <w:r>
              <w:rPr>
                <w:i/>
                <w:spacing w:val="20"/>
                <w:sz w:val="24"/>
                <w:szCs w:val="24"/>
              </w:rPr>
              <w:t>(ii)</w:t>
            </w:r>
          </w:p>
          <w:p>
            <w:pPr>
              <w:pStyle w:val="Normal"/>
              <w:snapToGrid w:val="false"/>
              <w:spacing w:lineRule="auto" w:line="240"/>
              <w:ind w:left="57" w:right="57" w:hanging="0"/>
              <w:jc w:val="center"/>
              <w:rPr>
                <w:i/>
                <w:i/>
                <w:spacing w:val="20"/>
                <w:w w:val="101"/>
                <w:sz w:val="24"/>
                <w:szCs w:val="24"/>
              </w:rPr>
            </w:pPr>
            <w:r>
              <w:rPr>
                <w:i/>
                <w:spacing w:val="20"/>
                <w:w w:val="101"/>
                <w:sz w:val="24"/>
                <w:szCs w:val="24"/>
              </w:rPr>
              <w:t>發放資料的</w:t>
            </w:r>
          </w:p>
          <w:p>
            <w:pPr>
              <w:pStyle w:val="Normal"/>
              <w:snapToGrid w:val="false"/>
              <w:spacing w:lineRule="auto" w:line="240"/>
              <w:ind w:left="57" w:right="57" w:hanging="0"/>
              <w:jc w:val="center"/>
              <w:rPr>
                <w:i/>
                <w:i/>
                <w:spacing w:val="20"/>
                <w:sz w:val="24"/>
                <w:szCs w:val="24"/>
              </w:rPr>
            </w:pPr>
            <w:r>
              <w:rPr>
                <w:i/>
                <w:spacing w:val="20"/>
                <w:w w:val="101"/>
                <w:sz w:val="24"/>
                <w:szCs w:val="24"/>
              </w:rPr>
              <w:t>範圍</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240"/>
              <w:ind w:left="57" w:right="57" w:hanging="0"/>
              <w:jc w:val="center"/>
              <w:rPr>
                <w:i/>
                <w:i/>
                <w:spacing w:val="20"/>
                <w:sz w:val="24"/>
                <w:szCs w:val="24"/>
              </w:rPr>
            </w:pPr>
            <w:r>
              <w:rPr>
                <w:i/>
                <w:spacing w:val="20"/>
                <w:sz w:val="24"/>
                <w:szCs w:val="24"/>
              </w:rPr>
              <w:t>(iii)</w:t>
            </w:r>
          </w:p>
          <w:p>
            <w:pPr>
              <w:pStyle w:val="Normal"/>
              <w:snapToGrid w:val="false"/>
              <w:spacing w:lineRule="auto" w:line="240"/>
              <w:ind w:left="57" w:right="57" w:hanging="0"/>
              <w:jc w:val="center"/>
              <w:rPr>
                <w:i/>
                <w:i/>
                <w:spacing w:val="20"/>
                <w:sz w:val="24"/>
                <w:szCs w:val="24"/>
              </w:rPr>
            </w:pPr>
            <w:r>
              <w:rPr>
                <w:i/>
                <w:spacing w:val="20"/>
                <w:w w:val="101"/>
                <w:sz w:val="24"/>
                <w:szCs w:val="24"/>
              </w:rPr>
              <w:t>文件在網頁上保留的時限及原因</w:t>
            </w:r>
          </w:p>
        </w:tc>
        <w:tc>
          <w:tcPr>
            <w:tcW w:w="184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lineRule="auto" w:line="240"/>
              <w:ind w:left="57" w:right="57" w:hanging="0"/>
              <w:jc w:val="center"/>
              <w:rPr>
                <w:i/>
                <w:i/>
                <w:spacing w:val="20"/>
                <w:sz w:val="24"/>
                <w:szCs w:val="24"/>
              </w:rPr>
            </w:pPr>
            <w:r>
              <w:rPr>
                <w:i/>
                <w:spacing w:val="20"/>
                <w:sz w:val="24"/>
                <w:szCs w:val="24"/>
              </w:rPr>
              <w:t>(iv)</w:t>
            </w:r>
          </w:p>
          <w:p>
            <w:pPr>
              <w:pStyle w:val="Normal"/>
              <w:snapToGrid w:val="false"/>
              <w:spacing w:lineRule="auto" w:line="240"/>
              <w:ind w:left="57" w:right="57" w:hanging="0"/>
              <w:jc w:val="center"/>
              <w:rPr>
                <w:i/>
                <w:i/>
                <w:spacing w:val="20"/>
                <w:sz w:val="24"/>
                <w:szCs w:val="24"/>
              </w:rPr>
            </w:pPr>
            <w:r>
              <w:rPr>
                <w:i/>
                <w:spacing w:val="20"/>
                <w:w w:val="101"/>
                <w:sz w:val="24"/>
                <w:szCs w:val="24"/>
              </w:rPr>
              <w:t>格式</w:t>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中央政策組</w:t>
            </w:r>
          </w:p>
        </w:tc>
        <w:tc>
          <w:tcPr>
            <w:tcW w:w="1842"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整體而言，有關政策局、政府部門及法定組織主要參照《公開資料守則》的原則及政府網頁發放資料的指引，並會考慮市民所需的資料及服務，而決定發放資料。</w:t>
            </w:r>
          </w:p>
        </w:tc>
        <w:tc>
          <w:tcPr>
            <w:tcW w:w="1843"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整體而言，有關政策局、政府部門及法定組織發放能夠讓公眾了解其工作及服務的資料。例如部門組織架構、提供服務、服務承諾、其諮詢及法定組織的資料等。</w:t>
            </w:r>
          </w:p>
          <w:p>
            <w:pPr>
              <w:pStyle w:val="Normal"/>
              <w:snapToGrid w:val="false"/>
              <w:ind w:left="57" w:right="57" w:hanging="0"/>
              <w:rPr>
                <w:spacing w:val="20"/>
                <w:sz w:val="24"/>
                <w:szCs w:val="24"/>
              </w:rPr>
            </w:pPr>
            <w:r>
              <w:rPr>
                <w:spacing w:val="20"/>
                <w:sz w:val="24"/>
                <w:szCs w:val="24"/>
              </w:rPr>
            </w:r>
          </w:p>
          <w:p>
            <w:pPr>
              <w:pStyle w:val="Normal"/>
              <w:snapToGrid w:val="false"/>
              <w:ind w:left="57" w:right="57" w:hanging="0"/>
              <w:rPr>
                <w:spacing w:val="20"/>
                <w:sz w:val="24"/>
                <w:szCs w:val="24"/>
              </w:rPr>
            </w:pPr>
            <w:r>
              <w:rPr>
                <w:spacing w:val="20"/>
                <w:sz w:val="24"/>
                <w:szCs w:val="24"/>
              </w:rPr>
              <w:t>不發放的資訊主要是因為涉及商業利益、第三者的資料或個人私穩等《公開資料守則》內提及的理由。</w:t>
            </w:r>
          </w:p>
          <w:p>
            <w:pPr>
              <w:pStyle w:val="Normal"/>
              <w:snapToGrid w:val="false"/>
              <w:ind w:left="57" w:right="57" w:hanging="0"/>
              <w:rPr>
                <w:spacing w:val="20"/>
                <w:sz w:val="24"/>
                <w:szCs w:val="24"/>
              </w:rPr>
            </w:pPr>
            <w:r>
              <w:rPr>
                <w:spacing w:val="20"/>
                <w:sz w:val="24"/>
                <w:szCs w:val="24"/>
              </w:rPr>
            </w:r>
          </w:p>
          <w:p>
            <w:pPr>
              <w:pStyle w:val="Normal"/>
              <w:snapToGrid w:val="false"/>
              <w:ind w:left="57" w:right="57" w:hanging="0"/>
              <w:rPr>
                <w:spacing w:val="20"/>
                <w:sz w:val="24"/>
                <w:szCs w:val="24"/>
              </w:rPr>
            </w:pPr>
            <w:r>
              <w:rPr>
                <w:spacing w:val="20"/>
                <w:sz w:val="24"/>
                <w:szCs w:val="24"/>
              </w:rPr>
              <w:t>個別技術專業部門會就其專業領域或規管發放資料。</w:t>
            </w:r>
          </w:p>
          <w:p>
            <w:pPr>
              <w:pStyle w:val="Normal"/>
              <w:snapToGrid w:val="false"/>
              <w:ind w:left="57" w:right="57" w:hanging="0"/>
              <w:rPr>
                <w:spacing w:val="20"/>
                <w:sz w:val="24"/>
                <w:szCs w:val="24"/>
              </w:rPr>
            </w:pPr>
            <w:r>
              <w:rPr>
                <w:spacing w:val="20"/>
                <w:sz w:val="24"/>
                <w:szCs w:val="24"/>
              </w:rPr>
            </w:r>
          </w:p>
        </w:tc>
        <w:tc>
          <w:tcPr>
            <w:tcW w:w="1843"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t>有關政策局、政府部門及法定組織沒有就上載資訊至其網頁設定時限。由於資料性質不盡相同，政策局及部門主要考慮資料是否需要於網頁上保留，同時要有足夠時間讓公眾了解該資料。</w:t>
            </w:r>
          </w:p>
        </w:tc>
        <w:tc>
          <w:tcPr>
            <w:tcW w:w="1843"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t>整體而言，有關政策局、政府部門及法定組織發放的資訊的格式包括：</w:t>
            </w:r>
          </w:p>
          <w:p>
            <w:pPr>
              <w:pStyle w:val="Normal"/>
              <w:snapToGrid w:val="false"/>
              <w:spacing w:lineRule="auto" w:line="240"/>
              <w:ind w:left="57" w:right="57" w:hanging="0"/>
              <w:rPr>
                <w:spacing w:val="20"/>
                <w:sz w:val="24"/>
                <w:szCs w:val="24"/>
              </w:rPr>
            </w:pPr>
            <w:r>
              <w:rPr>
                <w:spacing w:val="20"/>
                <w:sz w:val="24"/>
                <w:szCs w:val="24"/>
              </w:rPr>
            </w:r>
          </w:p>
          <w:p>
            <w:pPr>
              <w:pStyle w:val="Normal"/>
              <w:snapToGrid w:val="false"/>
              <w:spacing w:lineRule="auto" w:line="240"/>
              <w:ind w:left="511" w:right="57" w:hanging="454"/>
              <w:rPr>
                <w:spacing w:val="20"/>
                <w:sz w:val="24"/>
                <w:szCs w:val="24"/>
              </w:rPr>
            </w:pPr>
            <w:r>
              <w:rPr>
                <w:spacing w:val="20"/>
                <w:sz w:val="24"/>
                <w:szCs w:val="24"/>
              </w:rPr>
              <w:t>(a)</w:t>
              <w:tab/>
            </w:r>
            <w:r>
              <w:rPr>
                <w:spacing w:val="20"/>
                <w:sz w:val="24"/>
                <w:szCs w:val="24"/>
              </w:rPr>
              <w:t>在網頁上發放軟副本；</w:t>
            </w:r>
          </w:p>
          <w:p>
            <w:pPr>
              <w:pStyle w:val="Normal"/>
              <w:snapToGrid w:val="false"/>
              <w:spacing w:lineRule="auto" w:line="240"/>
              <w:ind w:left="511" w:right="57" w:hanging="454"/>
              <w:rPr>
                <w:spacing w:val="20"/>
                <w:sz w:val="24"/>
                <w:szCs w:val="24"/>
              </w:rPr>
            </w:pPr>
            <w:r>
              <w:rPr>
                <w:spacing w:val="20"/>
                <w:sz w:val="24"/>
                <w:szCs w:val="24"/>
              </w:rPr>
            </w:r>
          </w:p>
          <w:p>
            <w:pPr>
              <w:pStyle w:val="Normal"/>
              <w:snapToGrid w:val="false"/>
              <w:spacing w:lineRule="auto" w:line="240"/>
              <w:ind w:left="511" w:right="57" w:hanging="454"/>
              <w:rPr>
                <w:spacing w:val="20"/>
                <w:sz w:val="24"/>
                <w:szCs w:val="24"/>
              </w:rPr>
            </w:pPr>
            <w:r>
              <w:rPr>
                <w:spacing w:val="20"/>
                <w:sz w:val="24"/>
                <w:szCs w:val="24"/>
              </w:rPr>
              <w:t>(b)</w:t>
              <w:tab/>
            </w:r>
            <w:r>
              <w:rPr>
                <w:spacing w:val="20"/>
                <w:sz w:val="24"/>
                <w:szCs w:val="24"/>
              </w:rPr>
              <w:t>同時提供軟副本及硬副本；或</w:t>
            </w:r>
          </w:p>
          <w:p>
            <w:pPr>
              <w:pStyle w:val="Normal"/>
              <w:snapToGrid w:val="false"/>
              <w:spacing w:lineRule="auto" w:line="240"/>
              <w:ind w:left="511" w:right="57" w:hanging="454"/>
              <w:rPr>
                <w:spacing w:val="20"/>
                <w:sz w:val="24"/>
                <w:szCs w:val="24"/>
              </w:rPr>
            </w:pPr>
            <w:r>
              <w:rPr>
                <w:spacing w:val="20"/>
                <w:sz w:val="24"/>
                <w:szCs w:val="24"/>
              </w:rPr>
            </w:r>
          </w:p>
          <w:p>
            <w:pPr>
              <w:pStyle w:val="Normal"/>
              <w:snapToGrid w:val="false"/>
              <w:spacing w:lineRule="auto" w:line="240"/>
              <w:ind w:left="511" w:right="57" w:hanging="454"/>
              <w:rPr>
                <w:spacing w:val="20"/>
                <w:sz w:val="24"/>
                <w:szCs w:val="24"/>
              </w:rPr>
            </w:pPr>
            <w:r>
              <w:rPr>
                <w:spacing w:val="20"/>
                <w:sz w:val="24"/>
                <w:szCs w:val="24"/>
              </w:rPr>
              <w:t>(c)</w:t>
              <w:tab/>
            </w:r>
            <w:r>
              <w:rPr>
                <w:spacing w:val="20"/>
                <w:sz w:val="24"/>
                <w:szCs w:val="24"/>
              </w:rPr>
              <w:t>因應有關資料性質及使用者的需要，</w:t>
            </w:r>
            <w:r>
              <w:rPr>
                <w:spacing w:val="26"/>
                <w:sz w:val="24"/>
                <w:szCs w:val="24"/>
              </w:rPr>
              <w:t>提供軟副本或硬副本。</w:t>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4"/>
                <w:sz w:val="24"/>
                <w:szCs w:val="24"/>
              </w:rPr>
            </w:pPr>
            <w:r>
              <w:rPr>
                <w:spacing w:val="24"/>
                <w:sz w:val="24"/>
                <w:szCs w:val="24"/>
              </w:rPr>
              <w:t>土木工程拓展署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康樂及文化事務署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屋宇署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運輸署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路政署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環保署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民政事務總署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運輸及房屋局</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發展局</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勞工及福利局</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環境局</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民政事務局</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環諮會</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郊野公園及海岸公園委員會</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機電工程署</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ind w:left="57" w:right="57" w:hanging="0"/>
              <w:rPr>
                <w:spacing w:val="20"/>
                <w:sz w:val="24"/>
                <w:szCs w:val="24"/>
              </w:rPr>
            </w:pPr>
            <w:r>
              <w:rPr>
                <w:spacing w:val="20"/>
                <w:sz w:val="24"/>
                <w:szCs w:val="24"/>
              </w:rPr>
              <w:t>機電工程署會發放有關電力、氣體、升降機、機動遊戲機、鐵路等安全資訊和能源效益的知識。</w:t>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c>
          <w:tcPr>
            <w:tcW w:w="1843"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uto" w:line="240"/>
              <w:ind w:left="57" w:right="57" w:hanging="0"/>
              <w:rPr>
                <w:spacing w:val="20"/>
                <w:sz w:val="24"/>
                <w:szCs w:val="24"/>
              </w:rPr>
            </w:pPr>
            <w:r>
              <w:rPr>
                <w:spacing w:val="20"/>
                <w:sz w:val="24"/>
                <w:szCs w:val="24"/>
              </w:rPr>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tLeast" w:line="340"/>
              <w:ind w:left="57" w:right="57" w:hanging="0"/>
              <w:rPr>
                <w:spacing w:val="20"/>
                <w:sz w:val="24"/>
                <w:szCs w:val="24"/>
              </w:rPr>
            </w:pPr>
            <w:r>
              <w:rPr>
                <w:spacing w:val="20"/>
                <w:sz w:val="24"/>
                <w:szCs w:val="24"/>
              </w:rPr>
              <w:t>規劃署</w:t>
            </w:r>
          </w:p>
        </w:tc>
        <w:tc>
          <w:tcPr>
            <w:tcW w:w="1842" w:type="dxa"/>
            <w:vMerge w:val="restart"/>
            <w:tcBorders>
              <w:top w:val="single" w:sz="4" w:space="0" w:color="000000"/>
              <w:left w:val="single" w:sz="4" w:space="0" w:color="000000"/>
              <w:bottom w:val="single" w:sz="4" w:space="0" w:color="000000"/>
              <w:right w:val="single" w:sz="4" w:space="0" w:color="000000"/>
            </w:tcBorders>
          </w:tcPr>
          <w:p>
            <w:pPr>
              <w:pStyle w:val="Normal"/>
              <w:snapToGrid w:val="false"/>
              <w:spacing w:lineRule="atLeast" w:line="340"/>
              <w:ind w:left="57" w:right="57" w:hanging="0"/>
              <w:rPr>
                <w:spacing w:val="20"/>
                <w:sz w:val="24"/>
                <w:szCs w:val="24"/>
              </w:rPr>
            </w:pPr>
            <w:r>
              <w:rPr>
                <w:spacing w:val="20"/>
                <w:sz w:val="24"/>
                <w:szCs w:val="24"/>
              </w:rPr>
              <w:t>規劃署及城規會，會根據部門技術通告及守則，以及《城市規劃條例》、城規會規劃指引和城規會辦事程序等，決定發放資料。</w:t>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spacing w:lineRule="exact" w:line="360"/>
              <w:ind w:left="57" w:right="57" w:hanging="0"/>
              <w:rPr>
                <w:spacing w:val="20"/>
                <w:sz w:val="24"/>
                <w:szCs w:val="24"/>
              </w:rPr>
            </w:pPr>
            <w:r>
              <w:rPr>
                <w:spacing w:val="20"/>
                <w:sz w:val="24"/>
                <w:szCs w:val="24"/>
              </w:rPr>
              <w:t>規劃署發放規劃法例、法定圖則及程序，包括：</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10"/>
                <w:sz w:val="24"/>
                <w:szCs w:val="24"/>
              </w:rPr>
            </w:pPr>
            <w:r>
              <w:rPr>
                <w:spacing w:val="20"/>
                <w:sz w:val="24"/>
                <w:szCs w:val="24"/>
              </w:rPr>
              <w:t>(a)</w:t>
            </w:r>
            <w:r>
              <w:rPr>
                <w:spacing w:val="20"/>
                <w:sz w:val="24"/>
                <w:szCs w:val="24"/>
              </w:rPr>
              <w:t>類：</w:t>
            </w:r>
            <w:r>
              <w:rPr>
                <w:spacing w:val="10"/>
                <w:sz w:val="24"/>
                <w:szCs w:val="24"/>
              </w:rPr>
              <w:t>規劃法例、法定圖則及程序</w:t>
            </w:r>
          </w:p>
          <w:p>
            <w:pPr>
              <w:pStyle w:val="Normal"/>
              <w:tabs>
                <w:tab w:val="clear" w:pos="720"/>
                <w:tab w:val="left" w:pos="567" w:leader="none"/>
              </w:tabs>
              <w:snapToGrid w:val="false"/>
              <w:spacing w:lineRule="exact" w:line="360"/>
              <w:rPr>
                <w:spacing w:val="10"/>
                <w:sz w:val="24"/>
                <w:szCs w:val="24"/>
              </w:rPr>
            </w:pPr>
            <w:r>
              <w:rPr>
                <w:spacing w:val="1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t>(b)</w:t>
            </w:r>
            <w:r>
              <w:rPr>
                <w:spacing w:val="20"/>
                <w:sz w:val="24"/>
                <w:szCs w:val="24"/>
              </w:rPr>
              <w:t>類：</w:t>
            </w:r>
            <w:r>
              <w:rPr>
                <w:spacing w:val="10"/>
                <w:sz w:val="24"/>
                <w:szCs w:val="24"/>
              </w:rPr>
              <w:t>規劃研究報告及／或行政摘要告知／通布公眾</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10"/>
                <w:sz w:val="24"/>
                <w:szCs w:val="24"/>
              </w:rPr>
            </w:pPr>
            <w:r>
              <w:rPr>
                <w:spacing w:val="20"/>
                <w:sz w:val="24"/>
                <w:szCs w:val="24"/>
              </w:rPr>
              <w:t>(c)</w:t>
            </w:r>
            <w:r>
              <w:rPr>
                <w:spacing w:val="20"/>
                <w:sz w:val="24"/>
                <w:szCs w:val="24"/>
              </w:rPr>
              <w:t>類：</w:t>
            </w:r>
            <w:r>
              <w:rPr>
                <w:spacing w:val="10"/>
                <w:sz w:val="24"/>
                <w:szCs w:val="24"/>
              </w:rPr>
              <w:t>徵詢公眾對諮詢文件內容的意見，並接收查詢及意見</w:t>
            </w:r>
          </w:p>
          <w:p>
            <w:pPr>
              <w:pStyle w:val="Normal"/>
              <w:snapToGrid w:val="false"/>
              <w:spacing w:lineRule="exact" w:line="360"/>
              <w:ind w:left="964" w:right="57" w:hanging="907"/>
              <w:rPr>
                <w:spacing w:val="10"/>
                <w:sz w:val="24"/>
                <w:szCs w:val="24"/>
              </w:rPr>
            </w:pPr>
            <w:r>
              <w:rPr>
                <w:spacing w:val="10"/>
                <w:sz w:val="24"/>
                <w:szCs w:val="24"/>
              </w:rPr>
            </w:r>
          </w:p>
          <w:p>
            <w:pPr>
              <w:pStyle w:val="Normal"/>
              <w:tabs>
                <w:tab w:val="clear" w:pos="720"/>
                <w:tab w:val="left" w:pos="567" w:leader="none"/>
              </w:tabs>
              <w:snapToGrid w:val="false"/>
              <w:spacing w:lineRule="exact" w:line="360"/>
              <w:rPr>
                <w:spacing w:val="10"/>
                <w:sz w:val="24"/>
                <w:szCs w:val="24"/>
                <w:lang w:val="en-US"/>
              </w:rPr>
            </w:pPr>
            <w:r>
              <w:rPr>
                <w:spacing w:val="20"/>
                <w:sz w:val="24"/>
                <w:szCs w:val="24"/>
              </w:rPr>
              <w:t>(d)</w:t>
            </w:r>
            <w:r>
              <w:rPr>
                <w:spacing w:val="20"/>
                <w:sz w:val="24"/>
                <w:szCs w:val="24"/>
              </w:rPr>
              <w:t>類：</w:t>
            </w:r>
            <w:r>
              <w:rPr>
                <w:spacing w:val="10"/>
                <w:sz w:val="24"/>
                <w:szCs w:val="24"/>
              </w:rPr>
              <w:t>提供規劃服務／活動的最新資料</w:t>
            </w:r>
          </w:p>
          <w:p>
            <w:pPr>
              <w:pStyle w:val="Normal"/>
              <w:tabs>
                <w:tab w:val="clear" w:pos="720"/>
                <w:tab w:val="left" w:pos="567" w:leader="none"/>
              </w:tabs>
              <w:snapToGrid w:val="false"/>
              <w:spacing w:lineRule="auto" w:line="240"/>
              <w:rPr>
                <w:spacing w:val="10"/>
                <w:sz w:val="16"/>
                <w:szCs w:val="16"/>
                <w:lang w:val="en-US"/>
              </w:rPr>
            </w:pPr>
            <w:r>
              <w:rPr>
                <w:spacing w:val="10"/>
                <w:sz w:val="16"/>
                <w:szCs w:val="16"/>
                <w:lang w:val="en-US"/>
              </w:rPr>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10"/>
                <w:sz w:val="24"/>
                <w:szCs w:val="24"/>
              </w:rPr>
            </w:pPr>
            <w:r>
              <w:rPr>
                <w:spacing w:val="20"/>
                <w:sz w:val="24"/>
                <w:szCs w:val="24"/>
              </w:rPr>
              <w:t>(a)</w:t>
            </w:r>
            <w:r>
              <w:rPr>
                <w:spacing w:val="20"/>
                <w:sz w:val="24"/>
                <w:szCs w:val="24"/>
              </w:rPr>
              <w:t>類：</w:t>
            </w:r>
            <w:r>
              <w:rPr>
                <w:spacing w:val="10"/>
                <w:sz w:val="24"/>
                <w:szCs w:val="24"/>
              </w:rPr>
              <w:t>按《城市規劃條例》的法定規定</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2"/>
                <w:sz w:val="24"/>
                <w:szCs w:val="24"/>
              </w:rPr>
            </w:pPr>
            <w:r>
              <w:rPr>
                <w:spacing w:val="22"/>
                <w:sz w:val="24"/>
                <w:szCs w:val="24"/>
              </w:rPr>
              <w:t>(b)</w:t>
            </w:r>
            <w:r>
              <w:rPr>
                <w:spacing w:val="22"/>
                <w:sz w:val="24"/>
                <w:szCs w:val="24"/>
              </w:rPr>
              <w:t>類：在網頁上沒有保留時限，在有需要時才撤銷，例如文件已過時或失效、配合網頁重整等，其後公眾可以透過規劃署的規劃資料查詢處查閱</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rPr>
                <w:spacing w:val="20"/>
                <w:sz w:val="24"/>
                <w:szCs w:val="24"/>
              </w:rPr>
            </w:pPr>
            <w:r>
              <w:rPr>
                <w:spacing w:val="20"/>
                <w:sz w:val="24"/>
                <w:szCs w:val="24"/>
              </w:rPr>
              <w:t>(c)</w:t>
            </w:r>
            <w:r>
              <w:rPr>
                <w:spacing w:val="20"/>
                <w:sz w:val="24"/>
                <w:szCs w:val="24"/>
              </w:rPr>
              <w:t>類：</w:t>
            </w:r>
            <w:r>
              <w:rPr>
                <w:spacing w:val="10"/>
                <w:sz w:val="24"/>
                <w:szCs w:val="24"/>
              </w:rPr>
              <w:t>按相關研究或調查所界定的內容及時間表</w:t>
            </w:r>
          </w:p>
          <w:p>
            <w:pPr>
              <w:pStyle w:val="Normal"/>
              <w:snapToGrid w:val="false"/>
              <w:spacing w:lineRule="exact" w:line="360"/>
              <w:ind w:left="964" w:right="57" w:hanging="907"/>
              <w:rPr>
                <w:spacing w:val="20"/>
                <w:sz w:val="24"/>
                <w:szCs w:val="24"/>
                <w:lang w:val="en-US"/>
              </w:rPr>
            </w:pPr>
            <w:r>
              <w:rPr>
                <w:spacing w:val="20"/>
                <w:sz w:val="24"/>
                <w:szCs w:val="24"/>
                <w:lang w:val="en-US"/>
              </w:rPr>
            </w:r>
          </w:p>
          <w:p>
            <w:pPr>
              <w:pStyle w:val="Normal"/>
              <w:snapToGrid w:val="false"/>
              <w:spacing w:lineRule="exact" w:line="360"/>
              <w:ind w:left="964" w:right="57" w:hanging="907"/>
              <w:rPr>
                <w:spacing w:val="20"/>
                <w:sz w:val="24"/>
                <w:szCs w:val="24"/>
                <w:lang w:val="en-US"/>
              </w:rPr>
            </w:pPr>
            <w:r>
              <w:rPr>
                <w:spacing w:val="20"/>
                <w:sz w:val="24"/>
                <w:szCs w:val="24"/>
                <w:lang w:val="en-US"/>
              </w:rPr>
            </w:r>
          </w:p>
          <w:p>
            <w:pPr>
              <w:pStyle w:val="Normal"/>
              <w:tabs>
                <w:tab w:val="clear" w:pos="720"/>
                <w:tab w:val="left" w:pos="567" w:leader="none"/>
              </w:tabs>
              <w:snapToGrid w:val="false"/>
              <w:spacing w:lineRule="exact" w:line="360"/>
              <w:rPr>
                <w:spacing w:val="20"/>
                <w:sz w:val="24"/>
                <w:szCs w:val="24"/>
              </w:rPr>
            </w:pPr>
            <w:r>
              <w:rPr>
                <w:spacing w:val="20"/>
                <w:sz w:val="24"/>
                <w:szCs w:val="24"/>
              </w:rPr>
              <w:t>(d)</w:t>
            </w:r>
            <w:r>
              <w:rPr>
                <w:spacing w:val="20"/>
                <w:sz w:val="24"/>
                <w:szCs w:val="24"/>
              </w:rPr>
              <w:t>類：</w:t>
            </w:r>
            <w:r>
              <w:rPr>
                <w:spacing w:val="10"/>
                <w:sz w:val="24"/>
                <w:szCs w:val="24"/>
              </w:rPr>
              <w:t>按需要而定</w:t>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8"/>
              </w:rPr>
            </w:pPr>
            <w:r>
              <w:rPr>
                <w:spacing w:val="20"/>
                <w:sz w:val="24"/>
                <w:szCs w:val="28"/>
              </w:rPr>
            </w:r>
          </w:p>
          <w:p>
            <w:pPr>
              <w:pStyle w:val="Normal"/>
              <w:snapToGrid w:val="false"/>
              <w:spacing w:lineRule="exact" w:line="360"/>
              <w:ind w:left="964" w:right="57" w:hanging="907"/>
              <w:rPr>
                <w:spacing w:val="10"/>
                <w:sz w:val="24"/>
                <w:szCs w:val="24"/>
              </w:rPr>
            </w:pPr>
            <w:r>
              <w:rPr>
                <w:spacing w:val="20"/>
                <w:sz w:val="24"/>
                <w:szCs w:val="24"/>
              </w:rPr>
              <w:t>(a)</w:t>
            </w:r>
            <w:r>
              <w:rPr>
                <w:spacing w:val="20"/>
                <w:sz w:val="24"/>
                <w:szCs w:val="24"/>
              </w:rPr>
              <w:t>類：</w:t>
            </w:r>
            <w:r>
              <w:rPr>
                <w:spacing w:val="20"/>
                <w:sz w:val="24"/>
                <w:szCs w:val="24"/>
              </w:rPr>
              <w:tab/>
            </w:r>
            <w:r>
              <w:rPr>
                <w:spacing w:val="10"/>
                <w:sz w:val="24"/>
                <w:szCs w:val="24"/>
              </w:rPr>
              <w:t>軟副本</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t>(b)</w:t>
            </w:r>
            <w:r>
              <w:rPr>
                <w:spacing w:val="20"/>
                <w:sz w:val="24"/>
                <w:szCs w:val="24"/>
              </w:rPr>
              <w:t>類：</w:t>
            </w:r>
            <w:r>
              <w:rPr>
                <w:spacing w:val="10"/>
                <w:sz w:val="24"/>
                <w:szCs w:val="24"/>
              </w:rPr>
              <w:t>軟或硬副本，按需要而定。</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t>(c)</w:t>
            </w:r>
            <w:r>
              <w:rPr>
                <w:spacing w:val="20"/>
                <w:sz w:val="24"/>
                <w:szCs w:val="24"/>
              </w:rPr>
              <w:t>類：</w:t>
            </w:r>
            <w:r>
              <w:rPr>
                <w:spacing w:val="10"/>
                <w:sz w:val="24"/>
                <w:szCs w:val="24"/>
              </w:rPr>
              <w:t>軟或硬副本，按需要而定</w:t>
            </w:r>
            <w:r>
              <w:rPr>
                <w:spacing w:val="20"/>
                <w:sz w:val="24"/>
                <w:szCs w:val="24"/>
              </w:rPr>
              <w:t>。</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t>(d)</w:t>
            </w:r>
            <w:r>
              <w:rPr>
                <w:spacing w:val="20"/>
                <w:sz w:val="24"/>
                <w:szCs w:val="24"/>
              </w:rPr>
              <w:t>類：</w:t>
            </w:r>
            <w:r>
              <w:rPr>
                <w:spacing w:val="10"/>
                <w:sz w:val="24"/>
                <w:szCs w:val="24"/>
              </w:rPr>
              <w:t>軟或硬副本，按需要而定</w:t>
            </w:r>
            <w:r>
              <w:rPr>
                <w:spacing w:val="20"/>
                <w:sz w:val="24"/>
                <w:szCs w:val="24"/>
              </w:rPr>
              <w:t>。</w:t>
            </w:r>
          </w:p>
        </w:tc>
      </w:tr>
      <w:tr>
        <w:trPr>
          <w:trHeight w:val="57" w:hRule="atLeast"/>
        </w:trPr>
        <w:tc>
          <w:tcPr>
            <w:tcW w:w="1842" w:type="dxa"/>
            <w:tcBorders>
              <w:top w:val="single" w:sz="4" w:space="0" w:color="000000"/>
              <w:left w:val="single" w:sz="4" w:space="0" w:color="000000"/>
              <w:bottom w:val="single" w:sz="4" w:space="0" w:color="000000"/>
              <w:right w:val="single" w:sz="4" w:space="0" w:color="000000"/>
            </w:tcBorders>
          </w:tcPr>
          <w:p>
            <w:pPr>
              <w:pStyle w:val="Normal"/>
              <w:snapToGrid w:val="false"/>
              <w:spacing w:lineRule="atLeast" w:line="320"/>
              <w:ind w:left="57" w:right="57" w:hanging="0"/>
              <w:rPr>
                <w:spacing w:val="20"/>
                <w:sz w:val="24"/>
                <w:szCs w:val="24"/>
              </w:rPr>
            </w:pPr>
            <w:r>
              <w:rPr>
                <w:spacing w:val="20"/>
                <w:sz w:val="24"/>
                <w:szCs w:val="24"/>
              </w:rPr>
              <w:t>城規會</w:t>
            </w:r>
          </w:p>
        </w:tc>
        <w:tc>
          <w:tcPr>
            <w:tcW w:w="1842"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lineRule="atLeast" w:line="320"/>
              <w:ind w:left="57" w:right="57" w:hanging="0"/>
              <w:rPr>
                <w:spacing w:val="20"/>
                <w:sz w:val="24"/>
                <w:szCs w:val="24"/>
              </w:rPr>
            </w:pPr>
            <w:r>
              <w:rPr>
                <w:spacing w:val="20"/>
                <w:sz w:val="24"/>
                <w:szCs w:val="24"/>
              </w:rPr>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spacing w:lineRule="exact" w:line="360"/>
              <w:ind w:left="57" w:right="57" w:hanging="0"/>
              <w:rPr>
                <w:spacing w:val="20"/>
                <w:sz w:val="24"/>
                <w:szCs w:val="24"/>
              </w:rPr>
            </w:pPr>
            <w:r>
              <w:rPr>
                <w:spacing w:val="20"/>
                <w:sz w:val="24"/>
                <w:szCs w:val="24"/>
              </w:rPr>
              <w:t>城規會發放以下資料：</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10"/>
                <w:sz w:val="24"/>
                <w:szCs w:val="24"/>
              </w:rPr>
            </w:pPr>
            <w:r>
              <w:rPr>
                <w:spacing w:val="20"/>
                <w:sz w:val="24"/>
                <w:szCs w:val="24"/>
              </w:rPr>
              <w:t>(a)</w:t>
            </w:r>
            <w:r>
              <w:rPr>
                <w:spacing w:val="20"/>
                <w:sz w:val="24"/>
                <w:szCs w:val="24"/>
              </w:rPr>
              <w:t>類：</w:t>
            </w:r>
            <w:r>
              <w:rPr>
                <w:spacing w:val="10"/>
                <w:sz w:val="24"/>
                <w:szCs w:val="24"/>
              </w:rPr>
              <w:t>新製訂、修訂和核准法定圖則</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414" w:right="57" w:hanging="357"/>
              <w:rPr>
                <w:spacing w:val="20"/>
                <w:sz w:val="24"/>
                <w:szCs w:val="24"/>
              </w:rPr>
            </w:pPr>
            <w:r>
              <w:rPr>
                <w:spacing w:val="20"/>
                <w:sz w:val="24"/>
                <w:szCs w:val="24"/>
              </w:rPr>
            </w:r>
          </w:p>
          <w:p>
            <w:pPr>
              <w:pStyle w:val="Normal"/>
              <w:snapToGrid w:val="false"/>
              <w:spacing w:lineRule="exact" w:line="360"/>
              <w:ind w:left="511" w:right="57" w:hanging="454"/>
              <w:rPr>
                <w:spacing w:val="20"/>
                <w:sz w:val="24"/>
                <w:szCs w:val="24"/>
              </w:rPr>
            </w:pPr>
            <w:r>
              <w:rPr>
                <w:spacing w:val="4"/>
                <w:sz w:val="24"/>
                <w:szCs w:val="24"/>
              </w:rPr>
              <w:t>(b)</w:t>
              <w:tab/>
            </w:r>
            <w:r>
              <w:rPr>
                <w:spacing w:val="4"/>
                <w:w w:val="99"/>
                <w:sz w:val="24"/>
                <w:szCs w:val="24"/>
              </w:rPr>
              <w:t>(i)</w:t>
            </w:r>
            <w:r>
              <w:rPr>
                <w:spacing w:val="4"/>
                <w:sz w:val="24"/>
                <w:szCs w:val="24"/>
              </w:rPr>
              <w:t>類：</w:t>
            </w:r>
            <w:r>
              <w:rPr>
                <w:spacing w:val="20"/>
                <w:sz w:val="24"/>
                <w:szCs w:val="24"/>
              </w:rPr>
              <w:t>就法定圖則所提出的申述、意見和進一步申述</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414" w:right="57" w:hanging="357"/>
              <w:rPr>
                <w:spacing w:val="20"/>
                <w:sz w:val="24"/>
                <w:szCs w:val="24"/>
              </w:rPr>
            </w:pPr>
            <w:r>
              <w:rPr>
                <w:spacing w:val="20"/>
                <w:w w:val="99"/>
                <w:sz w:val="24"/>
                <w:szCs w:val="24"/>
              </w:rPr>
              <w:tab/>
              <w:t>(ii)</w:t>
            </w:r>
            <w:r>
              <w:rPr>
                <w:spacing w:val="20"/>
                <w:sz w:val="24"/>
                <w:szCs w:val="24"/>
              </w:rPr>
              <w:t>類：相關的城規會會議文件</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t>(c)(i)</w:t>
            </w:r>
            <w:r>
              <w:rPr>
                <w:spacing w:val="20"/>
                <w:sz w:val="24"/>
                <w:szCs w:val="24"/>
              </w:rPr>
              <w:t>類：按照城市規劃條例第</w:t>
            </w:r>
            <w:r>
              <w:rPr>
                <w:spacing w:val="20"/>
                <w:sz w:val="24"/>
                <w:szCs w:val="24"/>
              </w:rPr>
              <w:t>12A</w:t>
            </w:r>
            <w:r>
              <w:rPr>
                <w:spacing w:val="20"/>
                <w:sz w:val="24"/>
                <w:szCs w:val="24"/>
              </w:rPr>
              <w:t>、</w:t>
            </w:r>
            <w:r>
              <w:rPr>
                <w:spacing w:val="20"/>
                <w:sz w:val="24"/>
                <w:szCs w:val="24"/>
              </w:rPr>
              <w:t>16</w:t>
            </w:r>
            <w:r>
              <w:rPr>
                <w:spacing w:val="20"/>
                <w:sz w:val="24"/>
                <w:szCs w:val="24"/>
              </w:rPr>
              <w:t>和第</w:t>
            </w:r>
            <w:r>
              <w:rPr>
                <w:spacing w:val="20"/>
                <w:sz w:val="24"/>
                <w:szCs w:val="24"/>
              </w:rPr>
              <w:t>17</w:t>
            </w:r>
            <w:r>
              <w:rPr>
                <w:spacing w:val="20"/>
                <w:sz w:val="24"/>
                <w:szCs w:val="24"/>
              </w:rPr>
              <w:t>條所提交的規劃申請、覆核申請的資料及進一步的資料和公眾意見</w:t>
            </w:r>
          </w:p>
          <w:p>
            <w:pPr>
              <w:pStyle w:val="Normal"/>
              <w:snapToGrid w:val="false"/>
              <w:spacing w:lineRule="exact" w:line="360"/>
              <w:ind w:left="511" w:right="57" w:hanging="454"/>
              <w:rPr>
                <w:spacing w:val="20"/>
                <w:sz w:val="24"/>
                <w:szCs w:val="24"/>
              </w:rPr>
            </w:pPr>
            <w:r>
              <w:rPr>
                <w:spacing w:val="20"/>
                <w:sz w:val="24"/>
                <w:szCs w:val="24"/>
              </w:rPr>
            </w:r>
          </w:p>
          <w:p>
            <w:pPr>
              <w:pStyle w:val="Normal"/>
              <w:snapToGrid w:val="false"/>
              <w:spacing w:lineRule="exact" w:line="360"/>
              <w:ind w:left="511" w:right="57" w:hanging="454"/>
              <w:rPr>
                <w:spacing w:val="20"/>
                <w:sz w:val="24"/>
                <w:szCs w:val="24"/>
              </w:rPr>
            </w:pPr>
            <w:r>
              <w:rPr>
                <w:spacing w:val="20"/>
                <w:sz w:val="24"/>
                <w:szCs w:val="24"/>
              </w:rPr>
              <w:tab/>
              <w:t>(ii)</w:t>
            </w:r>
            <w:r>
              <w:rPr>
                <w:spacing w:val="20"/>
                <w:sz w:val="24"/>
                <w:szCs w:val="24"/>
              </w:rPr>
              <w:t>類：有關申請的會議文件</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20"/>
                <w:sz w:val="24"/>
                <w:szCs w:val="24"/>
              </w:rPr>
            </w:pPr>
            <w:r>
              <w:rPr>
                <w:spacing w:val="20"/>
                <w:sz w:val="24"/>
                <w:szCs w:val="24"/>
              </w:rPr>
              <w:t>(d)</w:t>
            </w:r>
            <w:r>
              <w:rPr>
                <w:spacing w:val="20"/>
                <w:sz w:val="24"/>
                <w:szCs w:val="24"/>
              </w:rPr>
              <w:t>類：</w:t>
            </w:r>
            <w:r>
              <w:rPr>
                <w:spacing w:val="10"/>
                <w:sz w:val="24"/>
                <w:szCs w:val="24"/>
              </w:rPr>
              <w:t>會議日期時間表、會議議程、決定摘要、會議紀錄和一般事項會議文件</w:t>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snapToGrid w:val="false"/>
              <w:spacing w:lineRule="exact" w:line="360"/>
              <w:ind w:left="964" w:right="57" w:hanging="907"/>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6"/>
                <w:sz w:val="24"/>
                <w:szCs w:val="24"/>
              </w:rPr>
            </w:pPr>
            <w:r>
              <w:rPr>
                <w:spacing w:val="20"/>
                <w:sz w:val="24"/>
                <w:szCs w:val="24"/>
              </w:rPr>
              <w:t>(e)</w:t>
            </w:r>
            <w:r>
              <w:rPr>
                <w:spacing w:val="20"/>
                <w:sz w:val="24"/>
                <w:szCs w:val="24"/>
              </w:rPr>
              <w:t>類：</w:t>
            </w:r>
            <w:r>
              <w:rPr>
                <w:spacing w:val="-6"/>
                <w:sz w:val="24"/>
                <w:szCs w:val="24"/>
              </w:rPr>
              <w:t>技術文件、小冊子、申請須知和表格、規劃指引、詞彙</w:t>
            </w:r>
            <w:r>
              <w:rPr>
                <w:sz w:val="24"/>
                <w:szCs w:val="24"/>
              </w:rPr>
              <w:t>釋義等</w:t>
            </w:r>
          </w:p>
          <w:p>
            <w:pPr>
              <w:pStyle w:val="Normal"/>
              <w:snapToGrid w:val="false"/>
              <w:spacing w:lineRule="exact" w:line="360"/>
              <w:ind w:left="964" w:right="57" w:hanging="907"/>
              <w:rPr>
                <w:spacing w:val="10"/>
                <w:sz w:val="24"/>
                <w:szCs w:val="24"/>
              </w:rPr>
            </w:pPr>
            <w:r>
              <w:rPr>
                <w:spacing w:val="10"/>
                <w:sz w:val="24"/>
                <w:szCs w:val="24"/>
              </w:rPr>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10"/>
                <w:sz w:val="24"/>
                <w:szCs w:val="24"/>
              </w:rPr>
            </w:pPr>
            <w:r>
              <w:rPr>
                <w:spacing w:val="20"/>
                <w:sz w:val="24"/>
                <w:szCs w:val="24"/>
              </w:rPr>
              <w:t>(a)</w:t>
            </w:r>
            <w:r>
              <w:rPr>
                <w:spacing w:val="20"/>
                <w:sz w:val="24"/>
                <w:szCs w:val="24"/>
              </w:rPr>
              <w:t>類：</w:t>
            </w:r>
            <w:r>
              <w:rPr>
                <w:spacing w:val="10"/>
                <w:sz w:val="24"/>
                <w:szCs w:val="24"/>
              </w:rPr>
              <w:t>從有關圖則生效至被另一圖則</w:t>
            </w:r>
            <w:r>
              <w:rPr>
                <w:spacing w:val="10"/>
                <w:sz w:val="24"/>
                <w:szCs w:val="27"/>
              </w:rPr>
              <w:t>／</w:t>
            </w:r>
            <w:r>
              <w:rPr>
                <w:spacing w:val="10"/>
                <w:sz w:val="24"/>
                <w:szCs w:val="24"/>
              </w:rPr>
              <w:t>版本取替為止</w:t>
            </w:r>
          </w:p>
          <w:p>
            <w:pPr>
              <w:pStyle w:val="Normal"/>
              <w:snapToGrid w:val="false"/>
              <w:spacing w:lineRule="exact" w:line="360"/>
              <w:ind w:left="57" w:right="57" w:hanging="0"/>
              <w:rPr>
                <w:spacing w:val="20"/>
                <w:sz w:val="24"/>
                <w:szCs w:val="24"/>
              </w:rPr>
            </w:pPr>
            <w:r>
              <w:rPr>
                <w:spacing w:val="20"/>
                <w:sz w:val="24"/>
                <w:szCs w:val="24"/>
              </w:rPr>
            </w:r>
          </w:p>
          <w:p>
            <w:pPr>
              <w:pStyle w:val="Normal"/>
              <w:tabs>
                <w:tab w:val="clear" w:pos="720"/>
                <w:tab w:val="left" w:pos="567" w:leader="none"/>
              </w:tabs>
              <w:snapToGrid w:val="false"/>
              <w:spacing w:lineRule="exact" w:line="360"/>
              <w:rPr>
                <w:spacing w:val="10"/>
                <w:sz w:val="24"/>
                <w:szCs w:val="24"/>
              </w:rPr>
            </w:pPr>
            <w:r>
              <w:rPr>
                <w:spacing w:val="4"/>
                <w:sz w:val="24"/>
                <w:szCs w:val="24"/>
              </w:rPr>
              <w:t>(b)</w:t>
            </w:r>
            <w:r>
              <w:rPr>
                <w:spacing w:val="20"/>
                <w:sz w:val="24"/>
                <w:szCs w:val="24"/>
              </w:rPr>
              <w:t>類：</w:t>
            </w:r>
            <w:r>
              <w:rPr>
                <w:spacing w:val="10"/>
                <w:sz w:val="24"/>
                <w:szCs w:val="24"/>
              </w:rPr>
              <w:t>申述的摘要會自公眾查閱期開始、而意見和進一步申述的索引則分別在申述和建議修訂查閱期屆滿後，上載至城規會網頁，直至行政長官會同行政會議就有關草圖作出決定為止。其後有關資料會轉載於城規會網頁內的法定規劃綜合網站</w:t>
            </w:r>
          </w:p>
          <w:p>
            <w:pPr>
              <w:pStyle w:val="Normal"/>
              <w:snapToGrid w:val="false"/>
              <w:spacing w:lineRule="exact" w:line="360"/>
              <w:ind w:left="57" w:right="57" w:hanging="0"/>
              <w:rPr>
                <w:spacing w:val="20"/>
                <w:sz w:val="24"/>
              </w:rPr>
            </w:pPr>
            <w:r>
              <w:rPr>
                <w:spacing w:val="20"/>
                <w:sz w:val="24"/>
              </w:rPr>
            </w:r>
          </w:p>
          <w:p>
            <w:pPr>
              <w:pStyle w:val="Normal"/>
              <w:tabs>
                <w:tab w:val="clear" w:pos="720"/>
                <w:tab w:val="left" w:pos="567" w:leader="none"/>
              </w:tabs>
              <w:snapToGrid w:val="false"/>
              <w:spacing w:lineRule="exact" w:line="360"/>
              <w:rPr>
                <w:spacing w:val="-6"/>
                <w:sz w:val="24"/>
                <w:szCs w:val="24"/>
              </w:rPr>
            </w:pPr>
            <w:r>
              <w:rPr>
                <w:spacing w:val="20"/>
                <w:sz w:val="24"/>
                <w:szCs w:val="24"/>
              </w:rPr>
              <w:t>(c)</w:t>
            </w:r>
            <w:r>
              <w:rPr>
                <w:spacing w:val="20"/>
                <w:sz w:val="24"/>
                <w:szCs w:val="24"/>
              </w:rPr>
              <w:t>類：</w:t>
            </w:r>
            <w:r>
              <w:rPr>
                <w:spacing w:val="-6"/>
                <w:sz w:val="24"/>
                <w:szCs w:val="24"/>
              </w:rPr>
              <w:t>有關規劃申請或覆核申請的摘要會自公眾查閱期開始上載至城規會網頁上，直至城規會或其小組委員會就有關申請作出決定為止。其後有關資料會轉載於城規會網頁內的法定規劃綜合網站</w:t>
            </w:r>
          </w:p>
          <w:p>
            <w:pPr>
              <w:pStyle w:val="Normal"/>
              <w:snapToGrid w:val="false"/>
              <w:spacing w:lineRule="exact" w:line="360"/>
              <w:ind w:left="964" w:right="57" w:hanging="907"/>
              <w:rPr>
                <w:spacing w:val="-6"/>
                <w:sz w:val="24"/>
                <w:szCs w:val="24"/>
              </w:rPr>
            </w:pPr>
            <w:r>
              <w:rPr>
                <w:spacing w:val="-6"/>
                <w:sz w:val="24"/>
                <w:szCs w:val="24"/>
              </w:rPr>
            </w:r>
          </w:p>
          <w:p>
            <w:pPr>
              <w:pStyle w:val="Normal"/>
              <w:snapToGrid w:val="false"/>
              <w:spacing w:lineRule="exact" w:line="360"/>
              <w:ind w:left="964" w:right="57" w:hanging="907"/>
              <w:rPr>
                <w:spacing w:val="-6"/>
                <w:sz w:val="24"/>
                <w:szCs w:val="24"/>
              </w:rPr>
            </w:pPr>
            <w:r>
              <w:rPr>
                <w:spacing w:val="-6"/>
                <w:sz w:val="24"/>
                <w:szCs w:val="24"/>
              </w:rPr>
            </w:r>
          </w:p>
          <w:p>
            <w:pPr>
              <w:pStyle w:val="Normal"/>
              <w:tabs>
                <w:tab w:val="clear" w:pos="720"/>
                <w:tab w:val="left" w:pos="567" w:leader="none"/>
              </w:tabs>
              <w:snapToGrid w:val="false"/>
              <w:spacing w:lineRule="exact" w:line="360"/>
              <w:rPr>
                <w:spacing w:val="10"/>
                <w:sz w:val="24"/>
                <w:szCs w:val="24"/>
              </w:rPr>
            </w:pPr>
            <w:r>
              <w:rPr>
                <w:spacing w:val="20"/>
                <w:sz w:val="24"/>
                <w:szCs w:val="24"/>
              </w:rPr>
              <w:t>(d)</w:t>
            </w:r>
            <w:r>
              <w:rPr>
                <w:spacing w:val="20"/>
                <w:sz w:val="24"/>
                <w:szCs w:val="24"/>
              </w:rPr>
              <w:t>類：</w:t>
            </w:r>
            <w:r>
              <w:rPr>
                <w:spacing w:val="10"/>
                <w:sz w:val="24"/>
                <w:szCs w:val="24"/>
              </w:rPr>
              <w:t>在網頁上保留會議日期時間表沒有特定時限，約每年第四季公布新一年時間表。會議議程於會議前</w:t>
            </w:r>
            <w:r>
              <w:rPr>
                <w:spacing w:val="10"/>
                <w:sz w:val="24"/>
                <w:szCs w:val="24"/>
              </w:rPr>
              <w:t>4</w:t>
            </w:r>
            <w:r>
              <w:rPr>
                <w:spacing w:val="10"/>
                <w:sz w:val="24"/>
                <w:szCs w:val="24"/>
              </w:rPr>
              <w:t>天上載直至被新的版本取替。而會議的決定摘要於會議當天上載直至被新的版本取替為止。會議紀錄會自城規會確認後上載，沒有在網頁上保留的時限。</w:t>
            </w:r>
          </w:p>
          <w:p>
            <w:pPr>
              <w:pStyle w:val="Normal"/>
              <w:snapToGrid w:val="false"/>
              <w:spacing w:lineRule="exact" w:line="360"/>
              <w:ind w:left="964" w:right="57" w:hanging="907"/>
              <w:rPr>
                <w:spacing w:val="10"/>
                <w:sz w:val="24"/>
                <w:szCs w:val="24"/>
              </w:rPr>
            </w:pPr>
            <w:r>
              <w:rPr>
                <w:spacing w:val="10"/>
                <w:sz w:val="24"/>
                <w:szCs w:val="24"/>
              </w:rPr>
            </w:r>
          </w:p>
          <w:p>
            <w:pPr>
              <w:pStyle w:val="Normal"/>
              <w:tabs>
                <w:tab w:val="clear" w:pos="720"/>
                <w:tab w:val="left" w:pos="567" w:leader="none"/>
              </w:tabs>
              <w:snapToGrid w:val="false"/>
              <w:spacing w:lineRule="exact" w:line="360"/>
              <w:rPr>
                <w:spacing w:val="10"/>
                <w:sz w:val="24"/>
                <w:szCs w:val="24"/>
              </w:rPr>
            </w:pPr>
            <w:r>
              <w:rPr>
                <w:spacing w:val="10"/>
                <w:sz w:val="24"/>
                <w:szCs w:val="24"/>
              </w:rPr>
              <w:t>一般事項會議文件自發給委員後上載於網頁，並無設定保留時限</w:t>
            </w:r>
          </w:p>
          <w:p>
            <w:pPr>
              <w:pStyle w:val="Normal"/>
              <w:snapToGrid w:val="false"/>
              <w:spacing w:lineRule="exact" w:line="360"/>
              <w:ind w:left="964" w:right="57" w:hanging="907"/>
              <w:rPr>
                <w:spacing w:val="10"/>
                <w:sz w:val="24"/>
                <w:szCs w:val="24"/>
              </w:rPr>
            </w:pPr>
            <w:r>
              <w:rPr>
                <w:spacing w:val="10"/>
                <w:sz w:val="24"/>
                <w:szCs w:val="24"/>
              </w:rPr>
            </w:r>
          </w:p>
          <w:p>
            <w:pPr>
              <w:pStyle w:val="Normal"/>
              <w:tabs>
                <w:tab w:val="clear" w:pos="720"/>
                <w:tab w:val="left" w:pos="567" w:leader="none"/>
              </w:tabs>
              <w:snapToGrid w:val="false"/>
              <w:spacing w:lineRule="exact" w:line="360"/>
              <w:rPr>
                <w:spacing w:val="10"/>
                <w:sz w:val="24"/>
                <w:szCs w:val="24"/>
              </w:rPr>
            </w:pPr>
            <w:r>
              <w:rPr>
                <w:spacing w:val="10"/>
                <w:sz w:val="24"/>
                <w:szCs w:val="24"/>
              </w:rPr>
              <w:t>(e)</w:t>
            </w:r>
            <w:r>
              <w:rPr>
                <w:spacing w:val="10"/>
                <w:sz w:val="24"/>
                <w:szCs w:val="24"/>
              </w:rPr>
              <w:t>類：上載至網頁直至被新的版本取替</w:t>
            </w:r>
          </w:p>
        </w:tc>
        <w:tc>
          <w:tcPr>
            <w:tcW w:w="1843" w:type="dxa"/>
            <w:tcBorders>
              <w:top w:val="single" w:sz="4" w:space="0" w:color="000000"/>
              <w:left w:val="single" w:sz="4" w:space="0" w:color="000000"/>
              <w:bottom w:val="single" w:sz="4" w:space="0" w:color="000000"/>
              <w:right w:val="single" w:sz="4" w:space="0" w:color="000000"/>
            </w:tcBorders>
          </w:tcPr>
          <w:p>
            <w:pPr>
              <w:pStyle w:val="Normal"/>
              <w:snapToGrid w:val="false"/>
              <w:spacing w:lineRule="exact" w:line="360"/>
              <w:ind w:left="57" w:right="57" w:hanging="0"/>
              <w:rPr>
                <w:spacing w:val="20"/>
                <w:sz w:val="24"/>
                <w:szCs w:val="24"/>
              </w:rPr>
            </w:pPr>
            <w:r>
              <w:rPr>
                <w:spacing w:val="20"/>
                <w:sz w:val="24"/>
                <w:szCs w:val="24"/>
              </w:rPr>
              <w:t>軟或硬副本，按需要而定。</w:t>
            </w:r>
          </w:p>
        </w:tc>
      </w:tr>
    </w:tbl>
    <w:p>
      <w:pPr>
        <w:pStyle w:val="Normal"/>
        <w:widowControl/>
        <w:jc w:val="right"/>
        <w:rPr>
          <w:spacing w:val="20"/>
          <w:sz w:val="27"/>
          <w:szCs w:val="27"/>
        </w:rPr>
      </w:pPr>
      <w:r>
        <w:rPr>
          <w:spacing w:val="20"/>
          <w:sz w:val="27"/>
          <w:szCs w:val="27"/>
        </w:rPr>
        <w:t>附件二</w:t>
      </w:r>
      <w:r>
        <w:br w:type="page"/>
      </w:r>
    </w:p>
    <w:p>
      <w:pPr>
        <w:pStyle w:val="Normal"/>
        <w:widowControl/>
        <w:rPr>
          <w:spacing w:val="20"/>
          <w:sz w:val="27"/>
          <w:szCs w:val="27"/>
        </w:rPr>
      </w:pPr>
      <w:r>
        <w:rPr>
          <w:spacing w:val="20"/>
          <w:sz w:val="27"/>
          <w:szCs w:val="27"/>
        </w:rPr>
      </w:r>
    </w:p>
    <w:p>
      <w:pPr>
        <w:pStyle w:val="Normal"/>
        <w:widowControl/>
        <w:rPr>
          <w:spacing w:val="20"/>
          <w:sz w:val="27"/>
          <w:szCs w:val="27"/>
        </w:rPr>
      </w:pPr>
      <w:r>
        <w:rPr>
          <w:spacing w:val="20"/>
          <w:sz w:val="27"/>
          <w:szCs w:val="27"/>
        </w:rPr>
        <w:t>表二</w:t>
      </w:r>
    </w:p>
    <w:p>
      <w:pPr>
        <w:pStyle w:val="Normal"/>
        <w:widowControl/>
        <w:rPr>
          <w:sz w:val="27"/>
          <w:szCs w:val="27"/>
        </w:rPr>
      </w:pPr>
      <w:r>
        <w:rPr>
          <w:sz w:val="27"/>
          <w:szCs w:val="27"/>
        </w:rPr>
      </w:r>
    </w:p>
    <w:tbl>
      <w:tblPr>
        <w:tblW w:w="5000" w:type="pct"/>
        <w:jc w:val="left"/>
        <w:tblInd w:w="0" w:type="dxa"/>
        <w:tblCellMar>
          <w:top w:w="0" w:type="dxa"/>
          <w:left w:w="5" w:type="dxa"/>
          <w:bottom w:w="0" w:type="dxa"/>
          <w:right w:w="5" w:type="dxa"/>
        </w:tblCellMar>
        <w:tblLook w:val="0000" w:noHBand="0" w:noVBand="0" w:firstColumn="0" w:lastRow="0" w:lastColumn="0" w:firstRow="0"/>
      </w:tblPr>
      <w:tblGrid>
        <w:gridCol w:w="1846"/>
        <w:gridCol w:w="2194"/>
        <w:gridCol w:w="1725"/>
        <w:gridCol w:w="1887"/>
        <w:gridCol w:w="1561"/>
      </w:tblGrid>
      <w:tr>
        <w:trPr>
          <w:tblHeader w:val="true"/>
          <w:trHeight w:val="20" w:hRule="atLeast"/>
        </w:trPr>
        <w:tc>
          <w:tcPr>
            <w:tcW w:w="1846"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exact" w:line="300"/>
              <w:ind w:left="57" w:right="57" w:hanging="0"/>
              <w:jc w:val="center"/>
              <w:rPr>
                <w:i/>
                <w:i/>
                <w:spacing w:val="10"/>
                <w:w w:val="101"/>
                <w:sz w:val="27"/>
                <w:szCs w:val="27"/>
              </w:rPr>
            </w:pPr>
            <w:r>
              <w:rPr>
                <w:i/>
                <w:spacing w:val="10"/>
                <w:w w:val="101"/>
                <w:sz w:val="27"/>
                <w:szCs w:val="27"/>
              </w:rPr>
              <w:t>政策局、政府部門及法定組織名稱</w:t>
            </w:r>
          </w:p>
          <w:p>
            <w:pPr>
              <w:pStyle w:val="Normal"/>
              <w:widowControl/>
              <w:snapToGrid w:val="false"/>
              <w:spacing w:lineRule="exact" w:line="300"/>
              <w:ind w:left="57" w:right="57" w:hanging="0"/>
              <w:jc w:val="center"/>
              <w:rPr>
                <w:i/>
                <w:i/>
                <w:spacing w:val="20"/>
                <w:w w:val="101"/>
                <w:sz w:val="27"/>
                <w:szCs w:val="27"/>
              </w:rPr>
            </w:pPr>
            <w:r>
              <w:rPr>
                <w:i/>
                <w:spacing w:val="20"/>
                <w:w w:val="101"/>
                <w:sz w:val="27"/>
                <w:szCs w:val="27"/>
              </w:rPr>
              <w:t>Policy Bureaux and government departments</w:t>
            </w:r>
          </w:p>
        </w:tc>
        <w:tc>
          <w:tcPr>
            <w:tcW w:w="2194"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exact" w:line="300"/>
              <w:ind w:left="57" w:right="57" w:hanging="0"/>
              <w:jc w:val="center"/>
              <w:rPr>
                <w:i/>
                <w:i/>
                <w:spacing w:val="20"/>
                <w:sz w:val="27"/>
                <w:szCs w:val="27"/>
              </w:rPr>
            </w:pPr>
            <w:r>
              <w:rPr>
                <w:i/>
                <w:spacing w:val="20"/>
                <w:sz w:val="27"/>
                <w:szCs w:val="27"/>
              </w:rPr>
              <w:t>(i)</w:t>
            </w:r>
          </w:p>
          <w:p>
            <w:pPr>
              <w:pStyle w:val="Normal"/>
              <w:widowControl/>
              <w:snapToGrid w:val="false"/>
              <w:spacing w:lineRule="exact" w:line="300"/>
              <w:ind w:left="57" w:right="57" w:hanging="0"/>
              <w:jc w:val="center"/>
              <w:rPr>
                <w:i/>
                <w:i/>
                <w:spacing w:val="20"/>
                <w:sz w:val="27"/>
                <w:szCs w:val="27"/>
              </w:rPr>
            </w:pPr>
            <w:r>
              <w:rPr>
                <w:i/>
                <w:spacing w:val="20"/>
                <w:sz w:val="27"/>
                <w:szCs w:val="27"/>
              </w:rPr>
              <w:t>報告名稱及</w:t>
            </w:r>
          </w:p>
          <w:p>
            <w:pPr>
              <w:pStyle w:val="Normal"/>
              <w:widowControl/>
              <w:snapToGrid w:val="false"/>
              <w:spacing w:lineRule="exact" w:line="300"/>
              <w:ind w:left="57" w:right="57" w:hanging="0"/>
              <w:jc w:val="center"/>
              <w:rPr>
                <w:i/>
                <w:i/>
                <w:spacing w:val="20"/>
                <w:sz w:val="27"/>
                <w:szCs w:val="27"/>
              </w:rPr>
            </w:pPr>
            <w:r>
              <w:rPr>
                <w:i/>
                <w:spacing w:val="20"/>
                <w:sz w:val="27"/>
                <w:szCs w:val="27"/>
              </w:rPr>
              <w:t>完成日期</w:t>
            </w:r>
          </w:p>
          <w:p>
            <w:pPr>
              <w:pStyle w:val="Normal"/>
              <w:widowControl/>
              <w:snapToGrid w:val="false"/>
              <w:spacing w:lineRule="exact" w:line="300"/>
              <w:ind w:left="57" w:right="57" w:hanging="0"/>
              <w:jc w:val="center"/>
              <w:rPr>
                <w:i/>
                <w:i/>
                <w:spacing w:val="20"/>
                <w:sz w:val="27"/>
                <w:szCs w:val="27"/>
              </w:rPr>
            </w:pPr>
            <w:r>
              <w:rPr>
                <w:i/>
                <w:spacing w:val="20"/>
                <w:sz w:val="27"/>
                <w:szCs w:val="27"/>
              </w:rPr>
              <w:t>Titles and dates of completion</w:t>
            </w:r>
          </w:p>
        </w:tc>
        <w:tc>
          <w:tcPr>
            <w:tcW w:w="1725"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exact" w:line="300"/>
              <w:ind w:left="57" w:right="57" w:hanging="0"/>
              <w:jc w:val="center"/>
              <w:rPr>
                <w:i/>
                <w:i/>
                <w:spacing w:val="20"/>
                <w:sz w:val="27"/>
                <w:szCs w:val="27"/>
              </w:rPr>
            </w:pPr>
            <w:r>
              <w:rPr>
                <w:i/>
                <w:spacing w:val="20"/>
                <w:sz w:val="27"/>
                <w:szCs w:val="27"/>
              </w:rPr>
              <w:t>(ii)</w:t>
            </w:r>
          </w:p>
          <w:p>
            <w:pPr>
              <w:pStyle w:val="Normal"/>
              <w:widowControl/>
              <w:snapToGrid w:val="false"/>
              <w:spacing w:lineRule="exact" w:line="300"/>
              <w:ind w:left="57" w:right="57" w:hanging="0"/>
              <w:jc w:val="center"/>
              <w:rPr>
                <w:i/>
                <w:i/>
                <w:spacing w:val="20"/>
                <w:sz w:val="27"/>
                <w:szCs w:val="27"/>
              </w:rPr>
            </w:pPr>
            <w:r>
              <w:rPr>
                <w:i/>
                <w:spacing w:val="20"/>
                <w:sz w:val="27"/>
                <w:szCs w:val="27"/>
              </w:rPr>
              <w:t>供公眾閱覽方法</w:t>
            </w:r>
          </w:p>
          <w:p>
            <w:pPr>
              <w:pStyle w:val="Normal"/>
              <w:widowControl/>
              <w:snapToGrid w:val="false"/>
              <w:spacing w:lineRule="exact" w:line="300"/>
              <w:ind w:left="57" w:right="57" w:hanging="0"/>
              <w:jc w:val="center"/>
              <w:rPr>
                <w:i/>
                <w:i/>
                <w:spacing w:val="20"/>
                <w:sz w:val="27"/>
                <w:szCs w:val="27"/>
              </w:rPr>
            </w:pPr>
            <w:r>
              <w:rPr>
                <w:i/>
                <w:spacing w:val="20"/>
                <w:sz w:val="27"/>
                <w:szCs w:val="27"/>
              </w:rPr>
              <w:t>The modes of public access</w:t>
            </w:r>
          </w:p>
        </w:tc>
        <w:tc>
          <w:tcPr>
            <w:tcW w:w="1887" w:type="dxa"/>
            <w:tcBorders>
              <w:top w:val="single" w:sz="4" w:space="0" w:color="000000"/>
              <w:left w:val="single" w:sz="4" w:space="0" w:color="000000"/>
              <w:bottom w:val="single" w:sz="4" w:space="0" w:color="000000"/>
              <w:right w:val="single" w:sz="4" w:space="0" w:color="000000"/>
            </w:tcBorders>
            <w:vAlign w:val="center"/>
          </w:tcPr>
          <w:p>
            <w:pPr>
              <w:pStyle w:val="Normal"/>
              <w:widowControl/>
              <w:snapToGrid w:val="false"/>
              <w:spacing w:lineRule="exact" w:line="300"/>
              <w:ind w:left="57" w:right="57" w:hanging="0"/>
              <w:jc w:val="center"/>
              <w:rPr>
                <w:i/>
                <w:i/>
                <w:spacing w:val="20"/>
                <w:sz w:val="27"/>
                <w:szCs w:val="27"/>
              </w:rPr>
            </w:pPr>
            <w:r>
              <w:rPr>
                <w:i/>
                <w:spacing w:val="20"/>
                <w:sz w:val="27"/>
                <w:szCs w:val="27"/>
              </w:rPr>
              <w:t>(iii)</w:t>
            </w:r>
          </w:p>
          <w:p>
            <w:pPr>
              <w:pStyle w:val="Normal"/>
              <w:widowControl/>
              <w:snapToGrid w:val="false"/>
              <w:spacing w:lineRule="exact" w:line="300"/>
              <w:ind w:left="57" w:right="57" w:hanging="0"/>
              <w:jc w:val="center"/>
              <w:rPr>
                <w:i/>
                <w:i/>
                <w:spacing w:val="20"/>
                <w:sz w:val="27"/>
                <w:szCs w:val="27"/>
              </w:rPr>
            </w:pPr>
            <w:r>
              <w:rPr>
                <w:i/>
                <w:spacing w:val="20"/>
                <w:sz w:val="27"/>
                <w:szCs w:val="27"/>
              </w:rPr>
              <w:t>可供參閱的內容及語言</w:t>
            </w:r>
            <w:r>
              <w:rPr>
                <w:i/>
                <w:spacing w:val="20"/>
                <w:sz w:val="27"/>
                <w:szCs w:val="27"/>
              </w:rPr>
              <w:t>(</w:t>
            </w:r>
            <w:r>
              <w:rPr>
                <w:i/>
                <w:spacing w:val="20"/>
                <w:sz w:val="27"/>
                <w:szCs w:val="27"/>
              </w:rPr>
              <w:t>中文</w:t>
            </w:r>
            <w:r>
              <w:rPr>
                <w:i/>
                <w:spacing w:val="20"/>
                <w:sz w:val="27"/>
                <w:szCs w:val="27"/>
              </w:rPr>
              <w:t>(</w:t>
            </w:r>
            <w:r>
              <w:rPr>
                <w:i/>
                <w:spacing w:val="20"/>
                <w:sz w:val="27"/>
                <w:szCs w:val="27"/>
              </w:rPr>
              <w:t>中</w:t>
            </w:r>
            <w:r>
              <w:rPr>
                <w:i/>
                <w:spacing w:val="20"/>
                <w:sz w:val="27"/>
                <w:szCs w:val="27"/>
              </w:rPr>
              <w:t>)</w:t>
            </w:r>
            <w:r>
              <w:rPr>
                <w:i/>
                <w:spacing w:val="20"/>
                <w:sz w:val="27"/>
                <w:szCs w:val="27"/>
              </w:rPr>
              <w:t>，</w:t>
            </w:r>
          </w:p>
          <w:p>
            <w:pPr>
              <w:pStyle w:val="Normal"/>
              <w:widowControl/>
              <w:snapToGrid w:val="false"/>
              <w:spacing w:lineRule="exact" w:line="300"/>
              <w:ind w:left="57" w:right="57" w:hanging="0"/>
              <w:jc w:val="center"/>
              <w:rPr>
                <w:i/>
                <w:i/>
                <w:spacing w:val="20"/>
                <w:sz w:val="27"/>
                <w:szCs w:val="27"/>
              </w:rPr>
            </w:pPr>
            <w:r>
              <w:rPr>
                <w:i/>
                <w:spacing w:val="20"/>
                <w:sz w:val="27"/>
                <w:szCs w:val="27"/>
              </w:rPr>
              <w:t>英文</w:t>
            </w:r>
            <w:r>
              <w:rPr>
                <w:i/>
                <w:spacing w:val="20"/>
                <w:sz w:val="27"/>
                <w:szCs w:val="27"/>
              </w:rPr>
              <w:t>(</w:t>
            </w:r>
            <w:r>
              <w:rPr>
                <w:i/>
                <w:spacing w:val="20"/>
                <w:sz w:val="27"/>
                <w:szCs w:val="27"/>
              </w:rPr>
              <w:t>英</w:t>
            </w:r>
            <w:r>
              <w:rPr>
                <w:i/>
                <w:spacing w:val="20"/>
                <w:sz w:val="27"/>
                <w:szCs w:val="27"/>
              </w:rPr>
              <w:t>))</w:t>
            </w:r>
          </w:p>
          <w:p>
            <w:pPr>
              <w:pStyle w:val="Normal"/>
              <w:widowControl/>
              <w:snapToGrid w:val="false"/>
              <w:spacing w:lineRule="exact" w:line="300"/>
              <w:ind w:left="57" w:right="57" w:hanging="0"/>
              <w:jc w:val="center"/>
              <w:rPr>
                <w:i/>
                <w:i/>
                <w:spacing w:val="20"/>
                <w:sz w:val="27"/>
                <w:szCs w:val="27"/>
              </w:rPr>
            </w:pPr>
            <w:r>
              <w:rPr>
                <w:i/>
                <w:spacing w:val="20"/>
                <w:sz w:val="27"/>
                <w:szCs w:val="27"/>
              </w:rPr>
              <w:t>The contents and languages available for public access</w:t>
            </w:r>
          </w:p>
        </w:tc>
        <w:tc>
          <w:tcPr>
            <w:tcW w:w="1561" w:type="dxa"/>
            <w:tcBorders>
              <w:top w:val="single" w:sz="4" w:space="0" w:color="000000"/>
              <w:left w:val="single" w:sz="4" w:space="0" w:color="000000"/>
              <w:bottom w:val="single" w:sz="4" w:space="0" w:color="000000"/>
              <w:right w:val="single" w:sz="4" w:space="0" w:color="000000"/>
            </w:tcBorders>
            <w:vAlign w:val="center"/>
          </w:tcPr>
          <w:p>
            <w:pPr>
              <w:pStyle w:val="Normal"/>
              <w:widowControl/>
              <w:spacing w:lineRule="exact" w:line="300"/>
              <w:ind w:left="57" w:right="57" w:hanging="0"/>
              <w:jc w:val="center"/>
              <w:rPr>
                <w:bCs/>
                <w:i/>
                <w:i/>
                <w:sz w:val="27"/>
                <w:szCs w:val="27"/>
              </w:rPr>
            </w:pPr>
            <w:r>
              <w:rPr>
                <w:bCs/>
                <w:i/>
                <w:sz w:val="27"/>
                <w:szCs w:val="27"/>
              </w:rPr>
              <w:t>(iv)</w:t>
            </w:r>
          </w:p>
          <w:p>
            <w:pPr>
              <w:pStyle w:val="Normal"/>
              <w:widowControl/>
              <w:spacing w:lineRule="exact" w:line="300"/>
              <w:ind w:left="57" w:right="57" w:hanging="0"/>
              <w:jc w:val="center"/>
              <w:rPr>
                <w:i/>
                <w:i/>
                <w:spacing w:val="20"/>
                <w:sz w:val="27"/>
                <w:szCs w:val="27"/>
              </w:rPr>
            </w:pPr>
            <w:r>
              <w:rPr>
                <w:i/>
                <w:spacing w:val="20"/>
                <w:sz w:val="27"/>
                <w:szCs w:val="27"/>
              </w:rPr>
              <w:t>有否在部門網站或透過政府新聞處</w:t>
            </w:r>
          </w:p>
          <w:p>
            <w:pPr>
              <w:pStyle w:val="Normal"/>
              <w:widowControl/>
              <w:spacing w:lineRule="exact" w:line="300"/>
              <w:ind w:left="57" w:right="57" w:hanging="0"/>
              <w:jc w:val="center"/>
              <w:rPr>
                <w:i/>
                <w:i/>
                <w:spacing w:val="20"/>
                <w:sz w:val="27"/>
                <w:szCs w:val="27"/>
              </w:rPr>
            </w:pPr>
            <w:r>
              <w:rPr>
                <w:i/>
                <w:spacing w:val="20"/>
                <w:sz w:val="27"/>
                <w:szCs w:val="27"/>
              </w:rPr>
              <w:t>知會公眾有關報告可供閱覽</w:t>
            </w:r>
          </w:p>
          <w:p>
            <w:pPr>
              <w:pStyle w:val="Normal"/>
              <w:widowControl/>
              <w:snapToGrid w:val="false"/>
              <w:spacing w:lineRule="exact" w:line="300"/>
              <w:ind w:left="57" w:right="57" w:hanging="0"/>
              <w:jc w:val="center"/>
              <w:rPr>
                <w:i/>
                <w:i/>
                <w:spacing w:val="20"/>
                <w:sz w:val="27"/>
                <w:szCs w:val="27"/>
              </w:rPr>
            </w:pPr>
            <w:r>
              <w:rPr>
                <w:bCs/>
                <w:i/>
                <w:sz w:val="27"/>
                <w:szCs w:val="27"/>
              </w:rPr>
              <w:t xml:space="preserve">Whether the public are informed through </w:t>
            </w:r>
            <w:r>
              <w:rPr>
                <w:bCs/>
                <w:i/>
                <w:spacing w:val="-2"/>
                <w:sz w:val="27"/>
                <w:szCs w:val="27"/>
              </w:rPr>
              <w:t>departmental</w:t>
            </w:r>
            <w:r>
              <w:rPr>
                <w:bCs/>
                <w:i/>
                <w:sz w:val="27"/>
                <w:szCs w:val="27"/>
              </w:rPr>
              <w:t xml:space="preserve"> websites or the Information Services Department of the availability of access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中央政策組</w:t>
            </w:r>
          </w:p>
          <w:p>
            <w:pPr>
              <w:pStyle w:val="Normal"/>
              <w:widowControl/>
              <w:snapToGrid w:val="false"/>
              <w:spacing w:lineRule="exact" w:line="280"/>
              <w:ind w:left="57" w:right="57" w:hanging="0"/>
              <w:rPr>
                <w:spacing w:val="20"/>
                <w:sz w:val="27"/>
                <w:szCs w:val="27"/>
              </w:rPr>
            </w:pPr>
            <w:r>
              <w:rPr>
                <w:spacing w:val="20"/>
                <w:sz w:val="27"/>
                <w:szCs w:val="27"/>
              </w:rPr>
              <w:t>Central Policy Unit</w:t>
            </w:r>
          </w:p>
        </w:tc>
        <w:tc>
          <w:tcPr>
            <w:tcW w:w="7367" w:type="dxa"/>
            <w:gridSpan w:val="4"/>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公眾可於中央政策組網站，查閱自</w:t>
            </w:r>
            <w:r>
              <w:rPr>
                <w:spacing w:val="20"/>
                <w:sz w:val="27"/>
                <w:szCs w:val="27"/>
              </w:rPr>
              <w:t>2000</w:t>
            </w:r>
            <w:r>
              <w:rPr>
                <w:spacing w:val="20"/>
                <w:sz w:val="27"/>
                <w:szCs w:val="27"/>
              </w:rPr>
              <w:t>年起已公開的顧問研究報告，共</w:t>
            </w:r>
            <w:r>
              <w:rPr>
                <w:spacing w:val="20"/>
                <w:sz w:val="27"/>
                <w:szCs w:val="27"/>
              </w:rPr>
              <w:t>119</w:t>
            </w:r>
            <w:r>
              <w:rPr>
                <w:spacing w:val="20"/>
                <w:sz w:val="27"/>
                <w:szCs w:val="27"/>
              </w:rPr>
              <w:t>份。細節可於本組網站內備悉。</w:t>
            </w:r>
          </w:p>
          <w:p>
            <w:pPr>
              <w:pStyle w:val="Normal"/>
              <w:widowControl/>
              <w:snapToGrid w:val="false"/>
              <w:spacing w:lineRule="exact" w:line="280"/>
              <w:ind w:left="57" w:right="57" w:hanging="0"/>
              <w:rPr>
                <w:spacing w:val="20"/>
                <w:sz w:val="27"/>
                <w:szCs w:val="27"/>
              </w:rPr>
            </w:pPr>
            <w:r>
              <w:rPr>
                <w:spacing w:val="20"/>
                <w:sz w:val="27"/>
                <w:szCs w:val="27"/>
              </w:rPr>
              <w:t>The public can inspect all 119 disclosed consultancy reports dated from 2000 through the Central Policy Unit's website.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土木工程拓展署</w:t>
            </w:r>
          </w:p>
          <w:p>
            <w:pPr>
              <w:pStyle w:val="Normal"/>
              <w:widowControl/>
              <w:snapToGrid w:val="false"/>
              <w:spacing w:lineRule="exact" w:line="280"/>
              <w:ind w:left="57" w:right="57" w:hanging="0"/>
              <w:rPr>
                <w:spacing w:val="20"/>
                <w:sz w:val="27"/>
                <w:szCs w:val="27"/>
              </w:rPr>
            </w:pPr>
            <w:r>
              <w:rPr>
                <w:spacing w:val="20"/>
                <w:sz w:val="27"/>
                <w:szCs w:val="27"/>
              </w:rPr>
              <w:t>Civil Engineering and Development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善用香港地下空間及岩洞發展長遠策略行政摘要</w:t>
            </w:r>
          </w:p>
          <w:p>
            <w:pPr>
              <w:pStyle w:val="Normal"/>
              <w:widowControl/>
              <w:snapToGrid w:val="false"/>
              <w:spacing w:lineRule="exact" w:line="280"/>
              <w:ind w:left="57" w:right="57" w:hanging="0"/>
              <w:rPr>
                <w:spacing w:val="20"/>
                <w:sz w:val="27"/>
                <w:szCs w:val="27"/>
              </w:rPr>
            </w:pPr>
            <w:r>
              <w:rPr>
                <w:spacing w:val="20"/>
                <w:sz w:val="27"/>
                <w:szCs w:val="27"/>
              </w:rPr>
              <w:t>Enhanced Use of Underground Space in Hong Kong and Long-term Strategy for Cavern Development Executive Summary</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(3/2011)</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網頁列載或可供下載</w:t>
            </w:r>
          </w:p>
          <w:p>
            <w:pPr>
              <w:pStyle w:val="Normal"/>
              <w:widowControl/>
              <w:snapToGrid w:val="false"/>
              <w:spacing w:lineRule="exact" w:line="280"/>
              <w:ind w:left="57" w:right="57" w:hanging="0"/>
              <w:rPr>
                <w:spacing w:val="20"/>
                <w:sz w:val="27"/>
                <w:szCs w:val="27"/>
              </w:rPr>
            </w:pPr>
            <w:r>
              <w:rPr>
                <w:spacing w:val="20"/>
                <w:sz w:val="27"/>
                <w:szCs w:val="27"/>
              </w:rPr>
              <w:t>Available on</w:t>
            </w:r>
          </w:p>
          <w:p>
            <w:pPr>
              <w:pStyle w:val="Normal"/>
              <w:widowControl/>
              <w:snapToGrid w:val="false"/>
              <w:spacing w:lineRule="exact" w:line="280"/>
              <w:ind w:left="57" w:right="57" w:hanging="0"/>
              <w:rPr>
                <w:spacing w:val="20"/>
                <w:sz w:val="27"/>
                <w:szCs w:val="27"/>
              </w:rPr>
            </w:pPr>
            <w:r>
              <w:rPr>
                <w:spacing w:val="20"/>
                <w:sz w:val="27"/>
                <w:szCs w:val="27"/>
              </w:rPr>
              <w:t>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全文</w:t>
            </w:r>
          </w:p>
          <w:p>
            <w:pPr>
              <w:pStyle w:val="Normal"/>
              <w:widowControl/>
              <w:snapToGrid w:val="false"/>
              <w:spacing w:lineRule="exact" w:line="280"/>
              <w:ind w:left="57" w:right="57" w:hanging="0"/>
              <w:rPr>
                <w:spacing w:val="20"/>
                <w:sz w:val="27"/>
                <w:szCs w:val="27"/>
              </w:rPr>
            </w:pPr>
            <w:r>
              <w:rPr>
                <w:spacing w:val="20"/>
                <w:sz w:val="27"/>
                <w:szCs w:val="27"/>
              </w:rPr>
              <w:t>Full Text</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中及英</w:t>
            </w:r>
          </w:p>
          <w:p>
            <w:pPr>
              <w:pStyle w:val="Normal"/>
              <w:widowControl/>
              <w:snapToGrid w:val="false"/>
              <w:spacing w:lineRule="exact" w:line="280"/>
              <w:ind w:left="57" w:right="57" w:hanging="0"/>
              <w:rPr>
                <w:spacing w:val="20"/>
                <w:sz w:val="27"/>
                <w:szCs w:val="27"/>
              </w:rPr>
            </w:pPr>
            <w:r>
              <w:rPr>
                <w:spacing w:val="20"/>
                <w:sz w:val="27"/>
                <w:szCs w:val="27"/>
              </w:rPr>
              <w:t>Chinese and</w:t>
            </w:r>
          </w:p>
          <w:p>
            <w:pPr>
              <w:pStyle w:val="Normal"/>
              <w:widowControl/>
              <w:snapToGrid w:val="false"/>
              <w:spacing w:lineRule="exact" w:line="28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有</w:t>
            </w:r>
          </w:p>
          <w:p>
            <w:pPr>
              <w:pStyle w:val="Normal"/>
              <w:widowControl/>
              <w:snapToGrid w:val="false"/>
              <w:spacing w:lineRule="exact" w:line="28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2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20"/>
              <w:ind w:left="57" w:right="57" w:hanging="0"/>
              <w:rPr>
                <w:spacing w:val="20"/>
                <w:sz w:val="27"/>
                <w:szCs w:val="27"/>
              </w:rPr>
            </w:pPr>
            <w:r>
              <w:rPr>
                <w:spacing w:val="20"/>
                <w:sz w:val="27"/>
                <w:szCs w:val="27"/>
              </w:rPr>
              <w:t xml:space="preserve">南丫島索罟灣前南丫石礦場未來土地用途發展規劃及工程研究 </w:t>
            </w:r>
            <w:r>
              <w:rPr>
                <w:rFonts w:ascii="華康細明體" w:hAnsi="華康細明體" w:cs="華康細明體"/>
                <w:spacing w:val="20"/>
                <w:sz w:val="27"/>
                <w:szCs w:val="27"/>
              </w:rPr>
              <w:t>─</w:t>
            </w:r>
            <w:r>
              <w:rPr>
                <w:spacing w:val="20"/>
                <w:sz w:val="27"/>
                <w:szCs w:val="27"/>
              </w:rPr>
              <w:t xml:space="preserve"> 可行性研究</w:t>
            </w:r>
          </w:p>
          <w:p>
            <w:pPr>
              <w:pStyle w:val="Normal"/>
              <w:widowControl/>
              <w:snapToGrid w:val="false"/>
              <w:spacing w:lineRule="exact" w:line="320"/>
              <w:ind w:left="57" w:right="57" w:hanging="0"/>
              <w:rPr>
                <w:spacing w:val="20"/>
                <w:sz w:val="27"/>
                <w:szCs w:val="27"/>
              </w:rPr>
            </w:pPr>
            <w:r>
              <w:rPr>
                <w:spacing w:val="20"/>
                <w:sz w:val="27"/>
                <w:szCs w:val="27"/>
              </w:rPr>
              <w:t>第一階段社區參與摘要</w:t>
            </w:r>
          </w:p>
          <w:p>
            <w:pPr>
              <w:pStyle w:val="Normal"/>
              <w:widowControl/>
              <w:snapToGrid w:val="false"/>
              <w:spacing w:lineRule="exact" w:line="320"/>
              <w:ind w:left="57" w:right="57" w:hanging="0"/>
              <w:rPr>
                <w:spacing w:val="20"/>
                <w:sz w:val="27"/>
                <w:szCs w:val="27"/>
              </w:rPr>
            </w:pPr>
            <w:r>
              <w:rPr>
                <w:spacing w:val="20"/>
                <w:sz w:val="27"/>
                <w:szCs w:val="27"/>
              </w:rPr>
              <w:t xml:space="preserve">Planning and Engineering Study on Future Land Use at Ex-Lamma Quarry Area at Sok Kwu Wan, </w:t>
            </w:r>
            <w:r>
              <w:rPr>
                <w:sz w:val="27"/>
                <w:szCs w:val="27"/>
              </w:rPr>
              <w:t xml:space="preserve">Lamma Island ― </w:t>
            </w:r>
            <w:r>
              <w:rPr>
                <w:spacing w:val="20"/>
                <w:sz w:val="27"/>
                <w:szCs w:val="27"/>
              </w:rPr>
              <w:t>Feasibility Study Stage 1 Community Engagement Digest</w:t>
            </w:r>
          </w:p>
          <w:p>
            <w:pPr>
              <w:pStyle w:val="Normal"/>
              <w:widowControl/>
              <w:snapToGrid w:val="false"/>
              <w:spacing w:lineRule="exact" w:line="320"/>
              <w:ind w:left="57" w:right="57" w:hanging="0"/>
              <w:rPr>
                <w:spacing w:val="20"/>
                <w:sz w:val="27"/>
                <w:szCs w:val="27"/>
              </w:rPr>
            </w:pPr>
            <w:r>
              <w:rPr>
                <w:spacing w:val="20"/>
                <w:sz w:val="27"/>
                <w:szCs w:val="27"/>
              </w:rPr>
            </w:r>
          </w:p>
          <w:p>
            <w:pPr>
              <w:pStyle w:val="Normal"/>
              <w:widowControl/>
              <w:snapToGrid w:val="false"/>
              <w:spacing w:lineRule="exact" w:line="320"/>
              <w:ind w:left="57" w:right="57" w:hanging="0"/>
              <w:rPr>
                <w:spacing w:val="20"/>
                <w:sz w:val="27"/>
                <w:szCs w:val="27"/>
              </w:rPr>
            </w:pPr>
            <w:r>
              <w:rPr>
                <w:spacing w:val="20"/>
                <w:sz w:val="27"/>
                <w:szCs w:val="27"/>
              </w:rPr>
              <w:t>(12/2012)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2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20"/>
              <w:ind w:left="57" w:right="57" w:hanging="0"/>
              <w:rPr>
                <w:spacing w:val="20"/>
                <w:sz w:val="27"/>
                <w:szCs w:val="27"/>
              </w:rPr>
            </w:pPr>
            <w:r>
              <w:rPr>
                <w:spacing w:val="20"/>
                <w:sz w:val="27"/>
                <w:szCs w:val="27"/>
              </w:rPr>
              <w:t>全文</w:t>
            </w:r>
          </w:p>
          <w:p>
            <w:pPr>
              <w:pStyle w:val="Normal"/>
              <w:widowControl/>
              <w:snapToGrid w:val="false"/>
              <w:spacing w:lineRule="exact" w:line="320"/>
              <w:ind w:left="57" w:right="57" w:hanging="0"/>
              <w:rPr>
                <w:spacing w:val="20"/>
                <w:sz w:val="27"/>
                <w:szCs w:val="27"/>
              </w:rPr>
            </w:pPr>
            <w:r>
              <w:rPr>
                <w:spacing w:val="20"/>
                <w:sz w:val="27"/>
                <w:szCs w:val="27"/>
              </w:rPr>
              <w:t>Full Text</w:t>
            </w:r>
          </w:p>
          <w:p>
            <w:pPr>
              <w:pStyle w:val="Normal"/>
              <w:widowControl/>
              <w:snapToGrid w:val="false"/>
              <w:spacing w:lineRule="exact" w:line="320"/>
              <w:ind w:left="57" w:right="57" w:hanging="0"/>
              <w:rPr>
                <w:spacing w:val="20"/>
                <w:sz w:val="27"/>
                <w:szCs w:val="27"/>
              </w:rPr>
            </w:pPr>
            <w:r>
              <w:rPr>
                <w:spacing w:val="20"/>
                <w:sz w:val="27"/>
                <w:szCs w:val="27"/>
              </w:rPr>
            </w:r>
          </w:p>
          <w:p>
            <w:pPr>
              <w:pStyle w:val="Normal"/>
              <w:widowControl/>
              <w:snapToGrid w:val="false"/>
              <w:spacing w:lineRule="exact" w:line="320"/>
              <w:ind w:left="57" w:right="57" w:hanging="0"/>
              <w:rPr>
                <w:spacing w:val="20"/>
                <w:sz w:val="27"/>
                <w:szCs w:val="27"/>
              </w:rPr>
            </w:pPr>
            <w:r>
              <w:rPr>
                <w:spacing w:val="20"/>
                <w:sz w:val="27"/>
                <w:szCs w:val="27"/>
              </w:rPr>
              <w:t>中及英</w:t>
            </w:r>
          </w:p>
          <w:p>
            <w:pPr>
              <w:pStyle w:val="Normal"/>
              <w:widowControl/>
              <w:snapToGrid w:val="false"/>
              <w:spacing w:lineRule="exact" w:line="320"/>
              <w:ind w:left="57" w:right="57" w:hanging="0"/>
              <w:rPr>
                <w:spacing w:val="20"/>
                <w:sz w:val="27"/>
                <w:szCs w:val="27"/>
              </w:rPr>
            </w:pPr>
            <w:r>
              <w:rPr>
                <w:spacing w:val="20"/>
                <w:sz w:val="27"/>
                <w:szCs w:val="27"/>
              </w:rPr>
              <w:t>Chinese and</w:t>
            </w:r>
          </w:p>
          <w:p>
            <w:pPr>
              <w:pStyle w:val="Normal"/>
              <w:widowControl/>
              <w:snapToGrid w:val="false"/>
              <w:spacing w:lineRule="exact" w:line="32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20"/>
              <w:ind w:left="57" w:right="57" w:hanging="0"/>
              <w:rPr>
                <w:spacing w:val="20"/>
                <w:sz w:val="27"/>
                <w:szCs w:val="27"/>
              </w:rPr>
            </w:pPr>
            <w:r>
              <w:rPr>
                <w:spacing w:val="20"/>
                <w:sz w:val="27"/>
                <w:szCs w:val="27"/>
              </w:rPr>
              <w:t>有</w:t>
            </w:r>
          </w:p>
          <w:p>
            <w:pPr>
              <w:pStyle w:val="Normal"/>
              <w:widowControl/>
              <w:snapToGrid w:val="false"/>
              <w:spacing w:lineRule="exact" w:line="32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優化土地供應策略</w:t>
            </w:r>
          </w:p>
          <w:p>
            <w:pPr>
              <w:pStyle w:val="Normal"/>
              <w:widowControl/>
              <w:snapToGrid w:val="false"/>
              <w:spacing w:lineRule="exact" w:line="290"/>
              <w:ind w:left="57" w:right="57" w:hanging="0"/>
              <w:rPr>
                <w:spacing w:val="20"/>
                <w:sz w:val="27"/>
                <w:szCs w:val="27"/>
              </w:rPr>
            </w:pPr>
            <w:r>
              <w:rPr>
                <w:spacing w:val="20"/>
                <w:sz w:val="27"/>
                <w:szCs w:val="27"/>
              </w:rPr>
              <w:t>第一階段公眾參與報告</w:t>
            </w:r>
            <w:r>
              <w:rPr>
                <w:spacing w:val="20"/>
                <w:sz w:val="27"/>
                <w:szCs w:val="27"/>
              </w:rPr>
              <w:t>(</w:t>
            </w:r>
            <w:r>
              <w:rPr>
                <w:spacing w:val="20"/>
                <w:sz w:val="27"/>
                <w:szCs w:val="27"/>
              </w:rPr>
              <w:t>行政摘要</w:t>
            </w:r>
            <w:r>
              <w:rPr>
                <w:spacing w:val="20"/>
                <w:sz w:val="27"/>
                <w:szCs w:val="27"/>
              </w:rPr>
              <w:t>)</w:t>
            </w:r>
          </w:p>
          <w:p>
            <w:pPr>
              <w:pStyle w:val="Normal"/>
              <w:widowControl/>
              <w:snapToGrid w:val="false"/>
              <w:spacing w:lineRule="exact" w:line="290"/>
              <w:ind w:left="57" w:right="57" w:hanging="0"/>
              <w:rPr>
                <w:spacing w:val="20"/>
                <w:sz w:val="27"/>
                <w:szCs w:val="27"/>
              </w:rPr>
            </w:pPr>
            <w:r>
              <w:rPr>
                <w:spacing w:val="20"/>
                <w:sz w:val="27"/>
                <w:szCs w:val="27"/>
              </w:rPr>
              <w:t xml:space="preserve">Enhancing Land Supply Strategy </w:t>
            </w:r>
          </w:p>
          <w:p>
            <w:pPr>
              <w:pStyle w:val="Normal"/>
              <w:widowControl/>
              <w:snapToGrid w:val="false"/>
              <w:spacing w:lineRule="exact" w:line="290"/>
              <w:ind w:left="57" w:right="57" w:hanging="0"/>
              <w:rPr>
                <w:spacing w:val="20"/>
                <w:sz w:val="27"/>
                <w:szCs w:val="27"/>
              </w:rPr>
            </w:pPr>
            <w:r>
              <w:rPr>
                <w:spacing w:val="20"/>
                <w:sz w:val="27"/>
                <w:szCs w:val="27"/>
              </w:rPr>
              <w:t>Stage 1 Public  Engagement Report (Executive Summary)</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(1/2013)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優化土地供應策略</w:t>
            </w:r>
          </w:p>
          <w:p>
            <w:pPr>
              <w:pStyle w:val="Normal"/>
              <w:widowControl/>
              <w:snapToGrid w:val="false"/>
              <w:spacing w:lineRule="exact" w:line="290"/>
              <w:ind w:left="57" w:right="57" w:hanging="0"/>
              <w:rPr>
                <w:spacing w:val="20"/>
                <w:sz w:val="27"/>
                <w:szCs w:val="27"/>
              </w:rPr>
            </w:pPr>
            <w:r>
              <w:rPr>
                <w:spacing w:val="20"/>
                <w:sz w:val="27"/>
                <w:szCs w:val="27"/>
              </w:rPr>
              <w:t>第二階段公眾參與摘要</w:t>
            </w:r>
          </w:p>
          <w:p>
            <w:pPr>
              <w:pStyle w:val="Normal"/>
              <w:widowControl/>
              <w:snapToGrid w:val="false"/>
              <w:spacing w:lineRule="exact" w:line="290"/>
              <w:ind w:left="57" w:right="57" w:hanging="0"/>
              <w:rPr>
                <w:spacing w:val="20"/>
                <w:sz w:val="27"/>
                <w:szCs w:val="27"/>
              </w:rPr>
            </w:pPr>
            <w:r>
              <w:rPr>
                <w:spacing w:val="20"/>
                <w:sz w:val="27"/>
                <w:szCs w:val="27"/>
              </w:rPr>
              <w:t>Enhancing Land Supply Strategy Stage 2 Public Engagement Digest</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(3/2013)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梅窩改善工程公眾論壇諮詢摘要</w:t>
            </w:r>
          </w:p>
          <w:p>
            <w:pPr>
              <w:pStyle w:val="Normal"/>
              <w:widowControl/>
              <w:snapToGrid w:val="false"/>
              <w:spacing w:lineRule="exact" w:line="290"/>
              <w:ind w:left="57" w:right="57" w:hanging="0"/>
              <w:rPr>
                <w:spacing w:val="20"/>
                <w:sz w:val="27"/>
                <w:szCs w:val="27"/>
              </w:rPr>
            </w:pPr>
            <w:r>
              <w:rPr>
                <w:spacing w:val="20"/>
                <w:sz w:val="27"/>
                <w:szCs w:val="27"/>
              </w:rPr>
              <w:t>Improvement Works at Mui Wo Public Forum Consultation Digest</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(2/2012)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exact" w:line="290"/>
              <w:ind w:left="57" w:right="57" w:hanging="0"/>
              <w:rPr>
                <w:spacing w:val="20"/>
                <w:sz w:val="27"/>
                <w:szCs w:val="27"/>
              </w:rPr>
            </w:pPr>
            <w:r>
              <w:rPr>
                <w:spacing w:val="20"/>
                <w:sz w:val="27"/>
                <w:szCs w:val="27"/>
              </w:rPr>
              <w:t>資料摘要</w:t>
            </w:r>
          </w:p>
          <w:p>
            <w:pPr>
              <w:pStyle w:val="Normal"/>
              <w:widowControl/>
              <w:snapToGrid w:val="false"/>
              <w:spacing w:lineRule="exact" w:line="290"/>
              <w:ind w:left="57" w:right="57" w:hanging="0"/>
              <w:rPr>
                <w:spacing w:val="20"/>
                <w:sz w:val="27"/>
                <w:szCs w:val="27"/>
              </w:rPr>
            </w:pPr>
            <w:r>
              <w:rPr>
                <w:spacing w:val="20"/>
                <w:sz w:val="27"/>
                <w:szCs w:val="27"/>
              </w:rPr>
              <w:t>Planning and Engineering Study on Development of Lok Ma Chau Loop Information Digest</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(7/2013)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auto" w:line="240"/>
              <w:ind w:left="57" w:right="57" w:hanging="0"/>
              <w:rPr>
                <w:spacing w:val="20"/>
                <w:sz w:val="27"/>
                <w:szCs w:val="27"/>
              </w:rPr>
            </w:pPr>
            <w:r>
              <w:rPr>
                <w:spacing w:val="20"/>
                <w:sz w:val="27"/>
                <w:szCs w:val="27"/>
              </w:rPr>
              <w:t>初始報告摘要</w:t>
            </w:r>
          </w:p>
          <w:p>
            <w:pPr>
              <w:pStyle w:val="Normal"/>
              <w:widowControl/>
              <w:snapToGrid w:val="false"/>
              <w:spacing w:lineRule="auto" w:line="240"/>
              <w:ind w:left="57" w:right="57" w:hanging="0"/>
              <w:rPr>
                <w:spacing w:val="20"/>
                <w:sz w:val="27"/>
                <w:szCs w:val="27"/>
              </w:rPr>
            </w:pPr>
            <w:r>
              <w:rPr>
                <w:spacing w:val="20"/>
                <w:sz w:val="27"/>
                <w:szCs w:val="27"/>
              </w:rPr>
              <w:t>Planning and Engineering Study on Development of Lok Ma Chau Loop Executive Summary of Final Inception 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16"/>
                <w:sz w:val="27"/>
                <w:szCs w:val="27"/>
              </w:rPr>
            </w:pPr>
            <w:r>
              <w:rPr>
                <w:spacing w:val="16"/>
                <w:sz w:val="27"/>
                <w:szCs w:val="27"/>
              </w:rPr>
              <w:t>落馬洲河套地區發展規劃及工程研究技術報告編號</w:t>
            </w:r>
            <w:r>
              <w:rPr>
                <w:spacing w:val="16"/>
                <w:sz w:val="27"/>
                <w:szCs w:val="27"/>
              </w:rPr>
              <w:t xml:space="preserve">1 </w:t>
            </w:r>
            <w:r>
              <w:rPr>
                <w:rFonts w:cs="華康細明體" w:ascii="華康細明體" w:hAnsi="華康細明體"/>
                <w:spacing w:val="16"/>
                <w:sz w:val="27"/>
                <w:szCs w:val="27"/>
              </w:rPr>
              <w:t>─</w:t>
            </w:r>
            <w:r>
              <w:rPr>
                <w:spacing w:val="16"/>
                <w:sz w:val="27"/>
                <w:szCs w:val="27"/>
              </w:rPr>
              <w:t xml:space="preserve"> </w:t>
            </w:r>
            <w:r>
              <w:rPr>
                <w:spacing w:val="16"/>
                <w:sz w:val="27"/>
                <w:szCs w:val="27"/>
              </w:rPr>
              <w:t>更新基綫資料及檢討主要因素</w:t>
            </w:r>
            <w:r>
              <w:rPr>
                <w:spacing w:val="16"/>
                <w:sz w:val="27"/>
                <w:szCs w:val="27"/>
              </w:rPr>
              <w:t>(</w:t>
            </w:r>
            <w:r>
              <w:rPr>
                <w:spacing w:val="16"/>
                <w:sz w:val="27"/>
                <w:szCs w:val="27"/>
              </w:rPr>
              <w:t>摘要</w:t>
            </w:r>
            <w:r>
              <w:rPr>
                <w:spacing w:val="16"/>
                <w:sz w:val="27"/>
                <w:szCs w:val="27"/>
              </w:rPr>
              <w:t>)</w:t>
            </w:r>
          </w:p>
          <w:p>
            <w:pPr>
              <w:pStyle w:val="Normal"/>
              <w:widowControl/>
              <w:snapToGrid w:val="false"/>
              <w:spacing w:lineRule="auto" w:line="240"/>
              <w:ind w:left="57" w:right="57" w:hanging="0"/>
              <w:rPr>
                <w:spacing w:val="20"/>
                <w:sz w:val="27"/>
                <w:szCs w:val="27"/>
              </w:rPr>
            </w:pPr>
            <w:r>
              <w:rPr>
                <w:spacing w:val="20"/>
                <w:sz w:val="27"/>
                <w:szCs w:val="27"/>
              </w:rPr>
              <w:t>Planning and Engineering Study on Development of Lok Ma Chau Loop Executive</w:t>
            </w:r>
          </w:p>
          <w:p>
            <w:pPr>
              <w:pStyle w:val="Normal"/>
              <w:widowControl/>
              <w:snapToGrid w:val="false"/>
              <w:spacing w:lineRule="auto" w:line="240"/>
              <w:ind w:left="57" w:right="57" w:hanging="0"/>
              <w:rPr>
                <w:spacing w:val="20"/>
                <w:sz w:val="27"/>
                <w:szCs w:val="27"/>
              </w:rPr>
            </w:pPr>
            <w:r>
              <w:rPr>
                <w:spacing w:val="20"/>
                <w:sz w:val="27"/>
                <w:szCs w:val="27"/>
              </w:rPr>
              <w:t xml:space="preserve">Summary of </w:t>
            </w:r>
            <w:r>
              <w:rPr>
                <w:sz w:val="27"/>
                <w:szCs w:val="27"/>
              </w:rPr>
              <w:t xml:space="preserve">TR1 ― Baseline </w:t>
            </w:r>
            <w:r>
              <w:rPr>
                <w:spacing w:val="20"/>
                <w:sz w:val="27"/>
                <w:szCs w:val="27"/>
              </w:rPr>
              <w:t>Update and Review of Key Issues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auto" w:line="240"/>
              <w:ind w:left="57" w:right="57" w:hanging="0"/>
              <w:rPr>
                <w:spacing w:val="20"/>
                <w:sz w:val="27"/>
                <w:szCs w:val="27"/>
              </w:rPr>
            </w:pPr>
            <w:r>
              <w:rPr>
                <w:spacing w:val="20"/>
                <w:sz w:val="27"/>
                <w:szCs w:val="27"/>
              </w:rPr>
              <w:t>技術報告編號</w:t>
            </w:r>
            <w:r>
              <w:rPr>
                <w:spacing w:val="20"/>
                <w:sz w:val="27"/>
                <w:szCs w:val="27"/>
              </w:rPr>
              <w:t xml:space="preserve">2A </w:t>
            </w:r>
            <w:r>
              <w:rPr>
                <w:rFonts w:cs="華康細明體" w:ascii="華康細明體" w:hAnsi="華康細明體"/>
                <w:spacing w:val="20"/>
                <w:sz w:val="27"/>
                <w:szCs w:val="27"/>
              </w:rPr>
              <w:t>─</w:t>
            </w:r>
            <w:r>
              <w:rPr>
                <w:spacing w:val="20"/>
                <w:sz w:val="27"/>
                <w:szCs w:val="27"/>
              </w:rPr>
              <w:t xml:space="preserve"> </w:t>
            </w:r>
            <w:r>
              <w:rPr>
                <w:spacing w:val="20"/>
                <w:sz w:val="27"/>
                <w:szCs w:val="27"/>
              </w:rPr>
              <w:t>指導原則</w:t>
            </w:r>
            <w:r>
              <w:rPr>
                <w:spacing w:val="20"/>
                <w:sz w:val="27"/>
                <w:szCs w:val="27"/>
              </w:rPr>
              <w:t>(</w:t>
            </w:r>
            <w:r>
              <w:rPr>
                <w:spacing w:val="20"/>
                <w:sz w:val="27"/>
                <w:szCs w:val="27"/>
              </w:rPr>
              <w:t>摘要</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Planning and Engineering Study on Development of Lok Ma Chau Loop Executive</w:t>
            </w:r>
          </w:p>
          <w:p>
            <w:pPr>
              <w:pStyle w:val="Normal"/>
              <w:widowControl/>
              <w:snapToGrid w:val="false"/>
              <w:spacing w:lineRule="auto" w:line="240"/>
              <w:ind w:left="57" w:right="57" w:hanging="0"/>
              <w:rPr>
                <w:spacing w:val="20"/>
                <w:sz w:val="27"/>
                <w:szCs w:val="27"/>
              </w:rPr>
            </w:pPr>
            <w:r>
              <w:rPr>
                <w:spacing w:val="20"/>
                <w:sz w:val="27"/>
                <w:szCs w:val="27"/>
              </w:rPr>
              <w:t xml:space="preserve">Summary of </w:t>
            </w:r>
            <w:r>
              <w:rPr>
                <w:sz w:val="27"/>
                <w:szCs w:val="27"/>
              </w:rPr>
              <w:t xml:space="preserve">TR2A ― Guiding </w:t>
            </w:r>
            <w:r>
              <w:rPr>
                <w:spacing w:val="20"/>
                <w:sz w:val="27"/>
                <w:szCs w:val="27"/>
              </w:rPr>
              <w:t>Principles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auto" w:line="240"/>
              <w:ind w:left="57" w:right="57" w:hanging="0"/>
              <w:rPr>
                <w:spacing w:val="20"/>
                <w:sz w:val="27"/>
                <w:szCs w:val="27"/>
              </w:rPr>
            </w:pPr>
            <w:r>
              <w:rPr>
                <w:spacing w:val="20"/>
                <w:sz w:val="27"/>
                <w:szCs w:val="27"/>
              </w:rPr>
              <w:t>技術報告編號</w:t>
            </w:r>
            <w:r>
              <w:rPr>
                <w:spacing w:val="20"/>
                <w:sz w:val="27"/>
                <w:szCs w:val="27"/>
              </w:rPr>
              <w:t xml:space="preserve">2B </w:t>
            </w:r>
            <w:r>
              <w:rPr>
                <w:rFonts w:cs="華康細明體" w:ascii="華康細明體" w:hAnsi="華康細明體"/>
                <w:spacing w:val="20"/>
                <w:sz w:val="27"/>
                <w:szCs w:val="27"/>
              </w:rPr>
              <w:t>─</w:t>
            </w:r>
            <w:r>
              <w:rPr>
                <w:spacing w:val="20"/>
                <w:sz w:val="27"/>
                <w:szCs w:val="27"/>
              </w:rPr>
              <w:t xml:space="preserve"> </w:t>
            </w:r>
            <w:r>
              <w:rPr>
                <w:spacing w:val="20"/>
                <w:sz w:val="27"/>
                <w:szCs w:val="27"/>
              </w:rPr>
              <w:t>概念土地用途方案、初步發展大綱圖、初步城市設計及景觀設計圖</w:t>
            </w:r>
            <w:r>
              <w:rPr>
                <w:spacing w:val="20"/>
                <w:sz w:val="27"/>
                <w:szCs w:val="27"/>
              </w:rPr>
              <w:t>(</w:t>
            </w:r>
            <w:r>
              <w:rPr>
                <w:spacing w:val="20"/>
                <w:sz w:val="27"/>
                <w:szCs w:val="27"/>
              </w:rPr>
              <w:t>摘要</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 xml:space="preserve">Planning and Engineering Study on Development of Lok Ma Chau Loop Executive Summary of TR2B </w:t>
            </w:r>
            <w:r>
              <w:rPr>
                <w:sz w:val="27"/>
                <w:szCs w:val="27"/>
              </w:rPr>
              <w:t>―</w:t>
            </w:r>
            <w:r>
              <w:rPr>
                <w:spacing w:val="20"/>
                <w:sz w:val="27"/>
                <w:szCs w:val="27"/>
              </w:rPr>
              <w:t xml:space="preserve"> Formulation of Conceptual Land Use Options, Preliminary Outline Development Plan, Preliminary Master</w:t>
            </w:r>
          </w:p>
          <w:p>
            <w:pPr>
              <w:pStyle w:val="Normal"/>
              <w:widowControl/>
              <w:snapToGrid w:val="false"/>
              <w:spacing w:lineRule="auto" w:line="240"/>
              <w:ind w:left="57" w:right="57" w:hanging="0"/>
              <w:rPr>
                <w:spacing w:val="20"/>
                <w:sz w:val="27"/>
                <w:szCs w:val="27"/>
              </w:rPr>
            </w:pPr>
            <w:r>
              <w:rPr>
                <w:spacing w:val="20"/>
                <w:sz w:val="27"/>
                <w:szCs w:val="27"/>
              </w:rPr>
              <w:t>Urban Design and</w:t>
            </w:r>
          </w:p>
          <w:p>
            <w:pPr>
              <w:pStyle w:val="Normal"/>
              <w:widowControl/>
              <w:snapToGrid w:val="false"/>
              <w:spacing w:lineRule="auto" w:line="240"/>
              <w:ind w:left="57" w:right="57" w:hanging="0"/>
              <w:rPr>
                <w:spacing w:val="20"/>
                <w:sz w:val="27"/>
                <w:szCs w:val="27"/>
              </w:rPr>
            </w:pPr>
            <w:r>
              <w:rPr>
                <w:spacing w:val="20"/>
                <w:sz w:val="27"/>
                <w:szCs w:val="27"/>
              </w:rPr>
              <w:t>Landscape Plan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auto" w:line="240"/>
              <w:ind w:left="57" w:right="57" w:hanging="0"/>
              <w:rPr>
                <w:spacing w:val="20"/>
                <w:sz w:val="27"/>
                <w:szCs w:val="27"/>
              </w:rPr>
            </w:pPr>
            <w:r>
              <w:rPr>
                <w:spacing w:val="30"/>
                <w:sz w:val="27"/>
                <w:szCs w:val="27"/>
              </w:rPr>
              <w:t>技術報告編號</w:t>
            </w:r>
            <w:r>
              <w:rPr>
                <w:spacing w:val="30"/>
                <w:sz w:val="27"/>
                <w:szCs w:val="27"/>
              </w:rPr>
              <w:t xml:space="preserve">3 </w:t>
            </w:r>
            <w:r>
              <w:rPr>
                <w:rFonts w:cs="華康細明體" w:ascii="華康細明體" w:hAnsi="華康細明體"/>
                <w:spacing w:val="30"/>
                <w:sz w:val="27"/>
                <w:szCs w:val="27"/>
              </w:rPr>
              <w:t>─</w:t>
            </w:r>
            <w:r>
              <w:rPr>
                <w:spacing w:val="30"/>
                <w:sz w:val="27"/>
                <w:szCs w:val="27"/>
              </w:rPr>
              <w:t xml:space="preserve"> </w:t>
            </w:r>
            <w:r>
              <w:rPr>
                <w:spacing w:val="30"/>
                <w:sz w:val="27"/>
                <w:szCs w:val="27"/>
              </w:rPr>
              <w:t>概括</w:t>
            </w:r>
            <w:r>
              <w:rPr>
                <w:spacing w:val="20"/>
                <w:sz w:val="27"/>
                <w:szCs w:val="27"/>
              </w:rPr>
              <w:t>技術、環保、通風評估</w:t>
            </w:r>
            <w:r>
              <w:rPr>
                <w:spacing w:val="20"/>
                <w:sz w:val="27"/>
                <w:szCs w:val="27"/>
              </w:rPr>
              <w:t>(</w:t>
            </w:r>
            <w:r>
              <w:rPr>
                <w:spacing w:val="20"/>
                <w:sz w:val="27"/>
                <w:szCs w:val="27"/>
              </w:rPr>
              <w:t>摘要</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 xml:space="preserve">Planning and Engineering Study on Development of Lok Ma Chau Loop Executive Summary of TR3 </w:t>
            </w:r>
            <w:r>
              <w:rPr>
                <w:sz w:val="27"/>
                <w:szCs w:val="27"/>
              </w:rPr>
              <w:t>―</w:t>
            </w:r>
            <w:r>
              <w:rPr>
                <w:spacing w:val="20"/>
                <w:sz w:val="27"/>
                <w:szCs w:val="27"/>
              </w:rPr>
              <w:t xml:space="preserve"> Broad Technical, Environmental and Air Ventilation</w:t>
            </w:r>
          </w:p>
          <w:p>
            <w:pPr>
              <w:pStyle w:val="Normal"/>
              <w:widowControl/>
              <w:snapToGrid w:val="false"/>
              <w:spacing w:lineRule="auto" w:line="240"/>
              <w:ind w:left="57" w:right="57" w:hanging="0"/>
              <w:rPr>
                <w:spacing w:val="20"/>
                <w:sz w:val="27"/>
                <w:szCs w:val="27"/>
              </w:rPr>
            </w:pPr>
            <w:r>
              <w:rPr>
                <w:spacing w:val="20"/>
                <w:sz w:val="27"/>
                <w:szCs w:val="27"/>
              </w:rPr>
              <w:t>Assessments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全文</w:t>
            </w:r>
          </w:p>
          <w:p>
            <w:pPr>
              <w:pStyle w:val="Normal"/>
              <w:widowControl/>
              <w:snapToGrid w:val="false"/>
              <w:spacing w:lineRule="exact" w:line="300"/>
              <w:ind w:left="57" w:right="57" w:hanging="0"/>
              <w:rPr>
                <w:spacing w:val="20"/>
                <w:sz w:val="27"/>
                <w:szCs w:val="27"/>
              </w:rPr>
            </w:pPr>
            <w:r>
              <w:rPr>
                <w:spacing w:val="20"/>
                <w:sz w:val="27"/>
                <w:szCs w:val="27"/>
              </w:rPr>
              <w:t>Full Text</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中及英</w:t>
            </w:r>
          </w:p>
          <w:p>
            <w:pPr>
              <w:pStyle w:val="Normal"/>
              <w:widowControl/>
              <w:snapToGrid w:val="false"/>
              <w:spacing w:lineRule="exact" w:line="300"/>
              <w:ind w:left="57" w:right="57" w:hanging="0"/>
              <w:rPr>
                <w:spacing w:val="20"/>
                <w:sz w:val="27"/>
                <w:szCs w:val="27"/>
              </w:rPr>
            </w:pPr>
            <w:r>
              <w:rPr>
                <w:spacing w:val="20"/>
                <w:sz w:val="27"/>
                <w:szCs w:val="27"/>
              </w:rPr>
              <w:t>Chinese and</w:t>
            </w:r>
          </w:p>
          <w:p>
            <w:pPr>
              <w:pStyle w:val="Normal"/>
              <w:widowControl/>
              <w:snapToGrid w:val="false"/>
              <w:spacing w:lineRule="exact" w:line="30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exact" w:line="380"/>
              <w:ind w:left="57" w:right="57" w:hanging="0"/>
              <w:rPr>
                <w:spacing w:val="20"/>
                <w:sz w:val="27"/>
                <w:szCs w:val="27"/>
              </w:rPr>
            </w:pPr>
            <w:r>
              <w:rPr>
                <w:spacing w:val="30"/>
                <w:sz w:val="27"/>
                <w:szCs w:val="27"/>
              </w:rPr>
              <w:t>技術報告編號</w:t>
            </w:r>
            <w:r>
              <w:rPr>
                <w:spacing w:val="30"/>
                <w:sz w:val="27"/>
                <w:szCs w:val="27"/>
              </w:rPr>
              <w:t xml:space="preserve">4 </w:t>
            </w:r>
            <w:r>
              <w:rPr>
                <w:rFonts w:cs="華康細明體" w:ascii="華康細明體" w:hAnsi="華康細明體"/>
                <w:spacing w:val="30"/>
                <w:sz w:val="27"/>
                <w:szCs w:val="27"/>
              </w:rPr>
              <w:t>─</w:t>
            </w:r>
            <w:r>
              <w:rPr>
                <w:spacing w:val="30"/>
                <w:sz w:val="27"/>
                <w:szCs w:val="27"/>
              </w:rPr>
              <w:t xml:space="preserve"> </w:t>
            </w:r>
            <w:r>
              <w:rPr>
                <w:spacing w:val="30"/>
                <w:sz w:val="27"/>
                <w:szCs w:val="27"/>
              </w:rPr>
              <w:t>優</w:t>
            </w:r>
            <w:r>
              <w:rPr>
                <w:spacing w:val="20"/>
                <w:sz w:val="27"/>
                <w:szCs w:val="27"/>
              </w:rPr>
              <w:t>先土地用途方案及建議發展大綱圖</w:t>
            </w:r>
            <w:r>
              <w:rPr>
                <w:spacing w:val="20"/>
                <w:sz w:val="27"/>
                <w:szCs w:val="27"/>
              </w:rPr>
              <w:t>(</w:t>
            </w:r>
            <w:r>
              <w:rPr>
                <w:spacing w:val="20"/>
                <w:sz w:val="27"/>
                <w:szCs w:val="27"/>
              </w:rPr>
              <w:t>摘要</w:t>
            </w:r>
            <w:r>
              <w:rPr>
                <w:spacing w:val="20"/>
                <w:sz w:val="27"/>
                <w:szCs w:val="27"/>
              </w:rPr>
              <w:t>)</w:t>
            </w:r>
          </w:p>
          <w:p>
            <w:pPr>
              <w:pStyle w:val="Normal"/>
              <w:widowControl/>
              <w:snapToGrid w:val="false"/>
              <w:spacing w:lineRule="exact" w:line="380"/>
              <w:ind w:left="57" w:right="57" w:hanging="0"/>
              <w:rPr>
                <w:spacing w:val="20"/>
                <w:sz w:val="27"/>
                <w:szCs w:val="27"/>
              </w:rPr>
            </w:pPr>
            <w:r>
              <w:rPr>
                <w:spacing w:val="20"/>
                <w:sz w:val="27"/>
                <w:szCs w:val="27"/>
              </w:rPr>
              <w:t xml:space="preserve">Planning and Engineering Study on Development of Lok Ma Chau Loop Executive Summary of </w:t>
            </w:r>
            <w:r>
              <w:rPr>
                <w:sz w:val="27"/>
                <w:szCs w:val="27"/>
              </w:rPr>
              <w:t xml:space="preserve">TR4 ― Preferred </w:t>
            </w:r>
            <w:r>
              <w:rPr>
                <w:spacing w:val="20"/>
                <w:sz w:val="27"/>
                <w:szCs w:val="27"/>
              </w:rPr>
              <w:t>Land Use Option and Recommended Outline Development Plan</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(5/2012)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exact" w:line="380"/>
              <w:ind w:left="57" w:right="57" w:hanging="0"/>
              <w:rPr>
                <w:spacing w:val="20"/>
                <w:sz w:val="27"/>
                <w:szCs w:val="27"/>
              </w:rPr>
            </w:pPr>
            <w:r>
              <w:rPr>
                <w:spacing w:val="30"/>
                <w:sz w:val="27"/>
                <w:szCs w:val="27"/>
              </w:rPr>
              <w:t>技術報告編號</w:t>
            </w:r>
            <w:r>
              <w:rPr>
                <w:spacing w:val="30"/>
                <w:sz w:val="27"/>
                <w:szCs w:val="27"/>
              </w:rPr>
              <w:t xml:space="preserve">5 </w:t>
            </w:r>
            <w:r>
              <w:rPr>
                <w:rFonts w:cs="華康細明體" w:ascii="華康細明體" w:hAnsi="華康細明體"/>
                <w:spacing w:val="30"/>
                <w:sz w:val="27"/>
                <w:szCs w:val="27"/>
              </w:rPr>
              <w:t>─</w:t>
            </w:r>
            <w:r>
              <w:rPr>
                <w:spacing w:val="30"/>
                <w:sz w:val="27"/>
                <w:szCs w:val="27"/>
              </w:rPr>
              <w:t xml:space="preserve"> </w:t>
            </w:r>
            <w:r>
              <w:rPr>
                <w:spacing w:val="30"/>
                <w:sz w:val="27"/>
                <w:szCs w:val="27"/>
              </w:rPr>
              <w:t>第</w:t>
            </w:r>
            <w:r>
              <w:rPr>
                <w:spacing w:val="20"/>
                <w:sz w:val="27"/>
                <w:szCs w:val="27"/>
              </w:rPr>
              <w:t>一階段工程評估</w:t>
            </w:r>
            <w:r>
              <w:rPr>
                <w:spacing w:val="20"/>
                <w:sz w:val="27"/>
                <w:szCs w:val="27"/>
              </w:rPr>
              <w:t>(</w:t>
            </w:r>
            <w:r>
              <w:rPr>
                <w:spacing w:val="20"/>
                <w:sz w:val="27"/>
                <w:szCs w:val="27"/>
              </w:rPr>
              <w:t>摘要</w:t>
            </w:r>
            <w:r>
              <w:rPr>
                <w:spacing w:val="20"/>
                <w:sz w:val="27"/>
                <w:szCs w:val="27"/>
              </w:rPr>
              <w:t>)</w:t>
            </w:r>
          </w:p>
          <w:p>
            <w:pPr>
              <w:pStyle w:val="Normal"/>
              <w:widowControl/>
              <w:snapToGrid w:val="false"/>
              <w:spacing w:lineRule="exact" w:line="380"/>
              <w:ind w:left="57" w:right="57" w:hanging="0"/>
              <w:rPr>
                <w:spacing w:val="20"/>
                <w:sz w:val="27"/>
                <w:szCs w:val="27"/>
              </w:rPr>
            </w:pPr>
            <w:r>
              <w:rPr>
                <w:spacing w:val="20"/>
                <w:sz w:val="27"/>
                <w:szCs w:val="27"/>
              </w:rPr>
              <w:t>Planning and Engineering Study on Development of Lok Ma Chau Loop Executive</w:t>
            </w:r>
          </w:p>
          <w:p>
            <w:pPr>
              <w:pStyle w:val="Normal"/>
              <w:widowControl/>
              <w:snapToGrid w:val="false"/>
              <w:spacing w:lineRule="exact" w:line="380"/>
              <w:ind w:left="57" w:right="57" w:hanging="0"/>
              <w:rPr>
                <w:spacing w:val="20"/>
                <w:sz w:val="27"/>
                <w:szCs w:val="27"/>
              </w:rPr>
            </w:pPr>
            <w:r>
              <w:rPr>
                <w:spacing w:val="20"/>
                <w:sz w:val="27"/>
                <w:szCs w:val="27"/>
              </w:rPr>
              <w:t xml:space="preserve">Summary of TR5 </w:t>
            </w:r>
            <w:r>
              <w:rPr>
                <w:sz w:val="27"/>
                <w:szCs w:val="27"/>
              </w:rPr>
              <w:t>―</w:t>
            </w:r>
            <w:r>
              <w:rPr>
                <w:spacing w:val="20"/>
                <w:sz w:val="27"/>
                <w:szCs w:val="27"/>
              </w:rPr>
              <w:t xml:space="preserve"> Stage 1 Engineering Assessment</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(5/2012)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lang w:val="en-US"/>
              </w:rPr>
            </w:pPr>
            <w:r>
              <w:rPr>
                <w:spacing w:val="20"/>
                <w:sz w:val="27"/>
                <w:szCs w:val="27"/>
                <w:lang w:val="en-US"/>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落馬洲河套地區發展規劃及工程研究</w:t>
            </w:r>
          </w:p>
          <w:p>
            <w:pPr>
              <w:pStyle w:val="Normal"/>
              <w:widowControl/>
              <w:snapToGrid w:val="false"/>
              <w:spacing w:lineRule="exact" w:line="290"/>
              <w:ind w:left="57" w:right="57" w:hanging="0"/>
              <w:rPr>
                <w:spacing w:val="20"/>
                <w:sz w:val="27"/>
                <w:szCs w:val="27"/>
              </w:rPr>
            </w:pPr>
            <w:r>
              <w:rPr>
                <w:spacing w:val="30"/>
                <w:sz w:val="27"/>
                <w:szCs w:val="27"/>
              </w:rPr>
              <w:t>技術報告編號</w:t>
            </w:r>
            <w:r>
              <w:rPr>
                <w:spacing w:val="30"/>
                <w:sz w:val="27"/>
                <w:szCs w:val="27"/>
              </w:rPr>
              <w:t xml:space="preserve">7 </w:t>
            </w:r>
            <w:r>
              <w:rPr>
                <w:rFonts w:cs="華康細明體" w:ascii="華康細明體" w:hAnsi="華康細明體"/>
                <w:spacing w:val="30"/>
                <w:sz w:val="27"/>
                <w:szCs w:val="27"/>
              </w:rPr>
              <w:t>─</w:t>
            </w:r>
            <w:r>
              <w:rPr>
                <w:spacing w:val="30"/>
                <w:sz w:val="27"/>
                <w:szCs w:val="27"/>
              </w:rPr>
              <w:t xml:space="preserve"> </w:t>
            </w:r>
            <w:r>
              <w:rPr>
                <w:spacing w:val="30"/>
                <w:sz w:val="27"/>
                <w:szCs w:val="27"/>
              </w:rPr>
              <w:t>第</w:t>
            </w:r>
            <w:r>
              <w:rPr>
                <w:spacing w:val="20"/>
                <w:sz w:val="27"/>
                <w:szCs w:val="27"/>
              </w:rPr>
              <w:t>一階段實施策略成本及收入預算及發展計劃</w:t>
            </w:r>
            <w:r>
              <w:rPr>
                <w:spacing w:val="20"/>
                <w:sz w:val="27"/>
                <w:szCs w:val="27"/>
              </w:rPr>
              <w:t>(</w:t>
            </w:r>
            <w:r>
              <w:rPr>
                <w:spacing w:val="20"/>
                <w:sz w:val="27"/>
                <w:szCs w:val="27"/>
              </w:rPr>
              <w:t>摘要</w:t>
            </w:r>
            <w:r>
              <w:rPr>
                <w:spacing w:val="20"/>
                <w:sz w:val="27"/>
                <w:szCs w:val="27"/>
              </w:rPr>
              <w:t>)</w:t>
            </w:r>
          </w:p>
          <w:p>
            <w:pPr>
              <w:pStyle w:val="Normal"/>
              <w:widowControl/>
              <w:snapToGrid w:val="false"/>
              <w:spacing w:lineRule="exact" w:line="290"/>
              <w:ind w:left="57" w:right="57" w:hanging="0"/>
              <w:rPr>
                <w:spacing w:val="20"/>
                <w:sz w:val="27"/>
                <w:szCs w:val="27"/>
              </w:rPr>
            </w:pPr>
            <w:r>
              <w:rPr>
                <w:spacing w:val="20"/>
                <w:sz w:val="27"/>
                <w:szCs w:val="27"/>
              </w:rPr>
              <w:t>Planning and Engineering Study on Development of</w:t>
            </w:r>
          </w:p>
          <w:p>
            <w:pPr>
              <w:pStyle w:val="Normal"/>
              <w:widowControl/>
              <w:snapToGrid w:val="false"/>
              <w:spacing w:lineRule="exact" w:line="290"/>
              <w:ind w:left="57" w:right="57" w:hanging="0"/>
              <w:rPr>
                <w:spacing w:val="20"/>
                <w:sz w:val="27"/>
                <w:szCs w:val="27"/>
              </w:rPr>
            </w:pPr>
            <w:r>
              <w:rPr>
                <w:spacing w:val="20"/>
                <w:sz w:val="27"/>
                <w:szCs w:val="27"/>
              </w:rPr>
              <w:t>Lok Ma Chau Loop Executive</w:t>
            </w:r>
          </w:p>
          <w:p>
            <w:pPr>
              <w:pStyle w:val="Normal"/>
              <w:widowControl/>
              <w:snapToGrid w:val="false"/>
              <w:spacing w:lineRule="exact" w:line="290"/>
              <w:ind w:left="57" w:right="57" w:hanging="0"/>
              <w:rPr>
                <w:spacing w:val="20"/>
                <w:sz w:val="27"/>
                <w:szCs w:val="27"/>
              </w:rPr>
            </w:pPr>
            <w:r>
              <w:rPr>
                <w:spacing w:val="20"/>
                <w:sz w:val="27"/>
                <w:szCs w:val="27"/>
              </w:rPr>
              <w:t xml:space="preserve">Summary of TR7 </w:t>
            </w:r>
            <w:r>
              <w:rPr>
                <w:sz w:val="27"/>
                <w:szCs w:val="27"/>
              </w:rPr>
              <w:t>―</w:t>
            </w:r>
            <w:r>
              <w:rPr>
                <w:spacing w:val="20"/>
                <w:sz w:val="27"/>
                <w:szCs w:val="27"/>
              </w:rPr>
              <w:t xml:space="preserve"> Stage 1 Implementation</w:t>
            </w:r>
          </w:p>
          <w:p>
            <w:pPr>
              <w:pStyle w:val="Normal"/>
              <w:widowControl/>
              <w:snapToGrid w:val="false"/>
              <w:spacing w:lineRule="exact" w:line="290"/>
              <w:ind w:left="57" w:right="57" w:hanging="0"/>
              <w:rPr>
                <w:spacing w:val="20"/>
                <w:sz w:val="27"/>
                <w:szCs w:val="27"/>
              </w:rPr>
            </w:pPr>
            <w:r>
              <w:rPr>
                <w:spacing w:val="20"/>
                <w:sz w:val="27"/>
                <w:szCs w:val="27"/>
              </w:rPr>
              <w:t>Strategy, Cost and Revenue Estimate and Development Programme</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(5/2012)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資料摘要</w:t>
            </w:r>
          </w:p>
          <w:p>
            <w:pPr>
              <w:pStyle w:val="Normal"/>
              <w:widowControl/>
              <w:snapToGrid w:val="false"/>
              <w:spacing w:lineRule="auto" w:line="240"/>
              <w:ind w:left="57" w:right="57" w:hanging="0"/>
              <w:rPr>
                <w:spacing w:val="20"/>
                <w:sz w:val="27"/>
                <w:szCs w:val="27"/>
              </w:rPr>
            </w:pPr>
            <w:r>
              <w:rPr>
                <w:spacing w:val="20"/>
                <w:sz w:val="27"/>
                <w:szCs w:val="27"/>
              </w:rPr>
              <w:t>North East New Territories New Development Areas Planning and Engineering</w:t>
            </w:r>
          </w:p>
          <w:p>
            <w:pPr>
              <w:pStyle w:val="Normal"/>
              <w:widowControl/>
              <w:snapToGrid w:val="false"/>
              <w:spacing w:lineRule="auto" w:line="240"/>
              <w:ind w:left="57" w:right="57" w:hanging="0"/>
              <w:rPr>
                <w:spacing w:val="20"/>
                <w:sz w:val="27"/>
                <w:szCs w:val="27"/>
              </w:rPr>
            </w:pPr>
            <w:r>
              <w:rPr>
                <w:spacing w:val="20"/>
                <w:sz w:val="27"/>
                <w:szCs w:val="27"/>
              </w:rPr>
              <w:t xml:space="preserve">Study </w:t>
            </w:r>
            <w:r>
              <w:rPr>
                <w:sz w:val="27"/>
                <w:szCs w:val="27"/>
              </w:rPr>
              <w:t>―</w:t>
            </w:r>
            <w:r>
              <w:rPr>
                <w:spacing w:val="20"/>
                <w:sz w:val="27"/>
                <w:szCs w:val="27"/>
              </w:rPr>
              <w:t xml:space="preserve"> Investigation</w:t>
            </w:r>
            <w:r>
              <w:rPr>
                <w:sz w:val="27"/>
                <w:szCs w:val="27"/>
              </w:rPr>
              <w:t xml:space="preserve"> </w:t>
            </w:r>
            <w:r>
              <w:rPr>
                <w:spacing w:val="20"/>
                <w:sz w:val="27"/>
                <w:szCs w:val="27"/>
              </w:rPr>
              <w:t>Information Digest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第三階段公眾參與報告</w:t>
            </w:r>
          </w:p>
          <w:p>
            <w:pPr>
              <w:pStyle w:val="Normal"/>
              <w:widowControl/>
              <w:snapToGrid w:val="false"/>
              <w:spacing w:lineRule="auto" w:line="240"/>
              <w:ind w:left="57" w:right="57" w:hanging="0"/>
              <w:rPr>
                <w:spacing w:val="20"/>
                <w:sz w:val="27"/>
                <w:szCs w:val="27"/>
              </w:rPr>
            </w:pPr>
            <w:r>
              <w:rPr>
                <w:spacing w:val="20"/>
                <w:sz w:val="27"/>
                <w:szCs w:val="27"/>
              </w:rPr>
              <w:t>North East New Territories New Development Areas Planning and Engineering</w:t>
            </w:r>
          </w:p>
          <w:p>
            <w:pPr>
              <w:pStyle w:val="Normal"/>
              <w:widowControl/>
              <w:snapToGrid w:val="false"/>
              <w:spacing w:lineRule="auto" w:line="240"/>
              <w:ind w:left="57" w:right="57" w:hanging="0"/>
              <w:rPr>
                <w:spacing w:val="20"/>
                <w:sz w:val="27"/>
                <w:szCs w:val="27"/>
              </w:rPr>
            </w:pPr>
            <w:r>
              <w:rPr>
                <w:spacing w:val="20"/>
                <w:sz w:val="27"/>
                <w:szCs w:val="27"/>
              </w:rPr>
              <w:t xml:space="preserve">Study </w:t>
            </w:r>
            <w:r>
              <w:rPr>
                <w:sz w:val="27"/>
                <w:szCs w:val="27"/>
              </w:rPr>
              <w:t>―</w:t>
            </w:r>
            <w:r>
              <w:rPr>
                <w:spacing w:val="20"/>
                <w:sz w:val="27"/>
                <w:szCs w:val="27"/>
              </w:rPr>
              <w:t xml:space="preserve"> Investigation Stage Three Public Engagement 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技術報告岩土評估行政摘要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Geotechnical Assessment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技術報告交通及運輸評估行政摘要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Traffic and Transport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技術報告排水及排污影響評估行政摘要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Drainage and Sewerage Impact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技術報告供水及公共設施影響評估行政摘要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w:t>
            </w:r>
            <w:r>
              <w:rPr>
                <w:sz w:val="27"/>
                <w:szCs w:val="27"/>
              </w:rPr>
              <w:t xml:space="preserve"> </w:t>
            </w:r>
            <w:r>
              <w:rPr>
                <w:spacing w:val="20"/>
                <w:sz w:val="27"/>
                <w:szCs w:val="27"/>
              </w:rPr>
              <w:t>Summary of Technical Report on Water Supply and Utilities Impact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0"/>
                <w:sz w:val="27"/>
                <w:szCs w:val="27"/>
              </w:rPr>
            </w:pPr>
            <w:r>
              <w:rPr>
                <w:spacing w:val="20"/>
                <w:sz w:val="27"/>
                <w:szCs w:val="27"/>
              </w:rPr>
              <w:t>技術報告地盤平整評估行政摘要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Site Formation</w:t>
            </w:r>
          </w:p>
          <w:p>
            <w:pPr>
              <w:pStyle w:val="Normal"/>
              <w:widowControl/>
              <w:snapToGrid w:val="false"/>
              <w:spacing w:lineRule="auto" w:line="240"/>
              <w:ind w:left="57" w:right="57" w:hanging="0"/>
              <w:rPr>
                <w:spacing w:val="20"/>
                <w:sz w:val="27"/>
                <w:szCs w:val="27"/>
              </w:rPr>
            </w:pPr>
            <w:r>
              <w:rPr>
                <w:spacing w:val="20"/>
                <w:sz w:val="27"/>
                <w:szCs w:val="27"/>
              </w:rPr>
              <w:t>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0"/>
                <w:sz w:val="27"/>
                <w:szCs w:val="27"/>
              </w:rPr>
            </w:pPr>
            <w:r>
              <w:rPr>
                <w:spacing w:val="20"/>
                <w:sz w:val="27"/>
                <w:szCs w:val="27"/>
              </w:rPr>
              <w:t>技術報告可持續發展評估行政摘要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Sustainability</w:t>
            </w:r>
          </w:p>
          <w:p>
            <w:pPr>
              <w:pStyle w:val="Normal"/>
              <w:widowControl/>
              <w:snapToGrid w:val="false"/>
              <w:spacing w:lineRule="auto" w:line="240"/>
              <w:ind w:left="57" w:right="57" w:hanging="0"/>
              <w:rPr>
                <w:spacing w:val="20"/>
                <w:sz w:val="27"/>
                <w:szCs w:val="27"/>
              </w:rPr>
            </w:pPr>
            <w:r>
              <w:rPr>
                <w:spacing w:val="20"/>
                <w:sz w:val="27"/>
                <w:szCs w:val="27"/>
              </w:rPr>
              <w:t>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技術報告岩土評估行政摘要</w:t>
            </w: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Geotechnical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技術報告交通及運輸評估行政摘要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Traffic and Transport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0"/>
                <w:sz w:val="27"/>
                <w:szCs w:val="27"/>
              </w:rPr>
            </w:pPr>
            <w:r>
              <w:rPr>
                <w:spacing w:val="20"/>
                <w:sz w:val="27"/>
                <w:szCs w:val="27"/>
              </w:rPr>
              <w:t>技術報告排水及排污影響評估行政摘要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Drainage and Sewerage Impact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技術報告供水及公共設施影響評估行政摘要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Water Supply and Utilities Impact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0"/>
                <w:sz w:val="27"/>
                <w:szCs w:val="27"/>
              </w:rPr>
            </w:pPr>
            <w:r>
              <w:rPr>
                <w:spacing w:val="20"/>
                <w:sz w:val="27"/>
                <w:szCs w:val="27"/>
              </w:rPr>
              <w:t>技術報告地盤平整評估行政摘要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w:t>
            </w:r>
          </w:p>
          <w:p>
            <w:pPr>
              <w:pStyle w:val="Normal"/>
              <w:widowControl/>
              <w:snapToGrid w:val="false"/>
              <w:spacing w:lineRule="auto" w:line="240"/>
              <w:ind w:left="57" w:right="57" w:hanging="0"/>
              <w:rPr>
                <w:spacing w:val="20"/>
                <w:sz w:val="27"/>
                <w:szCs w:val="27"/>
              </w:rPr>
            </w:pPr>
            <w:r>
              <w:rPr>
                <w:spacing w:val="20"/>
                <w:sz w:val="27"/>
                <w:szCs w:val="27"/>
              </w:rPr>
              <w:t xml:space="preserve">Development Areas Planning and Engineering Study </w:t>
            </w:r>
            <w:r>
              <w:rPr>
                <w:sz w:val="27"/>
                <w:szCs w:val="27"/>
              </w:rPr>
              <w:t>―</w:t>
            </w:r>
            <w:r>
              <w:rPr>
                <w:spacing w:val="20"/>
                <w:sz w:val="27"/>
                <w:szCs w:val="27"/>
              </w:rPr>
              <w:t xml:space="preserve"> Investigation Executive Summary of Technical Report on Site Formation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技術報告運用計算流體動力學進行空氣流通評估的行政摘要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Air Ventilation </w:t>
            </w:r>
          </w:p>
          <w:p>
            <w:pPr>
              <w:pStyle w:val="Normal"/>
              <w:widowControl/>
              <w:snapToGrid w:val="false"/>
              <w:spacing w:lineRule="auto" w:line="240"/>
              <w:ind w:left="57" w:right="57" w:hanging="0"/>
              <w:rPr>
                <w:spacing w:val="20"/>
                <w:sz w:val="27"/>
                <w:szCs w:val="27"/>
              </w:rPr>
            </w:pPr>
            <w:r>
              <w:rPr>
                <w:spacing w:val="20"/>
                <w:sz w:val="27"/>
                <w:szCs w:val="27"/>
              </w:rPr>
              <w:t>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技術報告可持續發展評估行政摘要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Sustainability Assessment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0"/>
                <w:sz w:val="27"/>
                <w:szCs w:val="27"/>
              </w:rPr>
            </w:pPr>
            <w:r>
              <w:rPr>
                <w:spacing w:val="20"/>
                <w:sz w:val="27"/>
                <w:szCs w:val="27"/>
              </w:rPr>
              <w:t>制訂指導原則報告行政摘要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Formulation of</w:t>
            </w:r>
          </w:p>
          <w:p>
            <w:pPr>
              <w:pStyle w:val="Normal"/>
              <w:widowControl/>
              <w:snapToGrid w:val="false"/>
              <w:spacing w:lineRule="auto" w:line="240"/>
              <w:ind w:left="57" w:right="57" w:hanging="0"/>
              <w:rPr>
                <w:spacing w:val="20"/>
                <w:sz w:val="27"/>
                <w:szCs w:val="27"/>
              </w:rPr>
            </w:pPr>
            <w:r>
              <w:rPr>
                <w:spacing w:val="20"/>
                <w:sz w:val="27"/>
                <w:szCs w:val="27"/>
              </w:rPr>
              <w:t>Guiding Principles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9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90"/>
              <w:ind w:left="57" w:right="57" w:hanging="0"/>
              <w:rPr>
                <w:spacing w:val="20"/>
                <w:sz w:val="27"/>
                <w:szCs w:val="27"/>
              </w:rPr>
            </w:pPr>
            <w:r>
              <w:rPr>
                <w:spacing w:val="20"/>
                <w:sz w:val="27"/>
                <w:szCs w:val="27"/>
              </w:rPr>
              <w:t>基線資料更新及主要課題檢討報告行政摘要</w:t>
            </w:r>
          </w:p>
          <w:p>
            <w:pPr>
              <w:pStyle w:val="Normal"/>
              <w:widowControl/>
              <w:snapToGrid w:val="false"/>
              <w:spacing w:lineRule="auto" w:line="240"/>
              <w:ind w:left="57" w:right="57" w:hanging="0"/>
              <w:rPr>
                <w:spacing w:val="20"/>
                <w:sz w:val="27"/>
                <w:szCs w:val="27"/>
              </w:rPr>
            </w:pP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Executive Summary of Technical Report on Baseline Update</w:t>
            </w:r>
          </w:p>
          <w:p>
            <w:pPr>
              <w:pStyle w:val="Normal"/>
              <w:widowControl/>
              <w:snapToGrid w:val="false"/>
              <w:spacing w:lineRule="auto" w:line="240"/>
              <w:ind w:left="57" w:right="57" w:hanging="0"/>
              <w:rPr>
                <w:spacing w:val="20"/>
                <w:sz w:val="27"/>
                <w:szCs w:val="27"/>
              </w:rPr>
            </w:pPr>
            <w:r>
              <w:rPr>
                <w:spacing w:val="20"/>
                <w:sz w:val="27"/>
                <w:szCs w:val="27"/>
              </w:rPr>
              <w:t>and Review of Key Issues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0"/>
                <w:sz w:val="27"/>
                <w:szCs w:val="27"/>
              </w:rPr>
            </w:pPr>
            <w:r>
              <w:rPr>
                <w:spacing w:val="20"/>
                <w:sz w:val="27"/>
                <w:szCs w:val="27"/>
              </w:rPr>
              <w:t xml:space="preserve">天水圍新市鎮研究 </w:t>
            </w:r>
            <w:r>
              <w:rPr>
                <w:rFonts w:ascii="華康細明體" w:hAnsi="華康細明體" w:cs="華康細明體"/>
                <w:spacing w:val="20"/>
                <w:sz w:val="27"/>
                <w:szCs w:val="27"/>
              </w:rPr>
              <w:t>─</w:t>
            </w:r>
            <w:r>
              <w:rPr>
                <w:spacing w:val="20"/>
                <w:sz w:val="27"/>
                <w:szCs w:val="27"/>
              </w:rPr>
              <w:t xml:space="preserve"> 由其他顧問撰寫</w:t>
            </w:r>
          </w:p>
          <w:p>
            <w:pPr>
              <w:pStyle w:val="Normal"/>
              <w:widowControl/>
              <w:snapToGrid w:val="false"/>
              <w:spacing w:lineRule="exact" w:line="340"/>
              <w:ind w:left="57" w:right="57" w:hanging="0"/>
              <w:rPr>
                <w:spacing w:val="20"/>
                <w:sz w:val="27"/>
                <w:szCs w:val="27"/>
              </w:rPr>
            </w:pPr>
            <w:r>
              <w:rPr>
                <w:spacing w:val="20"/>
                <w:sz w:val="27"/>
                <w:szCs w:val="27"/>
              </w:rPr>
              <w:t>(</w:t>
            </w:r>
            <w:r>
              <w:rPr>
                <w:spacing w:val="20"/>
                <w:sz w:val="27"/>
                <w:szCs w:val="27"/>
              </w:rPr>
              <w:t>中文版只提供行政摘要</w:t>
            </w:r>
            <w:r>
              <w:rPr>
                <w:spacing w:val="20"/>
                <w:sz w:val="27"/>
                <w:szCs w:val="27"/>
              </w:rPr>
              <w:t>)</w:t>
            </w:r>
          </w:p>
          <w:p>
            <w:pPr>
              <w:pStyle w:val="Normal"/>
              <w:widowControl/>
              <w:snapToGrid w:val="false"/>
              <w:spacing w:lineRule="exact" w:line="320"/>
              <w:ind w:left="57" w:right="57" w:hanging="0"/>
              <w:rPr>
                <w:spacing w:val="20"/>
                <w:sz w:val="27"/>
                <w:szCs w:val="27"/>
              </w:rPr>
            </w:pPr>
            <w:r>
              <w:rPr>
                <w:spacing w:val="20"/>
                <w:sz w:val="27"/>
                <w:szCs w:val="27"/>
              </w:rPr>
              <w:t xml:space="preserve">North East New Territories New </w:t>
            </w:r>
          </w:p>
          <w:p>
            <w:pPr>
              <w:pStyle w:val="Normal"/>
              <w:widowControl/>
              <w:snapToGrid w:val="false"/>
              <w:spacing w:lineRule="exact" w:line="320"/>
              <w:ind w:left="57" w:right="57" w:hanging="0"/>
              <w:rPr>
                <w:spacing w:val="20"/>
                <w:sz w:val="27"/>
                <w:szCs w:val="27"/>
              </w:rPr>
            </w:pPr>
            <w:r>
              <w:rPr>
                <w:spacing w:val="20"/>
                <w:sz w:val="27"/>
                <w:szCs w:val="27"/>
              </w:rPr>
              <w:t xml:space="preserve">Development Areas Planning and Engineering Study </w:t>
            </w:r>
            <w:r>
              <w:rPr>
                <w:sz w:val="27"/>
                <w:szCs w:val="27"/>
              </w:rPr>
              <w:t>―</w:t>
            </w:r>
            <w:r>
              <w:rPr>
                <w:spacing w:val="20"/>
                <w:sz w:val="27"/>
                <w:szCs w:val="27"/>
              </w:rPr>
              <w:t xml:space="preserve"> Investigation </w:t>
            </w:r>
          </w:p>
          <w:p>
            <w:pPr>
              <w:pStyle w:val="Normal"/>
              <w:widowControl/>
              <w:snapToGrid w:val="false"/>
              <w:spacing w:lineRule="exact" w:line="320"/>
              <w:ind w:left="57" w:right="57" w:hanging="0"/>
              <w:rPr>
                <w:spacing w:val="20"/>
                <w:sz w:val="27"/>
                <w:szCs w:val="27"/>
              </w:rPr>
            </w:pPr>
            <w:r>
              <w:rPr>
                <w:spacing w:val="20"/>
                <w:sz w:val="27"/>
                <w:szCs w:val="27"/>
              </w:rPr>
              <w:t xml:space="preserve">A Study on Tin Shui Wai New Town </w:t>
            </w:r>
            <w:r>
              <w:rPr>
                <w:sz w:val="27"/>
                <w:szCs w:val="27"/>
              </w:rPr>
              <w:t>―</w:t>
            </w:r>
            <w:r>
              <w:rPr>
                <w:spacing w:val="20"/>
                <w:sz w:val="27"/>
                <w:szCs w:val="27"/>
              </w:rPr>
              <w:t xml:space="preserve"> By others</w:t>
            </w:r>
          </w:p>
          <w:p>
            <w:pPr>
              <w:pStyle w:val="Normal"/>
              <w:widowControl/>
              <w:snapToGrid w:val="false"/>
              <w:spacing w:lineRule="exact" w:line="320"/>
              <w:ind w:left="57" w:right="57" w:hanging="0"/>
              <w:rPr>
                <w:spacing w:val="20"/>
                <w:sz w:val="27"/>
                <w:szCs w:val="27"/>
              </w:rPr>
            </w:pPr>
            <w:r>
              <w:rPr>
                <w:spacing w:val="20"/>
                <w:sz w:val="27"/>
                <w:szCs w:val="27"/>
              </w:rPr>
              <w:t>(Only Executive Summary will be provided for Chinese version)</w:t>
            </w:r>
          </w:p>
          <w:p>
            <w:pPr>
              <w:pStyle w:val="Normal"/>
              <w:widowControl/>
              <w:snapToGrid w:val="false"/>
              <w:spacing w:lineRule="exact" w:line="320"/>
              <w:ind w:left="57" w:right="57" w:hanging="0"/>
              <w:rPr>
                <w:spacing w:val="20"/>
                <w:sz w:val="27"/>
                <w:szCs w:val="27"/>
              </w:rPr>
            </w:pPr>
            <w:r>
              <w:rPr>
                <w:spacing w:val="20"/>
                <w:sz w:val="27"/>
                <w:szCs w:val="27"/>
              </w:rPr>
            </w:r>
          </w:p>
          <w:p>
            <w:pPr>
              <w:pStyle w:val="Normal"/>
              <w:widowControl/>
              <w:snapToGrid w:val="false"/>
              <w:spacing w:lineRule="exact" w:line="320"/>
              <w:ind w:left="57" w:right="57" w:hanging="0"/>
              <w:rPr>
                <w:spacing w:val="20"/>
                <w:sz w:val="27"/>
                <w:szCs w:val="27"/>
              </w:rPr>
            </w:pPr>
            <w:r>
              <w:rPr>
                <w:spacing w:val="20"/>
                <w:sz w:val="27"/>
                <w:szCs w:val="27"/>
              </w:rPr>
              <w:t>(1/2009)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40"/>
              <w:ind w:left="57" w:right="57" w:hanging="0"/>
              <w:rPr>
                <w:spacing w:val="20"/>
                <w:sz w:val="27"/>
                <w:szCs w:val="27"/>
              </w:rPr>
            </w:pPr>
            <w:r>
              <w:rPr>
                <w:spacing w:val="20"/>
                <w:sz w:val="27"/>
                <w:szCs w:val="27"/>
              </w:rPr>
              <w:t>古洞北及粉嶺北新發展區的文物建築位置</w:t>
            </w:r>
            <w:r>
              <w:rPr>
                <w:spacing w:val="20"/>
                <w:sz w:val="27"/>
                <w:szCs w:val="27"/>
              </w:rPr>
              <w:t xml:space="preserve">North East New Territories New Development Areas Planning and Engineering Study </w:t>
            </w:r>
            <w:r>
              <w:rPr>
                <w:sz w:val="27"/>
                <w:szCs w:val="27"/>
              </w:rPr>
              <w:t>―</w:t>
            </w:r>
            <w:r>
              <w:rPr>
                <w:spacing w:val="20"/>
                <w:sz w:val="27"/>
                <w:szCs w:val="27"/>
              </w:rPr>
              <w:t xml:space="preserve"> Investigation Plan showing the built heritage within Kwu Tung North and Fanling North NDAs</w:t>
            </w:r>
          </w:p>
          <w:p>
            <w:pPr>
              <w:pStyle w:val="Normal"/>
              <w:widowControl/>
              <w:snapToGrid w:val="false"/>
              <w:spacing w:lineRule="exact" w:line="340"/>
              <w:ind w:left="57" w:right="57" w:hanging="0"/>
              <w:rPr>
                <w:spacing w:val="20"/>
                <w:sz w:val="27"/>
                <w:szCs w:val="27"/>
              </w:rPr>
            </w:pPr>
            <w:r>
              <w:rPr>
                <w:spacing w:val="20"/>
                <w:sz w:val="27"/>
                <w:szCs w:val="27"/>
              </w:rPr>
            </w:r>
          </w:p>
          <w:p>
            <w:pPr>
              <w:pStyle w:val="Normal"/>
              <w:widowControl/>
              <w:snapToGrid w:val="false"/>
              <w:spacing w:lineRule="exact" w:line="340"/>
              <w:ind w:left="57" w:right="57" w:hanging="0"/>
              <w:rPr>
                <w:spacing w:val="20"/>
                <w:sz w:val="27"/>
                <w:szCs w:val="27"/>
              </w:rPr>
            </w:pPr>
            <w:r>
              <w:rPr>
                <w:spacing w:val="20"/>
                <w:sz w:val="27"/>
                <w:szCs w:val="27"/>
              </w:rPr>
              <w:t>(3/2009)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 xml:space="preserve">新界東北新發展區規劃及工程研究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60"/>
              <w:ind w:left="57" w:right="57" w:hanging="0"/>
              <w:rPr>
                <w:spacing w:val="20"/>
                <w:sz w:val="27"/>
                <w:szCs w:val="27"/>
              </w:rPr>
            </w:pPr>
            <w:r>
              <w:rPr>
                <w:spacing w:val="20"/>
                <w:sz w:val="27"/>
                <w:szCs w:val="27"/>
              </w:rPr>
              <w:t>文化遺產影響基線報告</w:t>
            </w:r>
          </w:p>
          <w:p>
            <w:pPr>
              <w:pStyle w:val="Normal"/>
              <w:widowControl/>
              <w:snapToGrid w:val="false"/>
              <w:spacing w:lineRule="exact" w:line="360"/>
              <w:ind w:left="57" w:right="57" w:hanging="0"/>
              <w:rPr>
                <w:spacing w:val="20"/>
                <w:sz w:val="27"/>
                <w:szCs w:val="27"/>
              </w:rPr>
            </w:pPr>
            <w:r>
              <w:rPr>
                <w:spacing w:val="20"/>
                <w:sz w:val="27"/>
                <w:szCs w:val="27"/>
              </w:rPr>
              <w:t>North East New Territories New Development Areas Planning and Engineering</w:t>
            </w:r>
          </w:p>
          <w:p>
            <w:pPr>
              <w:pStyle w:val="Normal"/>
              <w:widowControl/>
              <w:snapToGrid w:val="false"/>
              <w:spacing w:lineRule="exact" w:line="360"/>
              <w:ind w:left="57" w:right="57" w:hanging="0"/>
              <w:rPr>
                <w:spacing w:val="20"/>
                <w:sz w:val="27"/>
                <w:szCs w:val="27"/>
              </w:rPr>
            </w:pPr>
            <w:r>
              <w:rPr>
                <w:spacing w:val="20"/>
                <w:sz w:val="27"/>
                <w:szCs w:val="27"/>
              </w:rPr>
              <w:t xml:space="preserve">Study </w:t>
            </w:r>
            <w:r>
              <w:rPr>
                <w:sz w:val="27"/>
                <w:szCs w:val="27"/>
              </w:rPr>
              <w:t>―</w:t>
            </w:r>
            <w:r>
              <w:rPr>
                <w:spacing w:val="20"/>
                <w:sz w:val="27"/>
                <w:szCs w:val="27"/>
              </w:rPr>
              <w:t xml:space="preserve"> Investigation  Executive Summary of Final Heritage Impact Baseline</w:t>
            </w:r>
          </w:p>
          <w:p>
            <w:pPr>
              <w:pStyle w:val="Normal"/>
              <w:widowControl/>
              <w:snapToGrid w:val="false"/>
              <w:spacing w:lineRule="exact" w:line="360"/>
              <w:ind w:left="57" w:right="57" w:hanging="0"/>
              <w:rPr>
                <w:spacing w:val="20"/>
                <w:sz w:val="27"/>
                <w:szCs w:val="27"/>
              </w:rPr>
            </w:pPr>
            <w:r>
              <w:rPr>
                <w:spacing w:val="20"/>
                <w:sz w:val="27"/>
                <w:szCs w:val="27"/>
              </w:rPr>
              <w:t>Report</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(3/2009)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洪水橋新發展區規劃及工程研究</w:t>
            </w:r>
          </w:p>
          <w:p>
            <w:pPr>
              <w:pStyle w:val="Normal"/>
              <w:widowControl/>
              <w:snapToGrid w:val="false"/>
              <w:spacing w:lineRule="auto" w:line="240"/>
              <w:ind w:left="57" w:right="57" w:hanging="0"/>
              <w:rPr>
                <w:spacing w:val="20"/>
                <w:sz w:val="27"/>
                <w:szCs w:val="27"/>
              </w:rPr>
            </w:pPr>
            <w:r>
              <w:rPr>
                <w:spacing w:val="20"/>
                <w:sz w:val="27"/>
                <w:szCs w:val="27"/>
              </w:rPr>
              <w:t>初議報告摘要</w:t>
            </w:r>
          </w:p>
          <w:p>
            <w:pPr>
              <w:pStyle w:val="Normal"/>
              <w:widowControl/>
              <w:snapToGrid w:val="false"/>
              <w:spacing w:lineRule="auto" w:line="240"/>
              <w:ind w:left="57" w:right="57" w:hanging="0"/>
              <w:rPr>
                <w:spacing w:val="20"/>
                <w:sz w:val="27"/>
                <w:szCs w:val="27"/>
              </w:rPr>
            </w:pPr>
            <w:r>
              <w:rPr>
                <w:spacing w:val="20"/>
                <w:sz w:val="27"/>
                <w:szCs w:val="27"/>
              </w:rPr>
              <w:t>Hung Shui Kiu New Development Area Planning and Engineering</w:t>
            </w:r>
          </w:p>
          <w:p>
            <w:pPr>
              <w:pStyle w:val="Normal"/>
              <w:widowControl/>
              <w:snapToGrid w:val="false"/>
              <w:spacing w:lineRule="auto" w:line="240"/>
              <w:ind w:left="57" w:right="57" w:hanging="0"/>
              <w:rPr>
                <w:spacing w:val="20"/>
                <w:sz w:val="27"/>
                <w:szCs w:val="27"/>
              </w:rPr>
            </w:pPr>
            <w:r>
              <w:rPr>
                <w:spacing w:val="20"/>
                <w:sz w:val="27"/>
                <w:szCs w:val="27"/>
              </w:rPr>
              <w:t>Study Executive Summary of Inception 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洪水橋新發展區規劃及工程研究</w:t>
            </w:r>
          </w:p>
          <w:p>
            <w:pPr>
              <w:pStyle w:val="Normal"/>
              <w:widowControl/>
              <w:snapToGrid w:val="false"/>
              <w:spacing w:lineRule="exact" w:line="380"/>
              <w:ind w:left="57" w:right="57" w:hanging="0"/>
              <w:rPr>
                <w:spacing w:val="20"/>
                <w:sz w:val="27"/>
                <w:szCs w:val="27"/>
              </w:rPr>
            </w:pPr>
            <w:r>
              <w:rPr>
                <w:spacing w:val="20"/>
                <w:sz w:val="27"/>
                <w:szCs w:val="27"/>
              </w:rPr>
              <w:t>初步環境影響評估報告行政摘要</w:t>
            </w:r>
          </w:p>
          <w:p>
            <w:pPr>
              <w:pStyle w:val="Normal"/>
              <w:widowControl/>
              <w:snapToGrid w:val="false"/>
              <w:spacing w:lineRule="auto" w:line="240"/>
              <w:ind w:left="57" w:right="57" w:hanging="0"/>
              <w:rPr>
                <w:spacing w:val="20"/>
                <w:sz w:val="27"/>
                <w:szCs w:val="27"/>
              </w:rPr>
            </w:pPr>
            <w:r>
              <w:rPr>
                <w:spacing w:val="20"/>
                <w:sz w:val="27"/>
                <w:szCs w:val="27"/>
              </w:rPr>
              <w:t>Hung Shui Kiu New Development Area Planning and Engineering</w:t>
            </w:r>
          </w:p>
          <w:p>
            <w:pPr>
              <w:pStyle w:val="Normal"/>
              <w:widowControl/>
              <w:snapToGrid w:val="false"/>
              <w:spacing w:lineRule="auto" w:line="240"/>
              <w:ind w:left="57" w:right="57" w:hanging="0"/>
              <w:rPr>
                <w:spacing w:val="20"/>
                <w:sz w:val="27"/>
                <w:szCs w:val="27"/>
              </w:rPr>
            </w:pPr>
            <w:r>
              <w:rPr>
                <w:spacing w:val="20"/>
                <w:sz w:val="27"/>
                <w:szCs w:val="27"/>
              </w:rPr>
              <w:t>Study Executive Summary of Preliminary  EIA Report for PODP</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20"/>
              <w:ind w:left="57" w:right="57" w:hanging="0"/>
              <w:rPr>
                <w:spacing w:val="20"/>
                <w:sz w:val="27"/>
                <w:szCs w:val="27"/>
              </w:rPr>
            </w:pPr>
            <w:r>
              <w:rPr>
                <w:spacing w:val="20"/>
                <w:sz w:val="27"/>
                <w:szCs w:val="27"/>
              </w:rPr>
              <w:t>洪水橋新發展區規劃及工程研究</w:t>
            </w:r>
          </w:p>
          <w:p>
            <w:pPr>
              <w:pStyle w:val="Normal"/>
              <w:widowControl/>
              <w:snapToGrid w:val="false"/>
              <w:spacing w:lineRule="exact" w:line="400"/>
              <w:ind w:left="57" w:right="57" w:hanging="0"/>
              <w:rPr>
                <w:spacing w:val="20"/>
                <w:sz w:val="27"/>
                <w:szCs w:val="27"/>
              </w:rPr>
            </w:pPr>
            <w:r>
              <w:rPr>
                <w:spacing w:val="20"/>
                <w:sz w:val="27"/>
                <w:szCs w:val="27"/>
              </w:rPr>
              <w:t>排水、污水收集系統、供水與公用設施影響及土地平整研究報告行政摘要</w:t>
            </w:r>
            <w:r>
              <w:rPr>
                <w:spacing w:val="20"/>
                <w:sz w:val="27"/>
                <w:szCs w:val="27"/>
              </w:rPr>
              <w:t>Hung Shui Kiu New Development Area Planning and Engineering</w:t>
            </w:r>
          </w:p>
          <w:p>
            <w:pPr>
              <w:pStyle w:val="Normal"/>
              <w:widowControl/>
              <w:snapToGrid w:val="false"/>
              <w:spacing w:lineRule="exact" w:line="400"/>
              <w:ind w:left="57" w:right="57" w:hanging="0"/>
              <w:rPr>
                <w:spacing w:val="20"/>
                <w:sz w:val="27"/>
                <w:szCs w:val="27"/>
              </w:rPr>
            </w:pPr>
            <w:r>
              <w:rPr>
                <w:spacing w:val="20"/>
                <w:sz w:val="27"/>
                <w:szCs w:val="27"/>
              </w:rPr>
              <w:t>Study Executive</w:t>
            </w:r>
          </w:p>
          <w:p>
            <w:pPr>
              <w:pStyle w:val="Normal"/>
              <w:widowControl/>
              <w:snapToGrid w:val="false"/>
              <w:spacing w:lineRule="exact" w:line="400"/>
              <w:ind w:left="57" w:right="57" w:hanging="0"/>
              <w:rPr>
                <w:spacing w:val="20"/>
                <w:sz w:val="27"/>
                <w:szCs w:val="27"/>
              </w:rPr>
            </w:pPr>
            <w:r>
              <w:rPr>
                <w:spacing w:val="20"/>
                <w:sz w:val="27"/>
                <w:szCs w:val="27"/>
              </w:rPr>
              <w:t>Summary of DIA, SIA, WSUIA and Site Formation Assessment</w:t>
            </w:r>
          </w:p>
          <w:p>
            <w:pPr>
              <w:pStyle w:val="Normal"/>
              <w:widowControl/>
              <w:snapToGrid w:val="false"/>
              <w:spacing w:lineRule="exact" w:line="400"/>
              <w:ind w:left="57" w:right="57" w:hanging="0"/>
              <w:rPr>
                <w:spacing w:val="20"/>
                <w:sz w:val="27"/>
                <w:szCs w:val="27"/>
              </w:rPr>
            </w:pPr>
            <w:r>
              <w:rPr>
                <w:spacing w:val="20"/>
                <w:sz w:val="27"/>
                <w:szCs w:val="27"/>
              </w:rPr>
            </w:r>
          </w:p>
          <w:p>
            <w:pPr>
              <w:pStyle w:val="Normal"/>
              <w:widowControl/>
              <w:snapToGrid w:val="false"/>
              <w:spacing w:lineRule="exact" w:line="400"/>
              <w:ind w:left="57" w:right="57" w:hanging="0"/>
              <w:rPr>
                <w:spacing w:val="20"/>
                <w:sz w:val="27"/>
                <w:szCs w:val="27"/>
              </w:rPr>
            </w:pPr>
            <w:r>
              <w:rPr>
                <w:spacing w:val="20"/>
                <w:sz w:val="27"/>
                <w:szCs w:val="27"/>
              </w:rPr>
              <w:t>(8/2013)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20"/>
              <w:ind w:left="57" w:right="57" w:hanging="0"/>
              <w:rPr>
                <w:spacing w:val="20"/>
                <w:sz w:val="27"/>
                <w:szCs w:val="27"/>
              </w:rPr>
            </w:pPr>
            <w:r>
              <w:rPr>
                <w:spacing w:val="20"/>
                <w:sz w:val="27"/>
                <w:szCs w:val="27"/>
              </w:rPr>
              <w:t>洪水橋新發展區規劃及工程研究</w:t>
            </w:r>
          </w:p>
          <w:p>
            <w:pPr>
              <w:pStyle w:val="Normal"/>
              <w:widowControl/>
              <w:snapToGrid w:val="false"/>
              <w:spacing w:lineRule="exact" w:line="420"/>
              <w:ind w:left="57" w:right="57" w:hanging="0"/>
              <w:rPr>
                <w:spacing w:val="20"/>
                <w:sz w:val="27"/>
                <w:szCs w:val="27"/>
              </w:rPr>
            </w:pPr>
            <w:r>
              <w:rPr>
                <w:spacing w:val="20"/>
                <w:sz w:val="27"/>
                <w:szCs w:val="27"/>
              </w:rPr>
              <w:t>交通及運輸影響評估報告行政摘要</w:t>
            </w:r>
          </w:p>
          <w:p>
            <w:pPr>
              <w:pStyle w:val="Normal"/>
              <w:widowControl/>
              <w:snapToGrid w:val="false"/>
              <w:spacing w:lineRule="auto" w:line="240"/>
              <w:ind w:left="57" w:right="57" w:hanging="0"/>
              <w:rPr>
                <w:spacing w:val="20"/>
                <w:sz w:val="27"/>
                <w:szCs w:val="27"/>
              </w:rPr>
            </w:pPr>
            <w:r>
              <w:rPr>
                <w:spacing w:val="20"/>
                <w:sz w:val="27"/>
                <w:szCs w:val="27"/>
              </w:rPr>
              <w:t>Hung Shui Kiu New Development Area Planning and Engineering Study Executive Summary of Traffic and Transport Impact Assessment 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洪水橋新發展區規劃及工程研究</w:t>
            </w:r>
          </w:p>
          <w:p>
            <w:pPr>
              <w:pStyle w:val="Normal"/>
              <w:widowControl/>
              <w:snapToGrid w:val="false"/>
              <w:spacing w:lineRule="auto" w:line="240"/>
              <w:ind w:left="57" w:right="57" w:hanging="0"/>
              <w:rPr>
                <w:spacing w:val="20"/>
                <w:sz w:val="27"/>
                <w:szCs w:val="27"/>
              </w:rPr>
            </w:pPr>
            <w:r>
              <w:rPr>
                <w:spacing w:val="20"/>
                <w:sz w:val="27"/>
                <w:szCs w:val="27"/>
              </w:rPr>
              <w:t>制訂指導原則行政摘要</w:t>
            </w:r>
          </w:p>
          <w:p>
            <w:pPr>
              <w:pStyle w:val="Normal"/>
              <w:widowControl/>
              <w:snapToGrid w:val="false"/>
              <w:spacing w:lineRule="auto" w:line="240"/>
              <w:ind w:left="57" w:right="57" w:hanging="0"/>
              <w:rPr>
                <w:spacing w:val="20"/>
                <w:sz w:val="27"/>
                <w:szCs w:val="27"/>
              </w:rPr>
            </w:pPr>
            <w:r>
              <w:rPr>
                <w:spacing w:val="20"/>
                <w:sz w:val="27"/>
                <w:szCs w:val="27"/>
              </w:rPr>
              <w:t>Hung Shui Kiu New Development Area Planning and Engineering Study Executive Summary of Formulation of Guiding Principles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洪水橋新發展區規劃及工程研究</w:t>
            </w:r>
          </w:p>
          <w:p>
            <w:pPr>
              <w:pStyle w:val="Normal"/>
              <w:widowControl/>
              <w:snapToGrid w:val="false"/>
              <w:spacing w:lineRule="exact" w:line="290"/>
              <w:ind w:left="57" w:right="57" w:hanging="0"/>
              <w:rPr>
                <w:spacing w:val="20"/>
                <w:sz w:val="27"/>
                <w:szCs w:val="27"/>
              </w:rPr>
            </w:pPr>
            <w:r>
              <w:rPr>
                <w:spacing w:val="20"/>
                <w:sz w:val="27"/>
                <w:szCs w:val="27"/>
              </w:rPr>
              <w:t>文化遺產影響及生態影響基線報告行政摘要</w:t>
            </w:r>
          </w:p>
          <w:p>
            <w:pPr>
              <w:pStyle w:val="Normal"/>
              <w:widowControl/>
              <w:snapToGrid w:val="false"/>
              <w:spacing w:lineRule="exact" w:line="290"/>
              <w:ind w:left="57" w:right="57" w:hanging="0"/>
              <w:rPr>
                <w:spacing w:val="20"/>
                <w:sz w:val="27"/>
                <w:szCs w:val="27"/>
              </w:rPr>
            </w:pPr>
            <w:r>
              <w:rPr>
                <w:spacing w:val="20"/>
                <w:sz w:val="27"/>
                <w:szCs w:val="27"/>
              </w:rPr>
              <w:t>Hung Shui Kiu New Development Area Planning and Engineering Study Executive Summary of Cultural Heritage and Ecological Baseline Desktop Study Report</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(8/2013)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90"/>
              <w:ind w:left="57" w:right="57" w:hanging="0"/>
              <w:rPr>
                <w:spacing w:val="20"/>
                <w:sz w:val="27"/>
                <w:szCs w:val="27"/>
              </w:rPr>
            </w:pPr>
            <w:r>
              <w:rPr>
                <w:spacing w:val="20"/>
                <w:sz w:val="27"/>
                <w:szCs w:val="27"/>
              </w:rPr>
              <w:t>洪水橋新發展區規劃及工程研究</w:t>
            </w:r>
          </w:p>
          <w:p>
            <w:pPr>
              <w:pStyle w:val="Normal"/>
              <w:widowControl/>
              <w:snapToGrid w:val="false"/>
              <w:spacing w:lineRule="exact" w:line="290"/>
              <w:ind w:left="57" w:right="57" w:hanging="0"/>
              <w:rPr>
                <w:spacing w:val="20"/>
                <w:sz w:val="27"/>
                <w:szCs w:val="27"/>
              </w:rPr>
            </w:pPr>
            <w:r>
              <w:rPr>
                <w:spacing w:val="20"/>
                <w:sz w:val="27"/>
                <w:szCs w:val="27"/>
              </w:rPr>
              <w:t>基線更新及主要課題檢討行政摘要</w:t>
            </w:r>
          </w:p>
          <w:p>
            <w:pPr>
              <w:pStyle w:val="Normal"/>
              <w:widowControl/>
              <w:snapToGrid w:val="false"/>
              <w:spacing w:lineRule="exact" w:line="290"/>
              <w:ind w:left="57" w:right="57" w:hanging="0"/>
              <w:rPr>
                <w:spacing w:val="20"/>
                <w:sz w:val="27"/>
                <w:szCs w:val="27"/>
              </w:rPr>
            </w:pPr>
            <w:r>
              <w:rPr>
                <w:spacing w:val="20"/>
                <w:sz w:val="27"/>
                <w:szCs w:val="27"/>
              </w:rPr>
              <w:t>Hung Shui Kiu New Development Area Planning and Engineering Study Executive Summary of Baseline Update and Review of Key Issues Report</w:t>
            </w:r>
          </w:p>
          <w:p>
            <w:pPr>
              <w:pStyle w:val="Normal"/>
              <w:widowControl/>
              <w:snapToGrid w:val="false"/>
              <w:spacing w:lineRule="exact" w:line="290"/>
              <w:ind w:left="57" w:right="57" w:hanging="0"/>
              <w:rPr>
                <w:spacing w:val="20"/>
                <w:sz w:val="27"/>
                <w:szCs w:val="27"/>
              </w:rPr>
            </w:pPr>
            <w:r>
              <w:rPr>
                <w:spacing w:val="20"/>
                <w:sz w:val="27"/>
                <w:szCs w:val="27"/>
              </w:rPr>
            </w:r>
          </w:p>
          <w:p>
            <w:pPr>
              <w:pStyle w:val="Normal"/>
              <w:widowControl/>
              <w:snapToGrid w:val="false"/>
              <w:spacing w:lineRule="exact" w:line="290"/>
              <w:ind w:left="57" w:right="57" w:hanging="0"/>
              <w:rPr>
                <w:spacing w:val="20"/>
                <w:sz w:val="27"/>
                <w:szCs w:val="27"/>
              </w:rPr>
            </w:pPr>
            <w:r>
              <w:rPr>
                <w:spacing w:val="20"/>
                <w:sz w:val="27"/>
                <w:szCs w:val="27"/>
              </w:rPr>
              <w:t>(8/2013)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洪水橋新發展區規劃及工程研究</w:t>
            </w:r>
          </w:p>
          <w:p>
            <w:pPr>
              <w:pStyle w:val="Normal"/>
              <w:widowControl/>
              <w:snapToGrid w:val="false"/>
              <w:spacing w:lineRule="auto" w:line="240"/>
              <w:ind w:left="57" w:right="57" w:hanging="0"/>
              <w:rPr>
                <w:spacing w:val="20"/>
                <w:sz w:val="27"/>
                <w:szCs w:val="27"/>
              </w:rPr>
            </w:pPr>
            <w:r>
              <w:rPr>
                <w:spacing w:val="20"/>
                <w:sz w:val="27"/>
                <w:szCs w:val="27"/>
              </w:rPr>
              <w:t>第一階段社區參與報告</w:t>
            </w:r>
          </w:p>
          <w:p>
            <w:pPr>
              <w:pStyle w:val="Normal"/>
              <w:widowControl/>
              <w:snapToGrid w:val="false"/>
              <w:spacing w:lineRule="auto" w:line="240"/>
              <w:ind w:left="57" w:right="57" w:hanging="0"/>
              <w:rPr>
                <w:spacing w:val="20"/>
                <w:sz w:val="27"/>
                <w:szCs w:val="27"/>
              </w:rPr>
            </w:pPr>
            <w:r>
              <w:rPr>
                <w:spacing w:val="20"/>
                <w:sz w:val="27"/>
                <w:szCs w:val="27"/>
              </w:rPr>
              <w:t>Hung Shui Kiu New Development Area Planning and Engineering Study Stage 1 Community Engagement 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機電工程署</w:t>
            </w:r>
          </w:p>
          <w:p>
            <w:pPr>
              <w:pStyle w:val="Normal"/>
              <w:widowControl/>
              <w:snapToGrid w:val="false"/>
              <w:spacing w:lineRule="auto" w:line="240"/>
              <w:ind w:left="57" w:right="57" w:hanging="0"/>
              <w:rPr>
                <w:spacing w:val="20"/>
                <w:sz w:val="27"/>
                <w:szCs w:val="27"/>
              </w:rPr>
            </w:pPr>
            <w:r>
              <w:rPr>
                <w:spacing w:val="20"/>
                <w:sz w:val="27"/>
                <w:szCs w:val="27"/>
              </w:rPr>
              <w:t>Electrical and</w:t>
            </w:r>
          </w:p>
          <w:p>
            <w:pPr>
              <w:pStyle w:val="Normal"/>
              <w:widowControl/>
              <w:snapToGrid w:val="false"/>
              <w:spacing w:lineRule="auto" w:line="240"/>
              <w:ind w:left="57" w:right="57" w:hanging="0"/>
              <w:rPr>
                <w:spacing w:val="20"/>
                <w:sz w:val="27"/>
                <w:szCs w:val="27"/>
              </w:rPr>
            </w:pPr>
            <w:r>
              <w:rPr>
                <w:spacing w:val="20"/>
                <w:sz w:val="27"/>
                <w:szCs w:val="27"/>
              </w:rPr>
              <w:t>Mechanical Services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淘汰能源效益較低的鎢絲燈泡國際做法綜合研究</w:t>
            </w:r>
          </w:p>
          <w:p>
            <w:pPr>
              <w:pStyle w:val="Normal"/>
              <w:widowControl/>
              <w:snapToGrid w:val="false"/>
              <w:spacing w:lineRule="auto" w:line="240"/>
              <w:ind w:left="57" w:right="57" w:hanging="0"/>
              <w:rPr/>
            </w:pPr>
            <w:r>
              <w:rPr>
                <w:spacing w:val="20"/>
                <w:sz w:val="27"/>
                <w:szCs w:val="27"/>
              </w:rPr>
              <w:t>Comprehensive Study on International Practice on Phasing Out Energy Inefficient Incandescent Lamps</w:t>
            </w:r>
          </w:p>
          <w:p>
            <w:pPr>
              <w:pStyle w:val="Normal"/>
              <w:widowControl/>
              <w:snapToGrid w:val="false"/>
              <w:spacing w:lineRule="auto" w:line="240"/>
              <w:ind w:left="57" w:right="57" w:hanging="0"/>
              <w:rPr/>
            </w:pPr>
            <w:r>
              <w:rPr/>
            </w:r>
          </w:p>
          <w:p>
            <w:pPr>
              <w:pStyle w:val="Normal"/>
              <w:widowControl/>
              <w:snapToGrid w:val="false"/>
              <w:spacing w:lineRule="auto" w:line="240"/>
              <w:ind w:left="57" w:right="57" w:hanging="0"/>
              <w:rPr>
                <w:spacing w:val="20"/>
                <w:sz w:val="27"/>
                <w:szCs w:val="27"/>
              </w:rPr>
            </w:pPr>
            <w:r>
              <w:rPr/>
              <w:t>(</w:t>
            </w:r>
            <w:r>
              <w:rPr>
                <w:spacing w:val="20"/>
                <w:sz w:val="27"/>
                <w:szCs w:val="27"/>
              </w:rPr>
              <w:t>11/2009)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規劃署</w:t>
            </w:r>
          </w:p>
          <w:p>
            <w:pPr>
              <w:pStyle w:val="Normal"/>
              <w:widowControl/>
              <w:snapToGrid w:val="false"/>
              <w:spacing w:lineRule="auto" w:line="240"/>
              <w:ind w:left="57" w:right="57" w:hanging="0"/>
              <w:rPr>
                <w:spacing w:val="20"/>
                <w:sz w:val="27"/>
                <w:szCs w:val="27"/>
              </w:rPr>
            </w:pPr>
            <w:r>
              <w:rPr>
                <w:spacing w:val="20"/>
                <w:sz w:val="27"/>
                <w:szCs w:val="27"/>
              </w:rPr>
              <w:t>Planning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二零零七年跨界旅運統計調查</w:t>
            </w:r>
          </w:p>
          <w:p>
            <w:pPr>
              <w:pStyle w:val="Normal"/>
              <w:widowControl/>
              <w:snapToGrid w:val="false"/>
              <w:spacing w:lineRule="auto" w:line="240"/>
              <w:ind w:left="57" w:right="57" w:hanging="0"/>
              <w:rPr>
                <w:spacing w:val="20"/>
                <w:sz w:val="27"/>
                <w:szCs w:val="27"/>
              </w:rPr>
            </w:pPr>
            <w:r>
              <w:rPr>
                <w:spacing w:val="20"/>
                <w:sz w:val="27"/>
                <w:szCs w:val="27"/>
              </w:rPr>
              <w:t>Cross-boundary Travel Survey 2007</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(9/2008)</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規劃署網站</w:t>
            </w:r>
          </w:p>
          <w:p>
            <w:pPr>
              <w:pStyle w:val="Normal"/>
              <w:widowControl/>
              <w:snapToGrid w:val="false"/>
              <w:spacing w:lineRule="auto" w:line="240"/>
              <w:ind w:left="57" w:right="57" w:hanging="0"/>
              <w:rPr>
                <w:spacing w:val="20"/>
                <w:sz w:val="27"/>
                <w:szCs w:val="27"/>
              </w:rPr>
            </w:pPr>
            <w:r>
              <w:rPr>
                <w:spacing w:val="20"/>
                <w:sz w:val="27"/>
                <w:szCs w:val="27"/>
              </w:rPr>
              <w:t>Planning</w:t>
            </w:r>
          </w:p>
          <w:p>
            <w:pPr>
              <w:pStyle w:val="Normal"/>
              <w:widowControl/>
              <w:snapToGrid w:val="false"/>
              <w:spacing w:lineRule="auto" w:line="240"/>
              <w:ind w:left="57" w:right="57" w:hanging="0"/>
              <w:rPr>
                <w:sz w:val="27"/>
                <w:szCs w:val="27"/>
              </w:rPr>
            </w:pPr>
            <w:r>
              <w:rPr>
                <w:sz w:val="27"/>
                <w:szCs w:val="27"/>
              </w:rPr>
              <w:t>Department's</w:t>
            </w:r>
          </w:p>
          <w:p>
            <w:pPr>
              <w:pStyle w:val="Normal"/>
              <w:widowControl/>
              <w:snapToGrid w:val="false"/>
              <w:spacing w:lineRule="auto" w:line="240"/>
              <w:ind w:left="57" w:right="57" w:hanging="0"/>
              <w:rPr>
                <w:spacing w:val="20"/>
                <w:sz w:val="27"/>
                <w:szCs w:val="27"/>
              </w:rPr>
            </w:pPr>
            <w:r>
              <w:rPr>
                <w:spacing w:val="20"/>
                <w:sz w:val="27"/>
                <w:szCs w:val="27"/>
              </w:rPr>
              <w:t>Website</w:t>
            </w:r>
          </w:p>
          <w:p>
            <w:pPr>
              <w:pStyle w:val="Normal"/>
              <w:widowControl/>
              <w:snapToGrid w:val="false"/>
              <w:spacing w:lineRule="auto" w:line="240"/>
              <w:ind w:left="57" w:right="57" w:hanging="0"/>
              <w:rPr>
                <w:spacing w:val="20"/>
                <w:sz w:val="27"/>
                <w:szCs w:val="27"/>
              </w:rPr>
            </w:pPr>
            <w:r>
              <w:rPr>
                <w:spacing w:val="20"/>
                <w:sz w:val="27"/>
                <w:szCs w:val="27"/>
              </w:rPr>
              <w:t>規劃署資料查詢處</w:t>
            </w:r>
          </w:p>
          <w:p>
            <w:pPr>
              <w:pStyle w:val="Normal"/>
              <w:widowControl/>
              <w:snapToGrid w:val="false"/>
              <w:spacing w:lineRule="auto" w:line="240"/>
              <w:ind w:left="57" w:right="57" w:hanging="0"/>
              <w:rPr>
                <w:spacing w:val="20"/>
                <w:sz w:val="27"/>
                <w:szCs w:val="27"/>
              </w:rPr>
            </w:pPr>
            <w:r>
              <w:rPr>
                <w:spacing w:val="20"/>
                <w:sz w:val="27"/>
                <w:szCs w:val="27"/>
              </w:rPr>
              <w:t>Planning</w:t>
            </w:r>
          </w:p>
          <w:p>
            <w:pPr>
              <w:pStyle w:val="Normal"/>
              <w:widowControl/>
              <w:snapToGrid w:val="false"/>
              <w:spacing w:lineRule="auto" w:line="240"/>
              <w:ind w:left="57" w:right="57" w:hanging="0"/>
              <w:rPr>
                <w:sz w:val="27"/>
                <w:szCs w:val="27"/>
              </w:rPr>
            </w:pPr>
            <w:r>
              <w:rPr>
                <w:sz w:val="27"/>
                <w:szCs w:val="27"/>
              </w:rPr>
              <w:t>Department's</w:t>
            </w:r>
          </w:p>
          <w:p>
            <w:pPr>
              <w:pStyle w:val="Normal"/>
              <w:widowControl/>
              <w:snapToGrid w:val="false"/>
              <w:spacing w:lineRule="auto" w:line="240"/>
              <w:ind w:left="57" w:right="57" w:hanging="0"/>
              <w:rPr>
                <w:spacing w:val="20"/>
                <w:sz w:val="27"/>
                <w:szCs w:val="27"/>
              </w:rPr>
            </w:pPr>
            <w:r>
              <w:rPr>
                <w:spacing w:val="20"/>
                <w:sz w:val="27"/>
                <w:szCs w:val="27"/>
              </w:rPr>
              <w:t>Planning</w:t>
            </w:r>
          </w:p>
          <w:p>
            <w:pPr>
              <w:pStyle w:val="Normal"/>
              <w:widowControl/>
              <w:snapToGrid w:val="false"/>
              <w:spacing w:lineRule="auto" w:line="240"/>
              <w:ind w:left="57" w:right="57" w:hanging="0"/>
              <w:rPr>
                <w:spacing w:val="20"/>
                <w:sz w:val="27"/>
                <w:szCs w:val="27"/>
              </w:rPr>
            </w:pPr>
            <w:r>
              <w:rPr>
                <w:spacing w:val="20"/>
                <w:sz w:val="27"/>
                <w:szCs w:val="27"/>
              </w:rPr>
              <w:t>Enquiry</w:t>
            </w:r>
          </w:p>
          <w:p>
            <w:pPr>
              <w:pStyle w:val="Normal"/>
              <w:widowControl/>
              <w:snapToGrid w:val="false"/>
              <w:spacing w:lineRule="auto" w:line="240"/>
              <w:ind w:left="57" w:right="57" w:hanging="0"/>
              <w:rPr>
                <w:spacing w:val="20"/>
                <w:sz w:val="27"/>
                <w:szCs w:val="27"/>
              </w:rPr>
            </w:pPr>
            <w:r>
              <w:rPr>
                <w:spacing w:val="20"/>
                <w:sz w:val="27"/>
                <w:szCs w:val="27"/>
              </w:rPr>
              <w:t>Counters</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報告書及統計表</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Report and</w:t>
            </w:r>
          </w:p>
          <w:p>
            <w:pPr>
              <w:pStyle w:val="Normal"/>
              <w:widowControl/>
              <w:snapToGrid w:val="false"/>
              <w:spacing w:lineRule="auto" w:line="240"/>
              <w:ind w:left="57" w:right="57" w:hanging="0"/>
              <w:rPr>
                <w:spacing w:val="20"/>
                <w:sz w:val="27"/>
                <w:szCs w:val="27"/>
              </w:rPr>
            </w:pPr>
            <w:r>
              <w:rPr>
                <w:spacing w:val="20"/>
                <w:sz w:val="27"/>
                <w:szCs w:val="27"/>
              </w:rPr>
              <w:t>Statistics</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旺角購物區地區改善計劃</w:t>
            </w:r>
          </w:p>
          <w:p>
            <w:pPr>
              <w:pStyle w:val="Normal"/>
              <w:widowControl/>
              <w:snapToGrid w:val="false"/>
              <w:spacing w:lineRule="exact" w:line="380"/>
              <w:ind w:left="57" w:right="57" w:hanging="0"/>
              <w:rPr>
                <w:spacing w:val="20"/>
                <w:sz w:val="27"/>
                <w:szCs w:val="27"/>
              </w:rPr>
            </w:pPr>
            <w:r>
              <w:rPr>
                <w:spacing w:val="20"/>
                <w:sz w:val="27"/>
                <w:szCs w:val="27"/>
              </w:rPr>
              <w:t>Area Improvement Plan for the Shopping Areas of Mong Kok</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lang w:val="en-US"/>
              </w:rPr>
            </w:pPr>
            <w:r>
              <w:rPr>
                <w:spacing w:val="20"/>
                <w:sz w:val="27"/>
                <w:szCs w:val="27"/>
              </w:rPr>
              <w:t>(7/2009)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lang w:val="en-US"/>
              </w:rPr>
            </w:pPr>
            <w:r>
              <w:rPr>
                <w:spacing w:val="20"/>
                <w:sz w:val="27"/>
                <w:szCs w:val="27"/>
              </w:rPr>
              <w:t>Executive Summary Chinese and English</w:t>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香港人在深圳居住狀況調查</w:t>
            </w:r>
            <w:r>
              <w:rPr>
                <w:spacing w:val="20"/>
                <w:sz w:val="27"/>
                <w:szCs w:val="27"/>
              </w:rPr>
              <w:t>Survey of Hong Kong People Living in Shenzhen : Subsidiary Study of "Study on Hong Kong Residents Living in the Pearl River Delta Region"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調查報告</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Survey Report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最後報告書全文</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Final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大珠江三角洲城鎮羣協調發展規劃研究</w:t>
            </w:r>
          </w:p>
          <w:p>
            <w:pPr>
              <w:pStyle w:val="Normal"/>
              <w:widowControl/>
              <w:snapToGrid w:val="false"/>
              <w:spacing w:lineRule="auto" w:line="240"/>
              <w:ind w:left="57" w:right="57" w:hanging="0"/>
              <w:rPr>
                <w:spacing w:val="20"/>
                <w:sz w:val="27"/>
                <w:szCs w:val="27"/>
              </w:rPr>
            </w:pPr>
            <w:r>
              <w:rPr>
                <w:spacing w:val="20"/>
                <w:sz w:val="27"/>
                <w:szCs w:val="27"/>
              </w:rPr>
              <w:t>Planning Study on the Co-ordinated Development of the Greater Pearl River Delta Township</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匯總報告、公眾讀本</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Consolidated Final Report and Public Digest</w:t>
            </w:r>
          </w:p>
          <w:p>
            <w:pPr>
              <w:pStyle w:val="Normal"/>
              <w:widowControl/>
              <w:snapToGrid w:val="false"/>
              <w:spacing w:lineRule="auto" w:line="240"/>
              <w:ind w:left="57" w:right="57" w:hanging="0"/>
              <w:rPr>
                <w:spacing w:val="20"/>
                <w:sz w:val="27"/>
                <w:szCs w:val="27"/>
              </w:rPr>
            </w:pPr>
            <w:r>
              <w:rPr>
                <w:spacing w:val="20"/>
                <w:sz w:val="27"/>
                <w:szCs w:val="27"/>
              </w:rPr>
              <w:t>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Final Report</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10"/>
                <w:sz w:val="27"/>
                <w:szCs w:val="27"/>
              </w:rPr>
            </w:pPr>
            <w:r>
              <w:rPr>
                <w:spacing w:val="10"/>
                <w:sz w:val="27"/>
                <w:szCs w:val="27"/>
              </w:rPr>
              <w:t>二零零九年跨界旅運統計調查</w:t>
            </w:r>
          </w:p>
          <w:p>
            <w:pPr>
              <w:pStyle w:val="Normal"/>
              <w:widowControl/>
              <w:snapToGrid w:val="false"/>
              <w:spacing w:lineRule="auto" w:line="240"/>
              <w:ind w:left="57" w:right="57" w:hanging="0"/>
              <w:rPr>
                <w:spacing w:val="20"/>
                <w:sz w:val="27"/>
                <w:szCs w:val="27"/>
              </w:rPr>
            </w:pPr>
            <w:r>
              <w:rPr>
                <w:spacing w:val="20"/>
                <w:sz w:val="27"/>
                <w:szCs w:val="27"/>
              </w:rPr>
              <w:t>Cross-boundary Travel Survey 2009</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報告書及統計表</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Report and Statistics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荃灣市地段第</w:t>
            </w:r>
            <w:r>
              <w:rPr>
                <w:spacing w:val="20"/>
                <w:sz w:val="27"/>
                <w:szCs w:val="27"/>
              </w:rPr>
              <w:t>393</w:t>
            </w:r>
            <w:r>
              <w:rPr>
                <w:spacing w:val="20"/>
                <w:sz w:val="27"/>
                <w:szCs w:val="27"/>
              </w:rPr>
              <w:t>號空氣流通評估顧問研究</w:t>
            </w:r>
          </w:p>
          <w:p>
            <w:pPr>
              <w:pStyle w:val="Normal"/>
              <w:widowControl/>
              <w:snapToGrid w:val="false"/>
              <w:spacing w:lineRule="auto" w:line="240"/>
              <w:ind w:left="57" w:right="57" w:hanging="0"/>
              <w:rPr>
                <w:spacing w:val="20"/>
                <w:sz w:val="27"/>
                <w:szCs w:val="27"/>
              </w:rPr>
            </w:pPr>
            <w:r>
              <w:rPr>
                <w:spacing w:val="20"/>
                <w:sz w:val="27"/>
                <w:szCs w:val="27"/>
              </w:rPr>
              <w:t>Consultancy Study for Air Ventilation Assessment for Tsuen Wan Town Lot 393, Tsuen Wan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40"/>
              <w:ind w:left="57" w:right="57" w:hanging="0"/>
              <w:rPr>
                <w:spacing w:val="20"/>
                <w:sz w:val="27"/>
                <w:szCs w:val="27"/>
              </w:rPr>
            </w:pPr>
            <w:r>
              <w:rPr>
                <w:spacing w:val="20"/>
                <w:sz w:val="27"/>
                <w:szCs w:val="27"/>
              </w:rPr>
              <w:t>摘要</w:t>
            </w:r>
          </w:p>
          <w:p>
            <w:pPr>
              <w:pStyle w:val="Normal"/>
              <w:widowControl/>
              <w:snapToGrid w:val="false"/>
              <w:spacing w:lineRule="exact" w:line="440"/>
              <w:ind w:left="57" w:right="57" w:hanging="0"/>
              <w:rPr>
                <w:spacing w:val="20"/>
                <w:sz w:val="27"/>
                <w:szCs w:val="27"/>
              </w:rPr>
            </w:pPr>
            <w:r>
              <w:rPr>
                <w:spacing w:val="20"/>
                <w:sz w:val="27"/>
                <w:szCs w:val="27"/>
              </w:rPr>
              <w:t>中及英</w:t>
            </w:r>
          </w:p>
          <w:p>
            <w:pPr>
              <w:pStyle w:val="Normal"/>
              <w:widowControl/>
              <w:snapToGrid w:val="false"/>
              <w:spacing w:lineRule="exact" w:line="4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 xml:space="preserve">屯門東可發展房屋用地的規劃及工程檢討 </w:t>
            </w:r>
            <w:r>
              <w:rPr>
                <w:rFonts w:ascii="華康細明體" w:hAnsi="華康細明體" w:cs="華康細明體"/>
                <w:spacing w:val="20"/>
                <w:sz w:val="27"/>
                <w:szCs w:val="27"/>
              </w:rPr>
              <w:t>─</w:t>
            </w:r>
            <w:r>
              <w:rPr>
                <w:spacing w:val="20"/>
                <w:sz w:val="27"/>
                <w:szCs w:val="27"/>
              </w:rPr>
              <w:t xml:space="preserve"> 可行性研究</w:t>
            </w:r>
            <w:r>
              <w:rPr>
                <w:spacing w:val="20"/>
                <w:sz w:val="27"/>
                <w:szCs w:val="27"/>
              </w:rPr>
              <w:t>(</w:t>
            </w:r>
            <w:r>
              <w:rPr>
                <w:spacing w:val="20"/>
                <w:sz w:val="27"/>
                <w:szCs w:val="27"/>
              </w:rPr>
              <w:t>土木工程拓展署及規劃署共同委託</w:t>
            </w:r>
            <w:r>
              <w:rPr>
                <w:spacing w:val="20"/>
                <w:sz w:val="27"/>
                <w:szCs w:val="27"/>
              </w:rPr>
              <w:t>)</w:t>
            </w:r>
          </w:p>
          <w:p>
            <w:pPr>
              <w:pStyle w:val="Normal"/>
              <w:widowControl/>
              <w:snapToGrid w:val="false"/>
              <w:spacing w:lineRule="exact" w:line="380"/>
              <w:ind w:left="57" w:right="57" w:hanging="0"/>
              <w:rPr>
                <w:spacing w:val="20"/>
                <w:sz w:val="27"/>
                <w:szCs w:val="27"/>
              </w:rPr>
            </w:pPr>
            <w:r>
              <w:rPr>
                <w:spacing w:val="20"/>
                <w:sz w:val="27"/>
                <w:szCs w:val="27"/>
              </w:rPr>
              <w:t>Planning and Engineering Review of Potential Housing Sites in Tuen Mun East Area</w:t>
            </w:r>
          </w:p>
          <w:p>
            <w:pPr>
              <w:pStyle w:val="Normal"/>
              <w:widowControl/>
              <w:snapToGrid w:val="false"/>
              <w:spacing w:lineRule="exact" w:line="380"/>
              <w:ind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(5/2010)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3212"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邊境禁區的土地規劃研究</w:t>
            </w:r>
          </w:p>
          <w:p>
            <w:pPr>
              <w:pStyle w:val="Normal"/>
              <w:widowControl/>
              <w:snapToGrid w:val="false"/>
              <w:spacing w:lineRule="auto" w:line="240"/>
              <w:ind w:left="57" w:right="57" w:hanging="0"/>
              <w:rPr>
                <w:spacing w:val="20"/>
                <w:sz w:val="27"/>
                <w:szCs w:val="27"/>
              </w:rPr>
            </w:pPr>
            <w:r>
              <w:rPr>
                <w:spacing w:val="20"/>
                <w:sz w:val="27"/>
                <w:szCs w:val="27"/>
              </w:rPr>
              <w:t>Land Use Planning for the</w:t>
            </w:r>
          </w:p>
          <w:p>
            <w:pPr>
              <w:pStyle w:val="Normal"/>
              <w:widowControl/>
              <w:snapToGrid w:val="false"/>
              <w:spacing w:lineRule="auto" w:line="240"/>
              <w:ind w:left="57" w:right="57" w:hanging="0"/>
              <w:rPr>
                <w:spacing w:val="20"/>
                <w:sz w:val="27"/>
                <w:szCs w:val="27"/>
              </w:rPr>
            </w:pPr>
            <w:r>
              <w:rPr>
                <w:spacing w:val="20"/>
                <w:sz w:val="27"/>
                <w:szCs w:val="27"/>
              </w:rPr>
              <w:t xml:space="preserve">closed Area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Executive Summary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元朗邨重建計劃初步空氣流通評估</w:t>
            </w:r>
          </w:p>
          <w:p>
            <w:pPr>
              <w:pStyle w:val="Normal"/>
              <w:widowControl/>
              <w:snapToGrid w:val="false"/>
              <w:spacing w:lineRule="auto" w:line="240"/>
              <w:ind w:left="57" w:right="57" w:hanging="0"/>
              <w:rPr>
                <w:spacing w:val="20"/>
                <w:sz w:val="27"/>
                <w:szCs w:val="27"/>
              </w:rPr>
            </w:pPr>
            <w:r>
              <w:rPr>
                <w:spacing w:val="20"/>
                <w:sz w:val="27"/>
                <w:szCs w:val="27"/>
              </w:rPr>
              <w:t>Air Ventilation Assessment for the Private  Housing Portion of the Former Yuen Long Estate Site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12"/>
                <w:sz w:val="27"/>
                <w:szCs w:val="27"/>
              </w:rPr>
            </w:pPr>
            <w:r>
              <w:rPr>
                <w:spacing w:val="12"/>
                <w:sz w:val="27"/>
                <w:szCs w:val="27"/>
              </w:rPr>
              <w:t>二零一一年跨界旅運統計調查</w:t>
            </w:r>
          </w:p>
          <w:p>
            <w:pPr>
              <w:pStyle w:val="Normal"/>
              <w:widowControl/>
              <w:snapToGrid w:val="false"/>
              <w:spacing w:lineRule="auto" w:line="240"/>
              <w:ind w:left="57" w:right="57" w:hanging="0"/>
              <w:rPr>
                <w:spacing w:val="20"/>
                <w:sz w:val="27"/>
                <w:szCs w:val="27"/>
              </w:rPr>
            </w:pPr>
            <w:r>
              <w:rPr>
                <w:spacing w:val="20"/>
                <w:sz w:val="27"/>
                <w:szCs w:val="27"/>
              </w:rPr>
              <w:t>Cross-boundary Travel survey 2011</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報告書及統計表</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Report and Statistics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九龍東商業機構的統計調查</w:t>
            </w:r>
            <w:r>
              <w:rPr>
                <w:spacing w:val="20"/>
                <w:sz w:val="27"/>
                <w:szCs w:val="27"/>
              </w:rPr>
              <w:t>Survey on Business Establishment in Kowloon East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(5/2011)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摘要</w:t>
            </w:r>
          </w:p>
          <w:p>
            <w:pPr>
              <w:pStyle w:val="Normal"/>
              <w:widowControl/>
              <w:snapToGrid w:val="false"/>
              <w:spacing w:lineRule="exact" w:line="360"/>
              <w:ind w:left="57" w:right="57" w:hanging="0"/>
              <w:rPr>
                <w:spacing w:val="20"/>
                <w:sz w:val="27"/>
                <w:szCs w:val="27"/>
              </w:rPr>
            </w:pPr>
            <w:r>
              <w:rPr>
                <w:spacing w:val="20"/>
                <w:sz w:val="27"/>
                <w:szCs w:val="27"/>
              </w:rPr>
              <w:t>中及英</w:t>
            </w:r>
          </w:p>
          <w:p>
            <w:pPr>
              <w:pStyle w:val="Normal"/>
              <w:widowControl/>
              <w:snapToGrid w:val="false"/>
              <w:spacing w:lineRule="exact" w:line="360"/>
              <w:ind w:left="57" w:right="57" w:hanging="0"/>
              <w:rPr>
                <w:spacing w:val="20"/>
                <w:sz w:val="27"/>
                <w:szCs w:val="27"/>
              </w:rPr>
            </w:pPr>
            <w:r>
              <w:rPr>
                <w:spacing w:val="20"/>
                <w:sz w:val="27"/>
                <w:szCs w:val="27"/>
              </w:rPr>
              <w:t>Executive Summary Chinese and English</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最後報告書</w:t>
            </w:r>
          </w:p>
          <w:p>
            <w:pPr>
              <w:pStyle w:val="Normal"/>
              <w:widowControl/>
              <w:snapToGrid w:val="false"/>
              <w:spacing w:lineRule="exact" w:line="36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Final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改善流浮山鄉鎮及鄰近地區研究 </w:t>
            </w:r>
            <w:r>
              <w:rPr>
                <w:rFonts w:ascii="華康細明體" w:hAnsi="華康細明體" w:cs="華康細明體"/>
                <w:spacing w:val="20"/>
                <w:sz w:val="27"/>
                <w:szCs w:val="27"/>
              </w:rPr>
              <w:t>─</w:t>
            </w:r>
            <w:r>
              <w:rPr>
                <w:spacing w:val="20"/>
                <w:sz w:val="27"/>
                <w:szCs w:val="27"/>
              </w:rPr>
              <w:t xml:space="preserve"> 可行 性研究</w:t>
            </w:r>
          </w:p>
          <w:p>
            <w:pPr>
              <w:pStyle w:val="Normal"/>
              <w:widowControl/>
              <w:snapToGrid w:val="false"/>
              <w:spacing w:lineRule="auto" w:line="240"/>
              <w:ind w:left="57" w:right="57" w:hanging="0"/>
              <w:rPr>
                <w:spacing w:val="20"/>
                <w:sz w:val="27"/>
                <w:szCs w:val="27"/>
              </w:rPr>
            </w:pPr>
            <w:r>
              <w:rPr>
                <w:spacing w:val="20"/>
                <w:sz w:val="27"/>
                <w:szCs w:val="27"/>
              </w:rPr>
              <w:t xml:space="preserve">Study on the Enhancement of the Lau Fau Shan Rural Township and Surrounding Areas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中環新海濱城市設計研究</w:t>
            </w:r>
          </w:p>
          <w:p>
            <w:pPr>
              <w:pStyle w:val="Normal"/>
              <w:widowControl/>
              <w:snapToGrid w:val="false"/>
              <w:spacing w:lineRule="auto" w:line="240"/>
              <w:ind w:left="57" w:right="57" w:hanging="0"/>
              <w:rPr>
                <w:spacing w:val="20"/>
                <w:sz w:val="27"/>
                <w:szCs w:val="27"/>
              </w:rPr>
            </w:pPr>
            <w:r>
              <w:rPr>
                <w:spacing w:val="20"/>
                <w:sz w:val="27"/>
                <w:szCs w:val="27"/>
              </w:rPr>
              <w:t>Urban Design Study for the New Central Harbourfront (former name "The Central Reclamation Urban Design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70"/>
              <w:ind w:left="57" w:right="57" w:hanging="0"/>
              <w:rPr>
                <w:spacing w:val="20"/>
                <w:sz w:val="27"/>
                <w:szCs w:val="27"/>
              </w:rPr>
            </w:pPr>
            <w:r>
              <w:rPr>
                <w:spacing w:val="20"/>
                <w:sz w:val="27"/>
                <w:szCs w:val="27"/>
              </w:rPr>
              <w:t>資料摘要</w:t>
            </w:r>
          </w:p>
          <w:p>
            <w:pPr>
              <w:pStyle w:val="Normal"/>
              <w:widowControl/>
              <w:snapToGrid w:val="false"/>
              <w:spacing w:lineRule="exact" w:line="270"/>
              <w:ind w:left="57" w:right="57" w:hanging="0"/>
              <w:rPr>
                <w:spacing w:val="20"/>
                <w:sz w:val="27"/>
                <w:szCs w:val="27"/>
              </w:rPr>
            </w:pPr>
            <w:r>
              <w:rPr>
                <w:spacing w:val="20"/>
                <w:sz w:val="27"/>
                <w:szCs w:val="27"/>
              </w:rPr>
              <w:t>中及英</w:t>
            </w:r>
          </w:p>
          <w:p>
            <w:pPr>
              <w:pStyle w:val="Normal"/>
              <w:widowControl/>
              <w:snapToGrid w:val="false"/>
              <w:spacing w:lineRule="exact" w:line="270"/>
              <w:ind w:left="57" w:right="57" w:hanging="0"/>
              <w:rPr>
                <w:spacing w:val="20"/>
                <w:sz w:val="27"/>
                <w:szCs w:val="27"/>
              </w:rPr>
            </w:pPr>
            <w:r>
              <w:rPr>
                <w:spacing w:val="20"/>
                <w:sz w:val="27"/>
                <w:szCs w:val="27"/>
              </w:rPr>
              <w:t>Information Digest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Executive Summary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港島東海旁研究 </w:t>
            </w:r>
            <w:r>
              <w:rPr>
                <w:rFonts w:ascii="華康細明體" w:hAnsi="華康細明體" w:cs="華康細明體"/>
                <w:spacing w:val="20"/>
                <w:sz w:val="27"/>
                <w:szCs w:val="27"/>
              </w:rPr>
              <w:t>─</w:t>
            </w:r>
            <w:r>
              <w:rPr>
                <w:spacing w:val="20"/>
                <w:sz w:val="27"/>
                <w:szCs w:val="27"/>
              </w:rPr>
              <w:t xml:space="preserve"> 可行性研究</w:t>
            </w:r>
          </w:p>
          <w:p>
            <w:pPr>
              <w:pStyle w:val="Normal"/>
              <w:widowControl/>
              <w:snapToGrid w:val="false"/>
              <w:spacing w:lineRule="auto" w:line="240"/>
              <w:ind w:left="57" w:right="57" w:hanging="0"/>
              <w:rPr>
                <w:spacing w:val="20"/>
                <w:sz w:val="27"/>
                <w:szCs w:val="27"/>
              </w:rPr>
            </w:pPr>
            <w:r>
              <w:rPr>
                <w:spacing w:val="20"/>
                <w:sz w:val="27"/>
                <w:szCs w:val="27"/>
              </w:rPr>
              <w:t xml:space="preserve">Hong Kong Island East Harbourfront Study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最後報告書</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都市氣候圖及風環境評估標準可行性研究</w:t>
            </w:r>
          </w:p>
          <w:p>
            <w:pPr>
              <w:pStyle w:val="Normal"/>
              <w:widowControl/>
              <w:snapToGrid w:val="false"/>
              <w:spacing w:lineRule="auto" w:line="240"/>
              <w:ind w:left="57" w:right="57" w:hanging="0"/>
              <w:rPr>
                <w:spacing w:val="20"/>
                <w:sz w:val="27"/>
                <w:szCs w:val="27"/>
              </w:rPr>
            </w:pPr>
            <w:r>
              <w:rPr>
                <w:spacing w:val="20"/>
                <w:sz w:val="27"/>
                <w:szCs w:val="27"/>
              </w:rPr>
              <w:t xml:space="preserve">Urban Climatic Map and Standards for Wind Environment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 xml:space="preserve">Executive Summary </w:t>
            </w:r>
          </w:p>
          <w:p>
            <w:pPr>
              <w:pStyle w:val="Normal"/>
              <w:widowControl/>
              <w:snapToGrid w:val="false"/>
              <w:spacing w:lineRule="auto" w:line="240"/>
              <w:ind w:left="57" w:right="57" w:hanging="0"/>
              <w:rPr>
                <w:spacing w:val="20"/>
                <w:sz w:val="27"/>
                <w:szCs w:val="27"/>
              </w:rPr>
            </w:pPr>
            <w:r>
              <w:rPr>
                <w:spacing w:val="20"/>
                <w:sz w:val="27"/>
                <w:szCs w:val="27"/>
              </w:rPr>
              <w:t>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 xml:space="preserve">最後報告書 </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改善沙頭角鄉鎮及鄰近地區研究 </w:t>
            </w:r>
            <w:r>
              <w:rPr>
                <w:rFonts w:ascii="華康細明體" w:hAnsi="華康細明體" w:cs="華康細明體"/>
                <w:spacing w:val="20"/>
                <w:sz w:val="27"/>
                <w:szCs w:val="27"/>
              </w:rPr>
              <w:t>─</w:t>
            </w:r>
            <w:r>
              <w:rPr>
                <w:spacing w:val="20"/>
                <w:sz w:val="27"/>
                <w:szCs w:val="27"/>
              </w:rPr>
              <w:t xml:space="preserve"> 可行性研究</w:t>
            </w:r>
          </w:p>
          <w:p>
            <w:pPr>
              <w:pStyle w:val="Normal"/>
              <w:widowControl/>
              <w:snapToGrid w:val="false"/>
              <w:spacing w:lineRule="auto" w:line="240"/>
              <w:ind w:left="57" w:right="57" w:hanging="0"/>
              <w:rPr>
                <w:spacing w:val="20"/>
                <w:sz w:val="27"/>
                <w:szCs w:val="27"/>
              </w:rPr>
            </w:pPr>
            <w:r>
              <w:rPr>
                <w:spacing w:val="20"/>
                <w:sz w:val="27"/>
                <w:szCs w:val="27"/>
              </w:rPr>
              <w:t xml:space="preserve">Study on the Enhancement of the Sha Tau Kok Rural Township and Surrounding Areas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摘要</w:t>
            </w:r>
          </w:p>
          <w:p>
            <w:pPr>
              <w:pStyle w:val="Normal"/>
              <w:widowControl/>
              <w:snapToGrid w:val="false"/>
              <w:spacing w:lineRule="exact" w:line="380"/>
              <w:ind w:left="57" w:right="57" w:hanging="0"/>
              <w:rPr>
                <w:spacing w:val="20"/>
                <w:sz w:val="27"/>
                <w:szCs w:val="27"/>
              </w:rPr>
            </w:pPr>
            <w:r>
              <w:rPr>
                <w:spacing w:val="20"/>
                <w:sz w:val="27"/>
                <w:szCs w:val="27"/>
              </w:rPr>
              <w:t>中及英</w:t>
            </w:r>
          </w:p>
          <w:p>
            <w:pPr>
              <w:pStyle w:val="Normal"/>
              <w:widowControl/>
              <w:snapToGrid w:val="false"/>
              <w:spacing w:lineRule="exact" w:line="380"/>
              <w:ind w:left="57" w:right="57" w:hanging="0"/>
              <w:rPr>
                <w:spacing w:val="20"/>
                <w:sz w:val="27"/>
                <w:szCs w:val="27"/>
              </w:rPr>
            </w:pPr>
            <w:r>
              <w:rPr>
                <w:spacing w:val="20"/>
                <w:sz w:val="27"/>
                <w:szCs w:val="27"/>
              </w:rPr>
              <w:t>Executive Summary</w:t>
            </w:r>
          </w:p>
          <w:p>
            <w:pPr>
              <w:pStyle w:val="Normal"/>
              <w:widowControl/>
              <w:snapToGrid w:val="false"/>
              <w:spacing w:lineRule="exact" w:line="380"/>
              <w:ind w:left="57" w:right="57" w:hanging="0"/>
              <w:rPr>
                <w:spacing w:val="20"/>
                <w:sz w:val="27"/>
                <w:szCs w:val="27"/>
              </w:rPr>
            </w:pPr>
            <w:r>
              <w:rPr>
                <w:spacing w:val="20"/>
                <w:sz w:val="27"/>
                <w:szCs w:val="27"/>
              </w:rPr>
              <w:t>Chinese and English</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最後報告書</w:t>
            </w:r>
          </w:p>
          <w:p>
            <w:pPr>
              <w:pStyle w:val="Normal"/>
              <w:widowControl/>
              <w:snapToGrid w:val="false"/>
              <w:spacing w:lineRule="exact" w:line="38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 xml:space="preserve">Final Report </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康樂及文化事務署</w:t>
            </w:r>
          </w:p>
          <w:p>
            <w:pPr>
              <w:pStyle w:val="Normal"/>
              <w:widowControl/>
              <w:snapToGrid w:val="false"/>
              <w:spacing w:lineRule="auto" w:line="240"/>
              <w:ind w:left="57" w:right="57" w:hanging="0"/>
              <w:rPr>
                <w:spacing w:val="20"/>
                <w:sz w:val="27"/>
                <w:szCs w:val="27"/>
              </w:rPr>
            </w:pPr>
            <w:r>
              <w:rPr>
                <w:spacing w:val="20"/>
                <w:sz w:val="27"/>
                <w:szCs w:val="27"/>
              </w:rPr>
              <w:t>Leisure and Cultural</w:t>
            </w:r>
          </w:p>
          <w:p>
            <w:pPr>
              <w:pStyle w:val="Normal"/>
              <w:widowControl/>
              <w:snapToGrid w:val="false"/>
              <w:spacing w:lineRule="auto" w:line="240"/>
              <w:ind w:left="57" w:right="57" w:hanging="0"/>
              <w:rPr>
                <w:spacing w:val="20"/>
                <w:sz w:val="27"/>
                <w:szCs w:val="27"/>
              </w:rPr>
            </w:pPr>
            <w:r>
              <w:rPr>
                <w:spacing w:val="20"/>
                <w:sz w:val="27"/>
                <w:szCs w:val="27"/>
              </w:rPr>
              <w:t>Services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香港非物質文化遺產普查</w:t>
            </w:r>
          </w:p>
          <w:p>
            <w:pPr>
              <w:pStyle w:val="Normal"/>
              <w:widowControl/>
              <w:snapToGrid w:val="false"/>
              <w:spacing w:lineRule="auto" w:line="240"/>
              <w:ind w:left="57" w:right="57" w:hanging="0"/>
              <w:rPr>
                <w:spacing w:val="20"/>
                <w:sz w:val="27"/>
                <w:szCs w:val="27"/>
              </w:rPr>
            </w:pPr>
            <w:r>
              <w:rPr>
                <w:spacing w:val="20"/>
                <w:sz w:val="27"/>
                <w:szCs w:val="27"/>
              </w:rPr>
              <w:t>(2009-2013) Territory-wide Survey of Intangible Cultural Heritage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線上數據庫</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Online database</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香港文化博物館網站設有非物質文化遺產網頁以供瀏覽</w:t>
            </w:r>
          </w:p>
          <w:p>
            <w:pPr>
              <w:pStyle w:val="Normal"/>
              <w:widowControl/>
              <w:snapToGrid w:val="false"/>
              <w:spacing w:lineRule="auto" w:line="240"/>
              <w:ind w:left="57" w:right="57" w:hanging="0"/>
              <w:rPr>
                <w:spacing w:val="20"/>
                <w:sz w:val="27"/>
                <w:szCs w:val="27"/>
              </w:rPr>
            </w:pPr>
            <w:r>
              <w:rPr>
                <w:spacing w:val="20"/>
                <w:sz w:val="27"/>
                <w:szCs w:val="27"/>
              </w:rPr>
              <w:t>A webpage of Intangible  Cultural Heritage on the Hong Kong  Heritage Museum's website is available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中區政府合署建築羣文物保育研究</w:t>
            </w:r>
          </w:p>
          <w:p>
            <w:pPr>
              <w:pStyle w:val="Normal"/>
              <w:widowControl/>
              <w:snapToGrid w:val="false"/>
              <w:spacing w:lineRule="auto" w:line="240"/>
              <w:ind w:left="57" w:right="57" w:hanging="0"/>
              <w:rPr>
                <w:spacing w:val="20"/>
                <w:sz w:val="27"/>
                <w:szCs w:val="27"/>
              </w:rPr>
            </w:pPr>
            <w:r>
              <w:rPr>
                <w:spacing w:val="20"/>
                <w:sz w:val="27"/>
                <w:szCs w:val="27"/>
              </w:rPr>
              <w:t xml:space="preserve">Heritage Study on Central Government Offices Complex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網頁列載或可供下載，並存放於香港文物探知館參考圖書館</w:t>
            </w:r>
          </w:p>
          <w:p>
            <w:pPr>
              <w:pStyle w:val="Normal"/>
              <w:widowControl/>
              <w:snapToGrid w:val="false"/>
              <w:spacing w:lineRule="auto" w:line="240"/>
              <w:ind w:left="57" w:right="57" w:hanging="0"/>
              <w:rPr>
                <w:spacing w:val="20"/>
                <w:sz w:val="27"/>
                <w:szCs w:val="27"/>
              </w:rPr>
            </w:pPr>
            <w:r>
              <w:rPr>
                <w:spacing w:val="20"/>
                <w:sz w:val="27"/>
                <w:szCs w:val="27"/>
              </w:rPr>
              <w:t>Available on website and library at Hong Kong Heritage Discovery Centre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古物古蹟辦事處網站設有專題報告網頁以供瀏覽</w:t>
            </w:r>
          </w:p>
          <w:p>
            <w:pPr>
              <w:pStyle w:val="Normal"/>
              <w:widowControl/>
              <w:snapToGrid w:val="false"/>
              <w:spacing w:lineRule="auto" w:line="240"/>
              <w:ind w:left="57" w:right="57" w:hanging="0"/>
              <w:rPr>
                <w:spacing w:val="20"/>
                <w:sz w:val="27"/>
                <w:szCs w:val="27"/>
              </w:rPr>
            </w:pPr>
            <w:r>
              <w:rPr>
                <w:spacing w:val="20"/>
                <w:sz w:val="27"/>
                <w:szCs w:val="27"/>
              </w:rPr>
              <w:t xml:space="preserve">A webpage of Research Reports on the Antiquities and </w:t>
            </w:r>
            <w:r>
              <w:rPr>
                <w:spacing w:val="16"/>
                <w:sz w:val="27"/>
                <w:szCs w:val="27"/>
              </w:rPr>
              <w:t>Monuments</w:t>
            </w:r>
            <w:r>
              <w:rPr>
                <w:spacing w:val="20"/>
                <w:sz w:val="27"/>
                <w:szCs w:val="27"/>
              </w:rPr>
              <w:t xml:space="preserve"> Office's</w:t>
            </w:r>
          </w:p>
          <w:p>
            <w:pPr>
              <w:pStyle w:val="Normal"/>
              <w:widowControl/>
              <w:snapToGrid w:val="false"/>
              <w:spacing w:lineRule="auto" w:line="240"/>
              <w:ind w:left="57" w:right="57" w:hanging="0"/>
              <w:rPr>
                <w:spacing w:val="20"/>
                <w:sz w:val="27"/>
                <w:szCs w:val="27"/>
              </w:rPr>
            </w:pPr>
            <w:r>
              <w:rPr>
                <w:spacing w:val="20"/>
                <w:sz w:val="27"/>
                <w:szCs w:val="27"/>
              </w:rPr>
              <w:t>website is available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大埔碗窰龜地崗保留區範圍重新評估報告</w:t>
            </w:r>
          </w:p>
          <w:p>
            <w:pPr>
              <w:pStyle w:val="Normal"/>
              <w:widowControl/>
              <w:snapToGrid w:val="false"/>
              <w:spacing w:lineRule="exact" w:line="360"/>
              <w:ind w:left="57" w:right="57" w:hanging="0"/>
              <w:rPr>
                <w:spacing w:val="20"/>
                <w:sz w:val="27"/>
                <w:szCs w:val="27"/>
              </w:rPr>
            </w:pPr>
            <w:r>
              <w:rPr>
                <w:spacing w:val="20"/>
                <w:sz w:val="27"/>
                <w:szCs w:val="27"/>
              </w:rPr>
              <w:t>Reassessment of the Boundary of the Guidi Gang Reserve Area in Wun Yiu, Tai Po</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(8/2010)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石刻研究報告</w:t>
            </w:r>
          </w:p>
          <w:p>
            <w:pPr>
              <w:pStyle w:val="Normal"/>
              <w:widowControl/>
              <w:snapToGrid w:val="false"/>
              <w:spacing w:lineRule="auto" w:line="240"/>
              <w:ind w:left="57" w:right="57" w:hanging="0"/>
              <w:rPr>
                <w:spacing w:val="20"/>
                <w:sz w:val="27"/>
                <w:szCs w:val="27"/>
              </w:rPr>
            </w:pPr>
            <w:r>
              <w:rPr>
                <w:spacing w:val="20"/>
                <w:sz w:val="27"/>
                <w:szCs w:val="27"/>
              </w:rPr>
              <w:t>Rock Carvings Consultancy Study Reports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香港大埔碗窰再認識</w:t>
            </w:r>
          </w:p>
          <w:p>
            <w:pPr>
              <w:pStyle w:val="Normal"/>
              <w:widowControl/>
              <w:snapToGrid w:val="false"/>
              <w:spacing w:lineRule="auto" w:line="240"/>
              <w:ind w:left="57" w:right="57" w:hanging="0"/>
              <w:rPr>
                <w:spacing w:val="20"/>
                <w:sz w:val="27"/>
                <w:szCs w:val="27"/>
              </w:rPr>
            </w:pPr>
            <w:r>
              <w:rPr>
                <w:spacing w:val="20"/>
                <w:sz w:val="27"/>
                <w:szCs w:val="27"/>
              </w:rPr>
              <w:t>Further Study of Wun Yiu, Tai Po,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中</w:t>
            </w:r>
          </w:p>
          <w:p>
            <w:pPr>
              <w:pStyle w:val="Normal"/>
              <w:widowControl/>
              <w:snapToGrid w:val="false"/>
              <w:spacing w:lineRule="auto" w:line="240"/>
              <w:ind w:left="57" w:right="57" w:hanging="0"/>
              <w:rPr>
                <w:spacing w:val="20"/>
                <w:sz w:val="27"/>
                <w:szCs w:val="27"/>
              </w:rPr>
            </w:pPr>
            <w:r>
              <w:rPr>
                <w:spacing w:val="20"/>
                <w:sz w:val="27"/>
                <w:szCs w:val="27"/>
              </w:rPr>
              <w:t>Chinese</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何東花園歷史價值的顧問研究</w:t>
            </w:r>
          </w:p>
          <w:p>
            <w:pPr>
              <w:pStyle w:val="Normal"/>
              <w:widowControl/>
              <w:snapToGrid w:val="false"/>
              <w:spacing w:lineRule="auto" w:line="240"/>
              <w:ind w:left="57" w:right="57" w:hanging="0"/>
              <w:rPr>
                <w:spacing w:val="20"/>
                <w:sz w:val="27"/>
                <w:szCs w:val="27"/>
              </w:rPr>
            </w:pPr>
            <w:r>
              <w:rPr>
                <w:spacing w:val="20"/>
                <w:sz w:val="27"/>
                <w:szCs w:val="27"/>
              </w:rPr>
              <w:t>Consultancy Study on the Historic Value of Ho Tung Gardens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摘要</w:t>
            </w:r>
          </w:p>
          <w:p>
            <w:pPr>
              <w:pStyle w:val="Normal"/>
              <w:widowControl/>
              <w:snapToGrid w:val="false"/>
              <w:spacing w:lineRule="exact" w:line="300"/>
              <w:ind w:left="57" w:right="57" w:hanging="0"/>
              <w:rPr>
                <w:spacing w:val="20"/>
                <w:sz w:val="27"/>
                <w:szCs w:val="27"/>
              </w:rPr>
            </w:pPr>
            <w:r>
              <w:rPr>
                <w:spacing w:val="20"/>
                <w:sz w:val="27"/>
                <w:szCs w:val="27"/>
              </w:rPr>
              <w:t>英</w:t>
            </w:r>
          </w:p>
          <w:p>
            <w:pPr>
              <w:pStyle w:val="Normal"/>
              <w:widowControl/>
              <w:snapToGrid w:val="false"/>
              <w:spacing w:lineRule="exact" w:line="300"/>
              <w:ind w:left="57" w:right="57" w:hanging="0"/>
              <w:rPr>
                <w:spacing w:val="20"/>
                <w:sz w:val="27"/>
                <w:szCs w:val="27"/>
              </w:rPr>
            </w:pPr>
            <w:r>
              <w:rPr>
                <w:spacing w:val="20"/>
                <w:sz w:val="27"/>
                <w:szCs w:val="27"/>
              </w:rPr>
              <w:t>Executive Summary</w:t>
            </w:r>
          </w:p>
          <w:p>
            <w:pPr>
              <w:pStyle w:val="Normal"/>
              <w:widowControl/>
              <w:snapToGrid w:val="false"/>
              <w:spacing w:lineRule="exact" w:line="300"/>
              <w:ind w:left="57" w:right="57" w:hanging="0"/>
              <w:rPr>
                <w:spacing w:val="20"/>
                <w:sz w:val="27"/>
                <w:szCs w:val="27"/>
              </w:rPr>
            </w:pPr>
            <w:r>
              <w:rPr>
                <w:spacing w:val="20"/>
                <w:sz w:val="27"/>
                <w:szCs w:val="27"/>
              </w:rPr>
              <w:t>English</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全文</w:t>
            </w:r>
          </w:p>
          <w:p>
            <w:pPr>
              <w:pStyle w:val="Normal"/>
              <w:widowControl/>
              <w:snapToGrid w:val="false"/>
              <w:spacing w:lineRule="exact" w:line="300"/>
              <w:ind w:left="57" w:right="57" w:hanging="0"/>
              <w:rPr>
                <w:spacing w:val="20"/>
                <w:sz w:val="27"/>
                <w:szCs w:val="27"/>
              </w:rPr>
            </w:pPr>
            <w:r>
              <w:rPr>
                <w:spacing w:val="20"/>
                <w:sz w:val="27"/>
                <w:szCs w:val="27"/>
              </w:rPr>
              <w:t>中</w:t>
            </w:r>
          </w:p>
          <w:p>
            <w:pPr>
              <w:pStyle w:val="Normal"/>
              <w:widowControl/>
              <w:snapToGrid w:val="false"/>
              <w:spacing w:lineRule="exact" w:line="300"/>
              <w:ind w:left="57" w:right="57" w:hanging="0"/>
              <w:rPr>
                <w:spacing w:val="20"/>
                <w:sz w:val="27"/>
                <w:szCs w:val="27"/>
              </w:rPr>
            </w:pPr>
            <w:r>
              <w:rPr>
                <w:spacing w:val="20"/>
                <w:sz w:val="27"/>
                <w:szCs w:val="27"/>
              </w:rPr>
              <w:t>Full text</w:t>
            </w:r>
          </w:p>
          <w:p>
            <w:pPr>
              <w:pStyle w:val="Normal"/>
              <w:widowControl/>
              <w:snapToGrid w:val="false"/>
              <w:spacing w:lineRule="exact" w:line="300"/>
              <w:ind w:left="57" w:right="57" w:hanging="0"/>
              <w:rPr>
                <w:spacing w:val="20"/>
                <w:sz w:val="27"/>
                <w:szCs w:val="27"/>
              </w:rPr>
            </w:pPr>
            <w:r>
              <w:rPr>
                <w:spacing w:val="20"/>
                <w:sz w:val="27"/>
                <w:szCs w:val="27"/>
              </w:rPr>
              <w:t>Chinese</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何東花園建築價值的顧問研究</w:t>
            </w:r>
          </w:p>
          <w:p>
            <w:pPr>
              <w:pStyle w:val="Normal"/>
              <w:widowControl/>
              <w:snapToGrid w:val="false"/>
              <w:spacing w:lineRule="auto" w:line="240"/>
              <w:ind w:left="57" w:right="57" w:hanging="0"/>
              <w:rPr>
                <w:spacing w:val="20"/>
                <w:sz w:val="27"/>
                <w:szCs w:val="27"/>
              </w:rPr>
            </w:pPr>
            <w:r>
              <w:rPr>
                <w:spacing w:val="20"/>
                <w:sz w:val="27"/>
                <w:szCs w:val="27"/>
              </w:rPr>
              <w:t>Consultancy Study on the</w:t>
            </w:r>
          </w:p>
          <w:p>
            <w:pPr>
              <w:pStyle w:val="Normal"/>
              <w:widowControl/>
              <w:snapToGrid w:val="false"/>
              <w:spacing w:lineRule="auto" w:line="240"/>
              <w:ind w:left="57" w:right="57" w:hanging="0"/>
              <w:rPr>
                <w:spacing w:val="20"/>
                <w:sz w:val="27"/>
                <w:szCs w:val="27"/>
              </w:rPr>
            </w:pPr>
            <w:r>
              <w:rPr>
                <w:spacing w:val="20"/>
                <w:sz w:val="27"/>
                <w:szCs w:val="27"/>
              </w:rPr>
              <w:t>Architectural Value of Ho Tung Gardens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前總督山頂別墅遺址和周邊地區文物詮釋研究</w:t>
            </w:r>
          </w:p>
          <w:p>
            <w:pPr>
              <w:pStyle w:val="Normal"/>
              <w:widowControl/>
              <w:snapToGrid w:val="false"/>
              <w:spacing w:lineRule="exact" w:line="300"/>
              <w:ind w:left="57" w:right="57" w:hanging="0"/>
              <w:rPr>
                <w:spacing w:val="20"/>
                <w:sz w:val="27"/>
                <w:szCs w:val="27"/>
              </w:rPr>
            </w:pPr>
            <w:r>
              <w:rPr>
                <w:spacing w:val="20"/>
                <w:sz w:val="27"/>
                <w:szCs w:val="27"/>
              </w:rPr>
              <w:t xml:space="preserve">Interpretation Study on the Site of Former </w:t>
            </w:r>
            <w:r>
              <w:rPr>
                <w:sz w:val="27"/>
                <w:szCs w:val="27"/>
              </w:rPr>
              <w:t>Mountain Lodge</w:t>
            </w:r>
            <w:r>
              <w:rPr>
                <w:spacing w:val="20"/>
                <w:sz w:val="27"/>
                <w:szCs w:val="27"/>
              </w:rPr>
              <w:t xml:space="preserve"> and its Surrounding Areas</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(12/2011)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香港石刻的保護和遊客設施設計建議</w:t>
            </w:r>
          </w:p>
          <w:p>
            <w:pPr>
              <w:pStyle w:val="Normal"/>
              <w:widowControl/>
              <w:snapToGrid w:val="false"/>
              <w:spacing w:lineRule="auto" w:line="240"/>
              <w:ind w:left="57" w:right="57" w:hanging="0"/>
              <w:rPr>
                <w:spacing w:val="20"/>
                <w:sz w:val="27"/>
                <w:szCs w:val="27"/>
              </w:rPr>
            </w:pPr>
            <w:r>
              <w:rPr>
                <w:spacing w:val="20"/>
                <w:sz w:val="27"/>
                <w:szCs w:val="27"/>
              </w:rPr>
              <w:t>Provision of Architectural Designs of Protection and</w:t>
            </w:r>
          </w:p>
          <w:p>
            <w:pPr>
              <w:pStyle w:val="Normal"/>
              <w:widowControl/>
              <w:snapToGrid w:val="false"/>
              <w:spacing w:lineRule="auto" w:line="240"/>
              <w:ind w:left="57" w:right="57" w:hanging="0"/>
              <w:rPr>
                <w:spacing w:val="20"/>
                <w:sz w:val="27"/>
                <w:szCs w:val="27"/>
              </w:rPr>
            </w:pPr>
            <w:r>
              <w:rPr>
                <w:spacing w:val="4"/>
                <w:sz w:val="27"/>
                <w:szCs w:val="27"/>
              </w:rPr>
              <w:t>Visitor Facilities</w:t>
            </w:r>
            <w:r>
              <w:rPr>
                <w:spacing w:val="20"/>
                <w:sz w:val="27"/>
                <w:szCs w:val="27"/>
              </w:rPr>
              <w:t xml:space="preserve"> for Rock Carvings and Inscription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6"/>
                <w:szCs w:val="6"/>
              </w:rPr>
            </w:pPr>
            <w:r>
              <w:rPr>
                <w:spacing w:val="20"/>
                <w:sz w:val="6"/>
                <w:szCs w:val="6"/>
              </w:rPr>
            </w:r>
          </w:p>
          <w:p>
            <w:pPr>
              <w:pStyle w:val="Normal"/>
              <w:widowControl/>
              <w:snapToGrid w:val="false"/>
              <w:spacing w:lineRule="exact" w:line="260"/>
              <w:ind w:left="57" w:right="57" w:hanging="0"/>
              <w:rPr>
                <w:spacing w:val="20"/>
                <w:sz w:val="27"/>
                <w:szCs w:val="27"/>
              </w:rPr>
            </w:pPr>
            <w:r>
              <w:rPr>
                <w:spacing w:val="20"/>
                <w:sz w:val="27"/>
                <w:szCs w:val="27"/>
              </w:rPr>
              <w:t>“</w:t>
            </w:r>
            <w:r>
              <w:rPr>
                <w:spacing w:val="20"/>
                <w:sz w:val="27"/>
                <w:szCs w:val="27"/>
              </w:rPr>
              <w:t>龍津橋及其鄰近區域”歷史研究</w:t>
            </w:r>
          </w:p>
          <w:p>
            <w:pPr>
              <w:pStyle w:val="Normal"/>
              <w:widowControl/>
              <w:snapToGrid w:val="false"/>
              <w:spacing w:lineRule="exact" w:line="260"/>
              <w:ind w:left="57" w:right="57" w:hanging="0"/>
              <w:rPr>
                <w:spacing w:val="20"/>
                <w:sz w:val="27"/>
                <w:szCs w:val="27"/>
              </w:rPr>
            </w:pPr>
            <w:r>
              <w:rPr>
                <w:spacing w:val="20"/>
                <w:sz w:val="27"/>
                <w:szCs w:val="27"/>
              </w:rPr>
              <w:t>A Research on Lung Tsun Stone Bridge and its Surrounding Area</w:t>
            </w:r>
          </w:p>
          <w:p>
            <w:pPr>
              <w:pStyle w:val="Normal"/>
              <w:widowControl/>
              <w:snapToGrid w:val="false"/>
              <w:spacing w:lineRule="exact" w:line="260"/>
              <w:ind w:left="57" w:right="57" w:hanging="0"/>
              <w:rPr>
                <w:spacing w:val="20"/>
                <w:sz w:val="27"/>
                <w:szCs w:val="27"/>
              </w:rPr>
            </w:pPr>
            <w:r>
              <w:rPr>
                <w:spacing w:val="20"/>
                <w:sz w:val="27"/>
                <w:szCs w:val="27"/>
              </w:rPr>
            </w:r>
          </w:p>
          <w:p>
            <w:pPr>
              <w:pStyle w:val="Normal"/>
              <w:widowControl/>
              <w:snapToGrid w:val="false"/>
              <w:spacing w:lineRule="exact" w:line="260"/>
              <w:ind w:left="57" w:right="57" w:hanging="0"/>
              <w:rPr>
                <w:spacing w:val="20"/>
                <w:sz w:val="27"/>
                <w:szCs w:val="27"/>
              </w:rPr>
            </w:pPr>
            <w:r>
              <w:rPr>
                <w:spacing w:val="20"/>
                <w:sz w:val="27"/>
                <w:szCs w:val="27"/>
              </w:rPr>
              <w:t>(12/2012)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6"/>
                <w:szCs w:val="6"/>
              </w:rPr>
            </w:pPr>
            <w:r>
              <w:rPr>
                <w:spacing w:val="20"/>
                <w:sz w:val="6"/>
                <w:szCs w:val="6"/>
              </w:rPr>
            </w:r>
          </w:p>
          <w:p>
            <w:pPr>
              <w:pStyle w:val="Normal"/>
              <w:widowControl/>
              <w:snapToGrid w:val="false"/>
              <w:spacing w:lineRule="exact" w:line="260"/>
              <w:ind w:left="57" w:right="57" w:hanging="0"/>
              <w:rPr>
                <w:spacing w:val="20"/>
                <w:sz w:val="27"/>
                <w:szCs w:val="27"/>
              </w:rPr>
            </w:pPr>
            <w:r>
              <w:rPr>
                <w:spacing w:val="20"/>
                <w:sz w:val="27"/>
                <w:szCs w:val="27"/>
              </w:rPr>
              <w:t>摘要</w:t>
            </w:r>
          </w:p>
          <w:p>
            <w:pPr>
              <w:pStyle w:val="Normal"/>
              <w:widowControl/>
              <w:snapToGrid w:val="false"/>
              <w:spacing w:lineRule="exact" w:line="260"/>
              <w:ind w:left="57" w:right="57" w:hanging="0"/>
              <w:rPr>
                <w:spacing w:val="20"/>
                <w:sz w:val="27"/>
                <w:szCs w:val="27"/>
              </w:rPr>
            </w:pPr>
            <w:r>
              <w:rPr>
                <w:spacing w:val="20"/>
                <w:sz w:val="27"/>
                <w:szCs w:val="27"/>
              </w:rPr>
              <w:t>中及英</w:t>
            </w:r>
          </w:p>
          <w:p>
            <w:pPr>
              <w:pStyle w:val="Normal"/>
              <w:widowControl/>
              <w:snapToGrid w:val="false"/>
              <w:spacing w:lineRule="exact" w:line="260"/>
              <w:ind w:left="57" w:right="57" w:hanging="0"/>
              <w:rPr>
                <w:spacing w:val="20"/>
                <w:sz w:val="27"/>
                <w:szCs w:val="27"/>
              </w:rPr>
            </w:pPr>
            <w:r>
              <w:rPr>
                <w:spacing w:val="20"/>
                <w:sz w:val="27"/>
                <w:szCs w:val="27"/>
              </w:rPr>
              <w:t>Executive Summary</w:t>
            </w:r>
          </w:p>
          <w:p>
            <w:pPr>
              <w:pStyle w:val="Normal"/>
              <w:widowControl/>
              <w:snapToGrid w:val="false"/>
              <w:spacing w:lineRule="exact" w:line="260"/>
              <w:ind w:left="57" w:right="57" w:hanging="0"/>
              <w:rPr>
                <w:spacing w:val="20"/>
                <w:sz w:val="27"/>
                <w:szCs w:val="27"/>
              </w:rPr>
            </w:pPr>
            <w:r>
              <w:rPr>
                <w:spacing w:val="20"/>
                <w:sz w:val="27"/>
                <w:szCs w:val="27"/>
              </w:rPr>
              <w:t>Chinese and English</w:t>
            </w:r>
          </w:p>
          <w:p>
            <w:pPr>
              <w:pStyle w:val="Normal"/>
              <w:widowControl/>
              <w:snapToGrid w:val="false"/>
              <w:spacing w:lineRule="exact" w:line="260"/>
              <w:ind w:left="57" w:right="57" w:hanging="0"/>
              <w:rPr>
                <w:spacing w:val="20"/>
                <w:sz w:val="27"/>
                <w:szCs w:val="27"/>
              </w:rPr>
            </w:pPr>
            <w:r>
              <w:rPr>
                <w:spacing w:val="20"/>
                <w:sz w:val="27"/>
                <w:szCs w:val="27"/>
              </w:rPr>
            </w:r>
          </w:p>
          <w:p>
            <w:pPr>
              <w:pStyle w:val="Normal"/>
              <w:widowControl/>
              <w:snapToGrid w:val="false"/>
              <w:spacing w:lineRule="exact" w:line="260"/>
              <w:ind w:left="57" w:right="57" w:hanging="0"/>
              <w:rPr>
                <w:spacing w:val="20"/>
                <w:sz w:val="27"/>
                <w:szCs w:val="27"/>
              </w:rPr>
            </w:pPr>
            <w:r>
              <w:rPr>
                <w:spacing w:val="20"/>
                <w:sz w:val="27"/>
                <w:szCs w:val="27"/>
              </w:rPr>
              <w:t>全文</w:t>
            </w:r>
          </w:p>
          <w:p>
            <w:pPr>
              <w:pStyle w:val="Normal"/>
              <w:widowControl/>
              <w:snapToGrid w:val="false"/>
              <w:spacing w:lineRule="exact" w:line="260"/>
              <w:ind w:left="57" w:right="57" w:hanging="0"/>
              <w:rPr>
                <w:spacing w:val="20"/>
                <w:sz w:val="27"/>
                <w:szCs w:val="27"/>
              </w:rPr>
            </w:pPr>
            <w:r>
              <w:rPr>
                <w:spacing w:val="20"/>
                <w:sz w:val="27"/>
                <w:szCs w:val="27"/>
              </w:rPr>
              <w:t>中</w:t>
            </w:r>
          </w:p>
          <w:p>
            <w:pPr>
              <w:pStyle w:val="Normal"/>
              <w:widowControl/>
              <w:snapToGrid w:val="false"/>
              <w:spacing w:lineRule="exact" w:line="260"/>
              <w:ind w:left="57" w:right="57" w:hanging="0"/>
              <w:rPr>
                <w:spacing w:val="20"/>
                <w:sz w:val="27"/>
                <w:szCs w:val="27"/>
              </w:rPr>
            </w:pPr>
            <w:r>
              <w:rPr>
                <w:spacing w:val="20"/>
                <w:sz w:val="27"/>
                <w:szCs w:val="27"/>
              </w:rPr>
              <w:t>Full text</w:t>
            </w:r>
          </w:p>
          <w:p>
            <w:pPr>
              <w:pStyle w:val="Normal"/>
              <w:widowControl/>
              <w:snapToGrid w:val="false"/>
              <w:spacing w:lineRule="exact" w:line="260"/>
              <w:ind w:left="57" w:right="57" w:hanging="0"/>
              <w:rPr>
                <w:spacing w:val="20"/>
                <w:sz w:val="27"/>
                <w:szCs w:val="27"/>
              </w:rPr>
            </w:pPr>
            <w:r>
              <w:rPr>
                <w:spacing w:val="20"/>
                <w:sz w:val="27"/>
                <w:szCs w:val="27"/>
              </w:rPr>
              <w:t>Chinese</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龍津石橋保育長廊詮釋準則和指引</w:t>
            </w:r>
          </w:p>
          <w:p>
            <w:pPr>
              <w:pStyle w:val="Normal"/>
              <w:widowControl/>
              <w:snapToGrid w:val="false"/>
              <w:spacing w:lineRule="auto" w:line="240"/>
              <w:ind w:left="57" w:right="57" w:hanging="0"/>
              <w:rPr>
                <w:spacing w:val="20"/>
                <w:sz w:val="27"/>
                <w:szCs w:val="27"/>
              </w:rPr>
            </w:pPr>
            <w:r>
              <w:rPr>
                <w:spacing w:val="20"/>
                <w:sz w:val="27"/>
                <w:szCs w:val="27"/>
              </w:rPr>
              <w:t>Interpretation Principles and Guidelines for the Lung Tsun Stone Bridge Preservation Corridor</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Full text</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藝術教育計劃研究</w:t>
            </w:r>
          </w:p>
          <w:p>
            <w:pPr>
              <w:pStyle w:val="Normal"/>
              <w:widowControl/>
              <w:snapToGrid w:val="false"/>
              <w:spacing w:lineRule="auto" w:line="240"/>
              <w:ind w:left="57" w:right="57" w:hanging="0"/>
              <w:rPr>
                <w:spacing w:val="20"/>
                <w:sz w:val="27"/>
                <w:szCs w:val="27"/>
              </w:rPr>
            </w:pPr>
            <w:r>
              <w:rPr>
                <w:spacing w:val="20"/>
                <w:sz w:val="27"/>
                <w:szCs w:val="27"/>
              </w:rPr>
              <w:t>Study of Arts Education Schemes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 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透過網頁供公眾閱覽</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普及體育研究 </w:t>
            </w:r>
            <w:r>
              <w:rPr>
                <w:rFonts w:ascii="華康細明體" w:hAnsi="華康細明體" w:cs="華康細明體"/>
                <w:spacing w:val="20"/>
                <w:sz w:val="27"/>
                <w:szCs w:val="27"/>
              </w:rPr>
              <w:t>─</w:t>
            </w:r>
            <w:r>
              <w:rPr>
                <w:spacing w:val="20"/>
                <w:sz w:val="27"/>
                <w:szCs w:val="27"/>
              </w:rPr>
              <w:t xml:space="preserve"> 香港市民參與體能活動模式</w:t>
            </w:r>
          </w:p>
          <w:p>
            <w:pPr>
              <w:pStyle w:val="Normal"/>
              <w:widowControl/>
              <w:snapToGrid w:val="false"/>
              <w:spacing w:lineRule="auto" w:line="240"/>
              <w:ind w:left="57" w:right="57" w:hanging="0"/>
              <w:rPr>
                <w:spacing w:val="20"/>
                <w:sz w:val="27"/>
                <w:szCs w:val="27"/>
              </w:rPr>
            </w:pPr>
            <w:r>
              <w:rPr>
                <w:spacing w:val="20"/>
                <w:sz w:val="27"/>
                <w:szCs w:val="27"/>
              </w:rPr>
              <w:t xml:space="preserve">Study on Sport for All </w:t>
            </w:r>
            <w:r>
              <w:rPr>
                <w:sz w:val="27"/>
                <w:szCs w:val="27"/>
              </w:rPr>
              <w:t>―</w:t>
            </w:r>
            <w:r>
              <w:rPr>
                <w:spacing w:val="20"/>
                <w:sz w:val="27"/>
                <w:szCs w:val="27"/>
              </w:rPr>
              <w:t xml:space="preserve"> the Participation Patterns of Hong Kong People in Physical Activities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免費向公眾派</w:t>
            </w:r>
            <w:r>
              <w:rPr>
                <w:sz w:val="27"/>
                <w:szCs w:val="27"/>
              </w:rPr>
              <w:t>發“概覽／</w:t>
            </w:r>
            <w:r>
              <w:rPr>
                <w:spacing w:val="20"/>
                <w:sz w:val="27"/>
                <w:szCs w:val="27"/>
              </w:rPr>
              <w:t>撮要”，網頁列載或可供下載。</w:t>
            </w:r>
          </w:p>
          <w:p>
            <w:pPr>
              <w:pStyle w:val="Normal"/>
              <w:widowControl/>
              <w:snapToGrid w:val="false"/>
              <w:spacing w:lineRule="auto" w:line="240"/>
              <w:ind w:left="57" w:right="57" w:hanging="0"/>
              <w:rPr>
                <w:spacing w:val="20"/>
                <w:sz w:val="27"/>
                <w:szCs w:val="27"/>
              </w:rPr>
            </w:pPr>
            <w:r>
              <w:rPr>
                <w:spacing w:val="20"/>
                <w:sz w:val="27"/>
                <w:szCs w:val="27"/>
              </w:rPr>
              <w:t>The public can obtain copies of profiles/</w:t>
            </w:r>
          </w:p>
          <w:p>
            <w:pPr>
              <w:pStyle w:val="Normal"/>
              <w:widowControl/>
              <w:snapToGrid w:val="false"/>
              <w:spacing w:lineRule="auto" w:line="240"/>
              <w:ind w:left="57" w:right="57" w:hanging="0"/>
              <w:rPr>
                <w:spacing w:val="20"/>
                <w:sz w:val="27"/>
                <w:szCs w:val="27"/>
              </w:rPr>
            </w:pPr>
            <w:r>
              <w:rPr>
                <w:spacing w:val="20"/>
                <w:sz w:val="27"/>
                <w:szCs w:val="27"/>
              </w:rPr>
              <w:t>summary for free. Also available on website.</w:t>
            </w:r>
          </w:p>
        </w:tc>
        <w:tc>
          <w:tcPr>
            <w:tcW w:w="1887"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可供市民參閱的研究報告內容包括研究的背景、目的、樣本方法、結果及建議等</w:t>
            </w:r>
          </w:p>
          <w:p>
            <w:pPr>
              <w:pStyle w:val="Normal"/>
              <w:widowControl/>
              <w:snapToGrid w:val="false"/>
              <w:spacing w:lineRule="auto" w:line="240"/>
              <w:ind w:left="57" w:right="57" w:hanging="0"/>
              <w:rPr>
                <w:spacing w:val="20"/>
                <w:sz w:val="27"/>
                <w:szCs w:val="27"/>
              </w:rPr>
            </w:pPr>
            <w:r>
              <w:rPr>
                <w:spacing w:val="20"/>
                <w:sz w:val="27"/>
                <w:szCs w:val="27"/>
              </w:rPr>
              <w:t xml:space="preserve">The public can inspect the background, objective, sampling method, results, </w:t>
            </w:r>
            <w:r>
              <w:rPr>
                <w:spacing w:val="-14"/>
                <w:sz w:val="27"/>
                <w:szCs w:val="27"/>
              </w:rPr>
              <w:t xml:space="preserve">recommendations, </w:t>
            </w:r>
            <w:r>
              <w:rPr>
                <w:sz w:val="27"/>
                <w:szCs w:val="27"/>
              </w:rPr>
              <w:t xml:space="preserve">and so on, of the consultancy </w:t>
            </w:r>
            <w:r>
              <w:rPr>
                <w:spacing w:val="20"/>
                <w:sz w:val="27"/>
                <w:szCs w:val="27"/>
              </w:rPr>
              <w:t>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中及英</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40"/>
                <w:sz w:val="27"/>
                <w:szCs w:val="27"/>
              </w:rPr>
              <w:t>普及健體運動</w:t>
            </w:r>
            <w:r>
              <w:rPr>
                <w:spacing w:val="20"/>
                <w:sz w:val="27"/>
                <w:szCs w:val="27"/>
              </w:rPr>
              <w:t xml:space="preserve"> </w:t>
            </w:r>
            <w:r>
              <w:rPr>
                <w:rFonts w:ascii="華康細明體" w:hAnsi="華康細明體" w:cs="華康細明體"/>
                <w:spacing w:val="20"/>
                <w:sz w:val="27"/>
                <w:szCs w:val="27"/>
              </w:rPr>
              <w:t>─</w:t>
            </w:r>
            <w:r>
              <w:rPr>
                <w:spacing w:val="20"/>
                <w:sz w:val="27"/>
                <w:szCs w:val="27"/>
              </w:rPr>
              <w:t xml:space="preserve"> 社區體質測試計劃 </w:t>
            </w:r>
            <w:r>
              <w:rPr>
                <w:spacing w:val="20"/>
                <w:sz w:val="27"/>
                <w:szCs w:val="27"/>
              </w:rPr>
              <w:t>Healthy Exercise for All</w:t>
            </w:r>
          </w:p>
          <w:p>
            <w:pPr>
              <w:pStyle w:val="Normal"/>
              <w:widowControl/>
              <w:snapToGrid w:val="false"/>
              <w:spacing w:lineRule="auto" w:line="240"/>
              <w:ind w:left="57" w:right="57" w:hanging="0"/>
              <w:rPr>
                <w:spacing w:val="20"/>
                <w:sz w:val="27"/>
                <w:szCs w:val="27"/>
              </w:rPr>
            </w:pPr>
            <w:r>
              <w:rPr>
                <w:spacing w:val="20"/>
                <w:sz w:val="27"/>
                <w:szCs w:val="27"/>
              </w:rPr>
              <w:t xml:space="preserve">Campaign </w:t>
            </w:r>
            <w:r>
              <w:rPr>
                <w:sz w:val="27"/>
                <w:szCs w:val="27"/>
              </w:rPr>
              <w:t>―</w:t>
            </w:r>
            <w:r>
              <w:rPr>
                <w:spacing w:val="20"/>
                <w:sz w:val="27"/>
                <w:szCs w:val="27"/>
              </w:rPr>
              <w:t xml:space="preserve"> Physical</w:t>
            </w:r>
          </w:p>
          <w:p>
            <w:pPr>
              <w:pStyle w:val="Normal"/>
              <w:widowControl/>
              <w:snapToGrid w:val="false"/>
              <w:spacing w:lineRule="auto" w:line="240"/>
              <w:ind w:left="57" w:right="57" w:hanging="0"/>
              <w:rPr>
                <w:spacing w:val="20"/>
                <w:sz w:val="27"/>
                <w:szCs w:val="27"/>
              </w:rPr>
            </w:pPr>
            <w:r>
              <w:rPr>
                <w:spacing w:val="20"/>
                <w:sz w:val="27"/>
                <w:szCs w:val="27"/>
              </w:rPr>
              <w:t>Fitness Test for the Community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屋宇署</w:t>
            </w:r>
          </w:p>
          <w:p>
            <w:pPr>
              <w:pStyle w:val="Normal"/>
              <w:widowControl/>
              <w:snapToGrid w:val="false"/>
              <w:spacing w:lineRule="auto" w:line="240"/>
              <w:ind w:left="57" w:right="57" w:hanging="0"/>
              <w:rPr>
                <w:spacing w:val="20"/>
                <w:sz w:val="27"/>
                <w:szCs w:val="27"/>
              </w:rPr>
            </w:pPr>
            <w:r>
              <w:rPr>
                <w:spacing w:val="20"/>
                <w:sz w:val="27"/>
                <w:szCs w:val="27"/>
              </w:rPr>
              <w:t>Buildings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《顧問研究：對應香港可持續都市生活空間之建築設計》</w:t>
            </w:r>
          </w:p>
          <w:p>
            <w:pPr>
              <w:pStyle w:val="Normal"/>
              <w:widowControl/>
              <w:snapToGrid w:val="false"/>
              <w:spacing w:lineRule="auto" w:line="240"/>
              <w:ind w:left="57" w:right="57" w:hanging="0"/>
              <w:rPr>
                <w:spacing w:val="20"/>
                <w:sz w:val="27"/>
                <w:szCs w:val="27"/>
              </w:rPr>
            </w:pPr>
            <w:r>
              <w:rPr>
                <w:spacing w:val="20"/>
                <w:sz w:val="27"/>
                <w:szCs w:val="27"/>
              </w:rPr>
              <w:t>Consultancy Study on Sustainable Building Design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顧問研究報告之摘要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of Consultancy Report</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Consultancy Study on Air Ventilation Assessment 2008</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屋宇署所進行的顧問研究報告只作內部參考並沒有供公眾閱覽。適用之研究成果亦已收納於屋宇署所公布之作業備考、指引內。</w:t>
            </w:r>
            <w:r>
              <w:rPr>
                <w:spacing w:val="20"/>
                <w:sz w:val="27"/>
                <w:szCs w:val="27"/>
              </w:rPr>
              <w:t>)</w:t>
            </w:r>
          </w:p>
          <w:p>
            <w:pPr>
              <w:pStyle w:val="Normal"/>
              <w:widowControl/>
              <w:snapToGrid w:val="false"/>
              <w:spacing w:lineRule="auto" w:line="240"/>
              <w:ind w:left="57" w:right="57" w:hanging="0"/>
              <w:rPr>
                <w:spacing w:val="20"/>
                <w:sz w:val="27"/>
                <w:szCs w:val="27"/>
              </w:rPr>
            </w:pPr>
            <w:r>
              <w:rPr>
                <w:spacing w:val="12"/>
                <w:sz w:val="27"/>
                <w:szCs w:val="27"/>
              </w:rPr>
              <w:t xml:space="preserve">(Consultancy </w:t>
            </w:r>
            <w:r>
              <w:rPr>
                <w:spacing w:val="20"/>
                <w:sz w:val="27"/>
                <w:szCs w:val="27"/>
              </w:rPr>
              <w:t>reports of Building Department are for internal reference and have not been  released for public inspection. Study results that are applicable have been</w:t>
            </w:r>
          </w:p>
          <w:p>
            <w:pPr>
              <w:pStyle w:val="Normal"/>
              <w:widowControl/>
              <w:snapToGrid w:val="false"/>
              <w:spacing w:lineRule="auto" w:line="240"/>
              <w:ind w:left="57" w:right="57" w:hanging="0"/>
              <w:rPr>
                <w:spacing w:val="20"/>
                <w:sz w:val="27"/>
                <w:szCs w:val="27"/>
              </w:rPr>
            </w:pPr>
            <w:r>
              <w:rPr>
                <w:spacing w:val="20"/>
                <w:sz w:val="27"/>
                <w:szCs w:val="27"/>
              </w:rPr>
              <w:t>reflected in the Code of Practice and</w:t>
            </w:r>
          </w:p>
          <w:p>
            <w:pPr>
              <w:pStyle w:val="Normal"/>
              <w:widowControl/>
              <w:snapToGrid w:val="false"/>
              <w:spacing w:lineRule="auto" w:line="240"/>
              <w:ind w:left="57" w:right="57" w:hanging="0"/>
              <w:rPr>
                <w:spacing w:val="20"/>
                <w:sz w:val="27"/>
                <w:szCs w:val="27"/>
              </w:rPr>
            </w:pPr>
            <w:r>
              <w:rPr>
                <w:spacing w:val="20"/>
                <w:sz w:val="27"/>
                <w:szCs w:val="27"/>
              </w:rPr>
              <w:t>Guidelines published by the Buildings Department)</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Consultancy Study on the Building Design</w:t>
            </w:r>
          </w:p>
          <w:p>
            <w:pPr>
              <w:pStyle w:val="Normal"/>
              <w:widowControl/>
              <w:snapToGrid w:val="false"/>
              <w:spacing w:lineRule="auto" w:line="240"/>
              <w:ind w:left="57" w:right="57" w:hanging="0"/>
              <w:rPr>
                <w:spacing w:val="20"/>
                <w:sz w:val="27"/>
                <w:szCs w:val="27"/>
              </w:rPr>
            </w:pPr>
            <w:r>
              <w:rPr>
                <w:spacing w:val="6"/>
                <w:sz w:val="27"/>
                <w:szCs w:val="27"/>
              </w:rPr>
              <w:t xml:space="preserve">and Maintenance </w:t>
            </w:r>
            <w:r>
              <w:rPr>
                <w:spacing w:val="20"/>
                <w:sz w:val="27"/>
                <w:szCs w:val="27"/>
              </w:rPr>
              <w:t>Guidelines for Adaptive Re-use of Heritage Buildings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Consultancy Study for Compilation of</w:t>
            </w:r>
          </w:p>
          <w:p>
            <w:pPr>
              <w:pStyle w:val="Normal"/>
              <w:widowControl/>
              <w:snapToGrid w:val="false"/>
              <w:spacing w:lineRule="auto" w:line="240"/>
              <w:ind w:left="57" w:right="57" w:hanging="0"/>
              <w:rPr>
                <w:spacing w:val="20"/>
                <w:sz w:val="27"/>
                <w:szCs w:val="27"/>
              </w:rPr>
            </w:pPr>
            <w:r>
              <w:rPr>
                <w:spacing w:val="20"/>
                <w:sz w:val="27"/>
                <w:szCs w:val="27"/>
              </w:rPr>
              <w:t>General Guidelines and Technical Guidelines on Minor Works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運輸署</w:t>
            </w:r>
          </w:p>
          <w:p>
            <w:pPr>
              <w:pStyle w:val="Normal"/>
              <w:widowControl/>
              <w:snapToGrid w:val="false"/>
              <w:spacing w:lineRule="auto" w:line="240"/>
              <w:ind w:left="57" w:right="57" w:hanging="0"/>
              <w:rPr>
                <w:spacing w:val="20"/>
                <w:sz w:val="27"/>
                <w:szCs w:val="27"/>
              </w:rPr>
            </w:pPr>
            <w:r>
              <w:rPr>
                <w:spacing w:val="20"/>
                <w:sz w:val="27"/>
                <w:szCs w:val="27"/>
              </w:rPr>
              <w:t>Transport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Study on Planning of Public Transport Services and Facilities for New Boundary Control Points at Hong Kong-</w:t>
            </w:r>
          </w:p>
          <w:p>
            <w:pPr>
              <w:pStyle w:val="Normal"/>
              <w:widowControl/>
              <w:snapToGrid w:val="false"/>
              <w:spacing w:lineRule="auto" w:line="240"/>
              <w:ind w:left="57" w:right="57" w:hanging="0"/>
              <w:rPr>
                <w:spacing w:val="20"/>
                <w:sz w:val="27"/>
                <w:szCs w:val="27"/>
              </w:rPr>
            </w:pPr>
            <w:r>
              <w:rPr>
                <w:spacing w:val="20"/>
                <w:sz w:val="27"/>
                <w:szCs w:val="27"/>
              </w:rPr>
              <w:t>Zhuhai-Macao Bridge and Liantang/Heung Yuen Wai</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(4/2009)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(1)</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Speed Map Panels in the New Territories </w:t>
            </w:r>
            <w:r>
              <w:rPr>
                <w:sz w:val="27"/>
                <w:szCs w:val="27"/>
              </w:rPr>
              <w:t>―</w:t>
            </w:r>
            <w:r>
              <w:rPr>
                <w:spacing w:val="20"/>
                <w:sz w:val="27"/>
                <w:szCs w:val="27"/>
              </w:rPr>
              <w:t xml:space="preserve"> Design and Construction </w:t>
            </w:r>
            <w:r>
              <w:rPr>
                <w:sz w:val="27"/>
                <w:szCs w:val="27"/>
              </w:rPr>
              <w:t>―</w:t>
            </w:r>
            <w:r>
              <w:rPr>
                <w:spacing w:val="20"/>
                <w:sz w:val="27"/>
                <w:szCs w:val="27"/>
              </w:rPr>
              <w:t xml:space="preserve"> Review report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(2)</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觀塘線延線對其他公共交通服務影響研究</w:t>
            </w:r>
            <w:r>
              <w:rPr>
                <w:spacing w:val="20"/>
                <w:sz w:val="27"/>
                <w:szCs w:val="27"/>
              </w:rPr>
              <w:t xml:space="preserve">Study on Impact of Kwun Tong Line Extension on Other Public </w:t>
            </w:r>
            <w:r>
              <w:rPr>
                <w:spacing w:val="8"/>
                <w:sz w:val="27"/>
                <w:szCs w:val="27"/>
              </w:rPr>
              <w:t>Transport Modes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(1)</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 xml:space="preserve">Congestion Charging Transport Model </w:t>
            </w:r>
            <w:r>
              <w:rPr>
                <w:sz w:val="27"/>
                <w:szCs w:val="27"/>
              </w:rPr>
              <w:t>―</w:t>
            </w:r>
            <w:r>
              <w:rPr>
                <w:spacing w:val="20"/>
                <w:sz w:val="27"/>
                <w:szCs w:val="27"/>
              </w:rPr>
              <w:t xml:space="preserve"> Feasibility Study</w:t>
            </w:r>
          </w:p>
          <w:p>
            <w:pPr>
              <w:pStyle w:val="Normal"/>
              <w:widowControl/>
              <w:snapToGrid w:val="false"/>
              <w:spacing w:lineRule="exact" w:line="400"/>
              <w:ind w:left="57" w:right="57" w:hanging="0"/>
              <w:rPr>
                <w:spacing w:val="20"/>
                <w:sz w:val="27"/>
                <w:szCs w:val="27"/>
              </w:rPr>
            </w:pPr>
            <w:r>
              <w:rPr>
                <w:spacing w:val="20"/>
                <w:sz w:val="27"/>
                <w:szCs w:val="27"/>
              </w:rPr>
            </w:r>
          </w:p>
          <w:p>
            <w:pPr>
              <w:pStyle w:val="Normal"/>
              <w:widowControl/>
              <w:snapToGrid w:val="false"/>
              <w:spacing w:lineRule="exact" w:line="400"/>
              <w:ind w:left="57" w:right="57" w:hanging="0"/>
              <w:rPr>
                <w:spacing w:val="20"/>
                <w:sz w:val="27"/>
                <w:szCs w:val="27"/>
              </w:rPr>
            </w:pPr>
            <w:r>
              <w:rPr>
                <w:spacing w:val="20"/>
                <w:sz w:val="27"/>
                <w:szCs w:val="27"/>
              </w:rPr>
              <w:t>(11/2009)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(3)</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Consultancy Study on Regulatory Arrangements for Cross-boundary Vehicles Upon the Commissioning of the Hong Kong-Zhuhai-</w:t>
            </w:r>
          </w:p>
          <w:p>
            <w:pPr>
              <w:pStyle w:val="Normal"/>
              <w:widowControl/>
              <w:snapToGrid w:val="false"/>
              <w:spacing w:lineRule="auto" w:line="240"/>
              <w:ind w:left="57" w:right="57" w:hanging="0"/>
              <w:rPr>
                <w:spacing w:val="20"/>
                <w:sz w:val="27"/>
                <w:szCs w:val="27"/>
              </w:rPr>
            </w:pPr>
            <w:r>
              <w:rPr>
                <w:spacing w:val="20"/>
                <w:sz w:val="27"/>
                <w:szCs w:val="27"/>
              </w:rPr>
              <w:t>Macao Bridge (HZMB)</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(1)</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西九龍填海發展區交通研究</w:t>
            </w:r>
            <w:r>
              <w:rPr>
                <w:spacing w:val="20"/>
                <w:sz w:val="27"/>
                <w:szCs w:val="27"/>
              </w:rPr>
              <w:t xml:space="preserve">West Kowloon </w:t>
            </w:r>
          </w:p>
          <w:p>
            <w:pPr>
              <w:pStyle w:val="Normal"/>
              <w:widowControl/>
              <w:snapToGrid w:val="false"/>
              <w:spacing w:lineRule="auto" w:line="240"/>
              <w:ind w:left="57" w:right="57" w:hanging="0"/>
              <w:rPr>
                <w:spacing w:val="20"/>
                <w:sz w:val="27"/>
                <w:szCs w:val="27"/>
              </w:rPr>
            </w:pPr>
            <w:r>
              <w:rPr>
                <w:spacing w:val="20"/>
                <w:sz w:val="27"/>
                <w:szCs w:val="27"/>
              </w:rPr>
              <w:t>Reclamation Development</w:t>
            </w:r>
            <w:r>
              <w:rPr/>
              <w:t xml:space="preserve"> </w:t>
            </w:r>
            <w:r>
              <w:rPr>
                <w:spacing w:val="20"/>
                <w:sz w:val="27"/>
                <w:szCs w:val="27"/>
              </w:rPr>
              <w:t>Traffic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r>
              <w:rPr>
                <w:spacing w:val="20"/>
                <w:sz w:val="27"/>
                <w:szCs w:val="27"/>
              </w:rPr>
              <w:t>(</w:t>
            </w:r>
            <w:r>
              <w:rPr>
                <w:spacing w:val="20"/>
                <w:sz w:val="27"/>
                <w:szCs w:val="27"/>
              </w:rPr>
              <w:t>中及英</w:t>
            </w:r>
            <w:r>
              <w:rPr>
                <w:spacing w:val="20"/>
                <w:sz w:val="27"/>
                <w:szCs w:val="27"/>
              </w:rPr>
              <w:t>)</w:t>
            </w:r>
            <w:r>
              <w:rPr>
                <w:spacing w:val="20"/>
                <w:sz w:val="27"/>
                <w:szCs w:val="27"/>
              </w:rPr>
              <w:t>及</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 and 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在事故管理上運用先進科技的可行性研究</w:t>
            </w:r>
          </w:p>
          <w:p>
            <w:pPr>
              <w:pStyle w:val="Normal"/>
              <w:widowControl/>
              <w:snapToGrid w:val="false"/>
              <w:spacing w:lineRule="auto" w:line="240"/>
              <w:ind w:left="57" w:right="57" w:hanging="0"/>
              <w:rPr>
                <w:spacing w:val="20"/>
                <w:sz w:val="27"/>
                <w:szCs w:val="27"/>
              </w:rPr>
            </w:pPr>
            <w:r>
              <w:rPr>
                <w:spacing w:val="20"/>
                <w:sz w:val="27"/>
                <w:szCs w:val="27"/>
              </w:rPr>
              <w:t>Feasibility Study on Deploying Advanced Technologies in Incident Management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(5/2010)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沙中線</w:t>
            </w:r>
            <w:r>
              <w:rPr>
                <w:spacing w:val="20"/>
                <w:sz w:val="27"/>
                <w:szCs w:val="27"/>
              </w:rPr>
              <w:t>(</w:t>
            </w:r>
            <w:r>
              <w:rPr>
                <w:spacing w:val="20"/>
                <w:sz w:val="27"/>
                <w:szCs w:val="27"/>
              </w:rPr>
              <w:t>大圍至紅磡段</w:t>
            </w:r>
            <w:r>
              <w:rPr>
                <w:spacing w:val="20"/>
                <w:sz w:val="27"/>
                <w:szCs w:val="27"/>
              </w:rPr>
              <w:t>)</w:t>
            </w:r>
            <w:r>
              <w:rPr>
                <w:spacing w:val="20"/>
                <w:sz w:val="27"/>
                <w:szCs w:val="27"/>
              </w:rPr>
              <w:t>對其他公共交通服務影響研究</w:t>
            </w:r>
          </w:p>
          <w:p>
            <w:pPr>
              <w:pStyle w:val="Normal"/>
              <w:widowControl/>
              <w:snapToGrid w:val="false"/>
              <w:spacing w:lineRule="auto" w:line="240"/>
              <w:ind w:left="57" w:right="57" w:hanging="0"/>
              <w:rPr>
                <w:spacing w:val="20"/>
                <w:sz w:val="27"/>
                <w:szCs w:val="27"/>
              </w:rPr>
            </w:pPr>
            <w:r>
              <w:rPr>
                <w:spacing w:val="20"/>
                <w:sz w:val="27"/>
                <w:szCs w:val="27"/>
              </w:rPr>
              <w:t>Study on Impact</w:t>
            </w:r>
          </w:p>
          <w:p>
            <w:pPr>
              <w:pStyle w:val="Normal"/>
              <w:widowControl/>
              <w:snapToGrid w:val="false"/>
              <w:spacing w:lineRule="auto" w:line="240"/>
              <w:ind w:left="57" w:right="57" w:hanging="0"/>
              <w:rPr>
                <w:spacing w:val="20"/>
                <w:sz w:val="27"/>
                <w:szCs w:val="27"/>
              </w:rPr>
            </w:pPr>
            <w:r>
              <w:rPr>
                <w:spacing w:val="20"/>
                <w:sz w:val="27"/>
                <w:szCs w:val="27"/>
              </w:rPr>
              <w:t>of Shatin to Central Link (Tai Wai to Hung Hom Section) on Other Public Transport Modes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(1)</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沙中線</w:t>
            </w:r>
            <w:r>
              <w:rPr>
                <w:spacing w:val="20"/>
                <w:sz w:val="27"/>
                <w:szCs w:val="27"/>
              </w:rPr>
              <w:t>(</w:t>
            </w:r>
            <w:r>
              <w:rPr>
                <w:spacing w:val="20"/>
                <w:sz w:val="27"/>
                <w:szCs w:val="27"/>
              </w:rPr>
              <w:t>過海段</w:t>
            </w:r>
            <w:r>
              <w:rPr>
                <w:spacing w:val="20"/>
                <w:sz w:val="27"/>
                <w:szCs w:val="27"/>
              </w:rPr>
              <w:t>)</w:t>
            </w:r>
            <w:r>
              <w:rPr>
                <w:spacing w:val="20"/>
                <w:sz w:val="27"/>
                <w:szCs w:val="27"/>
              </w:rPr>
              <w:t>對其他公共交通服務影響研究</w:t>
            </w:r>
          </w:p>
          <w:p>
            <w:pPr>
              <w:pStyle w:val="Normal"/>
              <w:widowControl/>
              <w:snapToGrid w:val="false"/>
              <w:spacing w:lineRule="exact" w:line="280"/>
              <w:ind w:left="57" w:right="57" w:hanging="0"/>
              <w:rPr>
                <w:spacing w:val="20"/>
                <w:sz w:val="27"/>
                <w:szCs w:val="27"/>
              </w:rPr>
            </w:pPr>
            <w:r>
              <w:rPr>
                <w:spacing w:val="20"/>
                <w:sz w:val="27"/>
                <w:szCs w:val="27"/>
              </w:rPr>
              <w:t>Study on Impact of Shatin to Central Link (Cross Harbour Section) on Other Public Transport Modes</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(8/2010)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(1)</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訂立有關興建上坡地區自動扶梯連接系統和升降機系統的評審機制</w:t>
            </w:r>
          </w:p>
          <w:p>
            <w:pPr>
              <w:pStyle w:val="Normal"/>
              <w:widowControl/>
              <w:snapToGrid w:val="false"/>
              <w:spacing w:lineRule="auto" w:line="240"/>
              <w:ind w:left="57" w:right="57" w:hanging="0"/>
              <w:rPr>
                <w:spacing w:val="20"/>
                <w:sz w:val="27"/>
                <w:szCs w:val="27"/>
              </w:rPr>
            </w:pPr>
            <w:r>
              <w:rPr>
                <w:spacing w:val="20"/>
                <w:sz w:val="27"/>
                <w:szCs w:val="27"/>
              </w:rPr>
              <w:t>Establishment of a Ranking System on Provision of Hillside Escalator Links and Elevator Systems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改善旺角行人通道的研究</w:t>
            </w:r>
          </w:p>
          <w:p>
            <w:pPr>
              <w:pStyle w:val="Normal"/>
              <w:widowControl/>
              <w:snapToGrid w:val="false"/>
              <w:spacing w:lineRule="exact" w:line="280"/>
              <w:ind w:left="57" w:right="57" w:hanging="0"/>
              <w:rPr>
                <w:spacing w:val="20"/>
                <w:sz w:val="27"/>
                <w:szCs w:val="27"/>
              </w:rPr>
            </w:pPr>
            <w:r>
              <w:rPr>
                <w:spacing w:val="20"/>
                <w:sz w:val="27"/>
                <w:szCs w:val="27"/>
              </w:rPr>
              <w:t>Study on</w:t>
            </w:r>
          </w:p>
          <w:p>
            <w:pPr>
              <w:pStyle w:val="Normal"/>
              <w:widowControl/>
              <w:snapToGrid w:val="false"/>
              <w:spacing w:lineRule="exact" w:line="280"/>
              <w:ind w:left="57" w:right="57" w:hanging="0"/>
              <w:rPr>
                <w:spacing w:val="20"/>
                <w:sz w:val="27"/>
                <w:szCs w:val="27"/>
              </w:rPr>
            </w:pPr>
            <w:r>
              <w:rPr>
                <w:spacing w:val="20"/>
                <w:sz w:val="27"/>
                <w:szCs w:val="27"/>
              </w:rPr>
              <w:t>Improvements to Pedestrian Links in Mong Kok</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(9/2010)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半山區交通硏究</w:t>
            </w:r>
          </w:p>
          <w:p>
            <w:pPr>
              <w:pStyle w:val="Normal"/>
              <w:widowControl/>
              <w:snapToGrid w:val="false"/>
              <w:spacing w:lineRule="auto" w:line="240"/>
              <w:ind w:left="57" w:right="57" w:hanging="0"/>
              <w:rPr>
                <w:spacing w:val="20"/>
                <w:sz w:val="27"/>
                <w:szCs w:val="27"/>
              </w:rPr>
            </w:pPr>
            <w:r>
              <w:rPr>
                <w:spacing w:val="20"/>
                <w:sz w:val="27"/>
                <w:szCs w:val="27"/>
              </w:rPr>
              <w:t>Traffic Study for Mid-Levels Area</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2016 and 2021 Base District Traffic Models for Urban Area </w:t>
            </w:r>
            <w:r>
              <w:rPr>
                <w:sz w:val="27"/>
                <w:szCs w:val="27"/>
              </w:rPr>
              <w:t>―</w:t>
            </w:r>
            <w:r>
              <w:rPr>
                <w:spacing w:val="20"/>
                <w:sz w:val="27"/>
                <w:szCs w:val="27"/>
              </w:rPr>
              <w:t xml:space="preserve"> 2009 Update (Publication Name </w:t>
            </w:r>
            <w:r>
              <w:rPr>
                <w:sz w:val="27"/>
                <w:szCs w:val="27"/>
              </w:rPr>
              <w:t>―</w:t>
            </w:r>
            <w:r>
              <w:rPr>
                <w:spacing w:val="20"/>
                <w:sz w:val="27"/>
                <w:szCs w:val="27"/>
              </w:rPr>
              <w:t xml:space="preserve"> The 2008 Base District Traffic Models 2008 </w:t>
            </w:r>
            <w:r>
              <w:rPr>
                <w:spacing w:val="20"/>
                <w:sz w:val="27"/>
                <w:szCs w:val="27"/>
              </w:rPr>
              <w:t>年區域交通模擬</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運輸署發售</w:t>
            </w:r>
          </w:p>
          <w:p>
            <w:pPr>
              <w:pStyle w:val="Normal"/>
              <w:widowControl/>
              <w:snapToGrid w:val="false"/>
              <w:spacing w:lineRule="auto" w:line="240"/>
              <w:ind w:left="57" w:right="57" w:hanging="0"/>
              <w:rPr>
                <w:spacing w:val="20"/>
                <w:sz w:val="27"/>
                <w:szCs w:val="27"/>
              </w:rPr>
            </w:pPr>
            <w:r>
              <w:rPr>
                <w:spacing w:val="20"/>
                <w:sz w:val="27"/>
                <w:szCs w:val="27"/>
              </w:rPr>
              <w:t>For sale at Transport Department</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光碟”</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CD-ROM</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2016 and 2021 Base District Traffic Models for the New Territories Area</w:t>
            </w:r>
          </w:p>
          <w:p>
            <w:pPr>
              <w:pStyle w:val="Normal"/>
              <w:widowControl/>
              <w:snapToGrid w:val="false"/>
              <w:spacing w:lineRule="auto" w:line="240"/>
              <w:ind w:left="57" w:right="57" w:hanging="0"/>
              <w:rPr>
                <w:spacing w:val="20"/>
                <w:sz w:val="27"/>
                <w:szCs w:val="27"/>
              </w:rPr>
            </w:pPr>
            <w:r>
              <w:rPr>
                <w:sz w:val="27"/>
                <w:szCs w:val="27"/>
              </w:rPr>
              <w:t>―</w:t>
            </w:r>
            <w:r>
              <w:rPr>
                <w:spacing w:val="20"/>
                <w:sz w:val="27"/>
                <w:szCs w:val="27"/>
              </w:rPr>
              <w:t xml:space="preserve"> </w:t>
            </w:r>
            <w:r>
              <w:rPr>
                <w:spacing w:val="20"/>
                <w:sz w:val="27"/>
                <w:szCs w:val="27"/>
              </w:rPr>
              <w:t xml:space="preserve">2009 Update (Publication Name </w:t>
            </w:r>
            <w:r>
              <w:rPr>
                <w:sz w:val="27"/>
                <w:szCs w:val="27"/>
              </w:rPr>
              <w:t>―</w:t>
            </w:r>
            <w:r>
              <w:rPr>
                <w:spacing w:val="20"/>
                <w:sz w:val="27"/>
                <w:szCs w:val="27"/>
              </w:rPr>
              <w:t xml:space="preserve"> The 2008 Base District Traffic Models 2008 </w:t>
            </w:r>
            <w:r>
              <w:rPr>
                <w:spacing w:val="20"/>
                <w:sz w:val="27"/>
                <w:szCs w:val="27"/>
              </w:rPr>
              <w:t>年區域交通模擬</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光碟”</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CD-ROM</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40"/>
              <w:ind w:left="57" w:right="57" w:hanging="0"/>
              <w:rPr>
                <w:spacing w:val="20"/>
                <w:sz w:val="27"/>
                <w:szCs w:val="27"/>
              </w:rPr>
            </w:pPr>
            <w:r>
              <w:rPr>
                <w:spacing w:val="20"/>
                <w:sz w:val="27"/>
                <w:szCs w:val="27"/>
              </w:rPr>
              <w:t>銅鑼灣區行人隧道及相關交通改善措施研究</w:t>
            </w:r>
          </w:p>
          <w:p>
            <w:pPr>
              <w:pStyle w:val="Normal"/>
              <w:widowControl/>
              <w:snapToGrid w:val="false"/>
              <w:spacing w:lineRule="exact" w:line="340"/>
              <w:ind w:left="57" w:right="57" w:hanging="0"/>
              <w:rPr>
                <w:spacing w:val="20"/>
                <w:sz w:val="27"/>
                <w:szCs w:val="27"/>
              </w:rPr>
            </w:pPr>
            <w:r>
              <w:rPr>
                <w:spacing w:val="20"/>
                <w:sz w:val="27"/>
                <w:szCs w:val="27"/>
              </w:rPr>
              <w:t xml:space="preserve">Study on Pedestrian Subways and Related Traffic </w:t>
            </w:r>
          </w:p>
          <w:p>
            <w:pPr>
              <w:pStyle w:val="Normal"/>
              <w:widowControl/>
              <w:snapToGrid w:val="false"/>
              <w:spacing w:lineRule="exact" w:line="340"/>
              <w:ind w:left="57" w:right="57" w:hanging="0"/>
              <w:rPr>
                <w:spacing w:val="20"/>
                <w:sz w:val="27"/>
                <w:szCs w:val="27"/>
              </w:rPr>
            </w:pPr>
            <w:r>
              <w:rPr>
                <w:spacing w:val="20"/>
                <w:sz w:val="27"/>
                <w:szCs w:val="27"/>
              </w:rPr>
              <w:t>Improvement Measures in Causeway Bay</w:t>
            </w:r>
          </w:p>
          <w:p>
            <w:pPr>
              <w:pStyle w:val="Normal"/>
              <w:widowControl/>
              <w:snapToGrid w:val="false"/>
              <w:spacing w:lineRule="exact" w:line="340"/>
              <w:ind w:left="57" w:right="57" w:hanging="0"/>
              <w:rPr>
                <w:spacing w:val="20"/>
                <w:sz w:val="27"/>
                <w:szCs w:val="27"/>
              </w:rPr>
            </w:pPr>
            <w:r>
              <w:rPr>
                <w:spacing w:val="20"/>
                <w:sz w:val="27"/>
                <w:szCs w:val="27"/>
              </w:rPr>
            </w:r>
          </w:p>
          <w:p>
            <w:pPr>
              <w:pStyle w:val="Normal"/>
              <w:widowControl/>
              <w:snapToGrid w:val="false"/>
              <w:spacing w:lineRule="exact" w:line="340"/>
              <w:ind w:left="57" w:right="57" w:hanging="0"/>
              <w:rPr>
                <w:spacing w:val="20"/>
                <w:sz w:val="27"/>
                <w:szCs w:val="27"/>
              </w:rPr>
            </w:pPr>
            <w:r>
              <w:rPr>
                <w:spacing w:val="20"/>
                <w:sz w:val="27"/>
                <w:szCs w:val="27"/>
              </w:rPr>
              <w:t>(12/2010)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Traffic Impact</w:t>
            </w:r>
          </w:p>
          <w:p>
            <w:pPr>
              <w:pStyle w:val="Normal"/>
              <w:widowControl/>
              <w:snapToGrid w:val="false"/>
              <w:spacing w:lineRule="auto" w:line="240"/>
              <w:ind w:left="57" w:right="57" w:hanging="0"/>
              <w:rPr>
                <w:spacing w:val="20"/>
                <w:sz w:val="27"/>
                <w:szCs w:val="27"/>
              </w:rPr>
            </w:pPr>
            <w:r>
              <w:rPr>
                <w:spacing w:val="20"/>
                <w:sz w:val="27"/>
                <w:szCs w:val="27"/>
              </w:rPr>
              <w:t>Assessment for the Proposed Development at Ex-North Point Estate Site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 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(2)</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Traffic Impact</w:t>
            </w:r>
          </w:p>
          <w:p>
            <w:pPr>
              <w:pStyle w:val="Normal"/>
              <w:widowControl/>
              <w:snapToGrid w:val="false"/>
              <w:spacing w:lineRule="auto" w:line="240"/>
              <w:ind w:left="57" w:right="57" w:hanging="0"/>
              <w:rPr>
                <w:spacing w:val="20"/>
                <w:sz w:val="27"/>
                <w:szCs w:val="27"/>
              </w:rPr>
            </w:pPr>
            <w:r>
              <w:rPr>
                <w:spacing w:val="20"/>
                <w:sz w:val="27"/>
                <w:szCs w:val="27"/>
              </w:rPr>
              <w:t>Assessment for the Proposed Development at Middle Road Public Car Park</w:t>
            </w:r>
          </w:p>
          <w:p>
            <w:pPr>
              <w:pStyle w:val="Normal"/>
              <w:widowControl/>
              <w:snapToGrid w:val="false"/>
              <w:spacing w:lineRule="auto" w:line="240"/>
              <w:ind w:left="57" w:right="57" w:hanging="0"/>
              <w:rPr>
                <w:spacing w:val="20"/>
                <w:sz w:val="27"/>
                <w:szCs w:val="27"/>
              </w:rPr>
            </w:pPr>
            <w:r>
              <w:rPr>
                <w:spacing w:val="20"/>
                <w:sz w:val="27"/>
                <w:szCs w:val="27"/>
              </w:rPr>
              <w:t>Site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Internet</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主要文本及</w:t>
            </w:r>
          </w:p>
          <w:p>
            <w:pPr>
              <w:pStyle w:val="Normal"/>
              <w:widowControl/>
              <w:snapToGrid w:val="false"/>
              <w:spacing w:lineRule="auto" w:line="240"/>
              <w:ind w:left="57" w:right="57" w:hanging="0"/>
              <w:rPr>
                <w:spacing w:val="20"/>
                <w:sz w:val="27"/>
                <w:szCs w:val="27"/>
              </w:rPr>
            </w:pPr>
            <w:r>
              <w:rPr>
                <w:spacing w:val="20"/>
                <w:sz w:val="27"/>
                <w:szCs w:val="27"/>
              </w:rPr>
              <w:t>所有繪圖”</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Main Text and All Drawings</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r>
              <w:rPr>
                <w:spacing w:val="20"/>
                <w:sz w:val="27"/>
                <w:szCs w:val="27"/>
              </w:rPr>
              <w:t>(</w:t>
            </w:r>
            <w:r>
              <w:rPr>
                <w:spacing w:val="20"/>
                <w:sz w:val="27"/>
                <w:szCs w:val="27"/>
              </w:rPr>
              <w:t>應規劃署要求而進行，其後城市規劃委員會於其網頁發放</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Yes (conducted</w:t>
            </w:r>
          </w:p>
          <w:p>
            <w:pPr>
              <w:pStyle w:val="Normal"/>
              <w:widowControl/>
              <w:snapToGrid w:val="false"/>
              <w:spacing w:lineRule="auto" w:line="240"/>
              <w:ind w:left="57" w:right="57" w:hanging="0"/>
              <w:rPr>
                <w:spacing w:val="20"/>
                <w:sz w:val="27"/>
                <w:szCs w:val="27"/>
              </w:rPr>
            </w:pPr>
            <w:r>
              <w:rPr>
                <w:spacing w:val="20"/>
                <w:sz w:val="27"/>
                <w:szCs w:val="27"/>
              </w:rPr>
              <w:t>upon request of</w:t>
            </w:r>
          </w:p>
          <w:p>
            <w:pPr>
              <w:pStyle w:val="Normal"/>
              <w:widowControl/>
              <w:snapToGrid w:val="false"/>
              <w:spacing w:lineRule="auto" w:line="240"/>
              <w:ind w:left="57" w:right="57" w:hanging="0"/>
              <w:rPr>
                <w:spacing w:val="20"/>
                <w:sz w:val="27"/>
                <w:szCs w:val="27"/>
              </w:rPr>
            </w:pPr>
            <w:r>
              <w:rPr>
                <w:spacing w:val="20"/>
                <w:sz w:val="27"/>
                <w:szCs w:val="27"/>
              </w:rPr>
              <w:t>Planning</w:t>
            </w:r>
          </w:p>
          <w:p>
            <w:pPr>
              <w:pStyle w:val="Normal"/>
              <w:widowControl/>
              <w:snapToGrid w:val="false"/>
              <w:spacing w:lineRule="auto" w:line="240"/>
              <w:ind w:left="57" w:right="57" w:hanging="0"/>
              <w:rPr>
                <w:sz w:val="27"/>
                <w:szCs w:val="27"/>
              </w:rPr>
            </w:pPr>
            <w:r>
              <w:rPr>
                <w:sz w:val="27"/>
                <w:szCs w:val="27"/>
              </w:rPr>
              <w:t>Department.</w:t>
            </w:r>
          </w:p>
          <w:p>
            <w:pPr>
              <w:pStyle w:val="Normal"/>
              <w:widowControl/>
              <w:snapToGrid w:val="false"/>
              <w:spacing w:lineRule="auto" w:line="240"/>
              <w:ind w:left="57" w:right="57" w:hanging="0"/>
              <w:rPr>
                <w:spacing w:val="20"/>
                <w:sz w:val="27"/>
                <w:szCs w:val="27"/>
              </w:rPr>
            </w:pPr>
            <w:r>
              <w:rPr>
                <w:spacing w:val="20"/>
                <w:sz w:val="27"/>
                <w:szCs w:val="27"/>
              </w:rPr>
              <w:t>The Town</w:t>
            </w:r>
          </w:p>
          <w:p>
            <w:pPr>
              <w:pStyle w:val="Normal"/>
              <w:widowControl/>
              <w:snapToGrid w:val="false"/>
              <w:spacing w:lineRule="auto" w:line="240"/>
              <w:ind w:left="57" w:right="57" w:hanging="0"/>
              <w:rPr>
                <w:spacing w:val="20"/>
                <w:sz w:val="27"/>
                <w:szCs w:val="27"/>
              </w:rPr>
            </w:pPr>
            <w:r>
              <w:rPr>
                <w:spacing w:val="20"/>
                <w:sz w:val="27"/>
                <w:szCs w:val="27"/>
              </w:rPr>
              <w:t>Planning Board</w:t>
            </w:r>
          </w:p>
          <w:p>
            <w:pPr>
              <w:pStyle w:val="Normal"/>
              <w:widowControl/>
              <w:snapToGrid w:val="false"/>
              <w:spacing w:lineRule="auto" w:line="240"/>
              <w:ind w:left="57" w:right="57" w:hanging="0"/>
              <w:rPr>
                <w:spacing w:val="20"/>
                <w:sz w:val="27"/>
                <w:szCs w:val="27"/>
              </w:rPr>
            </w:pPr>
            <w:r>
              <w:rPr>
                <w:spacing w:val="20"/>
                <w:sz w:val="27"/>
                <w:szCs w:val="27"/>
              </w:rPr>
              <w:t>released it</w:t>
            </w:r>
          </w:p>
          <w:p>
            <w:pPr>
              <w:pStyle w:val="Normal"/>
              <w:widowControl/>
              <w:snapToGrid w:val="false"/>
              <w:spacing w:lineRule="auto" w:line="240"/>
              <w:ind w:left="57" w:right="57" w:hanging="0"/>
              <w:rPr>
                <w:spacing w:val="20"/>
                <w:sz w:val="27"/>
                <w:szCs w:val="27"/>
              </w:rPr>
            </w:pPr>
            <w:r>
              <w:rPr>
                <w:spacing w:val="20"/>
                <w:sz w:val="27"/>
                <w:szCs w:val="27"/>
              </w:rPr>
              <w:t>through its</w:t>
            </w:r>
          </w:p>
          <w:p>
            <w:pPr>
              <w:pStyle w:val="Normal"/>
              <w:widowControl/>
              <w:snapToGrid w:val="false"/>
              <w:spacing w:lineRule="auto" w:line="240"/>
              <w:ind w:left="57" w:right="57" w:hanging="0"/>
              <w:rPr>
                <w:spacing w:val="20"/>
                <w:sz w:val="27"/>
                <w:szCs w:val="27"/>
              </w:rPr>
            </w:pPr>
            <w:r>
              <w:rPr>
                <w:spacing w:val="20"/>
                <w:sz w:val="27"/>
                <w:szCs w:val="27"/>
              </w:rPr>
              <w:t xml:space="preserve">website </w:t>
            </w:r>
            <w:r>
              <w:rPr>
                <w:sz w:val="27"/>
                <w:szCs w:val="27"/>
              </w:rPr>
              <w:t>afterwards.)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金鐘交通研究</w:t>
            </w:r>
          </w:p>
          <w:p>
            <w:pPr>
              <w:pStyle w:val="Normal"/>
              <w:widowControl/>
              <w:snapToGrid w:val="false"/>
              <w:spacing w:lineRule="auto" w:line="240"/>
              <w:ind w:left="57" w:right="57" w:hanging="0"/>
              <w:rPr>
                <w:spacing w:val="20"/>
                <w:sz w:val="27"/>
                <w:szCs w:val="27"/>
              </w:rPr>
            </w:pPr>
            <w:r>
              <w:rPr>
                <w:spacing w:val="20"/>
                <w:sz w:val="27"/>
                <w:szCs w:val="27"/>
              </w:rPr>
              <w:t xml:space="preserve">Traffic Study for Admiralty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Internet</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Review of Parking Standards for Private Housing Developments in the Hong Kong Planning</w:t>
            </w:r>
          </w:p>
          <w:p>
            <w:pPr>
              <w:pStyle w:val="Normal"/>
              <w:widowControl/>
              <w:snapToGrid w:val="false"/>
              <w:spacing w:lineRule="auto" w:line="240"/>
              <w:ind w:left="57" w:right="57" w:hanging="0"/>
              <w:rPr>
                <w:spacing w:val="20"/>
                <w:sz w:val="27"/>
                <w:szCs w:val="27"/>
              </w:rPr>
            </w:pPr>
            <w:r>
              <w:rPr>
                <w:spacing w:val="20"/>
                <w:sz w:val="27"/>
                <w:szCs w:val="27"/>
              </w:rPr>
              <w:t>Standards and Guidelines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摘要將會上載至網頁</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 will be  uploaded</w:t>
            </w:r>
          </w:p>
          <w:p>
            <w:pPr>
              <w:pStyle w:val="Normal"/>
              <w:widowControl/>
              <w:snapToGrid w:val="false"/>
              <w:spacing w:lineRule="auto" w:line="240"/>
              <w:ind w:left="57" w:right="57" w:hanging="0"/>
              <w:rPr>
                <w:spacing w:val="20"/>
                <w:sz w:val="27"/>
                <w:szCs w:val="27"/>
              </w:rPr>
            </w:pPr>
            <w:r>
              <w:rPr>
                <w:spacing w:val="20"/>
                <w:sz w:val="27"/>
                <w:szCs w:val="27"/>
              </w:rPr>
              <w:t>onto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Requirements for loading/</w:t>
            </w:r>
          </w:p>
          <w:p>
            <w:pPr>
              <w:pStyle w:val="Normal"/>
              <w:widowControl/>
              <w:snapToGrid w:val="false"/>
              <w:spacing w:lineRule="auto" w:line="240"/>
              <w:ind w:left="57" w:right="57" w:hanging="0"/>
              <w:rPr>
                <w:spacing w:val="20"/>
                <w:sz w:val="27"/>
                <w:szCs w:val="27"/>
              </w:rPr>
            </w:pPr>
            <w:r>
              <w:rPr>
                <w:spacing w:val="20"/>
                <w:sz w:val="27"/>
                <w:szCs w:val="27"/>
              </w:rPr>
              <w:t>unloading and parking</w:t>
            </w:r>
          </w:p>
          <w:p>
            <w:pPr>
              <w:pStyle w:val="Normal"/>
              <w:widowControl/>
              <w:snapToGrid w:val="false"/>
              <w:spacing w:lineRule="auto" w:line="240"/>
              <w:ind w:left="57" w:right="57" w:hanging="0"/>
              <w:rPr>
                <w:spacing w:val="20"/>
                <w:sz w:val="27"/>
                <w:szCs w:val="27"/>
              </w:rPr>
            </w:pPr>
            <w:r>
              <w:rPr>
                <w:spacing w:val="20"/>
                <w:sz w:val="27"/>
                <w:szCs w:val="27"/>
              </w:rPr>
              <w:t>facilities for goods vehicles on Hong Kong Island</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Traffic Impact Assessment for Long-term Logistics Development in Kwai Tsing Area</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(6/2012)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Provision of Services for Conducting the Survey on Goods Vehicle Trip Characteristics 2011</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Traffic Impact Assessment for  the Proposed Development at Mansfield Road Site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(2)</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Provision of Services for Conducting the Travel Characteristics Survey 2011</w:t>
            </w:r>
          </w:p>
          <w:p>
            <w:pPr>
              <w:pStyle w:val="Normal"/>
              <w:widowControl/>
              <w:snapToGrid w:val="false"/>
              <w:spacing w:lineRule="exact" w:line="400"/>
              <w:ind w:left="57" w:right="57" w:hanging="0"/>
              <w:rPr>
                <w:spacing w:val="20"/>
                <w:sz w:val="27"/>
                <w:szCs w:val="27"/>
              </w:rPr>
            </w:pPr>
            <w:r>
              <w:rPr>
                <w:spacing w:val="20"/>
                <w:sz w:val="27"/>
                <w:szCs w:val="27"/>
              </w:rPr>
            </w:r>
          </w:p>
          <w:p>
            <w:pPr>
              <w:pStyle w:val="Normal"/>
              <w:widowControl/>
              <w:snapToGrid w:val="false"/>
              <w:spacing w:lineRule="exact" w:line="400"/>
              <w:ind w:left="57" w:right="57" w:hanging="0"/>
              <w:rPr>
                <w:spacing w:val="20"/>
                <w:sz w:val="27"/>
                <w:szCs w:val="27"/>
              </w:rPr>
            </w:pPr>
            <w:r>
              <w:rPr>
                <w:spacing w:val="20"/>
                <w:sz w:val="27"/>
                <w:szCs w:val="27"/>
              </w:rPr>
              <w:t>(3/2013)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摘要將會上載至網頁</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 will be uploaded onto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香港現有新市鎮單車徑網絡及停泊設施交通運輸研究</w:t>
            </w:r>
          </w:p>
          <w:p>
            <w:pPr>
              <w:pStyle w:val="Normal"/>
              <w:widowControl/>
              <w:snapToGrid w:val="false"/>
              <w:spacing w:lineRule="auto" w:line="240"/>
              <w:ind w:left="57" w:right="57" w:hanging="0"/>
              <w:rPr>
                <w:spacing w:val="20"/>
                <w:sz w:val="27"/>
                <w:szCs w:val="27"/>
              </w:rPr>
            </w:pPr>
            <w:r>
              <w:rPr>
                <w:spacing w:val="20"/>
                <w:sz w:val="27"/>
                <w:szCs w:val="27"/>
              </w:rPr>
              <w:t>Traffic and Transport Consultancy Study on Cycling Networks and Parking Facilities in Existing New Towns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西港島線及南港島線</w:t>
            </w:r>
            <w:r>
              <w:rPr>
                <w:spacing w:val="20"/>
                <w:sz w:val="27"/>
                <w:szCs w:val="27"/>
              </w:rPr>
              <w:t>(</w:t>
            </w:r>
            <w:r>
              <w:rPr>
                <w:spacing w:val="20"/>
                <w:sz w:val="27"/>
                <w:szCs w:val="27"/>
              </w:rPr>
              <w:t>東段</w:t>
            </w:r>
            <w:r>
              <w:rPr>
                <w:spacing w:val="20"/>
                <w:sz w:val="27"/>
                <w:szCs w:val="27"/>
              </w:rPr>
              <w:t>)</w:t>
            </w:r>
            <w:r>
              <w:rPr>
                <w:spacing w:val="20"/>
                <w:sz w:val="27"/>
                <w:szCs w:val="27"/>
              </w:rPr>
              <w:t>與其他公共交通服務協調研究</w:t>
            </w:r>
          </w:p>
          <w:p>
            <w:pPr>
              <w:pStyle w:val="Normal"/>
              <w:widowControl/>
              <w:snapToGrid w:val="false"/>
              <w:spacing w:lineRule="auto" w:line="240"/>
              <w:ind w:left="57" w:right="57" w:hanging="0"/>
              <w:rPr>
                <w:spacing w:val="20"/>
                <w:sz w:val="27"/>
                <w:szCs w:val="27"/>
              </w:rPr>
            </w:pPr>
            <w:r>
              <w:rPr>
                <w:spacing w:val="20"/>
                <w:sz w:val="27"/>
                <w:szCs w:val="27"/>
              </w:rPr>
              <w:t>Study on the Co-ordination of Other Public Transport Services with West Island Line and South Island Line (East)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按公眾要求發放</w:t>
            </w:r>
          </w:p>
          <w:p>
            <w:pPr>
              <w:pStyle w:val="Normal"/>
              <w:widowControl/>
              <w:snapToGrid w:val="false"/>
              <w:spacing w:lineRule="auto" w:line="240"/>
              <w:ind w:left="57" w:right="57" w:hanging="0"/>
              <w:rPr>
                <w:spacing w:val="20"/>
                <w:sz w:val="27"/>
                <w:szCs w:val="27"/>
              </w:rPr>
            </w:pPr>
            <w:r>
              <w:rPr>
                <w:spacing w:val="20"/>
                <w:sz w:val="27"/>
                <w:szCs w:val="27"/>
              </w:rPr>
              <w:t>Release upon public request</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但其摘要已提供予要求閱覽的公眾人士。此外，署方經考慮研究報告的建議及其他因素後，已就研究的事項進行公眾諮詢。</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(But its</w:t>
            </w:r>
          </w:p>
          <w:p>
            <w:pPr>
              <w:pStyle w:val="Normal"/>
              <w:widowControl/>
              <w:snapToGrid w:val="false"/>
              <w:spacing w:lineRule="exact" w:line="330"/>
              <w:ind w:left="57" w:right="57" w:hanging="0"/>
              <w:rPr>
                <w:spacing w:val="20"/>
                <w:sz w:val="27"/>
                <w:szCs w:val="27"/>
              </w:rPr>
            </w:pPr>
            <w:r>
              <w:rPr>
                <w:spacing w:val="20"/>
                <w:sz w:val="27"/>
                <w:szCs w:val="27"/>
              </w:rPr>
              <w:t xml:space="preserve">executive summary has been provided to members of the public upon request.  In addition, having considered the </w:t>
            </w:r>
            <w:r>
              <w:rPr>
                <w:spacing w:val="-6"/>
                <w:sz w:val="27"/>
                <w:szCs w:val="27"/>
              </w:rPr>
              <w:t>recommenda-</w:t>
            </w:r>
            <w:r>
              <w:rPr>
                <w:spacing w:val="2"/>
                <w:sz w:val="27"/>
                <w:szCs w:val="27"/>
              </w:rPr>
              <w:t>tions</w:t>
            </w:r>
            <w:r>
              <w:rPr>
                <w:spacing w:val="20"/>
                <w:sz w:val="27"/>
                <w:szCs w:val="27"/>
              </w:rPr>
              <w:t xml:space="preserve"> in the report and other factors, the department has carried out public </w:t>
            </w:r>
            <w:r>
              <w:rPr>
                <w:sz w:val="27"/>
                <w:szCs w:val="27"/>
              </w:rPr>
              <w:t>consultation</w:t>
            </w:r>
            <w:r>
              <w:rPr>
                <w:spacing w:val="20"/>
                <w:sz w:val="27"/>
                <w:szCs w:val="27"/>
              </w:rPr>
              <w:t xml:space="preserve"> on matters studied in the report )</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香港學生服務車輛安裝安全帶的研究</w:t>
            </w:r>
          </w:p>
          <w:p>
            <w:pPr>
              <w:pStyle w:val="Normal"/>
              <w:widowControl/>
              <w:snapToGrid w:val="false"/>
              <w:spacing w:lineRule="auto" w:line="240"/>
              <w:ind w:left="57" w:right="57" w:hanging="0"/>
              <w:rPr>
                <w:spacing w:val="20"/>
                <w:sz w:val="27"/>
                <w:szCs w:val="27"/>
              </w:rPr>
            </w:pPr>
            <w:r>
              <w:rPr>
                <w:spacing w:val="20"/>
                <w:sz w:val="27"/>
                <w:szCs w:val="27"/>
              </w:rPr>
              <w:t>Research Study on the Installation of Seat Belts on Student Service Vehicles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運輸署不公開有關報告，由於該研究只涉及一個局部或小規模課題，如作出披露，可能會令人產生誤解。</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(Transport</w:t>
            </w:r>
          </w:p>
          <w:p>
            <w:pPr>
              <w:pStyle w:val="Normal"/>
              <w:widowControl/>
              <w:snapToGrid w:val="false"/>
              <w:spacing w:lineRule="auto" w:line="240"/>
              <w:ind w:left="57" w:right="57" w:hanging="0"/>
              <w:rPr>
                <w:spacing w:val="20"/>
                <w:sz w:val="27"/>
                <w:szCs w:val="27"/>
              </w:rPr>
            </w:pPr>
            <w:r>
              <w:rPr>
                <w:spacing w:val="20"/>
                <w:sz w:val="27"/>
                <w:szCs w:val="27"/>
              </w:rPr>
              <w:t xml:space="preserve">Department has not released the report, because the study is a technical study on one or small part of a topic, disclosure of the report will cause </w:t>
            </w:r>
            <w:r>
              <w:rPr>
                <w:spacing w:val="-6"/>
                <w:sz w:val="27"/>
                <w:szCs w:val="27"/>
              </w:rPr>
              <w:t>misunderstand-i</w:t>
            </w:r>
            <w:r>
              <w:rPr>
                <w:sz w:val="27"/>
                <w:szCs w:val="27"/>
              </w:rPr>
              <w:t>ng.)</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r>
              <w:rPr>
                <w:spacing w:val="20"/>
                <w:sz w:val="27"/>
                <w:szCs w:val="27"/>
                <w:vertAlign w:val="superscript"/>
              </w:rPr>
              <w:t>(2)</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連接西九龍發展區及周邊地區行人通道的交通研究</w:t>
            </w:r>
          </w:p>
          <w:p>
            <w:pPr>
              <w:pStyle w:val="Normal"/>
              <w:widowControl/>
              <w:snapToGrid w:val="false"/>
              <w:spacing w:lineRule="exact" w:line="300"/>
              <w:ind w:left="57" w:right="57" w:hanging="0"/>
              <w:rPr>
                <w:spacing w:val="20"/>
                <w:sz w:val="27"/>
                <w:szCs w:val="27"/>
              </w:rPr>
            </w:pPr>
            <w:r>
              <w:rPr>
                <w:spacing w:val="20"/>
                <w:sz w:val="27"/>
                <w:szCs w:val="27"/>
              </w:rPr>
              <w:t>Traffic Study on Pedestrian Links for the West Kowloon Development Area and its Connection with Surrounding Districts</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(6/2013)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路政署</w:t>
            </w:r>
          </w:p>
          <w:p>
            <w:pPr>
              <w:pStyle w:val="Normal"/>
              <w:widowControl/>
              <w:snapToGrid w:val="false"/>
              <w:spacing w:lineRule="auto" w:line="240"/>
              <w:ind w:left="57" w:right="57" w:hanging="0"/>
              <w:rPr>
                <w:spacing w:val="20"/>
                <w:sz w:val="27"/>
                <w:szCs w:val="27"/>
              </w:rPr>
            </w:pPr>
            <w:r>
              <w:rPr>
                <w:spacing w:val="20"/>
                <w:sz w:val="27"/>
                <w:szCs w:val="27"/>
              </w:rPr>
              <w:t>Highways</w:t>
            </w:r>
          </w:p>
          <w:p>
            <w:pPr>
              <w:pStyle w:val="Normal"/>
              <w:widowControl/>
              <w:snapToGrid w:val="false"/>
              <w:spacing w:lineRule="auto" w:line="240"/>
              <w:ind w:left="57" w:right="57" w:hanging="0"/>
              <w:rPr>
                <w:spacing w:val="20"/>
                <w:sz w:val="27"/>
                <w:szCs w:val="27"/>
              </w:rPr>
            </w:pPr>
            <w:r>
              <w:rPr>
                <w:spacing w:val="20"/>
                <w:sz w:val="27"/>
                <w:szCs w:val="27"/>
              </w:rPr>
              <w:t>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10"/>
                <w:sz w:val="27"/>
                <w:szCs w:val="27"/>
              </w:rPr>
              <w:t>般咸道山坡編號</w:t>
            </w:r>
            <w:r>
              <w:rPr>
                <w:spacing w:val="10"/>
                <w:sz w:val="27"/>
                <w:szCs w:val="27"/>
              </w:rPr>
              <w:t>11SW-A/R577</w:t>
            </w:r>
            <w:r>
              <w:rPr>
                <w:spacing w:val="20"/>
                <w:sz w:val="27"/>
                <w:szCs w:val="27"/>
              </w:rPr>
              <w:t>上六株石牆樹的保養研究</w:t>
            </w:r>
            <w:r>
              <w:rPr>
                <w:spacing w:val="20"/>
                <w:sz w:val="27"/>
                <w:szCs w:val="27"/>
              </w:rPr>
              <w:t>(2013</w:t>
            </w:r>
            <w:r>
              <w:rPr>
                <w:spacing w:val="20"/>
                <w:sz w:val="27"/>
                <w:szCs w:val="27"/>
              </w:rPr>
              <w:t>年</w:t>
            </w:r>
            <w:r>
              <w:rPr>
                <w:spacing w:val="20"/>
                <w:sz w:val="27"/>
                <w:szCs w:val="27"/>
              </w:rPr>
              <w:t>1</w:t>
            </w:r>
            <w:r>
              <w:rPr>
                <w:spacing w:val="20"/>
                <w:sz w:val="27"/>
                <w:szCs w:val="27"/>
              </w:rPr>
              <w:t>月</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Study on Stonewall</w:t>
            </w:r>
          </w:p>
          <w:p>
            <w:pPr>
              <w:pStyle w:val="Normal"/>
              <w:widowControl/>
              <w:snapToGrid w:val="false"/>
              <w:spacing w:lineRule="auto" w:line="240"/>
              <w:ind w:left="57" w:right="57" w:hanging="0"/>
              <w:rPr>
                <w:spacing w:val="20"/>
                <w:sz w:val="27"/>
                <w:szCs w:val="27"/>
              </w:rPr>
            </w:pPr>
            <w:r>
              <w:rPr>
                <w:spacing w:val="20"/>
                <w:sz w:val="27"/>
                <w:szCs w:val="27"/>
              </w:rPr>
              <w:t>Trees -</w:t>
            </w:r>
          </w:p>
          <w:p>
            <w:pPr>
              <w:pStyle w:val="Normal"/>
              <w:widowControl/>
              <w:snapToGrid w:val="false"/>
              <w:spacing w:lineRule="auto" w:line="240"/>
              <w:ind w:left="57" w:right="57" w:hanging="0"/>
              <w:rPr>
                <w:spacing w:val="20"/>
                <w:sz w:val="27"/>
                <w:szCs w:val="27"/>
              </w:rPr>
            </w:pPr>
            <w:r>
              <w:rPr>
                <w:spacing w:val="20"/>
                <w:sz w:val="27"/>
                <w:szCs w:val="27"/>
              </w:rPr>
              <w:t>Maintenance</w:t>
            </w:r>
          </w:p>
          <w:p>
            <w:pPr>
              <w:pStyle w:val="Normal"/>
              <w:widowControl/>
              <w:snapToGrid w:val="false"/>
              <w:spacing w:lineRule="auto" w:line="240"/>
              <w:ind w:left="57" w:right="57" w:hanging="0"/>
              <w:rPr>
                <w:spacing w:val="20"/>
                <w:sz w:val="27"/>
                <w:szCs w:val="27"/>
              </w:rPr>
            </w:pPr>
            <w:r>
              <w:rPr>
                <w:spacing w:val="20"/>
                <w:sz w:val="27"/>
                <w:szCs w:val="27"/>
              </w:rPr>
              <w:t xml:space="preserve">Approach for the Six Stonewall trees on Slope no. 11SW-A/R577, Bonham road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(1/2013)</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會按要求及按《公開資料守則》的規定發放</w:t>
            </w:r>
          </w:p>
          <w:p>
            <w:pPr>
              <w:pStyle w:val="Normal"/>
              <w:widowControl/>
              <w:snapToGrid w:val="false"/>
              <w:spacing w:lineRule="auto" w:line="240"/>
              <w:ind w:left="57" w:right="57" w:hanging="0"/>
              <w:rPr>
                <w:spacing w:val="20"/>
                <w:sz w:val="27"/>
                <w:szCs w:val="27"/>
              </w:rPr>
            </w:pPr>
            <w:r>
              <w:rPr>
                <w:spacing w:val="20"/>
                <w:sz w:val="27"/>
                <w:szCs w:val="27"/>
              </w:rPr>
              <w:t xml:space="preserve">Release upon request and in accordance with the </w:t>
            </w:r>
            <w:r>
              <w:rPr>
                <w:sz w:val="27"/>
                <w:szCs w:val="27"/>
              </w:rPr>
              <w:t>requirements</w:t>
            </w:r>
            <w:r>
              <w:rPr>
                <w:spacing w:val="20"/>
                <w:sz w:val="27"/>
                <w:szCs w:val="27"/>
              </w:rPr>
              <w:t xml:space="preserve"> under the Code on Access to Information</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14"/>
                <w:sz w:val="27"/>
                <w:szCs w:val="27"/>
              </w:rPr>
            </w:pPr>
            <w:r>
              <w:rPr>
                <w:spacing w:val="6"/>
                <w:sz w:val="27"/>
                <w:szCs w:val="27"/>
              </w:rPr>
              <w:t xml:space="preserve">新界東路旁人造斜坡／護土牆優化維修項目 </w:t>
            </w:r>
            <w:r>
              <w:rPr>
                <w:rFonts w:ascii="華康細明體" w:hAnsi="華康細明體" w:cs="華康細明體"/>
                <w:spacing w:val="6"/>
                <w:sz w:val="27"/>
                <w:szCs w:val="27"/>
              </w:rPr>
              <w:t>─</w:t>
            </w:r>
            <w:r>
              <w:rPr>
                <w:spacing w:val="6"/>
                <w:sz w:val="27"/>
                <w:szCs w:val="27"/>
              </w:rPr>
              <w:t xml:space="preserve"> 勘查、</w:t>
            </w:r>
            <w:r>
              <w:rPr>
                <w:spacing w:val="14"/>
                <w:sz w:val="27"/>
                <w:szCs w:val="27"/>
              </w:rPr>
              <w:t>設計及建造</w:t>
            </w:r>
          </w:p>
          <w:p>
            <w:pPr>
              <w:pStyle w:val="Normal"/>
              <w:widowControl/>
              <w:snapToGrid w:val="false"/>
              <w:spacing w:lineRule="auto" w:line="240"/>
              <w:ind w:left="57" w:right="57" w:hanging="0"/>
              <w:rPr>
                <w:spacing w:val="20"/>
                <w:sz w:val="27"/>
                <w:szCs w:val="27"/>
              </w:rPr>
            </w:pPr>
            <w:r>
              <w:rPr>
                <w:spacing w:val="20"/>
                <w:sz w:val="27"/>
                <w:szCs w:val="27"/>
              </w:rPr>
              <w:t xml:space="preserve">Enhanced Maintenance Programme (2003-2007) of Roadside Man-made </w:t>
            </w:r>
            <w:r>
              <w:rPr>
                <w:sz w:val="27"/>
                <w:szCs w:val="27"/>
              </w:rPr>
              <w:t xml:space="preserve">Slopes/Retaining </w:t>
            </w:r>
            <w:r>
              <w:rPr>
                <w:spacing w:val="20"/>
                <w:sz w:val="27"/>
                <w:szCs w:val="27"/>
              </w:rPr>
              <w:t xml:space="preserve">Walls in New Territories East </w:t>
            </w:r>
            <w:r>
              <w:rPr>
                <w:sz w:val="27"/>
                <w:szCs w:val="27"/>
              </w:rPr>
              <w:t xml:space="preserve">― Investigation, </w:t>
            </w:r>
            <w:r>
              <w:rPr>
                <w:spacing w:val="20"/>
                <w:sz w:val="27"/>
                <w:szCs w:val="27"/>
              </w:rPr>
              <w:t>Design and Construction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新界西路旁人造斜坡／護土牆優化維修項目</w:t>
            </w:r>
            <w:r>
              <w:rPr>
                <w:spacing w:val="20"/>
                <w:sz w:val="27"/>
                <w:szCs w:val="27"/>
              </w:rPr>
              <w:t xml:space="preserve">(2003-2007) </w:t>
            </w:r>
            <w:r>
              <w:rPr>
                <w:rFonts w:cs="華康細明體" w:ascii="華康細明體" w:hAnsi="華康細明體"/>
                <w:spacing w:val="20"/>
                <w:sz w:val="27"/>
                <w:szCs w:val="27"/>
              </w:rPr>
              <w:t>─</w:t>
            </w:r>
            <w:r>
              <w:rPr>
                <w:spacing w:val="20"/>
                <w:sz w:val="27"/>
                <w:szCs w:val="27"/>
              </w:rPr>
              <w:t xml:space="preserve"> </w:t>
            </w:r>
            <w:r>
              <w:rPr>
                <w:spacing w:val="20"/>
                <w:sz w:val="27"/>
                <w:szCs w:val="27"/>
              </w:rPr>
              <w:t>勘查、設計及建造</w:t>
            </w:r>
          </w:p>
          <w:p>
            <w:pPr>
              <w:pStyle w:val="Normal"/>
              <w:widowControl/>
              <w:snapToGrid w:val="false"/>
              <w:spacing w:lineRule="auto" w:line="240"/>
              <w:ind w:left="57" w:right="57" w:hanging="0"/>
              <w:rPr>
                <w:spacing w:val="20"/>
                <w:sz w:val="27"/>
                <w:szCs w:val="27"/>
              </w:rPr>
            </w:pPr>
            <w:r>
              <w:rPr>
                <w:spacing w:val="20"/>
                <w:sz w:val="27"/>
                <w:szCs w:val="27"/>
              </w:rPr>
              <w:t xml:space="preserve">Enhanced Maintenance Programme (2003-2007) of Roadside Man-made </w:t>
            </w:r>
            <w:r>
              <w:rPr>
                <w:sz w:val="27"/>
                <w:szCs w:val="27"/>
              </w:rPr>
              <w:t xml:space="preserve">Slopes/Retaining </w:t>
            </w:r>
            <w:r>
              <w:rPr>
                <w:spacing w:val="20"/>
                <w:sz w:val="27"/>
                <w:szCs w:val="27"/>
              </w:rPr>
              <w:t xml:space="preserve">Walls in New Territories West </w:t>
            </w:r>
            <w:r>
              <w:rPr>
                <w:sz w:val="27"/>
                <w:szCs w:val="27"/>
              </w:rPr>
              <w:t xml:space="preserve">― Investigation, </w:t>
            </w:r>
            <w:r>
              <w:rPr>
                <w:spacing w:val="20"/>
                <w:sz w:val="27"/>
                <w:szCs w:val="27"/>
              </w:rPr>
              <w:t>Design and Construction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新界路旁斜坡</w:t>
            </w:r>
            <w:r>
              <w:rPr>
                <w:spacing w:val="10"/>
                <w:sz w:val="27"/>
                <w:szCs w:val="27"/>
              </w:rPr>
              <w:t>工程師維修檢查</w:t>
            </w:r>
            <w:r>
              <w:rPr>
                <w:spacing w:val="10"/>
                <w:sz w:val="27"/>
                <w:szCs w:val="27"/>
              </w:rPr>
              <w:t xml:space="preserve">(2006-2010) </w:t>
            </w:r>
            <w:r>
              <w:rPr>
                <w:rFonts w:cs="華康細明體" w:ascii="華康細明體" w:hAnsi="華康細明體"/>
                <w:spacing w:val="10"/>
                <w:sz w:val="27"/>
                <w:szCs w:val="27"/>
              </w:rPr>
              <w:t>─</w:t>
            </w:r>
            <w:r>
              <w:rPr>
                <w:spacing w:val="10"/>
                <w:sz w:val="27"/>
                <w:szCs w:val="27"/>
              </w:rPr>
              <w:t xml:space="preserve"> </w:t>
            </w:r>
            <w:r>
              <w:rPr>
                <w:spacing w:val="10"/>
                <w:sz w:val="27"/>
                <w:szCs w:val="27"/>
              </w:rPr>
              <w:t>勘</w:t>
            </w:r>
            <w:r>
              <w:rPr>
                <w:spacing w:val="20"/>
                <w:sz w:val="27"/>
                <w:szCs w:val="27"/>
              </w:rPr>
              <w:t xml:space="preserve">查研究 </w:t>
            </w:r>
            <w:r>
              <w:rPr>
                <w:spacing w:val="20"/>
                <w:sz w:val="27"/>
                <w:szCs w:val="27"/>
              </w:rPr>
              <w:t>(2012</w:t>
            </w:r>
            <w:r>
              <w:rPr>
                <w:spacing w:val="20"/>
                <w:sz w:val="27"/>
                <w:szCs w:val="27"/>
              </w:rPr>
              <w:t>年</w:t>
            </w:r>
            <w:r>
              <w:rPr>
                <w:spacing w:val="20"/>
                <w:sz w:val="27"/>
                <w:szCs w:val="27"/>
              </w:rPr>
              <w:t>1</w:t>
            </w:r>
            <w:r>
              <w:rPr>
                <w:spacing w:val="20"/>
                <w:sz w:val="27"/>
                <w:szCs w:val="27"/>
              </w:rPr>
              <w:t>月</w:t>
            </w:r>
            <w:r>
              <w:rPr>
                <w:spacing w:val="20"/>
                <w:sz w:val="27"/>
                <w:szCs w:val="27"/>
              </w:rPr>
              <w:t>)</w:t>
            </w:r>
          </w:p>
          <w:p>
            <w:pPr>
              <w:pStyle w:val="Normal"/>
              <w:widowControl/>
              <w:snapToGrid w:val="false"/>
              <w:spacing w:lineRule="exact" w:line="300"/>
              <w:ind w:left="57" w:right="57" w:hanging="0"/>
              <w:rPr>
                <w:spacing w:val="20"/>
                <w:sz w:val="27"/>
                <w:szCs w:val="27"/>
              </w:rPr>
            </w:pPr>
            <w:r>
              <w:rPr>
                <w:spacing w:val="20"/>
                <w:sz w:val="27"/>
                <w:szCs w:val="27"/>
              </w:rPr>
              <w:t xml:space="preserve">Roadside Slope Engineer Inspection (2006-2010) in NT Region </w:t>
            </w:r>
            <w:r>
              <w:rPr>
                <w:sz w:val="27"/>
                <w:szCs w:val="27"/>
              </w:rPr>
              <w:t>―</w:t>
            </w:r>
            <w:r>
              <w:rPr>
                <w:spacing w:val="20"/>
                <w:sz w:val="27"/>
                <w:szCs w:val="27"/>
              </w:rPr>
              <w:t xml:space="preserve"> </w:t>
            </w:r>
          </w:p>
          <w:p>
            <w:pPr>
              <w:pStyle w:val="Normal"/>
              <w:widowControl/>
              <w:snapToGrid w:val="false"/>
              <w:spacing w:lineRule="exact" w:line="300"/>
              <w:ind w:left="57" w:right="57" w:hanging="0"/>
              <w:rPr>
                <w:spacing w:val="20"/>
                <w:sz w:val="27"/>
                <w:szCs w:val="27"/>
              </w:rPr>
            </w:pPr>
            <w:r>
              <w:rPr>
                <w:spacing w:val="20"/>
                <w:sz w:val="27"/>
                <w:szCs w:val="27"/>
              </w:rPr>
              <w:t>Investigation</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(1/2012)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10"/>
                <w:sz w:val="27"/>
                <w:szCs w:val="27"/>
              </w:rPr>
              <w:t xml:space="preserve">新界第二階段道路狀況調查 </w:t>
            </w:r>
            <w:r>
              <w:rPr>
                <w:rFonts w:ascii="華康細明體" w:hAnsi="華康細明體" w:cs="華康細明體"/>
                <w:spacing w:val="10"/>
                <w:sz w:val="27"/>
                <w:szCs w:val="27"/>
              </w:rPr>
              <w:t>─</w:t>
            </w:r>
            <w:r>
              <w:rPr>
                <w:spacing w:val="10"/>
                <w:sz w:val="27"/>
                <w:szCs w:val="27"/>
              </w:rPr>
              <w:t xml:space="preserve"> 勘</w:t>
            </w:r>
            <w:r>
              <w:rPr>
                <w:spacing w:val="20"/>
                <w:sz w:val="27"/>
                <w:szCs w:val="27"/>
              </w:rPr>
              <w:t xml:space="preserve">查研究 </w:t>
            </w:r>
            <w:r>
              <w:rPr>
                <w:spacing w:val="20"/>
                <w:sz w:val="27"/>
                <w:szCs w:val="27"/>
              </w:rPr>
              <w:t>(2011</w:t>
            </w:r>
            <w:r>
              <w:rPr>
                <w:spacing w:val="20"/>
                <w:sz w:val="27"/>
                <w:szCs w:val="27"/>
              </w:rPr>
              <w:t>年</w:t>
            </w:r>
            <w:r>
              <w:rPr>
                <w:spacing w:val="20"/>
                <w:sz w:val="27"/>
                <w:szCs w:val="27"/>
              </w:rPr>
              <w:t>2</w:t>
            </w:r>
            <w:r>
              <w:rPr>
                <w:spacing w:val="20"/>
                <w:sz w:val="27"/>
                <w:szCs w:val="27"/>
              </w:rPr>
              <w:t>月</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 xml:space="preserve">Pavement Condition Survey Stage 2 for Roads in New Territories </w:t>
            </w:r>
            <w:r>
              <w:rPr>
                <w:sz w:val="27"/>
                <w:szCs w:val="27"/>
              </w:rPr>
              <w:t xml:space="preserve">― </w:t>
            </w:r>
            <w:r>
              <w:rPr>
                <w:spacing w:val="20"/>
                <w:sz w:val="27"/>
                <w:szCs w:val="27"/>
              </w:rPr>
              <w:t>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 xml:space="preserve">影響新界斜坡安全的水管 </w:t>
            </w:r>
            <w:r>
              <w:rPr>
                <w:rFonts w:ascii="華康細明體" w:hAnsi="華康細明體" w:cs="華康細明體"/>
                <w:spacing w:val="20"/>
                <w:sz w:val="27"/>
                <w:szCs w:val="27"/>
              </w:rPr>
              <w:t>─</w:t>
            </w:r>
            <w:r>
              <w:rPr>
                <w:spacing w:val="20"/>
                <w:sz w:val="27"/>
                <w:szCs w:val="27"/>
              </w:rPr>
              <w:t xml:space="preserve"> 勘查研究</w:t>
            </w:r>
            <w:r>
              <w:rPr>
                <w:spacing w:val="20"/>
                <w:sz w:val="27"/>
                <w:szCs w:val="27"/>
              </w:rPr>
              <w:t>(2010</w:t>
            </w:r>
            <w:r>
              <w:rPr>
                <w:spacing w:val="20"/>
                <w:sz w:val="27"/>
                <w:szCs w:val="27"/>
              </w:rPr>
              <w:t>年</w:t>
            </w:r>
            <w:r>
              <w:rPr>
                <w:spacing w:val="20"/>
                <w:sz w:val="27"/>
                <w:szCs w:val="27"/>
              </w:rPr>
              <w:t>12</w:t>
            </w:r>
            <w:r>
              <w:rPr>
                <w:spacing w:val="20"/>
                <w:sz w:val="27"/>
                <w:szCs w:val="27"/>
              </w:rPr>
              <w:t>月</w:t>
            </w:r>
            <w:r>
              <w:rPr>
                <w:spacing w:val="20"/>
                <w:sz w:val="27"/>
                <w:szCs w:val="27"/>
              </w:rPr>
              <w:t>)</w:t>
            </w:r>
          </w:p>
          <w:p>
            <w:pPr>
              <w:pStyle w:val="Normal"/>
              <w:widowControl/>
              <w:snapToGrid w:val="false"/>
              <w:spacing w:lineRule="exact" w:line="360"/>
              <w:ind w:left="57" w:right="57" w:hanging="0"/>
              <w:rPr>
                <w:spacing w:val="20"/>
                <w:sz w:val="27"/>
                <w:szCs w:val="27"/>
              </w:rPr>
            </w:pPr>
            <w:r>
              <w:rPr>
                <w:spacing w:val="20"/>
                <w:sz w:val="27"/>
                <w:szCs w:val="27"/>
              </w:rPr>
              <w:t xml:space="preserve">Water Carrying Services Affecting the Safety of Slope Features in New Territories </w:t>
            </w:r>
            <w:r>
              <w:rPr>
                <w:sz w:val="27"/>
                <w:szCs w:val="27"/>
              </w:rPr>
              <w:t xml:space="preserve">― </w:t>
            </w:r>
            <w:r>
              <w:rPr>
                <w:spacing w:val="20"/>
                <w:sz w:val="27"/>
                <w:szCs w:val="27"/>
              </w:rPr>
              <w:t>Investigation</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(12/2010)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城門隧道及將軍澳隧道的結構狀況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 xml:space="preserve">Structural Integrity of Shing Mun Tunnel and Tseung Kwan O Tunnel </w:t>
            </w:r>
            <w:r>
              <w:rPr>
                <w:sz w:val="27"/>
                <w:szCs w:val="27"/>
              </w:rPr>
              <w:t xml:space="preserve">― </w:t>
            </w:r>
            <w:r>
              <w:rPr>
                <w:spacing w:val="20"/>
                <w:sz w:val="27"/>
                <w:szCs w:val="27"/>
              </w:rPr>
              <w:t xml:space="preserve">Investigation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(10/2008)</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就如何符合深港西部通道</w:t>
            </w:r>
            <w:r>
              <w:rPr>
                <w:spacing w:val="20"/>
                <w:sz w:val="27"/>
                <w:szCs w:val="27"/>
              </w:rPr>
              <w:t>(</w:t>
            </w:r>
            <w:r>
              <w:rPr>
                <w:spacing w:val="20"/>
                <w:sz w:val="27"/>
                <w:szCs w:val="27"/>
              </w:rPr>
              <w:t>圳段</w:t>
            </w:r>
            <w:r>
              <w:rPr>
                <w:spacing w:val="20"/>
                <w:sz w:val="27"/>
                <w:szCs w:val="27"/>
              </w:rPr>
              <w:t>)</w:t>
            </w:r>
            <w:r>
              <w:rPr>
                <w:spacing w:val="20"/>
                <w:sz w:val="27"/>
                <w:szCs w:val="27"/>
              </w:rPr>
              <w:t>保養要求進行的研究</w:t>
            </w:r>
          </w:p>
          <w:p>
            <w:pPr>
              <w:pStyle w:val="Normal"/>
              <w:widowControl/>
              <w:snapToGrid w:val="false"/>
              <w:spacing w:lineRule="auto" w:line="240"/>
              <w:ind w:left="57" w:right="57" w:hanging="0"/>
              <w:rPr>
                <w:spacing w:val="20"/>
                <w:sz w:val="27"/>
                <w:szCs w:val="27"/>
              </w:rPr>
            </w:pPr>
            <w:r>
              <w:rPr>
                <w:spacing w:val="20"/>
                <w:sz w:val="27"/>
                <w:szCs w:val="27"/>
              </w:rPr>
              <w:t xml:space="preserve">Study for Meeting Maintenance Requirements for the Shenzhen Section of the Hong Kong Shenzhen Western Corridor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識別深港西部通道</w:t>
            </w:r>
            <w:r>
              <w:rPr>
                <w:spacing w:val="20"/>
                <w:sz w:val="27"/>
                <w:szCs w:val="27"/>
              </w:rPr>
              <w:t>(</w:t>
            </w:r>
            <w:r>
              <w:rPr>
                <w:spacing w:val="20"/>
                <w:sz w:val="27"/>
                <w:szCs w:val="27"/>
              </w:rPr>
              <w:t>深圳段</w:t>
            </w:r>
            <w:r>
              <w:rPr>
                <w:spacing w:val="20"/>
                <w:sz w:val="27"/>
                <w:szCs w:val="27"/>
              </w:rPr>
              <w:t>)</w:t>
            </w:r>
            <w:r>
              <w:rPr>
                <w:spacing w:val="20"/>
                <w:sz w:val="27"/>
                <w:szCs w:val="27"/>
              </w:rPr>
              <w:t>可予改善範圍以配合保養工作的研究</w:t>
            </w:r>
          </w:p>
          <w:p>
            <w:pPr>
              <w:pStyle w:val="Normal"/>
              <w:widowControl/>
              <w:snapToGrid w:val="false"/>
              <w:spacing w:lineRule="auto" w:line="240"/>
              <w:ind w:left="57" w:right="57" w:hanging="0"/>
              <w:rPr>
                <w:spacing w:val="20"/>
                <w:sz w:val="27"/>
                <w:szCs w:val="27"/>
              </w:rPr>
            </w:pPr>
            <w:r>
              <w:rPr>
                <w:spacing w:val="20"/>
                <w:sz w:val="27"/>
                <w:szCs w:val="27"/>
              </w:rPr>
              <w:t>Study for Identifying Areas of Improvement for Facilitating Maintenance Activities for the Shenzhen Section of the Hong Kong Shenzhen Western Corridor</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NEC</w:t>
            </w:r>
            <w:r>
              <w:rPr>
                <w:spacing w:val="20"/>
                <w:sz w:val="27"/>
                <w:szCs w:val="27"/>
              </w:rPr>
              <w:t xml:space="preserve">合約顧問服務 </w:t>
            </w:r>
            <w:r>
              <w:rPr>
                <w:rFonts w:ascii="華康細明體" w:hAnsi="華康細明體" w:cs="華康細明體"/>
                <w:spacing w:val="20"/>
                <w:sz w:val="27"/>
                <w:szCs w:val="27"/>
              </w:rPr>
              <w:t>─</w:t>
            </w:r>
            <w:r>
              <w:rPr>
                <w:spacing w:val="20"/>
                <w:sz w:val="27"/>
                <w:szCs w:val="27"/>
              </w:rPr>
              <w:t xml:space="preserve"> 應用</w:t>
            </w:r>
            <w:r>
              <w:rPr>
                <w:spacing w:val="20"/>
                <w:sz w:val="27"/>
                <w:szCs w:val="27"/>
              </w:rPr>
              <w:t>NEC</w:t>
            </w:r>
            <w:r>
              <w:rPr>
                <w:spacing w:val="20"/>
                <w:sz w:val="27"/>
                <w:szCs w:val="27"/>
              </w:rPr>
              <w:t>合約於路政署定期合約 “新界東及香港島快速公路之</w:t>
            </w:r>
          </w:p>
          <w:p>
            <w:pPr>
              <w:pStyle w:val="Normal"/>
              <w:widowControl/>
              <w:snapToGrid w:val="false"/>
              <w:spacing w:lineRule="auto" w:line="240"/>
              <w:ind w:left="57" w:right="57" w:hanging="0"/>
              <w:rPr>
                <w:spacing w:val="20"/>
                <w:sz w:val="27"/>
                <w:szCs w:val="27"/>
              </w:rPr>
            </w:pPr>
            <w:r>
              <w:rPr>
                <w:spacing w:val="20"/>
                <w:sz w:val="27"/>
                <w:szCs w:val="27"/>
              </w:rPr>
              <w:t>管理及維修</w:t>
            </w:r>
          </w:p>
          <w:p>
            <w:pPr>
              <w:pStyle w:val="Normal"/>
              <w:widowControl/>
              <w:snapToGrid w:val="false"/>
              <w:spacing w:lineRule="auto" w:line="240"/>
              <w:ind w:left="57" w:right="57" w:hanging="0"/>
              <w:rPr>
                <w:spacing w:val="20"/>
                <w:sz w:val="27"/>
                <w:szCs w:val="27"/>
              </w:rPr>
            </w:pPr>
            <w:r>
              <w:rPr>
                <w:spacing w:val="20"/>
                <w:sz w:val="27"/>
                <w:szCs w:val="27"/>
              </w:rPr>
              <w:t>(2013-2019)”</w:t>
            </w:r>
          </w:p>
          <w:p>
            <w:pPr>
              <w:pStyle w:val="Normal"/>
              <w:widowControl/>
              <w:snapToGrid w:val="false"/>
              <w:spacing w:lineRule="auto" w:line="240"/>
              <w:ind w:left="57" w:right="57" w:hanging="0"/>
              <w:rPr>
                <w:spacing w:val="20"/>
                <w:sz w:val="27"/>
                <w:szCs w:val="27"/>
              </w:rPr>
            </w:pPr>
            <w:r>
              <w:rPr>
                <w:spacing w:val="20"/>
                <w:sz w:val="27"/>
                <w:szCs w:val="27"/>
              </w:rPr>
              <w:t>Employment of</w:t>
            </w:r>
          </w:p>
          <w:p>
            <w:pPr>
              <w:pStyle w:val="Normal"/>
              <w:widowControl/>
              <w:snapToGrid w:val="false"/>
              <w:spacing w:lineRule="auto" w:line="240"/>
              <w:ind w:left="57" w:right="57" w:hanging="0"/>
              <w:rPr>
                <w:spacing w:val="20"/>
                <w:sz w:val="27"/>
                <w:szCs w:val="27"/>
              </w:rPr>
            </w:pPr>
            <w:r>
              <w:rPr>
                <w:spacing w:val="20"/>
                <w:sz w:val="27"/>
                <w:szCs w:val="27"/>
              </w:rPr>
              <w:t xml:space="preserve">Technical Advisor for Adopting New Engineering Contract For Highways Department Term Contract </w:t>
            </w:r>
            <w:r>
              <w:rPr>
                <w:sz w:val="27"/>
                <w:szCs w:val="27"/>
              </w:rPr>
              <w:t xml:space="preserve">― </w:t>
            </w:r>
            <w:r>
              <w:rPr>
                <w:spacing w:val="20"/>
                <w:sz w:val="27"/>
                <w:szCs w:val="27"/>
              </w:rPr>
              <w:t xml:space="preserve">Management </w:t>
            </w:r>
            <w:r>
              <w:rPr>
                <w:sz w:val="27"/>
                <w:szCs w:val="27"/>
              </w:rPr>
              <w:t xml:space="preserve">and Maintenance </w:t>
            </w:r>
            <w:r>
              <w:rPr>
                <w:spacing w:val="20"/>
                <w:sz w:val="27"/>
                <w:szCs w:val="27"/>
              </w:rPr>
              <w:t>of High Speed Roads in NT East and Hong Kong Island (2013-2019)</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在現有行人天橋</w:t>
            </w:r>
            <w:r>
              <w:rPr>
                <w:spacing w:val="20"/>
                <w:sz w:val="27"/>
                <w:szCs w:val="27"/>
              </w:rPr>
              <w:t>(</w:t>
            </w:r>
            <w:r>
              <w:rPr>
                <w:spacing w:val="20"/>
                <w:sz w:val="27"/>
                <w:szCs w:val="27"/>
              </w:rPr>
              <w:t>第二期</w:t>
            </w:r>
            <w:r>
              <w:rPr>
                <w:spacing w:val="20"/>
                <w:sz w:val="27"/>
                <w:szCs w:val="27"/>
              </w:rPr>
              <w:t>)</w:t>
            </w:r>
            <w:r>
              <w:rPr>
                <w:spacing w:val="20"/>
                <w:sz w:val="27"/>
                <w:szCs w:val="27"/>
              </w:rPr>
              <w:t>及行人隧道</w:t>
            </w:r>
            <w:r>
              <w:rPr>
                <w:spacing w:val="20"/>
                <w:sz w:val="27"/>
                <w:szCs w:val="27"/>
              </w:rPr>
              <w:t>(</w:t>
            </w:r>
            <w:r>
              <w:rPr>
                <w:spacing w:val="20"/>
                <w:sz w:val="27"/>
                <w:szCs w:val="27"/>
              </w:rPr>
              <w:t>第一期</w:t>
            </w:r>
            <w:r>
              <w:rPr>
                <w:spacing w:val="20"/>
                <w:sz w:val="27"/>
                <w:szCs w:val="27"/>
              </w:rPr>
              <w:t>)</w:t>
            </w:r>
            <w:r>
              <w:rPr>
                <w:spacing w:val="20"/>
                <w:sz w:val="27"/>
                <w:szCs w:val="27"/>
              </w:rPr>
              <w:t>為傷健人士設置通道與設施</w:t>
            </w:r>
          </w:p>
          <w:p>
            <w:pPr>
              <w:pStyle w:val="Normal"/>
              <w:widowControl/>
              <w:snapToGrid w:val="false"/>
              <w:spacing w:lineRule="auto" w:line="240"/>
              <w:ind w:left="57" w:right="57" w:hanging="0"/>
              <w:rPr>
                <w:spacing w:val="20"/>
                <w:sz w:val="27"/>
                <w:szCs w:val="27"/>
              </w:rPr>
            </w:pPr>
            <w:r>
              <w:rPr>
                <w:spacing w:val="20"/>
                <w:sz w:val="27"/>
                <w:szCs w:val="27"/>
              </w:rPr>
              <w:t>Provision of Access Facilities for the Disabled at Existing Footbridges Phase 2 and Existing Subways Phase 1</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在市區現有行人天橋及隧道提供傷健人士通道與設施</w:t>
            </w:r>
            <w:r>
              <w:rPr>
                <w:spacing w:val="20"/>
                <w:sz w:val="27"/>
                <w:szCs w:val="27"/>
              </w:rPr>
              <w:t>(</w:t>
            </w:r>
            <w:r>
              <w:rPr>
                <w:spacing w:val="20"/>
                <w:sz w:val="27"/>
                <w:szCs w:val="27"/>
              </w:rPr>
              <w:t>第三期</w:t>
            </w:r>
            <w:r>
              <w:rPr>
                <w:spacing w:val="20"/>
                <w:sz w:val="27"/>
                <w:szCs w:val="27"/>
              </w:rPr>
              <w:t xml:space="preserve">) </w:t>
            </w:r>
            <w:r>
              <w:rPr>
                <w:rFonts w:cs="華康細明體" w:ascii="華康細明體" w:hAnsi="華康細明體"/>
                <w:spacing w:val="20"/>
                <w:sz w:val="27"/>
                <w:szCs w:val="27"/>
              </w:rPr>
              <w:t>─</w:t>
            </w:r>
            <w:r>
              <w:rPr>
                <w:spacing w:val="20"/>
                <w:sz w:val="27"/>
                <w:szCs w:val="27"/>
              </w:rPr>
              <w:t xml:space="preserve"> </w:t>
            </w:r>
            <w:r>
              <w:rPr>
                <w:spacing w:val="20"/>
                <w:sz w:val="27"/>
                <w:szCs w:val="27"/>
              </w:rPr>
              <w:t>勘測</w:t>
            </w:r>
          </w:p>
          <w:p>
            <w:pPr>
              <w:pStyle w:val="Normal"/>
              <w:widowControl/>
              <w:snapToGrid w:val="false"/>
              <w:spacing w:lineRule="exact" w:line="360"/>
              <w:ind w:left="57" w:right="57" w:hanging="0"/>
              <w:rPr>
                <w:spacing w:val="20"/>
                <w:sz w:val="27"/>
                <w:szCs w:val="27"/>
              </w:rPr>
            </w:pPr>
            <w:r>
              <w:rPr>
                <w:spacing w:val="20"/>
                <w:sz w:val="27"/>
                <w:szCs w:val="27"/>
              </w:rPr>
              <w:t xml:space="preserve">Provision of Access Facilities for the Disabled at Existing Footbridges and Subways in Urban Area, Phase 3 </w:t>
            </w:r>
            <w:r>
              <w:rPr>
                <w:sz w:val="27"/>
                <w:szCs w:val="27"/>
              </w:rPr>
              <w:t>―</w:t>
            </w:r>
            <w:r>
              <w:rPr>
                <w:spacing w:val="20"/>
                <w:sz w:val="27"/>
                <w:szCs w:val="27"/>
              </w:rPr>
              <w:t xml:space="preserve"> Investigation</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(10/2012)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東區海底隧道沉管勘察及評估</w:t>
            </w:r>
          </w:p>
          <w:p>
            <w:pPr>
              <w:pStyle w:val="Normal"/>
              <w:widowControl/>
              <w:snapToGrid w:val="false"/>
              <w:spacing w:lineRule="auto" w:line="240"/>
              <w:ind w:left="57" w:right="57" w:hanging="0"/>
              <w:rPr>
                <w:spacing w:val="20"/>
                <w:sz w:val="27"/>
                <w:szCs w:val="27"/>
              </w:rPr>
            </w:pPr>
            <w:r>
              <w:rPr>
                <w:spacing w:val="20"/>
                <w:sz w:val="27"/>
                <w:szCs w:val="27"/>
              </w:rPr>
              <w:t xml:space="preserve">Inspection and Condition Survey for Structures of Immersed Tube in Eastern Harbour Crossing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改善／加固市區路旁斜坡／護土牆工程 </w:t>
            </w:r>
            <w:r>
              <w:rPr>
                <w:rFonts w:ascii="華康細明體" w:hAnsi="華康細明體" w:cs="華康細明體"/>
                <w:spacing w:val="20"/>
                <w:sz w:val="27"/>
                <w:szCs w:val="27"/>
              </w:rPr>
              <w:t>─</w:t>
            </w:r>
            <w:r>
              <w:rPr>
                <w:spacing w:val="20"/>
                <w:sz w:val="27"/>
                <w:szCs w:val="27"/>
              </w:rPr>
              <w:t xml:space="preserve"> </w:t>
            </w:r>
            <w:r>
              <w:rPr>
                <w:spacing w:val="20"/>
                <w:sz w:val="27"/>
                <w:szCs w:val="27"/>
              </w:rPr>
              <w:t>2006</w:t>
            </w:r>
            <w:r>
              <w:rPr>
                <w:spacing w:val="20"/>
                <w:sz w:val="27"/>
                <w:szCs w:val="27"/>
              </w:rPr>
              <w:t>至</w:t>
            </w:r>
            <w:r>
              <w:rPr>
                <w:spacing w:val="20"/>
                <w:sz w:val="27"/>
                <w:szCs w:val="27"/>
              </w:rPr>
              <w:t>2010</w:t>
            </w:r>
            <w:r>
              <w:rPr>
                <w:spacing w:val="20"/>
                <w:sz w:val="27"/>
                <w:szCs w:val="27"/>
              </w:rPr>
              <w:t>年計劃</w:t>
            </w:r>
            <w:r>
              <w:rPr>
                <w:spacing w:val="20"/>
                <w:sz w:val="27"/>
                <w:szCs w:val="27"/>
              </w:rPr>
              <w:t>(</w:t>
            </w:r>
            <w:r>
              <w:rPr>
                <w:spacing w:val="20"/>
                <w:sz w:val="27"/>
                <w:szCs w:val="27"/>
              </w:rPr>
              <w:t>組合二</w:t>
            </w:r>
            <w:r>
              <w:rPr>
                <w:spacing w:val="20"/>
                <w:sz w:val="27"/>
                <w:szCs w:val="27"/>
              </w:rPr>
              <w:t xml:space="preserve">) </w:t>
            </w:r>
            <w:r>
              <w:rPr>
                <w:rFonts w:cs="華康細明體" w:ascii="華康細明體" w:hAnsi="華康細明體"/>
                <w:spacing w:val="20"/>
                <w:sz w:val="27"/>
                <w:szCs w:val="27"/>
              </w:rPr>
              <w:t>─</w:t>
            </w:r>
            <w:r>
              <w:rPr>
                <w:spacing w:val="20"/>
                <w:sz w:val="27"/>
                <w:szCs w:val="27"/>
              </w:rPr>
              <w:t xml:space="preserve"> </w:t>
            </w:r>
            <w:r>
              <w:rPr>
                <w:spacing w:val="20"/>
                <w:sz w:val="27"/>
                <w:szCs w:val="27"/>
              </w:rPr>
              <w:t>勘查、設計及建造</w:t>
            </w:r>
          </w:p>
          <w:p>
            <w:pPr>
              <w:pStyle w:val="Normal"/>
              <w:widowControl/>
              <w:snapToGrid w:val="false"/>
              <w:spacing w:lineRule="auto" w:line="240"/>
              <w:ind w:left="57" w:right="57" w:hanging="0"/>
              <w:rPr>
                <w:spacing w:val="20"/>
                <w:sz w:val="27"/>
                <w:szCs w:val="27"/>
              </w:rPr>
            </w:pPr>
            <w:r>
              <w:rPr>
                <w:spacing w:val="20"/>
                <w:sz w:val="27"/>
                <w:szCs w:val="27"/>
              </w:rPr>
              <w:t>Upgrading/</w:t>
            </w:r>
          </w:p>
          <w:p>
            <w:pPr>
              <w:pStyle w:val="Normal"/>
              <w:widowControl/>
              <w:snapToGrid w:val="false"/>
              <w:spacing w:lineRule="auto" w:line="240"/>
              <w:ind w:left="57" w:right="57" w:hanging="0"/>
              <w:rPr>
                <w:spacing w:val="20"/>
                <w:sz w:val="27"/>
                <w:szCs w:val="27"/>
              </w:rPr>
            </w:pPr>
            <w:r>
              <w:rPr>
                <w:spacing w:val="20"/>
                <w:sz w:val="27"/>
                <w:szCs w:val="27"/>
              </w:rPr>
              <w:t>Improvement of Roadside Man-made</w:t>
            </w:r>
          </w:p>
          <w:p>
            <w:pPr>
              <w:pStyle w:val="Normal"/>
              <w:widowControl/>
              <w:snapToGrid w:val="false"/>
              <w:spacing w:lineRule="auto" w:line="240"/>
              <w:ind w:left="57" w:right="57" w:hanging="0"/>
              <w:rPr>
                <w:sz w:val="27"/>
                <w:szCs w:val="27"/>
              </w:rPr>
            </w:pPr>
            <w:r>
              <w:rPr>
                <w:sz w:val="27"/>
                <w:szCs w:val="27"/>
              </w:rPr>
              <w:t>Slopes/Retaining</w:t>
            </w:r>
          </w:p>
          <w:p>
            <w:pPr>
              <w:pStyle w:val="Normal"/>
              <w:widowControl/>
              <w:snapToGrid w:val="false"/>
              <w:spacing w:lineRule="auto" w:line="240"/>
              <w:ind w:left="57" w:right="57" w:hanging="0"/>
              <w:rPr>
                <w:spacing w:val="20"/>
                <w:sz w:val="27"/>
                <w:szCs w:val="27"/>
              </w:rPr>
            </w:pPr>
            <w:r>
              <w:rPr>
                <w:spacing w:val="20"/>
                <w:sz w:val="27"/>
                <w:szCs w:val="27"/>
              </w:rPr>
              <w:t xml:space="preserve">Walls in Urban Region </w:t>
            </w:r>
            <w:r>
              <w:rPr>
                <w:sz w:val="27"/>
                <w:szCs w:val="27"/>
              </w:rPr>
              <w:t>―</w:t>
            </w:r>
            <w:r>
              <w:rPr>
                <w:spacing w:val="20"/>
                <w:sz w:val="27"/>
                <w:szCs w:val="27"/>
              </w:rPr>
              <w:t xml:space="preserve"> 2006 to 2010 Programme (Package II) </w:t>
            </w:r>
            <w:r>
              <w:rPr>
                <w:sz w:val="27"/>
                <w:szCs w:val="27"/>
              </w:rPr>
              <w:t>―</w:t>
            </w:r>
            <w:r>
              <w:rPr>
                <w:spacing w:val="20"/>
                <w:sz w:val="27"/>
                <w:szCs w:val="27"/>
              </w:rPr>
              <w:t xml:space="preserve"> Investigation, Design and Construction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10"/>
                <w:sz w:val="27"/>
                <w:szCs w:val="27"/>
              </w:rPr>
              <w:t xml:space="preserve">九龍第二階段路面狀況調查 </w:t>
            </w:r>
            <w:r>
              <w:rPr>
                <w:rFonts w:ascii="華康細明體" w:hAnsi="華康細明體" w:cs="華康細明體"/>
                <w:spacing w:val="10"/>
                <w:sz w:val="27"/>
                <w:szCs w:val="27"/>
              </w:rPr>
              <w:t>─</w:t>
            </w:r>
            <w:r>
              <w:rPr>
                <w:spacing w:val="10"/>
                <w:sz w:val="27"/>
                <w:szCs w:val="27"/>
              </w:rPr>
              <w:t xml:space="preserve"> 勘</w:t>
            </w:r>
            <w:r>
              <w:rPr>
                <w:spacing w:val="20"/>
                <w:sz w:val="27"/>
                <w:szCs w:val="27"/>
              </w:rPr>
              <w:t>查研究</w:t>
            </w:r>
            <w:r>
              <w:rPr>
                <w:spacing w:val="20"/>
                <w:sz w:val="27"/>
                <w:szCs w:val="27"/>
              </w:rPr>
              <w:t>Pavement</w:t>
            </w:r>
          </w:p>
          <w:p>
            <w:pPr>
              <w:pStyle w:val="Normal"/>
              <w:widowControl/>
              <w:snapToGrid w:val="false"/>
              <w:spacing w:lineRule="auto" w:line="240"/>
              <w:ind w:left="57" w:right="57" w:hanging="0"/>
              <w:rPr>
                <w:spacing w:val="20"/>
                <w:sz w:val="27"/>
                <w:szCs w:val="27"/>
              </w:rPr>
            </w:pPr>
            <w:r>
              <w:rPr>
                <w:spacing w:val="20"/>
                <w:sz w:val="27"/>
                <w:szCs w:val="27"/>
              </w:rPr>
              <w:t xml:space="preserve">Condition Survey Stage 2 for Roads in Kowloon </w:t>
            </w:r>
            <w:r>
              <w:rPr>
                <w:sz w:val="27"/>
                <w:szCs w:val="27"/>
              </w:rPr>
              <w:t>―</w:t>
            </w:r>
          </w:p>
          <w:p>
            <w:pPr>
              <w:pStyle w:val="Normal"/>
              <w:widowControl/>
              <w:snapToGrid w:val="false"/>
              <w:spacing w:lineRule="auto" w:line="240"/>
              <w:ind w:left="57" w:right="57" w:hanging="0"/>
              <w:rPr>
                <w:spacing w:val="20"/>
                <w:sz w:val="27"/>
                <w:szCs w:val="27"/>
              </w:rPr>
            </w:pPr>
            <w:r>
              <w:rPr>
                <w:spacing w:val="20"/>
                <w:sz w:val="27"/>
                <w:szCs w:val="27"/>
              </w:rPr>
              <w:t>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 xml:space="preserve">博愛交匯處改善工程 </w:t>
            </w:r>
            <w:r>
              <w:rPr>
                <w:rFonts w:ascii="華康細明體" w:hAnsi="華康細明體" w:cs="華康細明體"/>
                <w:spacing w:val="20"/>
                <w:sz w:val="27"/>
                <w:szCs w:val="27"/>
              </w:rPr>
              <w:t>─</w:t>
            </w:r>
            <w:r>
              <w:rPr>
                <w:spacing w:val="20"/>
                <w:sz w:val="27"/>
                <w:szCs w:val="27"/>
              </w:rPr>
              <w:t xml:space="preserve"> 環境影響評估研究</w:t>
            </w:r>
          </w:p>
          <w:p>
            <w:pPr>
              <w:pStyle w:val="Normal"/>
              <w:widowControl/>
              <w:snapToGrid w:val="false"/>
              <w:spacing w:lineRule="exact" w:line="380"/>
              <w:ind w:left="57" w:right="57" w:hanging="0"/>
              <w:rPr>
                <w:spacing w:val="20"/>
                <w:sz w:val="27"/>
                <w:szCs w:val="27"/>
              </w:rPr>
            </w:pPr>
            <w:r>
              <w:rPr>
                <w:spacing w:val="20"/>
                <w:sz w:val="27"/>
                <w:szCs w:val="27"/>
              </w:rPr>
              <w:t xml:space="preserve">Improvement to Pok Oi Interchange </w:t>
            </w:r>
            <w:r>
              <w:rPr>
                <w:sz w:val="27"/>
                <w:szCs w:val="27"/>
              </w:rPr>
              <w:t>―</w:t>
            </w:r>
            <w:r>
              <w:rPr>
                <w:spacing w:val="20"/>
                <w:sz w:val="27"/>
                <w:szCs w:val="27"/>
              </w:rPr>
              <w:t xml:space="preserve"> Environmental Impact Assessment Study</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(3/2010)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環評報告摘要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exact" w:line="380"/>
              <w:ind w:left="57" w:right="57" w:hanging="0"/>
              <w:rPr>
                <w:spacing w:val="20"/>
                <w:sz w:val="27"/>
                <w:szCs w:val="27"/>
              </w:rPr>
            </w:pPr>
            <w:r>
              <w:rPr>
                <w:spacing w:val="20"/>
                <w:sz w:val="27"/>
                <w:szCs w:val="27"/>
              </w:rPr>
              <w:t>EIA Executive Summary (Chinese and English)</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環評報告全文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exact" w:line="380"/>
              <w:ind w:left="57" w:right="57" w:hanging="0"/>
              <w:rPr>
                <w:spacing w:val="20"/>
                <w:sz w:val="27"/>
                <w:szCs w:val="27"/>
              </w:rPr>
            </w:pPr>
            <w:r>
              <w:rPr>
                <w:spacing w:val="20"/>
                <w:sz w:val="27"/>
                <w:szCs w:val="27"/>
              </w:rPr>
              <w:t>Full Text of the EIA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錦壆路的改善及擴建工程 </w:t>
            </w:r>
            <w:r>
              <w:rPr>
                <w:rFonts w:ascii="華康細明體" w:hAnsi="華康細明體" w:cs="華康細明體"/>
                <w:spacing w:val="20"/>
                <w:sz w:val="27"/>
                <w:szCs w:val="27"/>
              </w:rPr>
              <w:t>─</w:t>
            </w:r>
            <w:r>
              <w:rPr>
                <w:spacing w:val="20"/>
                <w:sz w:val="27"/>
                <w:szCs w:val="27"/>
              </w:rPr>
              <w:t xml:space="preserve"> 勘查研究</w:t>
            </w:r>
            <w:r>
              <w:rPr>
                <w:spacing w:val="20"/>
                <w:sz w:val="27"/>
                <w:szCs w:val="27"/>
              </w:rPr>
              <w:t xml:space="preserve">Improvement and Extension of Kam Pok Road </w:t>
            </w:r>
            <w:r>
              <w:rPr>
                <w:sz w:val="27"/>
                <w:szCs w:val="27"/>
              </w:rPr>
              <w:t>―</w:t>
            </w:r>
            <w:r>
              <w:rPr>
                <w:spacing w:val="20"/>
                <w:sz w:val="27"/>
                <w:szCs w:val="27"/>
              </w:rPr>
              <w:t xml:space="preserve"> </w:t>
            </w:r>
          </w:p>
          <w:p>
            <w:pPr>
              <w:pStyle w:val="Normal"/>
              <w:widowControl/>
              <w:snapToGrid w:val="false"/>
              <w:spacing w:lineRule="auto" w:line="240"/>
              <w:ind w:left="57" w:right="57" w:hanging="0"/>
              <w:rPr>
                <w:spacing w:val="20"/>
                <w:sz w:val="27"/>
                <w:szCs w:val="27"/>
              </w:rPr>
            </w:pPr>
            <w:r>
              <w:rPr>
                <w:spacing w:val="20"/>
                <w:sz w:val="27"/>
                <w:szCs w:val="27"/>
              </w:rPr>
              <w:t>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錦壆路的改善及擴建工程 </w:t>
            </w:r>
            <w:r>
              <w:rPr>
                <w:rFonts w:ascii="華康細明體" w:hAnsi="華康細明體" w:cs="華康細明體"/>
                <w:spacing w:val="20"/>
                <w:sz w:val="27"/>
                <w:szCs w:val="27"/>
              </w:rPr>
              <w:t xml:space="preserve">─ </w:t>
            </w:r>
            <w:r>
              <w:rPr>
                <w:spacing w:val="20"/>
                <w:sz w:val="27"/>
                <w:szCs w:val="27"/>
              </w:rPr>
              <w:t>設計</w:t>
            </w:r>
          </w:p>
          <w:p>
            <w:pPr>
              <w:pStyle w:val="Normal"/>
              <w:widowControl/>
              <w:snapToGrid w:val="false"/>
              <w:spacing w:lineRule="auto" w:line="240"/>
              <w:ind w:left="57" w:right="57" w:hanging="0"/>
              <w:rPr>
                <w:spacing w:val="20"/>
                <w:sz w:val="27"/>
                <w:szCs w:val="27"/>
              </w:rPr>
            </w:pPr>
            <w:r>
              <w:rPr>
                <w:spacing w:val="20"/>
                <w:sz w:val="27"/>
                <w:szCs w:val="27"/>
              </w:rPr>
              <w:t xml:space="preserve">Improvement and Extension of Kam Pok  Road </w:t>
            </w:r>
            <w:r>
              <w:rPr>
                <w:sz w:val="27"/>
                <w:szCs w:val="27"/>
              </w:rPr>
              <w:t>―</w:t>
            </w:r>
            <w:r>
              <w:rPr>
                <w:spacing w:val="20"/>
                <w:sz w:val="27"/>
                <w:szCs w:val="27"/>
              </w:rPr>
              <w:t xml:space="preserve"> Design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梳士巴利道、廣東道及柯士甸道的道路改善及行人專用區計劃 </w:t>
            </w:r>
            <w:r>
              <w:rPr>
                <w:rFonts w:ascii="華康細明體" w:hAnsi="華康細明體" w:cs="華康細明體"/>
                <w:spacing w:val="20"/>
                <w:sz w:val="27"/>
                <w:szCs w:val="27"/>
              </w:rPr>
              <w:t>─</w:t>
            </w:r>
            <w:r>
              <w:rPr>
                <w:spacing w:val="20"/>
                <w:sz w:val="27"/>
                <w:szCs w:val="27"/>
              </w:rPr>
              <w:t xml:space="preserve"> 勘查研究、設計及建造</w:t>
            </w:r>
          </w:p>
          <w:p>
            <w:pPr>
              <w:pStyle w:val="Normal"/>
              <w:widowControl/>
              <w:snapToGrid w:val="false"/>
              <w:spacing w:lineRule="auto" w:line="240"/>
              <w:ind w:left="57" w:right="57" w:hanging="0"/>
              <w:rPr>
                <w:spacing w:val="20"/>
                <w:sz w:val="27"/>
                <w:szCs w:val="27"/>
              </w:rPr>
            </w:pPr>
            <w:r>
              <w:rPr>
                <w:spacing w:val="20"/>
                <w:sz w:val="27"/>
                <w:szCs w:val="27"/>
              </w:rPr>
              <w:t xml:space="preserve">Road Improvement and Pedestrian Schemes in the Salisbury Road, Canton Road  and Austin Road Corridors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檢討廣深港高速鐵路香港段的制度安排</w:t>
            </w:r>
          </w:p>
          <w:p>
            <w:pPr>
              <w:pStyle w:val="Normal"/>
              <w:widowControl/>
              <w:snapToGrid w:val="false"/>
              <w:spacing w:lineRule="auto" w:line="240"/>
              <w:ind w:left="57" w:right="57" w:hanging="0"/>
              <w:rPr>
                <w:spacing w:val="20"/>
                <w:sz w:val="27"/>
                <w:szCs w:val="27"/>
              </w:rPr>
            </w:pPr>
            <w:r>
              <w:rPr>
                <w:spacing w:val="20"/>
                <w:sz w:val="27"/>
                <w:szCs w:val="27"/>
              </w:rPr>
              <w:t>Review of Institutional Arrangement for Implementation of the Hong Kong Section of the Guangzhou-</w:t>
            </w:r>
          </w:p>
          <w:p>
            <w:pPr>
              <w:pStyle w:val="Normal"/>
              <w:widowControl/>
              <w:snapToGrid w:val="false"/>
              <w:spacing w:lineRule="auto" w:line="240"/>
              <w:ind w:left="57" w:right="57" w:hanging="0"/>
              <w:rPr>
                <w:spacing w:val="20"/>
                <w:sz w:val="27"/>
                <w:szCs w:val="27"/>
              </w:rPr>
            </w:pPr>
            <w:r>
              <w:rPr>
                <w:spacing w:val="20"/>
                <w:sz w:val="27"/>
                <w:szCs w:val="27"/>
              </w:rPr>
              <w:t>Shenzhen-Hong Kong Express Rail Link under Concession Approach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(6/2008)</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 xml:space="preserve">廣深港高速鐵路香港段 </w:t>
            </w:r>
            <w:r>
              <w:rPr>
                <w:rFonts w:ascii="華康細明體" w:hAnsi="華康細明體" w:cs="華康細明體"/>
                <w:spacing w:val="20"/>
                <w:sz w:val="27"/>
                <w:szCs w:val="27"/>
              </w:rPr>
              <w:t>─</w:t>
            </w:r>
            <w:r>
              <w:rPr>
                <w:spacing w:val="20"/>
                <w:sz w:val="27"/>
                <w:szCs w:val="27"/>
              </w:rPr>
              <w:t xml:space="preserve">  過境段隧道安排的獨立專家意見</w:t>
            </w:r>
          </w:p>
          <w:p>
            <w:pPr>
              <w:pStyle w:val="Normal"/>
              <w:widowControl/>
              <w:snapToGrid w:val="false"/>
              <w:spacing w:lineRule="exact" w:line="400"/>
              <w:ind w:left="57" w:right="57" w:hanging="0"/>
              <w:rPr>
                <w:spacing w:val="20"/>
                <w:sz w:val="27"/>
                <w:szCs w:val="27"/>
              </w:rPr>
            </w:pPr>
            <w:r>
              <w:rPr>
                <w:spacing w:val="20"/>
                <w:sz w:val="27"/>
                <w:szCs w:val="27"/>
              </w:rPr>
              <w:t xml:space="preserve">XRL </w:t>
            </w:r>
            <w:r>
              <w:rPr>
                <w:sz w:val="27"/>
                <w:szCs w:val="27"/>
              </w:rPr>
              <w:t>―</w:t>
            </w:r>
            <w:r>
              <w:rPr>
                <w:spacing w:val="20"/>
                <w:sz w:val="27"/>
                <w:szCs w:val="27"/>
              </w:rPr>
              <w:t xml:space="preserve"> Independent Expert Advice on Tunnel Configuration of Cross-</w:t>
            </w:r>
          </w:p>
          <w:p>
            <w:pPr>
              <w:pStyle w:val="Normal"/>
              <w:widowControl/>
              <w:snapToGrid w:val="false"/>
              <w:spacing w:lineRule="exact" w:line="400"/>
              <w:ind w:left="57" w:right="57" w:hanging="0"/>
              <w:rPr>
                <w:spacing w:val="20"/>
                <w:sz w:val="27"/>
                <w:szCs w:val="27"/>
              </w:rPr>
            </w:pPr>
            <w:r>
              <w:rPr>
                <w:spacing w:val="20"/>
                <w:sz w:val="27"/>
                <w:szCs w:val="27"/>
              </w:rPr>
              <w:t>Boundary Section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(8/2008)</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廣深港高速鐵路香港段對香港經濟的影響研究</w:t>
            </w:r>
          </w:p>
          <w:p>
            <w:pPr>
              <w:pStyle w:val="Normal"/>
              <w:widowControl/>
              <w:snapToGrid w:val="false"/>
              <w:spacing w:lineRule="auto" w:line="240"/>
              <w:ind w:left="57" w:right="57" w:hanging="0"/>
              <w:rPr>
                <w:spacing w:val="20"/>
                <w:sz w:val="27"/>
                <w:szCs w:val="27"/>
              </w:rPr>
            </w:pPr>
            <w:r>
              <w:rPr>
                <w:spacing w:val="20"/>
                <w:sz w:val="27"/>
                <w:szCs w:val="27"/>
              </w:rPr>
              <w:t>Impact of XRL on Hong Kong Economy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西九龍站的建築可行性</w:t>
            </w:r>
          </w:p>
          <w:p>
            <w:pPr>
              <w:pStyle w:val="Normal"/>
              <w:widowControl/>
              <w:snapToGrid w:val="false"/>
              <w:spacing w:lineRule="auto" w:line="240"/>
              <w:ind w:left="57" w:right="57" w:hanging="0"/>
              <w:rPr>
                <w:spacing w:val="20"/>
                <w:sz w:val="27"/>
                <w:szCs w:val="27"/>
              </w:rPr>
            </w:pPr>
            <w:r>
              <w:rPr>
                <w:spacing w:val="20"/>
                <w:sz w:val="27"/>
                <w:szCs w:val="27"/>
              </w:rPr>
              <w:t>Constructability of West Kowloon Station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元朗公路藍地至十八鄉段擴闊工程 </w:t>
            </w:r>
            <w:r>
              <w:rPr>
                <w:rFonts w:ascii="華康細明體" w:hAnsi="華康細明體" w:cs="華康細明體"/>
                <w:spacing w:val="20"/>
                <w:sz w:val="27"/>
                <w:szCs w:val="27"/>
              </w:rPr>
              <w:t>─</w:t>
            </w:r>
            <w:r>
              <w:rPr>
                <w:spacing w:val="20"/>
                <w:sz w:val="27"/>
                <w:szCs w:val="27"/>
              </w:rPr>
              <w:t xml:space="preserve">  設計及建造</w:t>
            </w:r>
          </w:p>
          <w:p>
            <w:pPr>
              <w:pStyle w:val="Normal"/>
              <w:widowControl/>
              <w:snapToGrid w:val="false"/>
              <w:spacing w:lineRule="auto" w:line="240"/>
              <w:ind w:left="57" w:right="57" w:hanging="0"/>
              <w:rPr>
                <w:spacing w:val="20"/>
                <w:sz w:val="27"/>
                <w:szCs w:val="27"/>
              </w:rPr>
            </w:pPr>
            <w:r>
              <w:rPr>
                <w:spacing w:val="20"/>
                <w:sz w:val="27"/>
                <w:szCs w:val="27"/>
              </w:rPr>
              <w:t xml:space="preserve">Widening of Yuen Long Highway between Lam Tei and Shap Pat Heung Interchange </w:t>
            </w:r>
            <w:r>
              <w:rPr>
                <w:sz w:val="27"/>
                <w:szCs w:val="27"/>
              </w:rPr>
              <w:t>―</w:t>
            </w:r>
            <w:r>
              <w:rPr>
                <w:spacing w:val="20"/>
                <w:sz w:val="27"/>
                <w:szCs w:val="27"/>
              </w:rPr>
              <w:t xml:space="preserve"> Design and Construction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西九龍填海發展的建議道路改善工程 </w:t>
            </w:r>
            <w:r>
              <w:rPr>
                <w:rFonts w:ascii="華康細明體" w:hAnsi="華康細明體" w:cs="華康細明體"/>
                <w:spacing w:val="20"/>
                <w:sz w:val="27"/>
                <w:szCs w:val="27"/>
              </w:rPr>
              <w:t>─</w:t>
            </w:r>
            <w:r>
              <w:rPr>
                <w:spacing w:val="20"/>
                <w:sz w:val="27"/>
                <w:szCs w:val="27"/>
              </w:rPr>
              <w:t xml:space="preserve">  可行性研究</w:t>
            </w:r>
          </w:p>
          <w:p>
            <w:pPr>
              <w:pStyle w:val="Normal"/>
              <w:widowControl/>
              <w:snapToGrid w:val="false"/>
              <w:spacing w:lineRule="auto" w:line="240"/>
              <w:ind w:left="57" w:right="57" w:hanging="0"/>
              <w:rPr>
                <w:spacing w:val="20"/>
                <w:sz w:val="27"/>
                <w:szCs w:val="27"/>
              </w:rPr>
            </w:pPr>
            <w:r>
              <w:rPr>
                <w:spacing w:val="20"/>
                <w:sz w:val="27"/>
                <w:szCs w:val="27"/>
              </w:rPr>
              <w:t xml:space="preserve">Proposed Road Improvement Works in West Kowloon Reclamation Development </w:t>
            </w:r>
            <w:r>
              <w:rPr>
                <w:sz w:val="27"/>
                <w:szCs w:val="27"/>
              </w:rPr>
              <w:t>―</w:t>
            </w:r>
          </w:p>
          <w:p>
            <w:pPr>
              <w:pStyle w:val="Normal"/>
              <w:widowControl/>
              <w:snapToGrid w:val="false"/>
              <w:spacing w:lineRule="auto" w:line="240"/>
              <w:ind w:left="57" w:right="57" w:hanging="0"/>
              <w:rPr>
                <w:spacing w:val="20"/>
                <w:sz w:val="27"/>
                <w:szCs w:val="27"/>
              </w:rPr>
            </w:pPr>
            <w:r>
              <w:rPr>
                <w:spacing w:val="20"/>
                <w:sz w:val="27"/>
                <w:szCs w:val="27"/>
              </w:rPr>
              <w:t>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 xml:space="preserve">將軍澳道、青荃橋及觀塘繞道加建隔音屏障工程 </w:t>
            </w:r>
            <w:r>
              <w:rPr>
                <w:rFonts w:ascii="華康細明體" w:hAnsi="華康細明體" w:cs="華康細明體"/>
                <w:spacing w:val="20"/>
                <w:sz w:val="27"/>
                <w:szCs w:val="27"/>
              </w:rPr>
              <w:t>─</w:t>
            </w:r>
            <w:r>
              <w:rPr>
                <w:spacing w:val="20"/>
                <w:sz w:val="27"/>
                <w:szCs w:val="27"/>
              </w:rPr>
              <w:t xml:space="preserve"> 勘查、設計及建造</w:t>
            </w:r>
          </w:p>
          <w:p>
            <w:pPr>
              <w:pStyle w:val="Normal"/>
              <w:widowControl/>
              <w:snapToGrid w:val="false"/>
              <w:spacing w:lineRule="exact" w:line="360"/>
              <w:ind w:left="57" w:right="57" w:hanging="0"/>
              <w:rPr>
                <w:spacing w:val="20"/>
                <w:sz w:val="27"/>
                <w:szCs w:val="27"/>
              </w:rPr>
            </w:pPr>
            <w:r>
              <w:rPr>
                <w:spacing w:val="20"/>
                <w:sz w:val="27"/>
                <w:szCs w:val="27"/>
              </w:rPr>
              <w:t xml:space="preserve">Retrofitting of Noise Barriers on Tseung Kwan O Road, Tsing Tsuen Bridge and Kwun Tong Bypass </w:t>
            </w:r>
            <w:r>
              <w:rPr>
                <w:sz w:val="27"/>
                <w:szCs w:val="27"/>
              </w:rPr>
              <w:t>―</w:t>
            </w:r>
            <w:r>
              <w:rPr>
                <w:spacing w:val="20"/>
                <w:sz w:val="27"/>
                <w:szCs w:val="27"/>
              </w:rPr>
              <w:t xml:space="preserve"> Investigation, Design &amp; Construction</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(12/2012)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42"/>
                <w:sz w:val="27"/>
                <w:szCs w:val="27"/>
              </w:rPr>
              <w:t>粉錦公路改善</w:t>
            </w:r>
            <w:r>
              <w:rPr>
                <w:spacing w:val="28"/>
                <w:sz w:val="27"/>
                <w:szCs w:val="27"/>
              </w:rPr>
              <w:t xml:space="preserve">工程 </w:t>
            </w:r>
            <w:r>
              <w:rPr>
                <w:rFonts w:ascii="華康細明體" w:hAnsi="華康細明體" w:cs="華康細明體"/>
                <w:spacing w:val="28"/>
                <w:sz w:val="27"/>
                <w:szCs w:val="27"/>
              </w:rPr>
              <w:t>─</w:t>
            </w:r>
            <w:r>
              <w:rPr>
                <w:spacing w:val="28"/>
                <w:sz w:val="27"/>
                <w:szCs w:val="27"/>
              </w:rPr>
              <w:t xml:space="preserve"> 可行性研究</w:t>
            </w:r>
            <w:r>
              <w:rPr>
                <w:spacing w:val="20"/>
                <w:sz w:val="27"/>
                <w:szCs w:val="27"/>
              </w:rPr>
              <w:t xml:space="preserve">Improvement to Fan Kam Road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元朗市行人環境改善計劃公眾參與研究 </w:t>
            </w:r>
            <w:r>
              <w:rPr>
                <w:spacing w:val="20"/>
                <w:sz w:val="27"/>
                <w:szCs w:val="27"/>
              </w:rPr>
              <w:t>Public Engagement Consultancy for Pedestrian Environment Improvement Scheme in Yuen Long Town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元朗市行人環境改善計劃工程研究</w:t>
            </w:r>
          </w:p>
          <w:p>
            <w:pPr>
              <w:pStyle w:val="Normal"/>
              <w:widowControl/>
              <w:snapToGrid w:val="false"/>
              <w:spacing w:lineRule="auto" w:line="240"/>
              <w:ind w:left="57" w:right="57" w:hanging="0"/>
              <w:rPr>
                <w:spacing w:val="20"/>
                <w:sz w:val="27"/>
                <w:szCs w:val="27"/>
              </w:rPr>
            </w:pPr>
            <w:r>
              <w:rPr>
                <w:spacing w:val="20"/>
                <w:sz w:val="27"/>
                <w:szCs w:val="27"/>
              </w:rPr>
              <w:t>Engineering Consultancy for Pedestrian Environment Improvement Scheme in Yuen Long Town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中九龍幹線補充交通研究</w:t>
            </w:r>
          </w:p>
          <w:p>
            <w:pPr>
              <w:pStyle w:val="Normal"/>
              <w:widowControl/>
              <w:snapToGrid w:val="false"/>
              <w:spacing w:lineRule="exact" w:line="280"/>
              <w:ind w:left="57" w:right="57" w:hanging="0"/>
              <w:rPr>
                <w:spacing w:val="20"/>
                <w:sz w:val="27"/>
                <w:szCs w:val="27"/>
              </w:rPr>
            </w:pPr>
            <w:r>
              <w:rPr>
                <w:spacing w:val="20"/>
                <w:sz w:val="27"/>
                <w:szCs w:val="27"/>
              </w:rPr>
              <w:t xml:space="preserve">Supplementary Traffic Study for Central Kowloon Route </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(5/2012)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中九龍幹線空氣淨化系統研究</w:t>
            </w:r>
          </w:p>
          <w:p>
            <w:pPr>
              <w:pStyle w:val="Normal"/>
              <w:widowControl/>
              <w:snapToGrid w:val="false"/>
              <w:spacing w:lineRule="auto" w:line="240"/>
              <w:ind w:left="57" w:right="57" w:hanging="0"/>
              <w:rPr>
                <w:spacing w:val="20"/>
                <w:sz w:val="27"/>
                <w:szCs w:val="27"/>
              </w:rPr>
            </w:pPr>
            <w:r>
              <w:rPr>
                <w:spacing w:val="20"/>
                <w:sz w:val="27"/>
                <w:szCs w:val="27"/>
              </w:rPr>
              <w:t>Investigation Study of Air Purification Systems for Central Kowloon Route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 xml:space="preserve">西貢公路改善工程第二期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60"/>
              <w:ind w:left="57" w:right="57" w:hanging="0"/>
              <w:rPr>
                <w:spacing w:val="20"/>
                <w:sz w:val="27"/>
                <w:szCs w:val="27"/>
              </w:rPr>
            </w:pPr>
            <w:r>
              <w:rPr>
                <w:spacing w:val="20"/>
                <w:sz w:val="27"/>
                <w:szCs w:val="27"/>
              </w:rPr>
              <w:t xml:space="preserve">Hiram's Highway Improvement Stage 2 </w:t>
            </w:r>
            <w:r>
              <w:rPr>
                <w:sz w:val="27"/>
                <w:szCs w:val="27"/>
              </w:rPr>
              <w:t>―</w:t>
            </w:r>
            <w:r>
              <w:rPr>
                <w:spacing w:val="20"/>
                <w:sz w:val="27"/>
                <w:szCs w:val="27"/>
              </w:rPr>
              <w:t xml:space="preserve"> Investigation</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(4/2011)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在現有</w:t>
            </w:r>
            <w:r>
              <w:rPr>
                <w:spacing w:val="20"/>
                <w:sz w:val="27"/>
                <w:szCs w:val="27"/>
              </w:rPr>
              <w:t>13</w:t>
            </w:r>
            <w:r>
              <w:rPr>
                <w:spacing w:val="20"/>
                <w:sz w:val="27"/>
                <w:szCs w:val="27"/>
              </w:rPr>
              <w:t xml:space="preserve">處道路上加建隔音屏障 </w:t>
            </w:r>
            <w:r>
              <w:rPr>
                <w:rFonts w:ascii="華康細明體" w:hAnsi="華康細明體" w:cs="華康細明體"/>
                <w:spacing w:val="20"/>
                <w:sz w:val="27"/>
                <w:szCs w:val="27"/>
              </w:rPr>
              <w:t xml:space="preserve">─ </w:t>
            </w:r>
            <w:r>
              <w:rPr>
                <w:spacing w:val="20"/>
                <w:sz w:val="27"/>
                <w:szCs w:val="27"/>
              </w:rPr>
              <w:t>可行性研究</w:t>
            </w:r>
          </w:p>
          <w:p>
            <w:pPr>
              <w:pStyle w:val="Normal"/>
              <w:widowControl/>
              <w:snapToGrid w:val="false"/>
              <w:spacing w:lineRule="auto" w:line="240"/>
              <w:ind w:left="57" w:right="57" w:hanging="0"/>
              <w:rPr>
                <w:spacing w:val="20"/>
                <w:sz w:val="27"/>
                <w:szCs w:val="27"/>
              </w:rPr>
            </w:pPr>
            <w:r>
              <w:rPr>
                <w:spacing w:val="20"/>
                <w:sz w:val="27"/>
                <w:szCs w:val="27"/>
              </w:rPr>
              <w:t xml:space="preserve">Retrofitting of Noise Barriers on 13 Existing Road Sections </w:t>
            </w:r>
            <w:r>
              <w:rPr>
                <w:sz w:val="27"/>
                <w:szCs w:val="27"/>
              </w:rPr>
              <w:t xml:space="preserve">― </w:t>
            </w:r>
            <w:r>
              <w:rPr>
                <w:spacing w:val="20"/>
                <w:sz w:val="27"/>
                <w:szCs w:val="27"/>
              </w:rPr>
              <w:t>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嘉龍村至小欖之間的青山公路改善工程之投標及建造</w:t>
            </w:r>
          </w:p>
          <w:p>
            <w:pPr>
              <w:pStyle w:val="Normal"/>
              <w:widowControl/>
              <w:snapToGrid w:val="false"/>
              <w:spacing w:lineRule="exact" w:line="380"/>
              <w:ind w:left="57" w:right="57" w:hanging="0"/>
              <w:rPr>
                <w:spacing w:val="20"/>
                <w:sz w:val="27"/>
                <w:szCs w:val="27"/>
              </w:rPr>
            </w:pPr>
            <w:r>
              <w:rPr>
                <w:spacing w:val="20"/>
                <w:sz w:val="27"/>
                <w:szCs w:val="27"/>
              </w:rPr>
              <w:t>Tender and Construction of Improvement to Castle Peak  Road between Ka Loon Tsuen and Siu Lam</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(3/2013)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40"/>
                <w:sz w:val="27"/>
                <w:szCs w:val="27"/>
              </w:rPr>
              <w:t xml:space="preserve">新田公路加建隔音屏障工程 </w:t>
            </w:r>
            <w:r>
              <w:rPr>
                <w:rFonts w:ascii="華康細明體" w:hAnsi="華康細明體" w:cs="華康細明體"/>
                <w:spacing w:val="40"/>
                <w:sz w:val="27"/>
                <w:szCs w:val="27"/>
              </w:rPr>
              <w:t>─</w:t>
            </w:r>
            <w:r>
              <w:rPr>
                <w:spacing w:val="40"/>
                <w:sz w:val="27"/>
                <w:szCs w:val="27"/>
              </w:rPr>
              <w:t xml:space="preserve"> 勘</w:t>
            </w:r>
            <w:r>
              <w:rPr>
                <w:spacing w:val="20"/>
                <w:sz w:val="27"/>
                <w:szCs w:val="27"/>
              </w:rPr>
              <w:t>查研究</w:t>
            </w:r>
          </w:p>
          <w:p>
            <w:pPr>
              <w:pStyle w:val="Normal"/>
              <w:widowControl/>
              <w:snapToGrid w:val="false"/>
              <w:spacing w:lineRule="auto" w:line="240"/>
              <w:ind w:left="57" w:right="57" w:hanging="0"/>
              <w:rPr>
                <w:spacing w:val="20"/>
                <w:sz w:val="27"/>
                <w:szCs w:val="27"/>
              </w:rPr>
            </w:pPr>
            <w:r>
              <w:rPr>
                <w:spacing w:val="20"/>
                <w:sz w:val="27"/>
                <w:szCs w:val="27"/>
              </w:rPr>
              <w:t xml:space="preserve">Retrofitting of Noise Barriers on San Tin Highway </w:t>
            </w:r>
            <w:r>
              <w:rPr>
                <w:sz w:val="27"/>
                <w:szCs w:val="27"/>
              </w:rPr>
              <w:t>―</w:t>
            </w:r>
            <w:r>
              <w:rPr>
                <w:spacing w:val="20"/>
                <w:sz w:val="27"/>
                <w:szCs w:val="27"/>
              </w:rPr>
              <w:t xml:space="preserve"> 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40"/>
              <w:ind w:left="57" w:right="57" w:hanging="0"/>
              <w:rPr>
                <w:spacing w:val="20"/>
                <w:sz w:val="27"/>
                <w:szCs w:val="27"/>
              </w:rPr>
            </w:pPr>
            <w:r>
              <w:rPr>
                <w:spacing w:val="20"/>
                <w:sz w:val="27"/>
                <w:szCs w:val="27"/>
              </w:rPr>
              <w:t xml:space="preserve">青衣至大嶼山連接路 </w:t>
            </w:r>
            <w:r>
              <w:rPr>
                <w:rFonts w:ascii="華康細明體" w:hAnsi="華康細明體" w:cs="華康細明體"/>
                <w:spacing w:val="20"/>
                <w:sz w:val="27"/>
                <w:szCs w:val="27"/>
              </w:rPr>
              <w:t>─</w:t>
            </w:r>
            <w:r>
              <w:rPr>
                <w:spacing w:val="20"/>
                <w:sz w:val="27"/>
                <w:szCs w:val="27"/>
              </w:rPr>
              <w:t xml:space="preserve"> 可行性研究</w:t>
            </w:r>
          </w:p>
          <w:p>
            <w:pPr>
              <w:pStyle w:val="Normal"/>
              <w:widowControl/>
              <w:snapToGrid w:val="false"/>
              <w:spacing w:lineRule="exact" w:line="440"/>
              <w:ind w:left="57" w:right="57" w:hanging="0"/>
              <w:rPr>
                <w:spacing w:val="20"/>
                <w:sz w:val="27"/>
                <w:szCs w:val="27"/>
              </w:rPr>
            </w:pPr>
            <w:r>
              <w:rPr>
                <w:spacing w:val="20"/>
                <w:sz w:val="27"/>
                <w:szCs w:val="27"/>
              </w:rPr>
              <w:t xml:space="preserve">Tsing Yi Lantau Link </w:t>
            </w:r>
            <w:r>
              <w:rPr>
                <w:sz w:val="27"/>
                <w:szCs w:val="27"/>
              </w:rPr>
              <w:t>―</w:t>
            </w:r>
            <w:r>
              <w:rPr>
                <w:spacing w:val="20"/>
                <w:sz w:val="27"/>
                <w:szCs w:val="27"/>
              </w:rPr>
              <w:t xml:space="preserve"> Feasibility Study</w:t>
            </w:r>
          </w:p>
          <w:p>
            <w:pPr>
              <w:pStyle w:val="Normal"/>
              <w:widowControl/>
              <w:snapToGrid w:val="false"/>
              <w:spacing w:lineRule="exact" w:line="440"/>
              <w:ind w:left="57" w:right="57" w:hanging="0"/>
              <w:rPr>
                <w:spacing w:val="20"/>
                <w:sz w:val="27"/>
                <w:szCs w:val="27"/>
              </w:rPr>
            </w:pPr>
            <w:r>
              <w:rPr>
                <w:spacing w:val="20"/>
                <w:sz w:val="27"/>
                <w:szCs w:val="27"/>
              </w:rPr>
            </w:r>
          </w:p>
          <w:p>
            <w:pPr>
              <w:pStyle w:val="Normal"/>
              <w:widowControl/>
              <w:snapToGrid w:val="false"/>
              <w:spacing w:lineRule="exact" w:line="440"/>
              <w:ind w:left="57" w:right="57" w:hanging="0"/>
              <w:rPr>
                <w:spacing w:val="20"/>
                <w:sz w:val="27"/>
                <w:szCs w:val="27"/>
              </w:rPr>
            </w:pPr>
            <w:r>
              <w:rPr>
                <w:spacing w:val="20"/>
                <w:sz w:val="27"/>
                <w:szCs w:val="27"/>
              </w:rPr>
              <w:t>(1/2009)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屯門至赤鱲角連接路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 xml:space="preserve">Tuen Mun </w:t>
            </w:r>
            <w:r>
              <w:rPr>
                <w:sz w:val="27"/>
                <w:szCs w:val="27"/>
              </w:rPr>
              <w:t>―</w:t>
            </w:r>
            <w:r>
              <w:rPr>
                <w:spacing w:val="20"/>
                <w:sz w:val="27"/>
                <w:szCs w:val="27"/>
              </w:rPr>
              <w:t xml:space="preserve"> Chek Lap Kok Link </w:t>
            </w:r>
            <w:r>
              <w:rPr>
                <w:sz w:val="27"/>
                <w:szCs w:val="27"/>
              </w:rPr>
              <w:t>―</w:t>
            </w:r>
            <w:r>
              <w:rPr>
                <w:spacing w:val="20"/>
                <w:sz w:val="27"/>
                <w:szCs w:val="27"/>
              </w:rPr>
              <w:t xml:space="preserve"> 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環評報告摘要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EIA Executive</w:t>
            </w:r>
          </w:p>
          <w:p>
            <w:pPr>
              <w:pStyle w:val="Normal"/>
              <w:widowControl/>
              <w:snapToGrid w:val="false"/>
              <w:spacing w:lineRule="auto" w:line="240"/>
              <w:ind w:left="57" w:right="57" w:hanging="0"/>
              <w:rPr>
                <w:spacing w:val="20"/>
                <w:sz w:val="27"/>
                <w:szCs w:val="27"/>
              </w:rPr>
            </w:pPr>
            <w:r>
              <w:rPr>
                <w:spacing w:val="20"/>
                <w:sz w:val="27"/>
                <w:szCs w:val="27"/>
              </w:rPr>
              <w:t>Summary (Chinese</w:t>
            </w:r>
          </w:p>
          <w:p>
            <w:pPr>
              <w:pStyle w:val="Normal"/>
              <w:widowControl/>
              <w:snapToGrid w:val="false"/>
              <w:spacing w:lineRule="auto" w:line="240"/>
              <w:ind w:left="57" w:right="57" w:hanging="0"/>
              <w:rPr>
                <w:spacing w:val="20"/>
                <w:sz w:val="27"/>
                <w:szCs w:val="27"/>
              </w:rPr>
            </w:pPr>
            <w:r>
              <w:rPr>
                <w:spacing w:val="20"/>
                <w:sz w:val="27"/>
                <w:szCs w:val="27"/>
              </w:rPr>
              <w:t>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其他</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Others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20"/>
              <w:ind w:left="57" w:right="57" w:hanging="0"/>
              <w:rPr>
                <w:spacing w:val="20"/>
                <w:sz w:val="27"/>
                <w:szCs w:val="27"/>
              </w:rPr>
            </w:pPr>
            <w:r>
              <w:rPr>
                <w:spacing w:val="20"/>
                <w:sz w:val="27"/>
                <w:szCs w:val="27"/>
              </w:rPr>
              <w:t xml:space="preserve">環評報告及相關資料 </w:t>
            </w:r>
            <w:r>
              <w:rPr>
                <w:rFonts w:ascii="華康細明體" w:hAnsi="華康細明體" w:cs="華康細明體"/>
                <w:spacing w:val="20"/>
                <w:sz w:val="27"/>
                <w:szCs w:val="27"/>
              </w:rPr>
              <w:t>─</w:t>
            </w:r>
            <w:r>
              <w:rPr>
                <w:spacing w:val="20"/>
                <w:sz w:val="27"/>
                <w:szCs w:val="27"/>
              </w:rPr>
              <w:t xml:space="preserve"> 有</w:t>
            </w:r>
            <w:r>
              <w:rPr>
                <w:spacing w:val="20"/>
                <w:sz w:val="27"/>
                <w:szCs w:val="27"/>
              </w:rPr>
              <w:t>EIA Report and</w:t>
            </w:r>
          </w:p>
          <w:p>
            <w:pPr>
              <w:pStyle w:val="Normal"/>
              <w:widowControl/>
              <w:snapToGrid w:val="false"/>
              <w:spacing w:lineRule="exact" w:line="320"/>
              <w:ind w:left="57" w:right="57" w:hanging="0"/>
              <w:rPr>
                <w:spacing w:val="20"/>
                <w:sz w:val="27"/>
                <w:szCs w:val="27"/>
              </w:rPr>
            </w:pPr>
            <w:r>
              <w:rPr>
                <w:spacing w:val="20"/>
                <w:sz w:val="27"/>
                <w:szCs w:val="27"/>
              </w:rPr>
              <w:t xml:space="preserve">related </w:t>
            </w:r>
            <w:r>
              <w:rPr>
                <w:sz w:val="27"/>
                <w:szCs w:val="27"/>
              </w:rPr>
              <w:t xml:space="preserve">information </w:t>
            </w:r>
            <w:r>
              <w:rPr>
                <w:spacing w:val="20"/>
                <w:sz w:val="27"/>
                <w:szCs w:val="27"/>
              </w:rPr>
              <w:t>– Yes</w:t>
            </w:r>
          </w:p>
          <w:p>
            <w:pPr>
              <w:pStyle w:val="Normal"/>
              <w:widowControl/>
              <w:snapToGrid w:val="false"/>
              <w:spacing w:lineRule="exact" w:line="320"/>
              <w:ind w:left="57" w:right="57" w:hanging="0"/>
              <w:rPr>
                <w:spacing w:val="20"/>
                <w:sz w:val="27"/>
                <w:szCs w:val="27"/>
              </w:rPr>
            </w:pPr>
            <w:r>
              <w:rPr>
                <w:spacing w:val="20"/>
                <w:sz w:val="27"/>
                <w:szCs w:val="27"/>
              </w:rPr>
            </w:r>
          </w:p>
          <w:p>
            <w:pPr>
              <w:pStyle w:val="Normal"/>
              <w:widowControl/>
              <w:snapToGrid w:val="false"/>
              <w:spacing w:lineRule="exact" w:line="320"/>
              <w:ind w:left="57" w:right="57" w:hanging="0"/>
              <w:rPr>
                <w:spacing w:val="20"/>
                <w:sz w:val="27"/>
                <w:szCs w:val="27"/>
              </w:rPr>
            </w:pPr>
            <w:r>
              <w:rPr>
                <w:spacing w:val="20"/>
                <w:sz w:val="27"/>
                <w:szCs w:val="27"/>
              </w:rPr>
              <w:t xml:space="preserve">其他 </w:t>
            </w:r>
            <w:r>
              <w:rPr>
                <w:rFonts w:ascii="華康細明體" w:hAnsi="華康細明體" w:cs="華康細明體"/>
                <w:spacing w:val="20"/>
                <w:sz w:val="27"/>
                <w:szCs w:val="27"/>
              </w:rPr>
              <w:t>─</w:t>
            </w:r>
            <w:r>
              <w:rPr>
                <w:spacing w:val="20"/>
                <w:sz w:val="27"/>
                <w:szCs w:val="27"/>
              </w:rPr>
              <w:t xml:space="preserve"> 沒有</w:t>
            </w:r>
          </w:p>
          <w:p>
            <w:pPr>
              <w:pStyle w:val="Normal"/>
              <w:widowControl/>
              <w:snapToGrid w:val="false"/>
              <w:spacing w:lineRule="exact" w:line="320"/>
              <w:ind w:left="57" w:right="57" w:hanging="0"/>
              <w:rPr>
                <w:spacing w:val="20"/>
                <w:sz w:val="27"/>
                <w:szCs w:val="27"/>
              </w:rPr>
            </w:pPr>
            <w:r>
              <w:rPr>
                <w:spacing w:val="20"/>
                <w:sz w:val="27"/>
                <w:szCs w:val="27"/>
              </w:rPr>
              <w:t>Others – 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港珠澳大橋香港口岸 </w:t>
            </w:r>
            <w:r>
              <w:rPr>
                <w:rFonts w:ascii="華康細明體" w:hAnsi="華康細明體" w:cs="華康細明體"/>
                <w:spacing w:val="20"/>
                <w:sz w:val="27"/>
                <w:szCs w:val="27"/>
              </w:rPr>
              <w:t>─</w:t>
            </w:r>
            <w:r>
              <w:rPr>
                <w:spacing w:val="20"/>
                <w:sz w:val="27"/>
                <w:szCs w:val="27"/>
              </w:rPr>
              <w:t xml:space="preserve"> 大小磨刀海岸公園的初步研究</w:t>
            </w:r>
          </w:p>
          <w:p>
            <w:pPr>
              <w:pStyle w:val="Normal"/>
              <w:widowControl/>
              <w:snapToGrid w:val="false"/>
              <w:spacing w:lineRule="exact" w:line="300"/>
              <w:ind w:left="57" w:right="57" w:hanging="0"/>
              <w:rPr>
                <w:spacing w:val="20"/>
                <w:sz w:val="27"/>
                <w:szCs w:val="27"/>
              </w:rPr>
            </w:pPr>
            <w:r>
              <w:rPr>
                <w:spacing w:val="20"/>
                <w:sz w:val="27"/>
                <w:szCs w:val="27"/>
              </w:rPr>
              <w:t>Hong Kong-</w:t>
            </w:r>
          </w:p>
          <w:p>
            <w:pPr>
              <w:pStyle w:val="Normal"/>
              <w:widowControl/>
              <w:snapToGrid w:val="false"/>
              <w:spacing w:lineRule="exact" w:line="300"/>
              <w:ind w:left="57" w:right="57" w:hanging="0"/>
              <w:rPr>
                <w:spacing w:val="20"/>
                <w:sz w:val="27"/>
                <w:szCs w:val="27"/>
              </w:rPr>
            </w:pPr>
            <w:r>
              <w:rPr>
                <w:spacing w:val="20"/>
                <w:sz w:val="27"/>
                <w:szCs w:val="27"/>
              </w:rPr>
              <w:t>Zhuhai-Macao</w:t>
            </w:r>
          </w:p>
          <w:p>
            <w:pPr>
              <w:pStyle w:val="Normal"/>
              <w:widowControl/>
              <w:snapToGrid w:val="false"/>
              <w:spacing w:lineRule="exact" w:line="300"/>
              <w:ind w:left="57" w:right="57" w:hanging="0"/>
              <w:rPr>
                <w:spacing w:val="20"/>
                <w:sz w:val="27"/>
                <w:szCs w:val="27"/>
              </w:rPr>
            </w:pPr>
            <w:r>
              <w:rPr>
                <w:spacing w:val="20"/>
                <w:sz w:val="27"/>
                <w:szCs w:val="27"/>
              </w:rPr>
              <w:t xml:space="preserve">Bridge Hong Kong Boundary Crossing Facilities </w:t>
            </w:r>
            <w:r>
              <w:rPr>
                <w:sz w:val="27"/>
                <w:szCs w:val="27"/>
              </w:rPr>
              <w:t>―</w:t>
            </w:r>
          </w:p>
          <w:p>
            <w:pPr>
              <w:pStyle w:val="Normal"/>
              <w:widowControl/>
              <w:snapToGrid w:val="false"/>
              <w:spacing w:lineRule="exact" w:line="300"/>
              <w:ind w:left="57" w:right="57" w:hanging="0"/>
              <w:rPr>
                <w:spacing w:val="20"/>
                <w:sz w:val="27"/>
                <w:szCs w:val="27"/>
              </w:rPr>
            </w:pPr>
            <w:r>
              <w:rPr>
                <w:spacing w:val="20"/>
                <w:sz w:val="27"/>
                <w:szCs w:val="27"/>
              </w:rPr>
              <w:t>Preliminary Study for Marine Park in the Brothers Islands</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(1/2012)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英</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港珠澳大橋香港段及北大嶼山公路連接路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exact" w:line="300"/>
              <w:ind w:left="57" w:right="57" w:hanging="0"/>
              <w:rPr>
                <w:spacing w:val="26"/>
                <w:sz w:val="27"/>
                <w:szCs w:val="27"/>
              </w:rPr>
            </w:pPr>
            <w:r>
              <w:rPr>
                <w:spacing w:val="26"/>
                <w:sz w:val="27"/>
                <w:szCs w:val="27"/>
              </w:rPr>
              <w:t>Hong Kong Section of Hong Kong-Zhuhai-</w:t>
            </w:r>
          </w:p>
          <w:p>
            <w:pPr>
              <w:pStyle w:val="Normal"/>
              <w:widowControl/>
              <w:snapToGrid w:val="false"/>
              <w:spacing w:lineRule="exact" w:line="300"/>
              <w:ind w:left="57" w:right="57" w:hanging="0"/>
              <w:rPr>
                <w:spacing w:val="26"/>
                <w:sz w:val="27"/>
                <w:szCs w:val="27"/>
              </w:rPr>
            </w:pPr>
            <w:r>
              <w:rPr>
                <w:spacing w:val="26"/>
                <w:sz w:val="27"/>
                <w:szCs w:val="27"/>
              </w:rPr>
              <w:t>Macao Bridge and Connection with North Lantau Highway ― 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環評報告摘要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EIA Executive</w:t>
            </w:r>
          </w:p>
          <w:p>
            <w:pPr>
              <w:pStyle w:val="Normal"/>
              <w:widowControl/>
              <w:snapToGrid w:val="false"/>
              <w:spacing w:lineRule="auto" w:line="240"/>
              <w:ind w:left="57" w:right="57" w:hanging="0"/>
              <w:rPr>
                <w:spacing w:val="20"/>
                <w:sz w:val="27"/>
                <w:szCs w:val="27"/>
              </w:rPr>
            </w:pPr>
            <w:r>
              <w:rPr>
                <w:spacing w:val="20"/>
                <w:sz w:val="27"/>
                <w:szCs w:val="27"/>
              </w:rPr>
              <w:t>Summary (Chinese</w:t>
            </w:r>
          </w:p>
          <w:p>
            <w:pPr>
              <w:pStyle w:val="Normal"/>
              <w:widowControl/>
              <w:snapToGrid w:val="false"/>
              <w:spacing w:lineRule="auto" w:line="240"/>
              <w:ind w:left="57" w:right="57" w:hanging="0"/>
              <w:rPr>
                <w:spacing w:val="20"/>
                <w:sz w:val="27"/>
                <w:szCs w:val="27"/>
              </w:rPr>
            </w:pPr>
            <w:r>
              <w:rPr>
                <w:spacing w:val="20"/>
                <w:sz w:val="27"/>
                <w:szCs w:val="27"/>
              </w:rPr>
              <w:t>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其他</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Others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環評報告及相關資料 </w:t>
            </w:r>
            <w:r>
              <w:rPr>
                <w:rFonts w:ascii="華康細明體" w:hAnsi="華康細明體" w:cs="華康細明體"/>
                <w:spacing w:val="20"/>
                <w:sz w:val="27"/>
                <w:szCs w:val="27"/>
              </w:rPr>
              <w:t>─</w:t>
            </w:r>
            <w:r>
              <w:rPr>
                <w:spacing w:val="20"/>
                <w:sz w:val="27"/>
                <w:szCs w:val="27"/>
              </w:rPr>
              <w:t xml:space="preserve"> 有</w:t>
            </w:r>
          </w:p>
          <w:p>
            <w:pPr>
              <w:pStyle w:val="Normal"/>
              <w:widowControl/>
              <w:snapToGrid w:val="false"/>
              <w:spacing w:lineRule="auto" w:line="240"/>
              <w:ind w:left="57" w:right="57" w:hanging="0"/>
              <w:rPr>
                <w:spacing w:val="20"/>
                <w:sz w:val="27"/>
                <w:szCs w:val="27"/>
              </w:rPr>
            </w:pPr>
            <w:r>
              <w:rPr>
                <w:spacing w:val="20"/>
                <w:sz w:val="27"/>
                <w:szCs w:val="27"/>
              </w:rPr>
              <w:t>EIA Report and</w:t>
            </w:r>
          </w:p>
          <w:p>
            <w:pPr>
              <w:pStyle w:val="Normal"/>
              <w:widowControl/>
              <w:snapToGrid w:val="false"/>
              <w:spacing w:lineRule="auto" w:line="240"/>
              <w:ind w:left="57" w:right="57" w:hanging="0"/>
              <w:rPr>
                <w:spacing w:val="20"/>
                <w:sz w:val="27"/>
                <w:szCs w:val="27"/>
              </w:rPr>
            </w:pPr>
            <w:r>
              <w:rPr>
                <w:spacing w:val="20"/>
                <w:sz w:val="27"/>
                <w:szCs w:val="27"/>
              </w:rPr>
              <w:t xml:space="preserve">related </w:t>
            </w:r>
            <w:r>
              <w:rPr>
                <w:sz w:val="27"/>
                <w:szCs w:val="27"/>
              </w:rPr>
              <w:t xml:space="preserve">information </w:t>
            </w:r>
            <w:r>
              <w:rPr>
                <w:spacing w:val="20"/>
                <w:sz w:val="27"/>
                <w:szCs w:val="27"/>
              </w:rPr>
              <w:t>– Yes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 xml:space="preserve">其他 </w:t>
            </w:r>
            <w:r>
              <w:rPr>
                <w:rFonts w:ascii="華康細明體" w:hAnsi="華康細明體" w:cs="華康細明體"/>
                <w:spacing w:val="20"/>
                <w:sz w:val="27"/>
                <w:szCs w:val="27"/>
              </w:rPr>
              <w:t>─</w:t>
            </w:r>
            <w:r>
              <w:rPr>
                <w:spacing w:val="20"/>
                <w:sz w:val="27"/>
                <w:szCs w:val="27"/>
              </w:rPr>
              <w:t xml:space="preserve"> 沒有</w:t>
            </w:r>
          </w:p>
          <w:p>
            <w:pPr>
              <w:pStyle w:val="Normal"/>
              <w:widowControl/>
              <w:snapToGrid w:val="false"/>
              <w:spacing w:lineRule="auto" w:line="240"/>
              <w:ind w:left="57" w:right="57" w:hanging="0"/>
              <w:rPr>
                <w:spacing w:val="20"/>
                <w:sz w:val="27"/>
                <w:szCs w:val="27"/>
              </w:rPr>
            </w:pPr>
            <w:r>
              <w:rPr>
                <w:spacing w:val="20"/>
                <w:sz w:val="27"/>
                <w:szCs w:val="27"/>
              </w:rPr>
              <w:t>Others – 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港珠澳大橋香港口岸 </w:t>
            </w:r>
            <w:r>
              <w:rPr>
                <w:rFonts w:ascii="華康細明體" w:hAnsi="華康細明體" w:cs="華康細明體"/>
                <w:spacing w:val="20"/>
                <w:sz w:val="27"/>
                <w:szCs w:val="27"/>
              </w:rPr>
              <w:t>─</w:t>
            </w:r>
            <w:r>
              <w:rPr>
                <w:spacing w:val="20"/>
                <w:sz w:val="27"/>
                <w:szCs w:val="27"/>
              </w:rPr>
              <w:t xml:space="preserve"> 勘查研究</w:t>
            </w:r>
          </w:p>
          <w:p>
            <w:pPr>
              <w:pStyle w:val="Normal"/>
              <w:widowControl/>
              <w:snapToGrid w:val="false"/>
              <w:spacing w:lineRule="auto" w:line="240"/>
              <w:ind w:left="57" w:right="57" w:hanging="0"/>
              <w:rPr>
                <w:spacing w:val="20"/>
                <w:sz w:val="27"/>
                <w:szCs w:val="27"/>
              </w:rPr>
            </w:pPr>
            <w:r>
              <w:rPr>
                <w:spacing w:val="20"/>
                <w:sz w:val="27"/>
                <w:szCs w:val="27"/>
              </w:rPr>
              <w:t>Hong Kong-</w:t>
            </w:r>
          </w:p>
          <w:p>
            <w:pPr>
              <w:pStyle w:val="Normal"/>
              <w:widowControl/>
              <w:snapToGrid w:val="false"/>
              <w:spacing w:lineRule="auto" w:line="240"/>
              <w:ind w:left="57" w:right="57" w:hanging="0"/>
              <w:rPr>
                <w:spacing w:val="20"/>
                <w:sz w:val="27"/>
                <w:szCs w:val="27"/>
              </w:rPr>
            </w:pPr>
            <w:r>
              <w:rPr>
                <w:spacing w:val="20"/>
                <w:sz w:val="27"/>
                <w:szCs w:val="27"/>
              </w:rPr>
              <w:t>Zhuhai-Macao-</w:t>
            </w:r>
          </w:p>
          <w:p>
            <w:pPr>
              <w:pStyle w:val="Normal"/>
              <w:widowControl/>
              <w:snapToGrid w:val="false"/>
              <w:spacing w:lineRule="auto" w:line="240"/>
              <w:ind w:left="57" w:right="57" w:hanging="0"/>
              <w:rPr>
                <w:spacing w:val="20"/>
                <w:sz w:val="27"/>
                <w:szCs w:val="27"/>
              </w:rPr>
            </w:pPr>
            <w:r>
              <w:rPr>
                <w:spacing w:val="20"/>
                <w:sz w:val="27"/>
                <w:szCs w:val="27"/>
              </w:rPr>
              <w:t xml:space="preserve">Bridge Hong Kong Boundary Crossing Facilities </w:t>
            </w:r>
            <w:r>
              <w:rPr>
                <w:sz w:val="27"/>
                <w:szCs w:val="27"/>
              </w:rPr>
              <w:t>―</w:t>
            </w:r>
            <w:r>
              <w:rPr>
                <w:spacing w:val="20"/>
                <w:sz w:val="27"/>
                <w:szCs w:val="27"/>
              </w:rPr>
              <w:t xml:space="preserve"> 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環評報告摘要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EIA Executive</w:t>
            </w:r>
          </w:p>
          <w:p>
            <w:pPr>
              <w:pStyle w:val="Normal"/>
              <w:widowControl/>
              <w:snapToGrid w:val="false"/>
              <w:spacing w:lineRule="auto" w:line="240"/>
              <w:ind w:left="57" w:right="57" w:hanging="0"/>
              <w:rPr>
                <w:spacing w:val="20"/>
                <w:sz w:val="27"/>
                <w:szCs w:val="27"/>
              </w:rPr>
            </w:pPr>
            <w:r>
              <w:rPr>
                <w:spacing w:val="20"/>
                <w:sz w:val="27"/>
                <w:szCs w:val="27"/>
              </w:rPr>
              <w:t>Summary (Chinese</w:t>
            </w:r>
          </w:p>
          <w:p>
            <w:pPr>
              <w:pStyle w:val="Normal"/>
              <w:widowControl/>
              <w:snapToGrid w:val="false"/>
              <w:spacing w:lineRule="auto" w:line="240"/>
              <w:ind w:left="57" w:right="57" w:hanging="0"/>
              <w:rPr>
                <w:spacing w:val="20"/>
                <w:sz w:val="27"/>
                <w:szCs w:val="27"/>
              </w:rPr>
            </w:pPr>
            <w:r>
              <w:rPr>
                <w:spacing w:val="20"/>
                <w:sz w:val="27"/>
                <w:szCs w:val="27"/>
              </w:rPr>
              <w:t>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其他</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Others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 xml:space="preserve">環評報告及相關資料 </w:t>
            </w:r>
            <w:r>
              <w:rPr>
                <w:rFonts w:ascii="華康細明體" w:hAnsi="華康細明體" w:cs="華康細明體"/>
                <w:spacing w:val="20"/>
                <w:sz w:val="27"/>
                <w:szCs w:val="27"/>
              </w:rPr>
              <w:t>─</w:t>
            </w:r>
            <w:r>
              <w:rPr>
                <w:spacing w:val="20"/>
                <w:sz w:val="27"/>
                <w:szCs w:val="27"/>
              </w:rPr>
              <w:t xml:space="preserve"> 有</w:t>
            </w:r>
          </w:p>
          <w:p>
            <w:pPr>
              <w:pStyle w:val="Normal"/>
              <w:widowControl/>
              <w:snapToGrid w:val="false"/>
              <w:spacing w:lineRule="exact" w:line="300"/>
              <w:ind w:left="57" w:right="57" w:hanging="0"/>
              <w:rPr>
                <w:spacing w:val="20"/>
                <w:sz w:val="27"/>
                <w:szCs w:val="27"/>
              </w:rPr>
            </w:pPr>
            <w:r>
              <w:rPr>
                <w:spacing w:val="20"/>
                <w:sz w:val="27"/>
                <w:szCs w:val="27"/>
              </w:rPr>
              <w:t>EIA Report and</w:t>
            </w:r>
          </w:p>
          <w:p>
            <w:pPr>
              <w:pStyle w:val="Normal"/>
              <w:widowControl/>
              <w:snapToGrid w:val="false"/>
              <w:spacing w:lineRule="exact" w:line="300"/>
              <w:ind w:left="57" w:right="57" w:hanging="0"/>
              <w:rPr>
                <w:spacing w:val="20"/>
                <w:sz w:val="27"/>
                <w:szCs w:val="27"/>
              </w:rPr>
            </w:pPr>
            <w:r>
              <w:rPr>
                <w:spacing w:val="20"/>
                <w:sz w:val="27"/>
                <w:szCs w:val="27"/>
              </w:rPr>
              <w:t xml:space="preserve">related </w:t>
            </w:r>
            <w:r>
              <w:rPr>
                <w:sz w:val="27"/>
                <w:szCs w:val="27"/>
              </w:rPr>
              <w:t xml:space="preserve">information </w:t>
            </w:r>
            <w:r>
              <w:rPr>
                <w:spacing w:val="20"/>
                <w:sz w:val="27"/>
                <w:szCs w:val="27"/>
              </w:rPr>
              <w:t>– Yes</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 xml:space="preserve">其他 </w:t>
            </w:r>
            <w:r>
              <w:rPr>
                <w:rFonts w:ascii="華康細明體" w:hAnsi="華康細明體" w:cs="華康細明體"/>
                <w:spacing w:val="20"/>
                <w:sz w:val="27"/>
                <w:szCs w:val="27"/>
              </w:rPr>
              <w:t>─</w:t>
            </w:r>
            <w:r>
              <w:rPr>
                <w:spacing w:val="20"/>
                <w:sz w:val="27"/>
                <w:szCs w:val="27"/>
              </w:rPr>
              <w:t xml:space="preserve"> 沒有</w:t>
            </w:r>
          </w:p>
          <w:p>
            <w:pPr>
              <w:pStyle w:val="Normal"/>
              <w:widowControl/>
              <w:snapToGrid w:val="false"/>
              <w:spacing w:lineRule="exact" w:line="300"/>
              <w:ind w:left="57" w:right="57" w:hanging="0"/>
              <w:rPr>
                <w:spacing w:val="20"/>
                <w:sz w:val="27"/>
                <w:szCs w:val="27"/>
              </w:rPr>
            </w:pPr>
            <w:r>
              <w:rPr>
                <w:spacing w:val="20"/>
                <w:sz w:val="27"/>
                <w:szCs w:val="27"/>
              </w:rPr>
              <w:t>Others – 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環境保護署</w:t>
            </w:r>
          </w:p>
          <w:p>
            <w:pPr>
              <w:pStyle w:val="Normal"/>
              <w:widowControl/>
              <w:snapToGrid w:val="false"/>
              <w:spacing w:lineRule="auto" w:line="240"/>
              <w:ind w:left="57" w:right="57" w:hanging="0"/>
              <w:rPr>
                <w:spacing w:val="20"/>
                <w:sz w:val="27"/>
                <w:szCs w:val="27"/>
              </w:rPr>
            </w:pPr>
            <w:r>
              <w:rPr>
                <w:spacing w:val="20"/>
                <w:sz w:val="27"/>
                <w:szCs w:val="27"/>
              </w:rPr>
              <w:t>Environmen-</w:t>
            </w:r>
          </w:p>
          <w:p>
            <w:pPr>
              <w:pStyle w:val="Normal"/>
              <w:widowControl/>
              <w:snapToGrid w:val="false"/>
              <w:spacing w:lineRule="auto" w:line="240"/>
              <w:ind w:left="57" w:right="57" w:hanging="0"/>
              <w:rPr>
                <w:spacing w:val="20"/>
                <w:sz w:val="27"/>
                <w:szCs w:val="27"/>
              </w:rPr>
            </w:pPr>
            <w:r>
              <w:rPr>
                <w:spacing w:val="20"/>
                <w:sz w:val="27"/>
                <w:szCs w:val="27"/>
              </w:rPr>
              <w:t>tal Protection 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檢討本港空氣質素指標及制訂長遠空氣質素管理策略 </w:t>
            </w:r>
            <w:r>
              <w:rPr>
                <w:rFonts w:ascii="華康細明體" w:hAnsi="華康細明體" w:cs="華康細明體"/>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可行性研究。</w:t>
            </w:r>
          </w:p>
          <w:p>
            <w:pPr>
              <w:pStyle w:val="Normal"/>
              <w:widowControl/>
              <w:snapToGrid w:val="false"/>
              <w:spacing w:lineRule="auto" w:line="240"/>
              <w:ind w:left="57" w:right="57" w:hanging="0"/>
              <w:rPr>
                <w:spacing w:val="20"/>
                <w:sz w:val="27"/>
                <w:szCs w:val="27"/>
              </w:rPr>
            </w:pPr>
            <w:r>
              <w:rPr>
                <w:spacing w:val="20"/>
                <w:sz w:val="27"/>
                <w:szCs w:val="27"/>
              </w:rPr>
              <w:t xml:space="preserve">Review of the Air Quality Objectives and Development of a Long Term Air Quality Strategy for Hong Kong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A Study of the Air Pollution Index Reporting System (</w:t>
            </w:r>
            <w:r>
              <w:rPr>
                <w:spacing w:val="20"/>
                <w:sz w:val="27"/>
                <w:szCs w:val="27"/>
              </w:rPr>
              <w:t>只有英文版本</w:t>
            </w:r>
            <w:r>
              <w:rPr>
                <w:spacing w:val="20"/>
                <w:sz w:val="27"/>
                <w:szCs w:val="27"/>
              </w:rPr>
              <w:t>)</w:t>
            </w:r>
          </w:p>
          <w:p>
            <w:pPr>
              <w:pStyle w:val="Normal"/>
              <w:widowControl/>
              <w:snapToGrid w:val="false"/>
              <w:spacing w:lineRule="exact" w:line="400"/>
              <w:ind w:left="57" w:right="57" w:hanging="0"/>
              <w:rPr>
                <w:spacing w:val="20"/>
                <w:sz w:val="27"/>
                <w:szCs w:val="27"/>
              </w:rPr>
            </w:pPr>
            <w:r>
              <w:rPr>
                <w:spacing w:val="20"/>
                <w:sz w:val="27"/>
                <w:szCs w:val="27"/>
              </w:rPr>
              <w:t>(English version only)</w:t>
            </w:r>
          </w:p>
          <w:p>
            <w:pPr>
              <w:pStyle w:val="Normal"/>
              <w:widowControl/>
              <w:snapToGrid w:val="false"/>
              <w:spacing w:lineRule="exact" w:line="400"/>
              <w:ind w:left="57" w:right="57" w:hanging="0"/>
              <w:rPr>
                <w:spacing w:val="20"/>
                <w:sz w:val="27"/>
                <w:szCs w:val="27"/>
              </w:rPr>
            </w:pPr>
            <w:r>
              <w:rPr>
                <w:spacing w:val="20"/>
                <w:sz w:val="27"/>
                <w:szCs w:val="27"/>
              </w:rPr>
            </w:r>
          </w:p>
          <w:p>
            <w:pPr>
              <w:pStyle w:val="Normal"/>
              <w:widowControl/>
              <w:snapToGrid w:val="false"/>
              <w:spacing w:lineRule="exact" w:line="400"/>
              <w:ind w:left="57" w:right="57" w:hanging="0"/>
              <w:rPr>
                <w:spacing w:val="20"/>
                <w:sz w:val="27"/>
                <w:szCs w:val="27"/>
              </w:rPr>
            </w:pPr>
            <w:r>
              <w:rPr>
                <w:spacing w:val="20"/>
                <w:sz w:val="27"/>
                <w:szCs w:val="27"/>
              </w:rPr>
              <w:t>(6/2012)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氣候變化項目研究</w:t>
            </w:r>
          </w:p>
          <w:p>
            <w:pPr>
              <w:pStyle w:val="Normal"/>
              <w:widowControl/>
              <w:snapToGrid w:val="false"/>
              <w:spacing w:lineRule="auto" w:line="240"/>
              <w:ind w:left="57" w:right="57" w:hanging="0"/>
              <w:rPr>
                <w:spacing w:val="20"/>
                <w:sz w:val="27"/>
                <w:szCs w:val="27"/>
              </w:rPr>
            </w:pPr>
            <w:r>
              <w:rPr>
                <w:spacing w:val="20"/>
                <w:sz w:val="27"/>
                <w:szCs w:val="27"/>
              </w:rPr>
              <w:t xml:space="preserve">A Study of Climate Change in Hong Kong </w:t>
            </w:r>
            <w:r>
              <w:rPr>
                <w:sz w:val="27"/>
                <w:szCs w:val="27"/>
              </w:rPr>
              <w:t>―</w:t>
            </w:r>
            <w:r>
              <w:rPr>
                <w:spacing w:val="20"/>
                <w:sz w:val="27"/>
                <w:szCs w:val="27"/>
              </w:rPr>
              <w:t xml:space="preserve"> Feasibility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(4/2013)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行政摘要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exact" w:line="360"/>
              <w:ind w:left="57" w:right="57" w:hanging="0"/>
              <w:rPr>
                <w:spacing w:val="20"/>
                <w:sz w:val="27"/>
                <w:szCs w:val="27"/>
              </w:rPr>
            </w:pPr>
            <w:r>
              <w:rPr>
                <w:spacing w:val="20"/>
                <w:sz w:val="27"/>
                <w:szCs w:val="27"/>
              </w:rPr>
              <w:t>Executive Summary (Chinese and English)</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報告</w:t>
            </w:r>
            <w:r>
              <w:rPr>
                <w:spacing w:val="20"/>
                <w:sz w:val="27"/>
                <w:szCs w:val="27"/>
              </w:rPr>
              <w:t>(</w:t>
            </w:r>
            <w:r>
              <w:rPr>
                <w:spacing w:val="20"/>
                <w:sz w:val="27"/>
                <w:szCs w:val="27"/>
              </w:rPr>
              <w:t>英</w:t>
            </w:r>
            <w:r>
              <w:rPr>
                <w:spacing w:val="20"/>
                <w:sz w:val="27"/>
                <w:szCs w:val="27"/>
              </w:rPr>
              <w:t>)</w:t>
            </w:r>
          </w:p>
          <w:p>
            <w:pPr>
              <w:pStyle w:val="Normal"/>
              <w:widowControl/>
              <w:snapToGrid w:val="false"/>
              <w:spacing w:lineRule="exact" w:line="360"/>
              <w:ind w:left="57" w:right="57" w:hanging="0"/>
              <w:rPr>
                <w:spacing w:val="20"/>
                <w:sz w:val="27"/>
                <w:szCs w:val="27"/>
              </w:rPr>
            </w:pPr>
            <w:r>
              <w:rPr>
                <w:spacing w:val="20"/>
                <w:sz w:val="27"/>
                <w:szCs w:val="27"/>
              </w:rPr>
              <w:t>Report (English)</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技術附錄</w:t>
            </w:r>
            <w:r>
              <w:rPr>
                <w:spacing w:val="20"/>
                <w:sz w:val="27"/>
                <w:szCs w:val="27"/>
              </w:rPr>
              <w:t>(</w:t>
            </w:r>
            <w:r>
              <w:rPr>
                <w:spacing w:val="20"/>
                <w:sz w:val="27"/>
                <w:szCs w:val="27"/>
              </w:rPr>
              <w:t>英</w:t>
            </w:r>
            <w:r>
              <w:rPr>
                <w:spacing w:val="20"/>
                <w:sz w:val="27"/>
                <w:szCs w:val="27"/>
              </w:rPr>
              <w:t>)</w:t>
            </w:r>
          </w:p>
          <w:p>
            <w:pPr>
              <w:pStyle w:val="Normal"/>
              <w:widowControl/>
              <w:snapToGrid w:val="false"/>
              <w:spacing w:lineRule="exact" w:line="360"/>
              <w:ind w:left="57" w:right="57" w:hanging="0"/>
              <w:rPr>
                <w:spacing w:val="20"/>
                <w:sz w:val="27"/>
                <w:szCs w:val="27"/>
              </w:rPr>
            </w:pPr>
            <w:r>
              <w:rPr>
                <w:spacing w:val="20"/>
                <w:sz w:val="27"/>
                <w:szCs w:val="27"/>
              </w:rPr>
              <w:t>Technical Annexes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綜合廢物管理設施第一期環境影響評估報告</w:t>
            </w:r>
          </w:p>
          <w:p>
            <w:pPr>
              <w:pStyle w:val="Normal"/>
              <w:widowControl/>
              <w:snapToGrid w:val="false"/>
              <w:spacing w:lineRule="exact" w:line="380"/>
              <w:ind w:left="57" w:right="57" w:hanging="0"/>
              <w:rPr>
                <w:spacing w:val="20"/>
                <w:sz w:val="27"/>
                <w:szCs w:val="27"/>
              </w:rPr>
            </w:pPr>
            <w:r>
              <w:rPr>
                <w:spacing w:val="20"/>
                <w:sz w:val="27"/>
                <w:szCs w:val="27"/>
              </w:rPr>
              <w:t xml:space="preserve">Engineering Investigation and Environmental Studies for Integrated Waste Management Facilities Phase 1 </w:t>
            </w:r>
            <w:r>
              <w:rPr>
                <w:sz w:val="27"/>
                <w:szCs w:val="27"/>
              </w:rPr>
              <w:t>―</w:t>
            </w:r>
            <w:r>
              <w:rPr>
                <w:spacing w:val="20"/>
                <w:sz w:val="27"/>
                <w:szCs w:val="27"/>
              </w:rPr>
              <w:t xml:space="preserve"> Feasibility Study</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(1/2012)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網頁列載或可供下載／到部門辦事處取閱</w:t>
            </w:r>
          </w:p>
          <w:p>
            <w:pPr>
              <w:pStyle w:val="Normal"/>
              <w:widowControl/>
              <w:snapToGrid w:val="false"/>
              <w:spacing w:lineRule="auto" w:line="240"/>
              <w:ind w:left="57" w:right="57" w:hanging="0"/>
              <w:rPr>
                <w:spacing w:val="20"/>
                <w:sz w:val="27"/>
                <w:szCs w:val="27"/>
              </w:rPr>
            </w:pPr>
            <w:r>
              <w:rPr>
                <w:spacing w:val="20"/>
                <w:sz w:val="27"/>
                <w:szCs w:val="27"/>
              </w:rPr>
              <w:t>Available on website/ in person at</w:t>
            </w:r>
          </w:p>
          <w:p>
            <w:pPr>
              <w:pStyle w:val="Normal"/>
              <w:widowControl/>
              <w:snapToGrid w:val="false"/>
              <w:spacing w:lineRule="auto" w:line="240"/>
              <w:ind w:left="57" w:right="57" w:hanging="0"/>
              <w:rPr>
                <w:spacing w:val="20"/>
                <w:sz w:val="27"/>
                <w:szCs w:val="27"/>
              </w:rPr>
            </w:pPr>
            <w:r>
              <w:rPr>
                <w:spacing w:val="8"/>
                <w:sz w:val="27"/>
                <w:szCs w:val="27"/>
              </w:rPr>
              <w:t>department's</w:t>
            </w:r>
            <w:r>
              <w:rPr>
                <w:spacing w:val="20"/>
                <w:sz w:val="27"/>
                <w:szCs w:val="27"/>
              </w:rPr>
              <w:t xml:space="preserve"> office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第一期有機資源回收中心環境影響評估報告</w:t>
            </w:r>
          </w:p>
          <w:p>
            <w:pPr>
              <w:pStyle w:val="Normal"/>
              <w:widowControl/>
              <w:snapToGrid w:val="false"/>
              <w:spacing w:lineRule="exact" w:line="380"/>
              <w:ind w:left="57" w:right="57" w:hanging="0"/>
              <w:rPr>
                <w:spacing w:val="20"/>
                <w:sz w:val="27"/>
                <w:szCs w:val="27"/>
              </w:rPr>
            </w:pPr>
            <w:r>
              <w:rPr>
                <w:spacing w:val="20"/>
                <w:sz w:val="27"/>
                <w:szCs w:val="27"/>
              </w:rPr>
              <w:t xml:space="preserve">Organic Waste Treatment Facilities Phase 1 </w:t>
            </w:r>
            <w:r>
              <w:rPr>
                <w:sz w:val="27"/>
                <w:szCs w:val="27"/>
              </w:rPr>
              <w:t>―</w:t>
            </w:r>
            <w:r>
              <w:rPr>
                <w:spacing w:val="20"/>
                <w:sz w:val="27"/>
                <w:szCs w:val="27"/>
              </w:rPr>
              <w:t xml:space="preserve"> Feasibility Study</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(10/2009)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00"/>
              <w:ind w:left="57" w:right="57" w:hanging="0"/>
              <w:rPr>
                <w:spacing w:val="20"/>
                <w:sz w:val="27"/>
                <w:szCs w:val="27"/>
              </w:rPr>
            </w:pPr>
            <w:r>
              <w:rPr>
                <w:spacing w:val="20"/>
                <w:sz w:val="27"/>
                <w:szCs w:val="27"/>
              </w:rPr>
              <w:t>網頁列載或可供下載／到部門辦事處取閱</w:t>
            </w:r>
          </w:p>
          <w:p>
            <w:pPr>
              <w:pStyle w:val="Normal"/>
              <w:widowControl/>
              <w:snapToGrid w:val="false"/>
              <w:spacing w:lineRule="exact" w:line="400"/>
              <w:ind w:left="57" w:right="57" w:hanging="0"/>
              <w:rPr>
                <w:spacing w:val="20"/>
                <w:sz w:val="27"/>
                <w:szCs w:val="27"/>
              </w:rPr>
            </w:pPr>
            <w:r>
              <w:rPr>
                <w:spacing w:val="20"/>
                <w:sz w:val="27"/>
                <w:szCs w:val="27"/>
              </w:rPr>
              <w:t>Available on website/ in person at</w:t>
            </w:r>
          </w:p>
          <w:p>
            <w:pPr>
              <w:pStyle w:val="Normal"/>
              <w:widowControl/>
              <w:snapToGrid w:val="false"/>
              <w:spacing w:lineRule="exact" w:line="400"/>
              <w:ind w:left="57" w:right="57" w:hanging="0"/>
              <w:rPr>
                <w:spacing w:val="20"/>
                <w:sz w:val="27"/>
                <w:szCs w:val="27"/>
              </w:rPr>
            </w:pPr>
            <w:r>
              <w:rPr>
                <w:sz w:val="27"/>
                <w:szCs w:val="27"/>
              </w:rPr>
              <w:t xml:space="preserve">department's </w:t>
            </w:r>
            <w:r>
              <w:rPr>
                <w:spacing w:val="20"/>
                <w:sz w:val="27"/>
                <w:szCs w:val="27"/>
              </w:rPr>
              <w:t>office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460"/>
              <w:ind w:left="57" w:right="57" w:hanging="0"/>
              <w:rPr>
                <w:spacing w:val="20"/>
                <w:sz w:val="27"/>
                <w:szCs w:val="27"/>
              </w:rPr>
            </w:pPr>
            <w:r>
              <w:rPr>
                <w:spacing w:val="20"/>
                <w:sz w:val="27"/>
                <w:szCs w:val="27"/>
              </w:rPr>
              <w:t>發展第二期有機資源回收中心環境影響評估報告</w:t>
            </w:r>
          </w:p>
          <w:p>
            <w:pPr>
              <w:pStyle w:val="Normal"/>
              <w:widowControl/>
              <w:snapToGrid w:val="false"/>
              <w:spacing w:lineRule="exact" w:line="460"/>
              <w:ind w:left="57" w:right="57" w:hanging="0"/>
              <w:rPr>
                <w:spacing w:val="20"/>
                <w:sz w:val="27"/>
                <w:szCs w:val="27"/>
              </w:rPr>
            </w:pPr>
            <w:r>
              <w:rPr>
                <w:spacing w:val="20"/>
                <w:sz w:val="27"/>
                <w:szCs w:val="27"/>
              </w:rPr>
              <w:t xml:space="preserve">Development of Organic Waste Treatment Facilities Phase 2 </w:t>
            </w:r>
            <w:r>
              <w:rPr>
                <w:sz w:val="27"/>
                <w:szCs w:val="27"/>
              </w:rPr>
              <w:t>―</w:t>
            </w:r>
            <w:r>
              <w:rPr>
                <w:spacing w:val="20"/>
                <w:sz w:val="27"/>
                <w:szCs w:val="27"/>
              </w:rPr>
              <w:t xml:space="preserve"> Feasibility Study</w:t>
            </w:r>
          </w:p>
          <w:p>
            <w:pPr>
              <w:pStyle w:val="Normal"/>
              <w:widowControl/>
              <w:snapToGrid w:val="false"/>
              <w:spacing w:lineRule="exact" w:line="460"/>
              <w:ind w:left="57" w:right="57" w:hanging="0"/>
              <w:rPr>
                <w:spacing w:val="20"/>
                <w:sz w:val="27"/>
                <w:szCs w:val="27"/>
              </w:rPr>
            </w:pPr>
            <w:r>
              <w:rPr>
                <w:spacing w:val="20"/>
                <w:sz w:val="27"/>
                <w:szCs w:val="27"/>
              </w:rPr>
            </w:r>
          </w:p>
          <w:p>
            <w:pPr>
              <w:pStyle w:val="Normal"/>
              <w:widowControl/>
              <w:snapToGrid w:val="false"/>
              <w:spacing w:lineRule="exact" w:line="460"/>
              <w:ind w:left="57" w:right="57" w:hanging="0"/>
              <w:rPr>
                <w:spacing w:val="20"/>
                <w:sz w:val="27"/>
                <w:szCs w:val="27"/>
              </w:rPr>
            </w:pPr>
            <w:r>
              <w:rPr>
                <w:spacing w:val="20"/>
                <w:sz w:val="27"/>
                <w:szCs w:val="27"/>
              </w:rPr>
              <w:t>(8/2013)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可生物降解廢物試驗處理設施發展研究</w:t>
            </w:r>
          </w:p>
          <w:p>
            <w:pPr>
              <w:pStyle w:val="Normal"/>
              <w:widowControl/>
              <w:snapToGrid w:val="false"/>
              <w:spacing w:lineRule="auto" w:line="240"/>
              <w:ind w:left="57" w:right="57" w:hanging="0"/>
              <w:rPr>
                <w:spacing w:val="20"/>
                <w:sz w:val="27"/>
                <w:szCs w:val="27"/>
              </w:rPr>
            </w:pPr>
            <w:r>
              <w:rPr>
                <w:spacing w:val="20"/>
                <w:sz w:val="27"/>
                <w:szCs w:val="27"/>
              </w:rPr>
              <w:t>Pilot Plant Development of Biodegradable Waste Treatment</w:t>
            </w:r>
          </w:p>
          <w:p>
            <w:pPr>
              <w:pStyle w:val="Normal"/>
              <w:widowControl/>
              <w:snapToGrid w:val="false"/>
              <w:spacing w:lineRule="auto" w:line="240"/>
              <w:ind w:left="57" w:right="57" w:hanging="0"/>
              <w:rPr>
                <w:spacing w:val="20"/>
                <w:sz w:val="27"/>
                <w:szCs w:val="27"/>
              </w:rPr>
            </w:pPr>
            <w:r>
              <w:rPr>
                <w:spacing w:val="20"/>
                <w:sz w:val="27"/>
                <w:szCs w:val="27"/>
              </w:rPr>
              <w:t xml:space="preserve">Facilities </w:t>
            </w:r>
            <w:r>
              <w:rPr>
                <w:sz w:val="27"/>
                <w:szCs w:val="27"/>
              </w:rPr>
              <w:t>―</w:t>
            </w:r>
            <w:r>
              <w:rPr>
                <w:spacing w:val="20"/>
                <w:sz w:val="27"/>
                <w:szCs w:val="27"/>
              </w:rPr>
              <w:t xml:space="preserve"> Investigation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(3/2011)</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到部門辦事處取閱</w:t>
            </w:r>
          </w:p>
          <w:p>
            <w:pPr>
              <w:pStyle w:val="Normal"/>
              <w:widowControl/>
              <w:snapToGrid w:val="false"/>
              <w:spacing w:lineRule="auto" w:line="240"/>
              <w:ind w:left="57" w:right="57" w:hanging="0"/>
              <w:rPr>
                <w:spacing w:val="20"/>
                <w:sz w:val="27"/>
                <w:szCs w:val="27"/>
              </w:rPr>
            </w:pPr>
            <w:r>
              <w:rPr>
                <w:spacing w:val="20"/>
                <w:sz w:val="27"/>
                <w:szCs w:val="27"/>
              </w:rPr>
              <w:t>In person at</w:t>
            </w:r>
          </w:p>
          <w:p>
            <w:pPr>
              <w:pStyle w:val="Normal"/>
              <w:widowControl/>
              <w:snapToGrid w:val="false"/>
              <w:spacing w:lineRule="auto" w:line="240"/>
              <w:ind w:left="57" w:right="57" w:hanging="0"/>
              <w:rPr>
                <w:spacing w:val="20"/>
                <w:sz w:val="27"/>
                <w:szCs w:val="27"/>
              </w:rPr>
            </w:pPr>
            <w:r>
              <w:rPr>
                <w:sz w:val="27"/>
                <w:szCs w:val="27"/>
              </w:rPr>
              <w:t>department's</w:t>
            </w:r>
            <w:r>
              <w:rPr>
                <w:spacing w:val="20"/>
                <w:sz w:val="27"/>
                <w:szCs w:val="27"/>
              </w:rPr>
              <w:t xml:space="preserve"> office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最終報告</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有機廢物源頭分類調查和收集安排研究</w:t>
            </w:r>
          </w:p>
          <w:p>
            <w:pPr>
              <w:pStyle w:val="Normal"/>
              <w:widowControl/>
              <w:snapToGrid w:val="false"/>
              <w:spacing w:lineRule="auto" w:line="240"/>
              <w:ind w:left="57" w:right="57" w:hanging="0"/>
              <w:rPr>
                <w:sz w:val="27"/>
                <w:szCs w:val="27"/>
              </w:rPr>
            </w:pPr>
            <w:r>
              <w:rPr>
                <w:sz w:val="27"/>
                <w:szCs w:val="27"/>
              </w:rPr>
              <w:t>Source-separated</w:t>
            </w:r>
          </w:p>
          <w:p>
            <w:pPr>
              <w:pStyle w:val="Normal"/>
              <w:widowControl/>
              <w:snapToGrid w:val="false"/>
              <w:spacing w:lineRule="auto" w:line="240"/>
              <w:ind w:left="57" w:right="57" w:hanging="0"/>
              <w:rPr>
                <w:spacing w:val="20"/>
                <w:sz w:val="27"/>
                <w:szCs w:val="27"/>
              </w:rPr>
            </w:pPr>
            <w:r>
              <w:rPr>
                <w:spacing w:val="20"/>
                <w:sz w:val="27"/>
                <w:szCs w:val="27"/>
              </w:rPr>
              <w:t>Organic Waste Surveys and Collection Arrangement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最終報告</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Final Report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沒有</w:t>
            </w:r>
          </w:p>
          <w:p>
            <w:pPr>
              <w:pStyle w:val="Normal"/>
              <w:widowControl/>
              <w:snapToGrid w:val="false"/>
              <w:spacing w:lineRule="auto" w:line="24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香港交通噪音對公眾健康影響的研究</w:t>
            </w:r>
          </w:p>
          <w:p>
            <w:pPr>
              <w:pStyle w:val="Normal"/>
              <w:widowControl/>
              <w:snapToGrid w:val="false"/>
              <w:spacing w:lineRule="auto" w:line="240"/>
              <w:ind w:left="57" w:right="57" w:hanging="0"/>
              <w:rPr>
                <w:spacing w:val="20"/>
                <w:sz w:val="27"/>
                <w:szCs w:val="27"/>
              </w:rPr>
            </w:pPr>
            <w:r>
              <w:rPr>
                <w:spacing w:val="20"/>
                <w:sz w:val="27"/>
                <w:szCs w:val="27"/>
              </w:rPr>
              <w:t>The Study of Health Effects of Transportation Noise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(1/2012)</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在住宅區進行交通管理計劃以減低道路交通噪音的可行性</w:t>
            </w:r>
          </w:p>
          <w:p>
            <w:pPr>
              <w:pStyle w:val="Normal"/>
              <w:widowControl/>
              <w:snapToGrid w:val="false"/>
              <w:spacing w:lineRule="auto" w:line="240"/>
              <w:ind w:left="57" w:right="57" w:hanging="0"/>
              <w:rPr>
                <w:spacing w:val="20"/>
                <w:sz w:val="27"/>
                <w:szCs w:val="27"/>
              </w:rPr>
            </w:pPr>
            <w:r>
              <w:rPr>
                <w:spacing w:val="20"/>
                <w:sz w:val="27"/>
                <w:szCs w:val="27"/>
              </w:rPr>
              <w:t>Practicability of Traffic Management Scheme in Residential Areas to Reduce Road Traffic Noise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研究某些路段可否加裝隔音屏障</w:t>
            </w:r>
          </w:p>
          <w:p>
            <w:pPr>
              <w:pStyle w:val="Normal"/>
              <w:widowControl/>
              <w:snapToGrid w:val="false"/>
              <w:spacing w:lineRule="auto" w:line="240"/>
              <w:ind w:left="57" w:right="57" w:hanging="0"/>
              <w:rPr>
                <w:spacing w:val="20"/>
                <w:sz w:val="27"/>
                <w:szCs w:val="27"/>
              </w:rPr>
            </w:pPr>
            <w:r>
              <w:rPr>
                <w:spacing w:val="20"/>
                <w:sz w:val="27"/>
                <w:szCs w:val="27"/>
              </w:rPr>
              <w:t>Review the eligibility of road sections for retrofitting barriers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總結</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Conclusions</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香港玻璃容器生產者責任計劃的研究</w:t>
            </w:r>
          </w:p>
          <w:p>
            <w:pPr>
              <w:pStyle w:val="Normal"/>
              <w:widowControl/>
              <w:snapToGrid w:val="false"/>
              <w:spacing w:lineRule="exact" w:line="380"/>
              <w:ind w:left="57" w:right="57" w:hanging="0"/>
              <w:rPr>
                <w:spacing w:val="20"/>
                <w:sz w:val="27"/>
                <w:szCs w:val="27"/>
              </w:rPr>
            </w:pPr>
            <w:r>
              <w:rPr>
                <w:spacing w:val="20"/>
                <w:sz w:val="27"/>
                <w:szCs w:val="27"/>
              </w:rPr>
              <w:t>A Study on</w:t>
            </w:r>
          </w:p>
          <w:p>
            <w:pPr>
              <w:pStyle w:val="Normal"/>
              <w:widowControl/>
              <w:snapToGrid w:val="false"/>
              <w:spacing w:lineRule="exact" w:line="380"/>
              <w:ind w:left="57" w:right="57" w:hanging="0"/>
              <w:rPr>
                <w:spacing w:val="20"/>
                <w:sz w:val="27"/>
                <w:szCs w:val="27"/>
              </w:rPr>
            </w:pPr>
            <w:r>
              <w:rPr>
                <w:spacing w:val="20"/>
                <w:sz w:val="27"/>
                <w:szCs w:val="27"/>
              </w:rPr>
              <w:t>Producer</w:t>
            </w:r>
          </w:p>
          <w:p>
            <w:pPr>
              <w:pStyle w:val="Normal"/>
              <w:widowControl/>
              <w:snapToGrid w:val="false"/>
              <w:spacing w:lineRule="exact" w:line="380"/>
              <w:ind w:left="57" w:right="57" w:hanging="0"/>
              <w:rPr>
                <w:spacing w:val="20"/>
                <w:sz w:val="27"/>
                <w:szCs w:val="27"/>
              </w:rPr>
            </w:pPr>
            <w:r>
              <w:rPr>
                <w:spacing w:val="20"/>
                <w:sz w:val="27"/>
                <w:szCs w:val="27"/>
              </w:rPr>
              <w:t>Responsibility Scheme for Glass Containers in Hong Kong</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(11/2011)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相關諮詢文件已考慮該研究的主要結果。諮詢文件在網頁列載或可供下載</w:t>
            </w:r>
          </w:p>
          <w:p>
            <w:pPr>
              <w:pStyle w:val="Normal"/>
              <w:widowControl/>
              <w:snapToGrid w:val="false"/>
              <w:spacing w:lineRule="auto" w:line="240"/>
              <w:ind w:left="57" w:right="57" w:hanging="0"/>
              <w:rPr>
                <w:spacing w:val="20"/>
                <w:sz w:val="27"/>
                <w:szCs w:val="27"/>
              </w:rPr>
            </w:pPr>
            <w:r>
              <w:rPr>
                <w:spacing w:val="20"/>
                <w:sz w:val="27"/>
                <w:szCs w:val="27"/>
              </w:rPr>
              <w:t>Relevant consultation document, which is available on website, has taken into account the major results of the study.</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諮詢文件全文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of</w:t>
            </w:r>
          </w:p>
          <w:p>
            <w:pPr>
              <w:pStyle w:val="Normal"/>
              <w:widowControl/>
              <w:snapToGrid w:val="false"/>
              <w:spacing w:lineRule="auto" w:line="240"/>
              <w:ind w:left="57" w:right="57" w:hanging="0"/>
              <w:rPr>
                <w:spacing w:val="20"/>
                <w:sz w:val="27"/>
                <w:szCs w:val="27"/>
              </w:rPr>
            </w:pPr>
            <w:r>
              <w:rPr>
                <w:spacing w:val="20"/>
                <w:sz w:val="27"/>
                <w:szCs w:val="27"/>
              </w:rPr>
              <w:t>Consultation Document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減少香港消費品過度包裝措施研究</w:t>
            </w:r>
          </w:p>
          <w:p>
            <w:pPr>
              <w:pStyle w:val="Normal"/>
              <w:widowControl/>
              <w:snapToGrid w:val="false"/>
              <w:spacing w:lineRule="exact" w:line="300"/>
              <w:ind w:left="57" w:right="57" w:hanging="0"/>
              <w:rPr>
                <w:spacing w:val="20"/>
                <w:sz w:val="27"/>
                <w:szCs w:val="27"/>
              </w:rPr>
            </w:pPr>
            <w:r>
              <w:rPr>
                <w:spacing w:val="20"/>
                <w:sz w:val="27"/>
                <w:szCs w:val="27"/>
              </w:rPr>
              <w:t>A Study on Measures to Reduce Excessive Packaging of Consumer Products in Hong Kong</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(11/2011)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我們正考慮研究結果，以制訂未來路向。</w:t>
            </w:r>
          </w:p>
          <w:p>
            <w:pPr>
              <w:pStyle w:val="Normal"/>
              <w:widowControl/>
              <w:snapToGrid w:val="false"/>
              <w:spacing w:lineRule="auto" w:line="240"/>
              <w:ind w:left="57" w:right="57" w:hanging="0"/>
              <w:rPr>
                <w:spacing w:val="20"/>
                <w:sz w:val="27"/>
                <w:szCs w:val="27"/>
              </w:rPr>
            </w:pPr>
            <w:r>
              <w:rPr>
                <w:spacing w:val="20"/>
                <w:sz w:val="27"/>
                <w:szCs w:val="27"/>
              </w:rPr>
              <w:t>We are considering the study results, with</w:t>
            </w:r>
          </w:p>
          <w:p>
            <w:pPr>
              <w:pStyle w:val="Normal"/>
              <w:widowControl/>
              <w:snapToGrid w:val="false"/>
              <w:spacing w:lineRule="auto" w:line="240"/>
              <w:ind w:left="57" w:right="57" w:hanging="0"/>
              <w:rPr>
                <w:spacing w:val="20"/>
                <w:sz w:val="27"/>
                <w:szCs w:val="27"/>
              </w:rPr>
            </w:pPr>
            <w:r>
              <w:rPr>
                <w:spacing w:val="20"/>
                <w:sz w:val="27"/>
                <w:szCs w:val="27"/>
              </w:rPr>
              <w:t>a view to formulating the way forward.</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進行強制性廢電器電子產品生產者責任計劃的營商環境影響研究</w:t>
            </w:r>
          </w:p>
          <w:p>
            <w:pPr>
              <w:pStyle w:val="Normal"/>
              <w:widowControl/>
              <w:snapToGrid w:val="false"/>
              <w:spacing w:lineRule="auto" w:line="240"/>
              <w:ind w:left="57" w:right="57" w:hanging="0"/>
              <w:rPr>
                <w:spacing w:val="20"/>
                <w:sz w:val="27"/>
                <w:szCs w:val="27"/>
              </w:rPr>
            </w:pPr>
            <w:r>
              <w:rPr>
                <w:spacing w:val="20"/>
                <w:sz w:val="27"/>
                <w:szCs w:val="27"/>
              </w:rPr>
              <w:t xml:space="preserve">To conduct a Business Impact Assessment (BIA) Study on Mandatory Producer Responsibility Scheme (PRS) for Waste Electrical and Electronic Equipment (WEEE)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我們已把研究結果納入未來的建議，並向立法會相關委員會匯報。立法會文件</w:t>
            </w:r>
          </w:p>
          <w:p>
            <w:pPr>
              <w:pStyle w:val="Normal"/>
              <w:widowControl/>
              <w:snapToGrid w:val="false"/>
              <w:spacing w:lineRule="auto" w:line="240"/>
              <w:ind w:left="57" w:right="57" w:hanging="0"/>
              <w:rPr>
                <w:spacing w:val="20"/>
                <w:sz w:val="27"/>
                <w:szCs w:val="27"/>
              </w:rPr>
            </w:pPr>
            <w:r>
              <w:rPr>
                <w:spacing w:val="20"/>
                <w:sz w:val="27"/>
                <w:szCs w:val="27"/>
              </w:rPr>
              <w:t>已在網頁列載或可供下載</w:t>
            </w:r>
          </w:p>
          <w:p>
            <w:pPr>
              <w:pStyle w:val="Normal"/>
              <w:widowControl/>
              <w:snapToGrid w:val="false"/>
              <w:spacing w:lineRule="auto" w:line="240"/>
              <w:ind w:left="57" w:right="57" w:hanging="0"/>
              <w:rPr>
                <w:spacing w:val="20"/>
                <w:sz w:val="27"/>
                <w:szCs w:val="27"/>
              </w:rPr>
            </w:pPr>
            <w:r>
              <w:rPr>
                <w:spacing w:val="20"/>
                <w:sz w:val="27"/>
                <w:szCs w:val="27"/>
              </w:rPr>
              <w:t xml:space="preserve">We have </w:t>
            </w:r>
            <w:r>
              <w:rPr>
                <w:sz w:val="27"/>
                <w:szCs w:val="27"/>
              </w:rPr>
              <w:t>incorporated</w:t>
            </w:r>
          </w:p>
          <w:p>
            <w:pPr>
              <w:pStyle w:val="Normal"/>
              <w:widowControl/>
              <w:snapToGrid w:val="false"/>
              <w:spacing w:lineRule="auto" w:line="240"/>
              <w:ind w:left="57" w:right="57" w:hanging="0"/>
              <w:rPr>
                <w:spacing w:val="20"/>
                <w:sz w:val="27"/>
                <w:szCs w:val="27"/>
              </w:rPr>
            </w:pPr>
            <w:r>
              <w:rPr>
                <w:spacing w:val="20"/>
                <w:sz w:val="27"/>
                <w:szCs w:val="27"/>
              </w:rPr>
              <w:t>the study results in formulating future proposals, and reported such proposals to the relevant Panel of the Legislative Council. The relevant LegislativeCouncil paper is available on</w:t>
            </w:r>
          </w:p>
          <w:p>
            <w:pPr>
              <w:pStyle w:val="Normal"/>
              <w:widowControl/>
              <w:snapToGrid w:val="false"/>
              <w:spacing w:lineRule="auto" w:line="240"/>
              <w:ind w:left="57" w:right="57" w:hanging="0"/>
              <w:rPr>
                <w:spacing w:val="20"/>
                <w:sz w:val="27"/>
                <w:szCs w:val="27"/>
              </w:rPr>
            </w:pPr>
            <w:r>
              <w:rPr>
                <w:spacing w:val="20"/>
                <w:sz w:val="27"/>
                <w:szCs w:val="27"/>
              </w:rPr>
              <w:t xml:space="preserve">website. </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立法會文件全文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of the Legislative Council Paper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發展香港工商業廢物收費可行方案的基線研究</w:t>
            </w:r>
          </w:p>
          <w:p>
            <w:pPr>
              <w:pStyle w:val="Normal"/>
              <w:widowControl/>
              <w:snapToGrid w:val="false"/>
              <w:spacing w:lineRule="auto" w:line="240"/>
              <w:ind w:left="57" w:right="57" w:hanging="0"/>
              <w:rPr>
                <w:spacing w:val="20"/>
                <w:sz w:val="27"/>
                <w:szCs w:val="27"/>
              </w:rPr>
            </w:pPr>
            <w:r>
              <w:rPr>
                <w:spacing w:val="20"/>
                <w:sz w:val="27"/>
                <w:szCs w:val="27"/>
              </w:rPr>
              <w:t>A Baseline Study for the Development of Practicable Options for Commercial and Industrial Waste Charging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諮詢文件已在網頁列載或可供下載，該文件已考慮該研究的主要結果</w:t>
            </w:r>
          </w:p>
          <w:p>
            <w:pPr>
              <w:pStyle w:val="Normal"/>
              <w:widowControl/>
              <w:snapToGrid w:val="false"/>
              <w:spacing w:lineRule="auto" w:line="240"/>
              <w:ind w:left="57" w:right="57" w:hanging="0"/>
              <w:rPr>
                <w:sz w:val="27"/>
                <w:szCs w:val="27"/>
              </w:rPr>
            </w:pPr>
            <w:r>
              <w:rPr>
                <w:sz w:val="27"/>
                <w:szCs w:val="27"/>
              </w:rPr>
              <w:t>Consultation</w:t>
            </w:r>
          </w:p>
          <w:p>
            <w:pPr>
              <w:pStyle w:val="Normal"/>
              <w:widowControl/>
              <w:snapToGrid w:val="false"/>
              <w:spacing w:lineRule="auto" w:line="240"/>
              <w:ind w:left="57" w:right="57" w:hanging="0"/>
              <w:rPr>
                <w:spacing w:val="20"/>
                <w:sz w:val="27"/>
                <w:szCs w:val="27"/>
              </w:rPr>
            </w:pPr>
            <w:r>
              <w:rPr>
                <w:spacing w:val="20"/>
                <w:sz w:val="27"/>
                <w:szCs w:val="27"/>
              </w:rPr>
              <w:t>document, which has taken into account the major results of the study, is 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諮詢文件全文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of</w:t>
            </w:r>
          </w:p>
          <w:p>
            <w:pPr>
              <w:pStyle w:val="Normal"/>
              <w:widowControl/>
              <w:snapToGrid w:val="false"/>
              <w:spacing w:lineRule="auto" w:line="240"/>
              <w:ind w:left="57" w:right="57" w:hanging="0"/>
              <w:rPr>
                <w:spacing w:val="20"/>
                <w:sz w:val="27"/>
                <w:szCs w:val="27"/>
              </w:rPr>
            </w:pPr>
            <w:r>
              <w:rPr>
                <w:spacing w:val="20"/>
                <w:sz w:val="27"/>
                <w:szCs w:val="27"/>
              </w:rPr>
              <w:t>Consultation</w:t>
            </w:r>
          </w:p>
          <w:p>
            <w:pPr>
              <w:pStyle w:val="Normal"/>
              <w:widowControl/>
              <w:snapToGrid w:val="false"/>
              <w:spacing w:lineRule="auto" w:line="240"/>
              <w:ind w:left="57" w:right="57" w:hanging="0"/>
              <w:rPr>
                <w:spacing w:val="20"/>
                <w:sz w:val="27"/>
                <w:szCs w:val="27"/>
              </w:rPr>
            </w:pPr>
            <w:r>
              <w:rPr>
                <w:spacing w:val="20"/>
                <w:sz w:val="27"/>
                <w:szCs w:val="27"/>
              </w:rPr>
              <w:t>Document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塑膠購物袋使用情況及食物包裝方法調查</w:t>
            </w:r>
          </w:p>
          <w:p>
            <w:pPr>
              <w:pStyle w:val="Normal"/>
              <w:widowControl/>
              <w:snapToGrid w:val="false"/>
              <w:spacing w:lineRule="auto" w:line="240"/>
              <w:ind w:left="57" w:right="57" w:hanging="0"/>
              <w:rPr>
                <w:spacing w:val="20"/>
                <w:sz w:val="27"/>
                <w:szCs w:val="27"/>
              </w:rPr>
            </w:pPr>
            <w:r>
              <w:rPr>
                <w:spacing w:val="20"/>
                <w:sz w:val="27"/>
                <w:szCs w:val="27"/>
              </w:rPr>
              <w:t>Survey on Plastic Shopping Bags and Food Packaging Practice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我們參考了研究的主要結果，制定相關條例草案，條例草案已在網頁列載或可供下載</w:t>
            </w:r>
          </w:p>
          <w:p>
            <w:pPr>
              <w:pStyle w:val="Normal"/>
              <w:widowControl/>
              <w:snapToGrid w:val="false"/>
              <w:spacing w:lineRule="auto" w:line="240"/>
              <w:ind w:left="57" w:right="57" w:hanging="0"/>
              <w:rPr>
                <w:spacing w:val="20"/>
                <w:sz w:val="27"/>
                <w:szCs w:val="27"/>
              </w:rPr>
            </w:pPr>
            <w:r>
              <w:rPr>
                <w:spacing w:val="20"/>
                <w:sz w:val="27"/>
                <w:szCs w:val="27"/>
              </w:rPr>
              <w:t>We have taken into</w:t>
            </w:r>
          </w:p>
          <w:p>
            <w:pPr>
              <w:pStyle w:val="Normal"/>
              <w:widowControl/>
              <w:snapToGrid w:val="false"/>
              <w:spacing w:lineRule="auto" w:line="240"/>
              <w:ind w:left="57" w:right="57" w:hanging="0"/>
              <w:rPr>
                <w:spacing w:val="20"/>
                <w:sz w:val="27"/>
                <w:szCs w:val="27"/>
              </w:rPr>
            </w:pPr>
            <w:r>
              <w:rPr>
                <w:spacing w:val="20"/>
                <w:sz w:val="27"/>
                <w:szCs w:val="27"/>
              </w:rPr>
              <w:t>account the major results of the study in drafting the relevant bill , which is 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條例草案</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Bill (Chinese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民政事務總署</w:t>
            </w:r>
          </w:p>
          <w:p>
            <w:pPr>
              <w:pStyle w:val="Normal"/>
              <w:widowControl/>
              <w:snapToGrid w:val="false"/>
              <w:spacing w:lineRule="auto" w:line="240"/>
              <w:ind w:left="57" w:right="57" w:hanging="0"/>
              <w:rPr>
                <w:spacing w:val="20"/>
                <w:sz w:val="27"/>
                <w:szCs w:val="27"/>
              </w:rPr>
            </w:pPr>
            <w:r>
              <w:rPr>
                <w:spacing w:val="20"/>
                <w:sz w:val="27"/>
                <w:szCs w:val="27"/>
              </w:rPr>
              <w:t>Home Affairs</w:t>
            </w:r>
          </w:p>
          <w:p>
            <w:pPr>
              <w:pStyle w:val="Normal"/>
              <w:widowControl/>
              <w:snapToGrid w:val="false"/>
              <w:spacing w:lineRule="auto" w:line="240"/>
              <w:ind w:left="57" w:right="57" w:hanging="0"/>
              <w:rPr>
                <w:spacing w:val="20"/>
                <w:sz w:val="27"/>
                <w:szCs w:val="27"/>
              </w:rPr>
            </w:pPr>
            <w:r>
              <w:rPr>
                <w:spacing w:val="20"/>
                <w:sz w:val="27"/>
                <w:szCs w:val="27"/>
              </w:rPr>
              <w:t>Department</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香港未來規管物業管理行業的顧問研究</w:t>
            </w:r>
          </w:p>
          <w:p>
            <w:pPr>
              <w:pStyle w:val="Normal"/>
              <w:widowControl/>
              <w:snapToGrid w:val="false"/>
              <w:spacing w:lineRule="auto" w:line="240"/>
              <w:ind w:left="57" w:right="57" w:hanging="0"/>
              <w:rPr>
                <w:spacing w:val="20"/>
                <w:sz w:val="27"/>
                <w:szCs w:val="27"/>
              </w:rPr>
            </w:pPr>
            <w:r>
              <w:rPr>
                <w:spacing w:val="20"/>
                <w:sz w:val="27"/>
                <w:szCs w:val="27"/>
              </w:rPr>
              <w:t>Consultancy Study to Recommend the Future Regulatory Model for the Hong Kong Property Management Industry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網頁列載及可供下載。公眾可在立法會網頁下載有關討論文件。</w:t>
            </w:r>
          </w:p>
          <w:p>
            <w:pPr>
              <w:pStyle w:val="Normal"/>
              <w:widowControl/>
              <w:snapToGrid w:val="false"/>
              <w:spacing w:lineRule="auto" w:line="240"/>
              <w:ind w:left="57" w:right="57" w:hanging="0"/>
              <w:rPr>
                <w:spacing w:val="20"/>
                <w:sz w:val="27"/>
                <w:szCs w:val="27"/>
              </w:rPr>
            </w:pPr>
            <w:r>
              <w:rPr>
                <w:spacing w:val="20"/>
                <w:sz w:val="27"/>
                <w:szCs w:val="27"/>
              </w:rPr>
              <w:t>Available on website and public could also access the relevant Legislative Council paper  through Legislative Council's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w:t>
            </w:r>
          </w:p>
          <w:p>
            <w:pPr>
              <w:pStyle w:val="Normal"/>
              <w:widowControl/>
              <w:snapToGrid w:val="false"/>
              <w:spacing w:lineRule="auto" w:line="240"/>
              <w:ind w:left="57" w:right="57" w:hanging="0"/>
              <w:rPr>
                <w:spacing w:val="20"/>
                <w:sz w:val="27"/>
                <w:szCs w:val="27"/>
              </w:rPr>
            </w:pPr>
            <w:r>
              <w:rPr>
                <w:spacing w:val="20"/>
                <w:sz w:val="27"/>
                <w:szCs w:val="27"/>
              </w:rPr>
              <w:t>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運輸及房屋局</w:t>
            </w:r>
          </w:p>
          <w:p>
            <w:pPr>
              <w:pStyle w:val="Normal"/>
              <w:widowControl/>
              <w:snapToGrid w:val="false"/>
              <w:spacing w:lineRule="auto" w:line="240"/>
              <w:ind w:left="57" w:right="57" w:hanging="0"/>
              <w:rPr>
                <w:spacing w:val="20"/>
                <w:sz w:val="27"/>
                <w:szCs w:val="27"/>
              </w:rPr>
            </w:pPr>
            <w:r>
              <w:rPr>
                <w:spacing w:val="20"/>
                <w:sz w:val="27"/>
                <w:szCs w:val="27"/>
              </w:rPr>
              <w:t>Transport and</w:t>
            </w:r>
          </w:p>
          <w:p>
            <w:pPr>
              <w:pStyle w:val="Normal"/>
              <w:widowControl/>
              <w:snapToGrid w:val="false"/>
              <w:spacing w:lineRule="auto" w:line="240"/>
              <w:ind w:left="57" w:right="57" w:hanging="0"/>
              <w:rPr>
                <w:spacing w:val="20"/>
                <w:sz w:val="27"/>
                <w:szCs w:val="27"/>
              </w:rPr>
            </w:pPr>
            <w:r>
              <w:rPr>
                <w:spacing w:val="20"/>
                <w:sz w:val="27"/>
                <w:szCs w:val="27"/>
              </w:rPr>
              <w:t>Housing Bureau</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專營巴士票價調整安排顧問研究</w:t>
            </w:r>
          </w:p>
          <w:p>
            <w:pPr>
              <w:pStyle w:val="Normal"/>
              <w:widowControl/>
              <w:snapToGrid w:val="false"/>
              <w:spacing w:lineRule="auto" w:line="240"/>
              <w:ind w:left="57" w:right="57" w:hanging="0"/>
              <w:rPr>
                <w:spacing w:val="20"/>
                <w:sz w:val="27"/>
                <w:szCs w:val="27"/>
              </w:rPr>
            </w:pPr>
            <w:r>
              <w:rPr>
                <w:spacing w:val="20"/>
                <w:sz w:val="27"/>
                <w:szCs w:val="27"/>
              </w:rPr>
              <w:t>(Consultancy Study on Review of Fare Adjustment Arrangement for Franchised Buses)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票價調整檢討結果已參考顧問研究建議，相關立法會參考</w:t>
            </w:r>
          </w:p>
          <w:p>
            <w:pPr>
              <w:pStyle w:val="Normal"/>
              <w:widowControl/>
              <w:snapToGrid w:val="false"/>
              <w:spacing w:lineRule="auto" w:line="240"/>
              <w:ind w:left="57" w:right="57" w:hanging="0"/>
              <w:rPr>
                <w:spacing w:val="20"/>
                <w:sz w:val="27"/>
                <w:szCs w:val="27"/>
              </w:rPr>
            </w:pPr>
            <w:r>
              <w:rPr>
                <w:spacing w:val="20"/>
                <w:sz w:val="27"/>
                <w:szCs w:val="27"/>
              </w:rPr>
              <w:t>資料摘要及政府新聞稿可在網頁下載。</w:t>
            </w:r>
          </w:p>
          <w:p>
            <w:pPr>
              <w:pStyle w:val="Normal"/>
              <w:widowControl/>
              <w:snapToGrid w:val="false"/>
              <w:spacing w:lineRule="auto" w:line="240"/>
              <w:ind w:left="57" w:right="57" w:hanging="0"/>
              <w:rPr>
                <w:spacing w:val="20"/>
                <w:sz w:val="27"/>
                <w:szCs w:val="27"/>
              </w:rPr>
            </w:pPr>
            <w:r>
              <w:rPr>
                <w:spacing w:val="20"/>
                <w:sz w:val="27"/>
                <w:szCs w:val="27"/>
              </w:rPr>
              <w:t xml:space="preserve">Results of review on fare adjustment has taken into account the </w:t>
            </w:r>
            <w:r>
              <w:rPr>
                <w:spacing w:val="4"/>
                <w:sz w:val="27"/>
                <w:szCs w:val="27"/>
              </w:rPr>
              <w:t>recommenda-t</w:t>
            </w:r>
            <w:r>
              <w:rPr>
                <w:sz w:val="27"/>
                <w:szCs w:val="27"/>
              </w:rPr>
              <w:t>ions</w:t>
            </w:r>
            <w:r>
              <w:rPr>
                <w:spacing w:val="-24"/>
                <w:sz w:val="27"/>
                <w:szCs w:val="27"/>
              </w:rPr>
              <w:t xml:space="preserve"> </w:t>
            </w:r>
            <w:r>
              <w:rPr>
                <w:spacing w:val="20"/>
                <w:sz w:val="27"/>
                <w:szCs w:val="27"/>
              </w:rPr>
              <w:t>of the consultancy study, relevant Legislative Council brief and Government press release are 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立法會參考資料摘要及政府新聞稿的全文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Legislative Council brief and Government press release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《合理使用過海隧道顧問研究》</w:t>
            </w:r>
          </w:p>
          <w:p>
            <w:pPr>
              <w:pStyle w:val="Normal"/>
              <w:widowControl/>
              <w:snapToGrid w:val="false"/>
              <w:spacing w:lineRule="auto" w:line="240"/>
              <w:ind w:left="57" w:right="57" w:hanging="0"/>
              <w:rPr>
                <w:spacing w:val="20"/>
                <w:sz w:val="27"/>
                <w:szCs w:val="27"/>
              </w:rPr>
            </w:pPr>
            <w:r>
              <w:rPr>
                <w:spacing w:val="20"/>
                <w:sz w:val="27"/>
                <w:szCs w:val="27"/>
              </w:rPr>
              <w:t>(Consultancy Study on Rationalizing the Utilisation of Road Harbour Crossings)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50"/>
              <w:ind w:left="57" w:right="57" w:hanging="0"/>
              <w:rPr>
                <w:spacing w:val="20"/>
                <w:sz w:val="27"/>
                <w:szCs w:val="27"/>
              </w:rPr>
            </w:pPr>
            <w:r>
              <w:rPr>
                <w:spacing w:val="20"/>
                <w:sz w:val="27"/>
                <w:szCs w:val="27"/>
              </w:rPr>
              <w:t>顧問研究報告已上載網頁。</w:t>
            </w:r>
          </w:p>
          <w:p>
            <w:pPr>
              <w:pStyle w:val="Normal"/>
              <w:widowControl/>
              <w:snapToGrid w:val="false"/>
              <w:spacing w:lineRule="exact" w:line="350"/>
              <w:ind w:left="57" w:right="57" w:hanging="0"/>
              <w:rPr>
                <w:spacing w:val="20"/>
                <w:sz w:val="27"/>
                <w:szCs w:val="27"/>
              </w:rPr>
            </w:pPr>
            <w:r>
              <w:rPr>
                <w:spacing w:val="20"/>
                <w:sz w:val="27"/>
                <w:szCs w:val="27"/>
              </w:rPr>
              <w:t>Consultancy Report</w:t>
            </w:r>
          </w:p>
          <w:p>
            <w:pPr>
              <w:pStyle w:val="Normal"/>
              <w:widowControl/>
              <w:snapToGrid w:val="false"/>
              <w:spacing w:lineRule="exact" w:line="350"/>
              <w:ind w:left="57" w:right="57" w:hanging="0"/>
              <w:rPr>
                <w:spacing w:val="20"/>
                <w:sz w:val="27"/>
                <w:szCs w:val="27"/>
              </w:rPr>
            </w:pPr>
            <w:r>
              <w:rPr>
                <w:spacing w:val="20"/>
                <w:sz w:val="27"/>
                <w:szCs w:val="27"/>
              </w:rPr>
              <w:t>is available on website.</w:t>
            </w:r>
          </w:p>
          <w:p>
            <w:pPr>
              <w:pStyle w:val="Normal"/>
              <w:widowControl/>
              <w:snapToGrid w:val="false"/>
              <w:spacing w:lineRule="exact" w:line="350"/>
              <w:ind w:left="57" w:right="57" w:hanging="0"/>
              <w:rPr>
                <w:spacing w:val="20"/>
                <w:sz w:val="27"/>
                <w:szCs w:val="27"/>
              </w:rPr>
            </w:pPr>
            <w:r>
              <w:rPr>
                <w:spacing w:val="20"/>
                <w:sz w:val="27"/>
                <w:szCs w:val="27"/>
              </w:rPr>
            </w:r>
          </w:p>
          <w:p>
            <w:pPr>
              <w:pStyle w:val="Normal"/>
              <w:widowControl/>
              <w:snapToGrid w:val="false"/>
              <w:spacing w:lineRule="exact" w:line="350"/>
              <w:ind w:left="57" w:right="57" w:hanging="0"/>
              <w:rPr>
                <w:spacing w:val="20"/>
                <w:sz w:val="27"/>
                <w:szCs w:val="27"/>
              </w:rPr>
            </w:pPr>
            <w:r>
              <w:rPr>
                <w:spacing w:val="20"/>
                <w:sz w:val="27"/>
                <w:szCs w:val="27"/>
              </w:rPr>
              <w:t>顧問研究報告的摘要亦載於相關的立法會文件和公眾諮詢文件，可在網頁下載。相關政府新聞稿亦已上載網頁。</w:t>
            </w:r>
          </w:p>
          <w:p>
            <w:pPr>
              <w:pStyle w:val="Normal"/>
              <w:widowControl/>
              <w:snapToGrid w:val="false"/>
              <w:spacing w:lineRule="exact" w:line="330"/>
              <w:ind w:left="57" w:right="57" w:hanging="0"/>
              <w:rPr>
                <w:spacing w:val="20"/>
                <w:sz w:val="27"/>
                <w:szCs w:val="27"/>
              </w:rPr>
            </w:pPr>
            <w:r>
              <w:rPr>
                <w:spacing w:val="20"/>
                <w:sz w:val="27"/>
                <w:szCs w:val="27"/>
              </w:rPr>
              <w:t>Executive Summary of the Consultancy Report is also included in the relevant Legislative Council paper and public consultation</w:t>
            </w:r>
          </w:p>
          <w:p>
            <w:pPr>
              <w:pStyle w:val="Normal"/>
              <w:widowControl/>
              <w:snapToGrid w:val="false"/>
              <w:spacing w:lineRule="exact" w:line="330"/>
              <w:ind w:left="57" w:right="57" w:hanging="0"/>
              <w:rPr>
                <w:spacing w:val="20"/>
                <w:sz w:val="27"/>
                <w:szCs w:val="27"/>
              </w:rPr>
            </w:pPr>
            <w:r>
              <w:rPr>
                <w:spacing w:val="20"/>
                <w:sz w:val="27"/>
                <w:szCs w:val="27"/>
              </w:rPr>
              <w:t>document available on website. Relevant press release is also 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粵港澳基礎設施建設合作專項規劃研究</w:t>
            </w:r>
          </w:p>
          <w:p>
            <w:pPr>
              <w:pStyle w:val="Normal"/>
              <w:widowControl/>
              <w:snapToGrid w:val="false"/>
              <w:spacing w:lineRule="auto" w:line="240"/>
              <w:ind w:left="57" w:right="57" w:hanging="0"/>
              <w:rPr>
                <w:spacing w:val="20"/>
                <w:sz w:val="27"/>
                <w:szCs w:val="27"/>
              </w:rPr>
            </w:pPr>
            <w:r>
              <w:rPr>
                <w:spacing w:val="20"/>
                <w:sz w:val="27"/>
                <w:szCs w:val="27"/>
              </w:rPr>
              <w:t>(Study on Regional Co-operation Plan on Infrastructure Construction)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專項規劃的文本</w:t>
            </w:r>
            <w:r>
              <w:rPr>
                <w:spacing w:val="20"/>
                <w:sz w:val="27"/>
                <w:szCs w:val="27"/>
              </w:rPr>
              <w:t>(</w:t>
            </w:r>
            <w:r>
              <w:rPr>
                <w:spacing w:val="20"/>
                <w:sz w:val="27"/>
                <w:szCs w:val="27"/>
              </w:rPr>
              <w:t>中</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Text of topical plan (Chinese)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香港鐵路有限公司</w:t>
            </w:r>
            <w:r>
              <w:rPr>
                <w:spacing w:val="20"/>
                <w:sz w:val="27"/>
                <w:szCs w:val="27"/>
              </w:rPr>
              <w:t>(</w:t>
            </w:r>
            <w:r>
              <w:rPr>
                <w:spacing w:val="20"/>
                <w:sz w:val="27"/>
                <w:szCs w:val="27"/>
              </w:rPr>
              <w:t>港鐵公司</w:t>
            </w:r>
            <w:r>
              <w:rPr>
                <w:spacing w:val="20"/>
                <w:sz w:val="27"/>
                <w:szCs w:val="27"/>
              </w:rPr>
              <w:t>)</w:t>
            </w:r>
            <w:r>
              <w:rPr>
                <w:spacing w:val="20"/>
                <w:sz w:val="27"/>
                <w:szCs w:val="27"/>
              </w:rPr>
              <w:t>票價調整機制顧問研究</w:t>
            </w:r>
          </w:p>
          <w:p>
            <w:pPr>
              <w:pStyle w:val="Normal"/>
              <w:widowControl/>
              <w:snapToGrid w:val="false"/>
              <w:spacing w:lineRule="exact" w:line="300"/>
              <w:ind w:left="57" w:right="57" w:hanging="0"/>
              <w:rPr>
                <w:spacing w:val="20"/>
                <w:sz w:val="27"/>
                <w:szCs w:val="27"/>
              </w:rPr>
            </w:pPr>
            <w:r>
              <w:rPr>
                <w:spacing w:val="20"/>
                <w:sz w:val="27"/>
                <w:szCs w:val="27"/>
              </w:rPr>
              <w:t>(Review of Fare Adjustment Mechanism of MTR Corporation Limited)</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(3/2013)</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票價調整檢討結果已參考顧問研究建議，相關立法會參考資料摘要及政府新聞稿可在網頁下載。</w:t>
            </w:r>
          </w:p>
          <w:p>
            <w:pPr>
              <w:pStyle w:val="Normal"/>
              <w:widowControl/>
              <w:snapToGrid w:val="false"/>
              <w:spacing w:lineRule="auto" w:line="240"/>
              <w:ind w:left="57" w:right="57" w:hanging="0"/>
              <w:rPr>
                <w:spacing w:val="20"/>
                <w:sz w:val="27"/>
                <w:szCs w:val="27"/>
              </w:rPr>
            </w:pPr>
            <w:r>
              <w:rPr>
                <w:spacing w:val="20"/>
                <w:sz w:val="27"/>
                <w:szCs w:val="27"/>
              </w:rPr>
              <w:t xml:space="preserve">Results of review on fare adjustment has taken into account the </w:t>
            </w:r>
            <w:r>
              <w:rPr>
                <w:spacing w:val="6"/>
                <w:sz w:val="27"/>
                <w:szCs w:val="27"/>
              </w:rPr>
              <w:t>recommenda-t</w:t>
            </w:r>
            <w:r>
              <w:rPr>
                <w:sz w:val="27"/>
                <w:szCs w:val="27"/>
              </w:rPr>
              <w:t xml:space="preserve">ions </w:t>
            </w:r>
            <w:r>
              <w:rPr>
                <w:spacing w:val="20"/>
                <w:sz w:val="27"/>
                <w:szCs w:val="27"/>
              </w:rPr>
              <w:t>of the consultancy study, relevant Legislative Council brief and Government press release are 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立法會參考資料摘要及政府新聞稿</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Legislative Council brief and Government press release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就檢討港鐵公司票價調整機制委任財務顧問</w:t>
            </w:r>
          </w:p>
          <w:p>
            <w:pPr>
              <w:pStyle w:val="Normal"/>
              <w:widowControl/>
              <w:snapToGrid w:val="false"/>
              <w:spacing w:lineRule="auto" w:line="240"/>
              <w:ind w:left="57" w:right="57" w:hanging="0"/>
              <w:rPr>
                <w:spacing w:val="20"/>
                <w:sz w:val="27"/>
                <w:szCs w:val="27"/>
              </w:rPr>
            </w:pPr>
            <w:r>
              <w:rPr>
                <w:spacing w:val="20"/>
                <w:sz w:val="27"/>
                <w:szCs w:val="27"/>
              </w:rPr>
              <w:t>(Appointment of Financial Consultant for the Review of</w:t>
            </w:r>
          </w:p>
          <w:p>
            <w:pPr>
              <w:pStyle w:val="Normal"/>
              <w:widowControl/>
              <w:snapToGrid w:val="false"/>
              <w:spacing w:lineRule="auto" w:line="240"/>
              <w:ind w:left="57" w:right="57" w:hanging="0"/>
              <w:rPr>
                <w:spacing w:val="20"/>
                <w:sz w:val="27"/>
                <w:szCs w:val="27"/>
              </w:rPr>
            </w:pPr>
            <w:r>
              <w:rPr>
                <w:spacing w:val="20"/>
                <w:sz w:val="27"/>
                <w:szCs w:val="27"/>
              </w:rPr>
              <w:t>Fare Adjustment Mechanism of MTR Corporation Limited)</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(4/2013)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立法會參考資料摘要及政府新聞稿的全文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Legislative Council brief and Government press release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就低價私人住宅市場供應的顧問研究</w:t>
            </w:r>
          </w:p>
          <w:p>
            <w:pPr>
              <w:pStyle w:val="Normal"/>
              <w:widowControl/>
              <w:snapToGrid w:val="false"/>
              <w:spacing w:lineRule="auto" w:line="240"/>
              <w:ind w:left="57" w:right="57" w:hanging="0"/>
              <w:rPr>
                <w:spacing w:val="20"/>
                <w:sz w:val="27"/>
                <w:szCs w:val="27"/>
              </w:rPr>
            </w:pPr>
            <w:r>
              <w:rPr>
                <w:spacing w:val="20"/>
                <w:sz w:val="27"/>
                <w:szCs w:val="27"/>
              </w:rPr>
              <w:t>Consultancy for Study on Availability of Flat Supply in the Low-end private Residential Market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我們沒有發布顧問報告。我們在監察私人住宅市場的情況時，有參考顧問研究的建議。</w:t>
            </w:r>
          </w:p>
          <w:p>
            <w:pPr>
              <w:pStyle w:val="Normal"/>
              <w:widowControl/>
              <w:snapToGrid w:val="false"/>
              <w:spacing w:lineRule="auto" w:line="240"/>
              <w:ind w:left="57" w:right="57" w:hanging="0"/>
              <w:rPr>
                <w:spacing w:val="20"/>
                <w:sz w:val="27"/>
                <w:szCs w:val="27"/>
              </w:rPr>
            </w:pPr>
            <w:r>
              <w:rPr>
                <w:spacing w:val="20"/>
                <w:sz w:val="27"/>
                <w:szCs w:val="27"/>
              </w:rPr>
              <w:t xml:space="preserve">We have not released the </w:t>
            </w:r>
          </w:p>
          <w:p>
            <w:pPr>
              <w:pStyle w:val="Normal"/>
              <w:widowControl/>
              <w:snapToGrid w:val="false"/>
              <w:spacing w:lineRule="auto" w:line="240"/>
              <w:ind w:left="57" w:right="57" w:hanging="0"/>
              <w:rPr>
                <w:spacing w:val="20"/>
                <w:sz w:val="27"/>
                <w:szCs w:val="27"/>
              </w:rPr>
            </w:pPr>
            <w:r>
              <w:rPr>
                <w:spacing w:val="20"/>
                <w:sz w:val="27"/>
                <w:szCs w:val="27"/>
              </w:rPr>
              <w:t xml:space="preserve">consultancy report. In monitoring the private property market, we have made reference to the </w:t>
            </w:r>
            <w:r>
              <w:rPr>
                <w:spacing w:val="6"/>
                <w:sz w:val="27"/>
                <w:szCs w:val="27"/>
              </w:rPr>
              <w:t>recommenda-</w:t>
            </w:r>
            <w:r>
              <w:rPr>
                <w:sz w:val="27"/>
                <w:szCs w:val="27"/>
              </w:rPr>
              <w:t xml:space="preserve">tions </w:t>
            </w:r>
            <w:r>
              <w:rPr>
                <w:spacing w:val="20"/>
                <w:sz w:val="27"/>
                <w:szCs w:val="27"/>
              </w:rPr>
              <w:t>of the consultancy study.</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海外規管一手私人住宅物業銷售的情況</w:t>
            </w:r>
          </w:p>
          <w:p>
            <w:pPr>
              <w:pStyle w:val="Normal"/>
              <w:widowControl/>
              <w:snapToGrid w:val="false"/>
              <w:spacing w:lineRule="auto" w:line="240"/>
              <w:ind w:left="57" w:right="57" w:hanging="0"/>
              <w:rPr>
                <w:spacing w:val="20"/>
                <w:sz w:val="27"/>
                <w:szCs w:val="27"/>
              </w:rPr>
            </w:pPr>
            <w:r>
              <w:rPr>
                <w:spacing w:val="20"/>
                <w:sz w:val="27"/>
                <w:szCs w:val="27"/>
              </w:rPr>
              <w:t>Overseas practice in regulating the sales of first-hand private residential properties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就有關規管建議法例時，已參考</w:t>
            </w:r>
          </w:p>
          <w:p>
            <w:pPr>
              <w:pStyle w:val="Normal"/>
              <w:widowControl/>
              <w:snapToGrid w:val="false"/>
              <w:spacing w:lineRule="auto" w:line="240"/>
              <w:ind w:left="57" w:right="57" w:hanging="0"/>
              <w:rPr>
                <w:spacing w:val="20"/>
                <w:sz w:val="27"/>
                <w:szCs w:val="27"/>
              </w:rPr>
            </w:pPr>
            <w:r>
              <w:rPr>
                <w:spacing w:val="20"/>
                <w:sz w:val="27"/>
                <w:szCs w:val="27"/>
              </w:rPr>
              <w:t>該顧問研究報告。</w:t>
            </w:r>
          </w:p>
          <w:p>
            <w:pPr>
              <w:pStyle w:val="Normal"/>
              <w:widowControl/>
              <w:snapToGrid w:val="false"/>
              <w:spacing w:lineRule="auto" w:line="240"/>
              <w:ind w:left="57" w:right="57" w:hanging="0"/>
              <w:rPr>
                <w:spacing w:val="20"/>
                <w:sz w:val="27"/>
                <w:szCs w:val="27"/>
              </w:rPr>
            </w:pPr>
            <w:r>
              <w:rPr>
                <w:spacing w:val="20"/>
                <w:sz w:val="27"/>
                <w:szCs w:val="27"/>
              </w:rPr>
              <w:t>In proposing legislation to regulate the matter, we have made reference to the consultancy report.</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私人住宅買家調查</w:t>
            </w:r>
          </w:p>
          <w:p>
            <w:pPr>
              <w:pStyle w:val="Normal"/>
              <w:widowControl/>
              <w:snapToGrid w:val="false"/>
              <w:spacing w:lineRule="auto" w:line="240"/>
              <w:ind w:left="57" w:right="57" w:hanging="0"/>
              <w:rPr>
                <w:spacing w:val="20"/>
                <w:sz w:val="27"/>
                <w:szCs w:val="27"/>
              </w:rPr>
            </w:pPr>
            <w:r>
              <w:rPr>
                <w:spacing w:val="20"/>
                <w:sz w:val="27"/>
                <w:szCs w:val="27"/>
              </w:rPr>
              <w:t xml:space="preserve">Survey on Buyers of Private Domestic Flats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lang w:val="en-US"/>
              </w:rPr>
            </w:pPr>
            <w:r>
              <w:rPr>
                <w:spacing w:val="20"/>
                <w:sz w:val="27"/>
                <w:szCs w:val="27"/>
              </w:rPr>
              <w:t xml:space="preserve">(11/2009 </w:t>
            </w:r>
            <w:r>
              <w:rPr>
                <w:spacing w:val="20"/>
                <w:sz w:val="27"/>
                <w:szCs w:val="27"/>
                <w:lang w:val="en-US"/>
              </w:rPr>
              <w:t>and</w:t>
            </w:r>
          </w:p>
          <w:p>
            <w:pPr>
              <w:pStyle w:val="Normal"/>
              <w:widowControl/>
              <w:snapToGrid w:val="false"/>
              <w:spacing w:lineRule="auto" w:line="240"/>
              <w:ind w:left="57" w:right="57" w:hanging="0"/>
              <w:rPr>
                <w:spacing w:val="20"/>
                <w:sz w:val="27"/>
                <w:szCs w:val="27"/>
              </w:rPr>
            </w:pPr>
            <w:r>
              <w:rPr>
                <w:spacing w:val="20"/>
                <w:sz w:val="27"/>
                <w:szCs w:val="27"/>
              </w:rPr>
              <w:t>5/2013)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我們在分析私人房屋市場數據時，有參考</w:t>
            </w:r>
            <w:r>
              <w:rPr>
                <w:spacing w:val="20"/>
                <w:sz w:val="27"/>
                <w:szCs w:val="27"/>
              </w:rPr>
              <w:t>2009</w:t>
            </w:r>
            <w:r>
              <w:rPr>
                <w:spacing w:val="20"/>
                <w:sz w:val="27"/>
                <w:szCs w:val="27"/>
              </w:rPr>
              <w:t>年調查結果；諮詢文件有參考</w:t>
            </w:r>
            <w:r>
              <w:rPr>
                <w:spacing w:val="20"/>
                <w:sz w:val="27"/>
                <w:szCs w:val="27"/>
              </w:rPr>
              <w:t>2013</w:t>
            </w:r>
            <w:r>
              <w:rPr>
                <w:spacing w:val="20"/>
                <w:sz w:val="27"/>
                <w:szCs w:val="27"/>
              </w:rPr>
              <w:t>年的調查結果。</w:t>
            </w:r>
          </w:p>
          <w:p>
            <w:pPr>
              <w:pStyle w:val="Normal"/>
              <w:widowControl/>
              <w:snapToGrid w:val="false"/>
              <w:spacing w:lineRule="auto" w:line="240"/>
              <w:ind w:left="57" w:right="57" w:hanging="0"/>
              <w:rPr>
                <w:spacing w:val="20"/>
                <w:sz w:val="27"/>
                <w:szCs w:val="27"/>
              </w:rPr>
            </w:pPr>
            <w:r>
              <w:rPr>
                <w:spacing w:val="20"/>
                <w:sz w:val="27"/>
                <w:szCs w:val="27"/>
              </w:rPr>
              <w:t>In analysing data of private property market, we have made reference to the results of the 2009 survey; the consultation</w:t>
            </w:r>
          </w:p>
          <w:p>
            <w:pPr>
              <w:pStyle w:val="Normal"/>
              <w:widowControl/>
              <w:snapToGrid w:val="false"/>
              <w:spacing w:lineRule="auto" w:line="240"/>
              <w:ind w:left="57" w:right="57" w:hanging="0"/>
              <w:rPr>
                <w:spacing w:val="20"/>
                <w:sz w:val="27"/>
                <w:szCs w:val="27"/>
              </w:rPr>
            </w:pPr>
            <w:r>
              <w:rPr>
                <w:spacing w:val="20"/>
                <w:sz w:val="27"/>
                <w:szCs w:val="27"/>
              </w:rPr>
              <w:t>document has made reference to the results of the 2013 survey.</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發展局</w:t>
            </w:r>
          </w:p>
          <w:p>
            <w:pPr>
              <w:pStyle w:val="Normal"/>
              <w:widowControl/>
              <w:snapToGrid w:val="false"/>
              <w:spacing w:lineRule="auto" w:line="240"/>
              <w:ind w:left="57" w:right="57" w:hanging="0"/>
              <w:rPr>
                <w:spacing w:val="20"/>
                <w:sz w:val="27"/>
                <w:szCs w:val="27"/>
              </w:rPr>
            </w:pPr>
            <w:r>
              <w:rPr>
                <w:spacing w:val="20"/>
                <w:sz w:val="27"/>
                <w:szCs w:val="27"/>
              </w:rPr>
              <w:t>Development Bureau</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調查青少年對文物保育的期望</w:t>
            </w:r>
          </w:p>
          <w:p>
            <w:pPr>
              <w:pStyle w:val="Normal"/>
              <w:widowControl/>
              <w:snapToGrid w:val="false"/>
              <w:spacing w:lineRule="auto" w:line="240"/>
              <w:ind w:left="57" w:right="57" w:hanging="0"/>
              <w:rPr>
                <w:spacing w:val="20"/>
                <w:sz w:val="27"/>
                <w:szCs w:val="27"/>
              </w:rPr>
            </w:pPr>
            <w:r>
              <w:rPr>
                <w:spacing w:val="20"/>
                <w:sz w:val="27"/>
                <w:szCs w:val="27"/>
              </w:rPr>
              <w:t>Youth's Aspiration Towards Heritage Conservation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由於研究主要供政府在制訂相關政策時作內部參考之用，故報告並未公開。</w:t>
            </w:r>
          </w:p>
          <w:p>
            <w:pPr>
              <w:pStyle w:val="Normal"/>
              <w:widowControl/>
              <w:snapToGrid w:val="false"/>
              <w:spacing w:lineRule="auto" w:line="240"/>
              <w:ind w:left="57" w:right="57" w:hanging="0"/>
              <w:rPr>
                <w:spacing w:val="20"/>
                <w:sz w:val="27"/>
                <w:szCs w:val="27"/>
              </w:rPr>
            </w:pPr>
            <w:r>
              <w:rPr>
                <w:spacing w:val="20"/>
                <w:sz w:val="27"/>
                <w:szCs w:val="27"/>
              </w:rPr>
              <w:t xml:space="preserve">The report has not been disclosed because the study is mainly for </w:t>
            </w:r>
            <w:r>
              <w:rPr>
                <w:sz w:val="27"/>
                <w:szCs w:val="27"/>
              </w:rPr>
              <w:t>Government's i</w:t>
            </w:r>
            <w:r>
              <w:rPr>
                <w:spacing w:val="20"/>
                <w:sz w:val="27"/>
                <w:szCs w:val="27"/>
              </w:rPr>
              <w:t>nternal reference for formulating the relevant policy.</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活化再用香港歷史建築的樓宇管制基準研究</w:t>
            </w:r>
          </w:p>
          <w:p>
            <w:pPr>
              <w:pStyle w:val="Normal"/>
              <w:widowControl/>
              <w:snapToGrid w:val="false"/>
              <w:spacing w:lineRule="auto" w:line="240"/>
              <w:ind w:left="57" w:right="57" w:hanging="0"/>
              <w:rPr>
                <w:spacing w:val="20"/>
                <w:sz w:val="27"/>
                <w:szCs w:val="27"/>
              </w:rPr>
            </w:pPr>
            <w:r>
              <w:rPr>
                <w:spacing w:val="20"/>
                <w:sz w:val="27"/>
                <w:szCs w:val="27"/>
              </w:rPr>
              <w:t xml:space="preserve">Benchmark Study on Building Controls to Facilitate Adaptive Re-use of Historic Buildings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(3/2009)</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研究報告內容已透過香港建築師學會期刊、網站及建築業界工作坊與有關的專業人士分享</w:t>
            </w:r>
          </w:p>
          <w:p>
            <w:pPr>
              <w:pStyle w:val="Normal"/>
              <w:widowControl/>
              <w:snapToGrid w:val="false"/>
              <w:spacing w:lineRule="auto" w:line="240"/>
              <w:ind w:left="57" w:right="57" w:hanging="0"/>
              <w:rPr>
                <w:spacing w:val="20"/>
                <w:sz w:val="27"/>
                <w:szCs w:val="27"/>
              </w:rPr>
            </w:pPr>
            <w:r>
              <w:rPr>
                <w:spacing w:val="20"/>
                <w:sz w:val="27"/>
                <w:szCs w:val="27"/>
              </w:rPr>
              <w:t xml:space="preserve">The content of the study report has been shared with the relevant </w:t>
            </w:r>
            <w:r>
              <w:rPr>
                <w:sz w:val="27"/>
                <w:szCs w:val="27"/>
              </w:rPr>
              <w:t xml:space="preserve">professionals </w:t>
            </w:r>
            <w:r>
              <w:rPr>
                <w:spacing w:val="20"/>
                <w:sz w:val="27"/>
                <w:szCs w:val="27"/>
              </w:rPr>
              <w:t xml:space="preserve">through the regular publication of the Hong Kong Institute of Architects, its website and workshops of the </w:t>
            </w:r>
            <w:r>
              <w:rPr>
                <w:sz w:val="27"/>
                <w:szCs w:val="27"/>
              </w:rPr>
              <w:t xml:space="preserve">architectural </w:t>
            </w:r>
            <w:r>
              <w:rPr>
                <w:spacing w:val="20"/>
                <w:sz w:val="27"/>
                <w:szCs w:val="27"/>
              </w:rPr>
              <w:t>sector.</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九龍城區暨啟德地區的歷史與社會研究</w:t>
            </w:r>
          </w:p>
          <w:p>
            <w:pPr>
              <w:pStyle w:val="Normal"/>
              <w:widowControl/>
              <w:snapToGrid w:val="false"/>
              <w:spacing w:lineRule="auto" w:line="240"/>
              <w:ind w:left="57" w:right="57" w:hanging="0"/>
              <w:rPr>
                <w:spacing w:val="20"/>
                <w:sz w:val="27"/>
                <w:szCs w:val="27"/>
              </w:rPr>
            </w:pPr>
            <w:r>
              <w:rPr>
                <w:spacing w:val="20"/>
                <w:sz w:val="27"/>
                <w:szCs w:val="27"/>
              </w:rPr>
              <w:t>Historical cum Social Study on Kowloon City District in Connection with Kai Tak Area</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p>
          <w:p>
            <w:pPr>
              <w:pStyle w:val="Normal"/>
              <w:widowControl/>
              <w:snapToGrid w:val="false"/>
              <w:spacing w:lineRule="auto" w:line="240"/>
              <w:ind w:left="57" w:right="57" w:hanging="0"/>
              <w:rPr>
                <w:spacing w:val="20"/>
                <w:sz w:val="27"/>
                <w:szCs w:val="27"/>
              </w:rPr>
            </w:pP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全文及摘要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and Executive Summary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前馬頭角牲畜檢疫站</w:t>
            </w:r>
            <w:r>
              <w:rPr>
                <w:spacing w:val="20"/>
                <w:sz w:val="27"/>
                <w:szCs w:val="27"/>
              </w:rPr>
              <w:t>(</w:t>
            </w:r>
            <w:r>
              <w:rPr>
                <w:spacing w:val="20"/>
                <w:sz w:val="27"/>
                <w:szCs w:val="27"/>
              </w:rPr>
              <w:t>牛棚</w:t>
            </w:r>
            <w:r>
              <w:rPr>
                <w:spacing w:val="20"/>
                <w:sz w:val="27"/>
                <w:szCs w:val="27"/>
              </w:rPr>
              <w:t>)</w:t>
            </w:r>
            <w:r>
              <w:rPr>
                <w:spacing w:val="20"/>
                <w:sz w:val="27"/>
                <w:szCs w:val="27"/>
              </w:rPr>
              <w:t>作為藝術村的未來發展研究</w:t>
            </w:r>
          </w:p>
          <w:p>
            <w:pPr>
              <w:pStyle w:val="Normal"/>
              <w:widowControl/>
              <w:snapToGrid w:val="false"/>
              <w:spacing w:lineRule="auto" w:line="240"/>
              <w:ind w:left="57" w:right="57" w:hanging="0"/>
              <w:rPr>
                <w:spacing w:val="20"/>
                <w:sz w:val="27"/>
                <w:szCs w:val="27"/>
              </w:rPr>
            </w:pPr>
            <w:r>
              <w:rPr>
                <w:spacing w:val="20"/>
                <w:sz w:val="27"/>
                <w:szCs w:val="27"/>
              </w:rPr>
              <w:t>Research on Future Development of Artist Village in Cattle Depot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全文及摘要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and Executive Summary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私人發展公眾休憩空間”顧問研究報告</w:t>
            </w:r>
          </w:p>
          <w:p>
            <w:pPr>
              <w:pStyle w:val="Normal"/>
              <w:widowControl/>
              <w:snapToGrid w:val="false"/>
              <w:spacing w:lineRule="auto" w:line="240"/>
              <w:ind w:left="57" w:right="57" w:hanging="0"/>
              <w:rPr>
                <w:spacing w:val="20"/>
                <w:sz w:val="27"/>
                <w:szCs w:val="27"/>
              </w:rPr>
            </w:pPr>
            <w:r>
              <w:rPr>
                <w:spacing w:val="20"/>
                <w:sz w:val="27"/>
                <w:szCs w:val="27"/>
              </w:rPr>
              <w:t>(Report on</w:t>
            </w:r>
          </w:p>
          <w:p>
            <w:pPr>
              <w:pStyle w:val="Normal"/>
              <w:widowControl/>
              <w:snapToGrid w:val="false"/>
              <w:spacing w:lineRule="auto" w:line="240"/>
              <w:ind w:left="57" w:right="57" w:hanging="0"/>
              <w:rPr>
                <w:spacing w:val="20"/>
                <w:sz w:val="27"/>
                <w:szCs w:val="27"/>
              </w:rPr>
            </w:pPr>
            <w:r>
              <w:rPr>
                <w:spacing w:val="20"/>
                <w:sz w:val="27"/>
                <w:szCs w:val="27"/>
              </w:rPr>
              <w:t>consultancy study on public open space in private developments)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網頁列載或可供下載，有關顧問研究報告亦已提交立法會。</w:t>
            </w:r>
          </w:p>
          <w:p>
            <w:pPr>
              <w:pStyle w:val="Normal"/>
              <w:widowControl/>
              <w:snapToGrid w:val="false"/>
              <w:spacing w:lineRule="auto" w:line="240"/>
              <w:ind w:left="57" w:right="57" w:hanging="0"/>
              <w:rPr>
                <w:spacing w:val="20"/>
                <w:sz w:val="27"/>
                <w:szCs w:val="27"/>
              </w:rPr>
            </w:pPr>
            <w:r>
              <w:rPr>
                <w:spacing w:val="20"/>
                <w:sz w:val="27"/>
                <w:szCs w:val="27"/>
              </w:rPr>
              <w:t>Available on website, relevant consultancy report has also been submitted to</w:t>
            </w:r>
          </w:p>
          <w:p>
            <w:pPr>
              <w:pStyle w:val="Normal"/>
              <w:widowControl/>
              <w:snapToGrid w:val="false"/>
              <w:spacing w:lineRule="auto" w:line="240"/>
              <w:ind w:left="57" w:right="57" w:hanging="0"/>
              <w:rPr>
                <w:spacing w:val="20"/>
                <w:sz w:val="27"/>
                <w:szCs w:val="27"/>
              </w:rPr>
            </w:pPr>
            <w:r>
              <w:rPr>
                <w:spacing w:val="20"/>
                <w:sz w:val="27"/>
                <w:szCs w:val="27"/>
              </w:rPr>
              <w:t>LegislativeCouncil.</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of Consultancy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發展中環新海濱四號用地的業務可行性研究</w:t>
            </w:r>
          </w:p>
          <w:p>
            <w:pPr>
              <w:pStyle w:val="Normal"/>
              <w:widowControl/>
              <w:snapToGrid w:val="false"/>
              <w:spacing w:lineRule="exact" w:line="280"/>
              <w:ind w:left="57" w:right="57" w:hanging="0"/>
              <w:rPr>
                <w:spacing w:val="20"/>
                <w:sz w:val="27"/>
                <w:szCs w:val="27"/>
              </w:rPr>
            </w:pPr>
            <w:r>
              <w:rPr>
                <w:spacing w:val="20"/>
                <w:sz w:val="27"/>
                <w:szCs w:val="27"/>
              </w:rPr>
              <w:t>(Business Viability Study for Development of Site 4 in the New Central Harbourfront)</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(8/2012)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50"/>
              <w:ind w:left="57" w:right="57" w:hanging="0"/>
              <w:rPr>
                <w:spacing w:val="20"/>
                <w:sz w:val="27"/>
                <w:szCs w:val="27"/>
              </w:rPr>
            </w:pPr>
            <w:r>
              <w:rPr>
                <w:spacing w:val="20"/>
                <w:sz w:val="27"/>
                <w:szCs w:val="27"/>
              </w:rPr>
              <w:t>建造業支付情況統計調查摘要報告</w:t>
            </w:r>
          </w:p>
          <w:p>
            <w:pPr>
              <w:pStyle w:val="Normal"/>
              <w:widowControl/>
              <w:snapToGrid w:val="false"/>
              <w:spacing w:lineRule="exact" w:line="350"/>
              <w:ind w:left="57" w:right="57" w:hanging="0"/>
              <w:rPr>
                <w:spacing w:val="20"/>
                <w:sz w:val="27"/>
                <w:szCs w:val="27"/>
              </w:rPr>
            </w:pPr>
            <w:r>
              <w:rPr>
                <w:spacing w:val="20"/>
                <w:sz w:val="27"/>
                <w:szCs w:val="27"/>
              </w:rPr>
              <w:t>Survey on Payment Practice in the Construction Industry Executive Summary</w:t>
            </w:r>
          </w:p>
          <w:p>
            <w:pPr>
              <w:pStyle w:val="Normal"/>
              <w:widowControl/>
              <w:snapToGrid w:val="false"/>
              <w:spacing w:lineRule="exact" w:line="350"/>
              <w:ind w:left="57" w:right="57" w:hanging="0"/>
              <w:rPr>
                <w:spacing w:val="20"/>
                <w:sz w:val="27"/>
                <w:szCs w:val="27"/>
              </w:rPr>
            </w:pPr>
            <w:r>
              <w:rPr>
                <w:spacing w:val="20"/>
                <w:sz w:val="27"/>
                <w:szCs w:val="27"/>
              </w:rPr>
            </w:r>
          </w:p>
          <w:p>
            <w:pPr>
              <w:pStyle w:val="Normal"/>
              <w:widowControl/>
              <w:snapToGrid w:val="false"/>
              <w:spacing w:lineRule="exact" w:line="350"/>
              <w:ind w:left="57" w:right="57" w:hanging="0"/>
              <w:rPr>
                <w:spacing w:val="20"/>
                <w:sz w:val="27"/>
                <w:szCs w:val="27"/>
              </w:rPr>
            </w:pPr>
            <w:r>
              <w:rPr>
                <w:spacing w:val="20"/>
                <w:sz w:val="27"/>
                <w:szCs w:val="27"/>
              </w:rPr>
              <w:t>(8/2012)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 xml:space="preserve">Available on website </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香港行道樹的綜合管理規劃</w:t>
            </w:r>
          </w:p>
          <w:p>
            <w:pPr>
              <w:pStyle w:val="Normal"/>
              <w:widowControl/>
              <w:snapToGrid w:val="false"/>
              <w:spacing w:lineRule="auto" w:line="240"/>
              <w:ind w:left="57" w:right="57" w:hanging="0"/>
              <w:rPr>
                <w:spacing w:val="20"/>
                <w:sz w:val="27"/>
                <w:szCs w:val="27"/>
              </w:rPr>
            </w:pPr>
            <w:r>
              <w:rPr>
                <w:spacing w:val="20"/>
                <w:sz w:val="27"/>
                <w:szCs w:val="27"/>
              </w:rPr>
              <w:t>Comprehensive Street Tree Management Plan for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研究結果主要供政府內部參考，已透過研討會與相關政府部門分享有關資料。</w:t>
            </w:r>
          </w:p>
          <w:p>
            <w:pPr>
              <w:pStyle w:val="Normal"/>
              <w:widowControl/>
              <w:snapToGrid w:val="false"/>
              <w:spacing w:lineRule="auto" w:line="240"/>
              <w:ind w:left="57" w:right="57" w:hanging="0"/>
              <w:rPr>
                <w:spacing w:val="20"/>
                <w:sz w:val="27"/>
                <w:szCs w:val="27"/>
              </w:rPr>
            </w:pPr>
            <w:r>
              <w:rPr>
                <w:spacing w:val="20"/>
                <w:sz w:val="27"/>
                <w:szCs w:val="27"/>
              </w:rPr>
              <w:t>Study results are mainly for Government internal reference and the related information have been shared with relevant departments through seminars.</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南蓮園池中的黑松葉震病藥劑試驗方案</w:t>
            </w:r>
          </w:p>
          <w:p>
            <w:pPr>
              <w:pStyle w:val="Normal"/>
              <w:widowControl/>
              <w:snapToGrid w:val="false"/>
              <w:spacing w:lineRule="auto" w:line="240"/>
              <w:ind w:left="57" w:right="57" w:hanging="0"/>
              <w:rPr>
                <w:spacing w:val="20"/>
                <w:sz w:val="27"/>
                <w:szCs w:val="27"/>
              </w:rPr>
            </w:pPr>
            <w:r>
              <w:rPr>
                <w:spacing w:val="20"/>
                <w:sz w:val="27"/>
                <w:szCs w:val="27"/>
              </w:rPr>
              <w:t>Field experiment in the control and prevention of needle cast on Pinus thunbergii at Nan Lian Garden</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香港設立法定文物信託基金的可行性、架構和推展計劃研究</w:t>
            </w:r>
          </w:p>
          <w:p>
            <w:pPr>
              <w:pStyle w:val="Normal"/>
              <w:widowControl/>
              <w:snapToGrid w:val="false"/>
              <w:spacing w:lineRule="auto" w:line="240"/>
              <w:ind w:left="57" w:right="57" w:hanging="0"/>
              <w:rPr>
                <w:spacing w:val="20"/>
                <w:sz w:val="27"/>
                <w:szCs w:val="27"/>
              </w:rPr>
            </w:pPr>
            <w:r>
              <w:rPr>
                <w:spacing w:val="20"/>
                <w:sz w:val="27"/>
                <w:szCs w:val="27"/>
              </w:rPr>
              <w:t>Study on the Feasibility, Framework and Implementation Plan for Setting up a Statutory Heritage Trust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(4/2013)</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w:t>
            </w: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exact" w:line="280"/>
              <w:ind w:left="57" w:right="57" w:hanging="0"/>
              <w:rPr>
                <w:spacing w:val="20"/>
                <w:sz w:val="27"/>
                <w:szCs w:val="27"/>
              </w:rPr>
            </w:pPr>
            <w:r>
              <w:rPr>
                <w:spacing w:val="20"/>
                <w:sz w:val="27"/>
                <w:szCs w:val="27"/>
              </w:rPr>
              <w:t>Full Text (English)</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exact" w:line="28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勞工及福利局</w:t>
            </w:r>
          </w:p>
          <w:p>
            <w:pPr>
              <w:pStyle w:val="Normal"/>
              <w:widowControl/>
              <w:snapToGrid w:val="false"/>
              <w:spacing w:lineRule="auto" w:line="240"/>
              <w:ind w:left="57" w:right="57" w:hanging="0"/>
              <w:rPr>
                <w:spacing w:val="20"/>
                <w:sz w:val="27"/>
                <w:szCs w:val="27"/>
              </w:rPr>
            </w:pPr>
            <w:r>
              <w:rPr>
                <w:spacing w:val="20"/>
                <w:sz w:val="27"/>
                <w:szCs w:val="27"/>
              </w:rPr>
              <w:t>Labour and Welfare</w:t>
            </w:r>
          </w:p>
          <w:p>
            <w:pPr>
              <w:pStyle w:val="Normal"/>
              <w:widowControl/>
              <w:snapToGrid w:val="false"/>
              <w:spacing w:lineRule="auto" w:line="240"/>
              <w:ind w:left="57" w:right="57" w:hanging="0"/>
              <w:rPr>
                <w:spacing w:val="20"/>
                <w:sz w:val="27"/>
                <w:szCs w:val="27"/>
              </w:rPr>
            </w:pPr>
            <w:r>
              <w:rPr>
                <w:spacing w:val="20"/>
                <w:sz w:val="27"/>
                <w:szCs w:val="27"/>
              </w:rPr>
              <w:t>Bureau</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40"/>
              <w:ind w:left="57" w:right="57" w:hanging="0"/>
              <w:rPr>
                <w:spacing w:val="20"/>
                <w:sz w:val="27"/>
                <w:szCs w:val="27"/>
              </w:rPr>
            </w:pPr>
            <w:r>
              <w:rPr>
                <w:spacing w:val="20"/>
                <w:sz w:val="27"/>
                <w:szCs w:val="27"/>
              </w:rPr>
              <w:t>安老事務委員會就長者住宿照顧服務所進行的顧問研究報告</w:t>
            </w:r>
          </w:p>
          <w:p>
            <w:pPr>
              <w:pStyle w:val="Normal"/>
              <w:widowControl/>
              <w:snapToGrid w:val="false"/>
              <w:spacing w:lineRule="exact" w:line="340"/>
              <w:ind w:left="57" w:right="57" w:hanging="0"/>
              <w:rPr>
                <w:spacing w:val="20"/>
                <w:sz w:val="27"/>
                <w:szCs w:val="27"/>
              </w:rPr>
            </w:pPr>
            <w:r>
              <w:rPr>
                <w:spacing w:val="20"/>
                <w:sz w:val="27"/>
                <w:szCs w:val="27"/>
              </w:rPr>
              <w:t>Report on Elderly Commission's Consultancy Study on Residential Care Services for the Elderly</w:t>
            </w:r>
          </w:p>
          <w:p>
            <w:pPr>
              <w:pStyle w:val="Normal"/>
              <w:widowControl/>
              <w:snapToGrid w:val="false"/>
              <w:spacing w:lineRule="exact" w:line="340"/>
              <w:ind w:left="57" w:right="57" w:hanging="0"/>
              <w:rPr>
                <w:spacing w:val="20"/>
                <w:sz w:val="27"/>
                <w:szCs w:val="27"/>
              </w:rPr>
            </w:pPr>
            <w:r>
              <w:rPr>
                <w:spacing w:val="20"/>
                <w:sz w:val="27"/>
                <w:szCs w:val="27"/>
              </w:rPr>
            </w:r>
          </w:p>
          <w:p>
            <w:pPr>
              <w:pStyle w:val="Normal"/>
              <w:widowControl/>
              <w:snapToGrid w:val="false"/>
              <w:spacing w:lineRule="exact" w:line="340"/>
              <w:ind w:left="57" w:right="57" w:hanging="0"/>
              <w:rPr>
                <w:spacing w:val="20"/>
                <w:sz w:val="27"/>
                <w:szCs w:val="27"/>
              </w:rPr>
            </w:pPr>
            <w:r>
              <w:rPr>
                <w:spacing w:val="20"/>
                <w:sz w:val="27"/>
                <w:szCs w:val="27"/>
              </w:rPr>
              <w:t>(12/2009)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安老事務委員會就長者社區照顧服務所進行的顧問研究報告</w:t>
            </w:r>
          </w:p>
          <w:p>
            <w:pPr>
              <w:pStyle w:val="Normal"/>
              <w:widowControl/>
              <w:snapToGrid w:val="false"/>
              <w:spacing w:lineRule="auto" w:line="240"/>
              <w:ind w:left="57" w:right="57" w:hanging="0"/>
              <w:rPr>
                <w:spacing w:val="20"/>
                <w:sz w:val="27"/>
                <w:szCs w:val="27"/>
              </w:rPr>
            </w:pPr>
            <w:r>
              <w:rPr>
                <w:spacing w:val="20"/>
                <w:sz w:val="27"/>
                <w:szCs w:val="27"/>
              </w:rPr>
              <w:t>Report on Elderly Commission's Consultancy Study on Community Care Services for the Elderly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12"/>
                <w:sz w:val="27"/>
                <w:szCs w:val="27"/>
              </w:rPr>
            </w:pPr>
            <w:r>
              <w:rPr>
                <w:spacing w:val="12"/>
                <w:sz w:val="27"/>
                <w:szCs w:val="27"/>
              </w:rPr>
              <w:t>為編制二零一八年人力資源推算所進行的機構單位統計調查</w:t>
            </w:r>
          </w:p>
          <w:p>
            <w:pPr>
              <w:pStyle w:val="Normal"/>
              <w:widowControl/>
              <w:snapToGrid w:val="false"/>
              <w:spacing w:lineRule="auto" w:line="240"/>
              <w:ind w:left="57" w:right="57" w:hanging="0"/>
              <w:rPr>
                <w:spacing w:val="20"/>
                <w:sz w:val="27"/>
                <w:szCs w:val="27"/>
              </w:rPr>
            </w:pPr>
            <w:r>
              <w:rPr>
                <w:spacing w:val="20"/>
                <w:sz w:val="27"/>
                <w:szCs w:val="27"/>
              </w:rPr>
              <w:t xml:space="preserve">Establishment Survey for the Manpower Projection to 2018 </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(4/2012)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社區投資共享基金第二次研究及評估</w:t>
            </w:r>
          </w:p>
          <w:p>
            <w:pPr>
              <w:pStyle w:val="Normal"/>
              <w:widowControl/>
              <w:snapToGrid w:val="false"/>
              <w:spacing w:lineRule="auto" w:line="240"/>
              <w:ind w:left="57" w:right="57" w:hanging="0"/>
              <w:rPr>
                <w:spacing w:val="20"/>
                <w:sz w:val="27"/>
                <w:szCs w:val="27"/>
              </w:rPr>
            </w:pPr>
            <w:r>
              <w:rPr>
                <w:spacing w:val="20"/>
                <w:sz w:val="27"/>
                <w:szCs w:val="27"/>
              </w:rPr>
              <w:t>Second Evaluation Study of the Community Investment and Inclusion Fund</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40"/>
              <w:ind w:left="57" w:right="57" w:hanging="0"/>
              <w:rPr>
                <w:spacing w:val="20"/>
                <w:sz w:val="27"/>
                <w:szCs w:val="27"/>
              </w:rPr>
            </w:pPr>
            <w:r>
              <w:rPr>
                <w:spacing w:val="20"/>
                <w:sz w:val="27"/>
                <w:szCs w:val="27"/>
              </w:rPr>
              <w:t>兒童發展基金先導計劃評估研究</w:t>
            </w:r>
          </w:p>
          <w:p>
            <w:pPr>
              <w:pStyle w:val="Normal"/>
              <w:widowControl/>
              <w:snapToGrid w:val="false"/>
              <w:spacing w:lineRule="exact" w:line="340"/>
              <w:ind w:left="57" w:right="57" w:hanging="0"/>
              <w:rPr>
                <w:spacing w:val="20"/>
                <w:sz w:val="27"/>
                <w:szCs w:val="27"/>
              </w:rPr>
            </w:pPr>
            <w:r>
              <w:rPr>
                <w:spacing w:val="20"/>
                <w:sz w:val="27"/>
                <w:szCs w:val="27"/>
              </w:rPr>
              <w:t>Consultancy Study on the Child Development Fund Pioneer Projects</w:t>
            </w:r>
          </w:p>
          <w:p>
            <w:pPr>
              <w:pStyle w:val="Normal"/>
              <w:widowControl/>
              <w:snapToGrid w:val="false"/>
              <w:spacing w:lineRule="exact" w:line="340"/>
              <w:ind w:left="57" w:right="57" w:hanging="0"/>
              <w:rPr>
                <w:spacing w:val="20"/>
                <w:sz w:val="27"/>
                <w:szCs w:val="27"/>
              </w:rPr>
            </w:pPr>
            <w:r>
              <w:rPr>
                <w:spacing w:val="20"/>
                <w:sz w:val="27"/>
                <w:szCs w:val="27"/>
              </w:rPr>
            </w:r>
          </w:p>
          <w:p>
            <w:pPr>
              <w:pStyle w:val="Normal"/>
              <w:widowControl/>
              <w:snapToGrid w:val="false"/>
              <w:spacing w:lineRule="exact" w:line="340"/>
              <w:ind w:left="57" w:right="57" w:hanging="0"/>
              <w:rPr>
                <w:spacing w:val="20"/>
                <w:sz w:val="27"/>
                <w:szCs w:val="27"/>
              </w:rPr>
            </w:pPr>
            <w:r>
              <w:rPr>
                <w:spacing w:val="20"/>
                <w:sz w:val="27"/>
                <w:szCs w:val="27"/>
              </w:rPr>
              <w:t>(12/2012)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環境局</w:t>
            </w:r>
          </w:p>
          <w:p>
            <w:pPr>
              <w:pStyle w:val="Normal"/>
              <w:widowControl/>
              <w:snapToGrid w:val="false"/>
              <w:spacing w:lineRule="auto" w:line="240"/>
              <w:ind w:left="57" w:right="57" w:hanging="0"/>
              <w:rPr>
                <w:spacing w:val="20"/>
                <w:sz w:val="27"/>
                <w:szCs w:val="27"/>
              </w:rPr>
            </w:pPr>
            <w:r>
              <w:rPr>
                <w:spacing w:val="20"/>
                <w:sz w:val="27"/>
                <w:szCs w:val="27"/>
              </w:rPr>
              <w:t>Environment Bureau</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強制性實施《建築物能源效益守則》的營商環境影響評估</w:t>
            </w:r>
          </w:p>
          <w:p>
            <w:pPr>
              <w:pStyle w:val="Normal"/>
              <w:widowControl/>
              <w:snapToGrid w:val="false"/>
              <w:spacing w:lineRule="auto" w:line="240"/>
              <w:ind w:left="57" w:right="57" w:hanging="0"/>
              <w:rPr>
                <w:spacing w:val="20"/>
                <w:sz w:val="27"/>
                <w:szCs w:val="27"/>
              </w:rPr>
            </w:pPr>
            <w:r>
              <w:rPr>
                <w:spacing w:val="20"/>
                <w:sz w:val="27"/>
                <w:szCs w:val="27"/>
              </w:rPr>
              <w:t>Business Impact</w:t>
            </w:r>
          </w:p>
          <w:p>
            <w:pPr>
              <w:pStyle w:val="Normal"/>
              <w:widowControl/>
              <w:snapToGrid w:val="false"/>
              <w:spacing w:lineRule="auto" w:line="240"/>
              <w:ind w:left="57" w:right="57" w:hanging="0"/>
              <w:rPr>
                <w:spacing w:val="20"/>
                <w:sz w:val="27"/>
                <w:szCs w:val="27"/>
              </w:rPr>
            </w:pPr>
            <w:r>
              <w:rPr>
                <w:spacing w:val="20"/>
                <w:sz w:val="27"/>
                <w:szCs w:val="27"/>
              </w:rPr>
              <w:t>Assessment on the Mandatory Implementation of the Building Energy Codes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(7/2009)</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w:t>
            </w:r>
          </w:p>
          <w:p>
            <w:pPr>
              <w:pStyle w:val="Normal"/>
              <w:widowControl/>
              <w:snapToGrid w:val="false"/>
              <w:spacing w:lineRule="auto" w:line="240"/>
              <w:ind w:left="57" w:right="57" w:hanging="0"/>
              <w:rPr>
                <w:spacing w:val="20"/>
                <w:sz w:val="27"/>
                <w:szCs w:val="27"/>
              </w:rPr>
            </w:pPr>
            <w:r>
              <w:rPr>
                <w:spacing w:val="20"/>
                <w:sz w:val="27"/>
                <w:szCs w:val="27"/>
              </w:rPr>
              <w:t>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w:t>
            </w:r>
          </w:p>
          <w:p>
            <w:pPr>
              <w:pStyle w:val="Normal"/>
              <w:widowControl/>
              <w:snapToGrid w:val="false"/>
              <w:spacing w:lineRule="auto" w:line="240"/>
              <w:ind w:left="57" w:right="57" w:hanging="0"/>
              <w:rPr>
                <w:spacing w:val="20"/>
                <w:sz w:val="27"/>
                <w:szCs w:val="27"/>
              </w:rPr>
            </w:pPr>
            <w:r>
              <w:rPr>
                <w:spacing w:val="20"/>
                <w:sz w:val="27"/>
                <w:szCs w:val="27"/>
              </w:rPr>
              <w:t>(Chinese and</w:t>
            </w:r>
          </w:p>
          <w:p>
            <w:pPr>
              <w:pStyle w:val="Normal"/>
              <w:widowControl/>
              <w:snapToGrid w:val="false"/>
              <w:spacing w:lineRule="auto" w:line="240"/>
              <w:ind w:left="57" w:right="57" w:hanging="0"/>
              <w:rPr>
                <w:spacing w:val="20"/>
                <w:sz w:val="27"/>
                <w:szCs w:val="27"/>
              </w:rPr>
            </w:pPr>
            <w:r>
              <w:rPr>
                <w:spacing w:val="20"/>
                <w:sz w:val="27"/>
                <w:szCs w:val="27"/>
              </w:rPr>
              <w:t>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海外戶外燈光指引及規管措施的研究</w:t>
            </w:r>
          </w:p>
          <w:p>
            <w:pPr>
              <w:pStyle w:val="Normal"/>
              <w:widowControl/>
              <w:snapToGrid w:val="false"/>
              <w:spacing w:lineRule="auto" w:line="240"/>
              <w:ind w:left="57" w:right="57" w:hanging="0"/>
              <w:rPr>
                <w:spacing w:val="20"/>
                <w:sz w:val="27"/>
                <w:szCs w:val="27"/>
              </w:rPr>
            </w:pPr>
            <w:r>
              <w:rPr>
                <w:spacing w:val="20"/>
                <w:sz w:val="27"/>
                <w:szCs w:val="27"/>
              </w:rPr>
              <w:t>Study on Overseas Practices in Guiding and Regulating External Lighting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本港戶外燈光影響的調查</w:t>
            </w:r>
          </w:p>
          <w:p>
            <w:pPr>
              <w:pStyle w:val="Normal"/>
              <w:widowControl/>
              <w:snapToGrid w:val="false"/>
              <w:spacing w:lineRule="auto" w:line="240"/>
              <w:ind w:left="57" w:right="57" w:hanging="0"/>
              <w:rPr>
                <w:spacing w:val="20"/>
                <w:sz w:val="27"/>
                <w:szCs w:val="27"/>
              </w:rPr>
            </w:pPr>
            <w:r>
              <w:rPr>
                <w:spacing w:val="20"/>
                <w:sz w:val="27"/>
                <w:szCs w:val="27"/>
              </w:rPr>
              <w:t>Survey on Impacts of External Lighting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本港戶外燈光的意見調查</w:t>
            </w:r>
          </w:p>
          <w:p>
            <w:pPr>
              <w:pStyle w:val="Normal"/>
              <w:widowControl/>
              <w:snapToGrid w:val="false"/>
              <w:spacing w:lineRule="exact" w:line="280"/>
              <w:ind w:left="57" w:right="57" w:hanging="0"/>
              <w:rPr>
                <w:spacing w:val="20"/>
                <w:sz w:val="27"/>
                <w:szCs w:val="27"/>
              </w:rPr>
            </w:pPr>
            <w:r>
              <w:rPr>
                <w:spacing w:val="20"/>
                <w:sz w:val="27"/>
                <w:szCs w:val="27"/>
              </w:rPr>
              <w:t>Opinion Survey Study on External Lighting in Hong Kong</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(3/2011)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可行性研究：香港電力市場未來的發展</w:t>
            </w:r>
          </w:p>
          <w:p>
            <w:pPr>
              <w:pStyle w:val="Normal"/>
              <w:widowControl/>
              <w:snapToGrid w:val="false"/>
              <w:spacing w:lineRule="auto" w:line="240"/>
              <w:ind w:left="57" w:right="57" w:hanging="0"/>
              <w:rPr>
                <w:spacing w:val="20"/>
                <w:sz w:val="27"/>
                <w:szCs w:val="27"/>
              </w:rPr>
            </w:pPr>
            <w:r>
              <w:rPr>
                <w:spacing w:val="20"/>
                <w:sz w:val="27"/>
                <w:szCs w:val="27"/>
              </w:rPr>
              <w:t>Feasibility Study: Electricity Market Development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完成分析後，會考慮將研究報告上載環境局網站</w:t>
            </w:r>
          </w:p>
          <w:p>
            <w:pPr>
              <w:pStyle w:val="Normal"/>
              <w:widowControl/>
              <w:snapToGrid w:val="false"/>
              <w:spacing w:lineRule="auto" w:line="240"/>
              <w:ind w:left="57" w:right="57" w:hanging="0"/>
              <w:rPr>
                <w:spacing w:val="20"/>
                <w:sz w:val="27"/>
                <w:szCs w:val="27"/>
              </w:rPr>
            </w:pPr>
            <w:r>
              <w:rPr>
                <w:spacing w:val="20"/>
                <w:sz w:val="27"/>
                <w:szCs w:val="27"/>
              </w:rPr>
              <w:t>We will consider uploading the study report to the website after completion of analyses.</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有關《管制計劃協議》下准許利潤的檢討</w:t>
            </w:r>
          </w:p>
          <w:p>
            <w:pPr>
              <w:pStyle w:val="Normal"/>
              <w:widowControl/>
              <w:snapToGrid w:val="false"/>
              <w:spacing w:lineRule="auto" w:line="240"/>
              <w:ind w:left="57" w:right="57" w:hanging="0"/>
              <w:rPr>
                <w:spacing w:val="20"/>
                <w:sz w:val="27"/>
                <w:szCs w:val="27"/>
              </w:rPr>
            </w:pPr>
            <w:r>
              <w:rPr>
                <w:spacing w:val="20"/>
                <w:sz w:val="27"/>
                <w:szCs w:val="27"/>
              </w:rPr>
              <w:t>Review of Permitted Return under Scheme of Control Agreements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(6/2013)</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不適用</w:t>
            </w:r>
          </w:p>
          <w:p>
            <w:pPr>
              <w:pStyle w:val="Normal"/>
              <w:widowControl/>
              <w:snapToGrid w:val="false"/>
              <w:spacing w:lineRule="auto" w:line="240"/>
              <w:ind w:left="57" w:right="57" w:hanging="0"/>
              <w:rPr>
                <w:spacing w:val="20"/>
                <w:sz w:val="27"/>
                <w:szCs w:val="27"/>
              </w:rPr>
            </w:pPr>
            <w:r>
              <w:rPr>
                <w:spacing w:val="20"/>
                <w:sz w:val="27"/>
                <w:szCs w:val="27"/>
              </w:rPr>
              <w:t>Not</w:t>
            </w:r>
          </w:p>
          <w:p>
            <w:pPr>
              <w:pStyle w:val="Normal"/>
              <w:widowControl/>
              <w:snapToGrid w:val="false"/>
              <w:spacing w:lineRule="auto" w:line="240"/>
              <w:ind w:left="57" w:right="57" w:hanging="0"/>
              <w:rPr>
                <w:spacing w:val="20"/>
                <w:sz w:val="27"/>
                <w:szCs w:val="27"/>
              </w:rPr>
            </w:pPr>
            <w:r>
              <w:rPr>
                <w:spacing w:val="20"/>
                <w:sz w:val="27"/>
                <w:szCs w:val="27"/>
              </w:rPr>
              <w:t>Applicable</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為可持續發展委員會在締造優質和可持續建築環境的社會參與過程期間收到的公眾意見進行獨立分析</w:t>
            </w:r>
          </w:p>
          <w:p>
            <w:pPr>
              <w:pStyle w:val="Normal"/>
              <w:widowControl/>
              <w:snapToGrid w:val="false"/>
              <w:spacing w:lineRule="exact" w:line="380"/>
              <w:ind w:left="57" w:right="57" w:hanging="0"/>
              <w:rPr>
                <w:spacing w:val="20"/>
                <w:sz w:val="27"/>
                <w:szCs w:val="27"/>
              </w:rPr>
            </w:pPr>
            <w:r>
              <w:rPr>
                <w:spacing w:val="20"/>
                <w:sz w:val="27"/>
                <w:szCs w:val="27"/>
              </w:rPr>
              <w:t>Independent analysis of public views received during the Council for Sustainable Development (SDC)'s public engagement on Fostering a Quality and Sustainable Built Environment</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(6/2010)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為電腦輔助可持續發展評審工具進行的生態環境分布研究</w:t>
            </w:r>
          </w:p>
          <w:p>
            <w:pPr>
              <w:pStyle w:val="Normal"/>
              <w:widowControl/>
              <w:snapToGrid w:val="false"/>
              <w:spacing w:lineRule="auto" w:line="240"/>
              <w:ind w:left="57" w:right="57" w:hanging="0"/>
              <w:rPr>
                <w:spacing w:val="20"/>
                <w:sz w:val="27"/>
                <w:szCs w:val="27"/>
              </w:rPr>
            </w:pPr>
            <w:r>
              <w:rPr>
                <w:spacing w:val="20"/>
                <w:sz w:val="27"/>
                <w:szCs w:val="27"/>
              </w:rPr>
              <w:t xml:space="preserve">Habitat mapping study conducted under the CASET </w:t>
            </w:r>
            <w:r>
              <w:rPr>
                <w:sz w:val="27"/>
                <w:szCs w:val="27"/>
              </w:rPr>
              <w:t>(Computer-Aided</w:t>
            </w:r>
          </w:p>
          <w:p>
            <w:pPr>
              <w:pStyle w:val="Normal"/>
              <w:widowControl/>
              <w:snapToGrid w:val="false"/>
              <w:spacing w:lineRule="auto" w:line="240"/>
              <w:ind w:left="57" w:right="57" w:hanging="0"/>
              <w:rPr>
                <w:spacing w:val="20"/>
                <w:sz w:val="27"/>
                <w:szCs w:val="27"/>
              </w:rPr>
            </w:pPr>
            <w:r>
              <w:rPr>
                <w:spacing w:val="20"/>
                <w:sz w:val="27"/>
                <w:szCs w:val="27"/>
              </w:rPr>
              <w:t>Sustainability Evaluation Tool) programme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(10/2010)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為可持續發展委員會“紓緩氣候變化：從樓宇節能減排開始”社會參與過程期間所收到的公眾意見進行獨立分析</w:t>
            </w:r>
          </w:p>
          <w:p>
            <w:pPr>
              <w:pStyle w:val="Normal"/>
              <w:widowControl/>
              <w:snapToGrid w:val="false"/>
              <w:spacing w:lineRule="exact" w:line="360"/>
              <w:ind w:left="57" w:right="57" w:hanging="0"/>
              <w:rPr>
                <w:spacing w:val="20"/>
                <w:sz w:val="27"/>
                <w:szCs w:val="27"/>
              </w:rPr>
            </w:pPr>
            <w:r>
              <w:rPr>
                <w:spacing w:val="20"/>
                <w:sz w:val="27"/>
                <w:szCs w:val="27"/>
              </w:rPr>
              <w:t>Independent</w:t>
            </w:r>
          </w:p>
          <w:p>
            <w:pPr>
              <w:pStyle w:val="Normal"/>
              <w:widowControl/>
              <w:snapToGrid w:val="false"/>
              <w:spacing w:lineRule="exact" w:line="360"/>
              <w:ind w:left="57" w:right="57" w:hanging="0"/>
              <w:rPr>
                <w:spacing w:val="20"/>
                <w:sz w:val="27"/>
                <w:szCs w:val="27"/>
              </w:rPr>
            </w:pPr>
            <w:r>
              <w:rPr>
                <w:spacing w:val="20"/>
                <w:sz w:val="27"/>
                <w:szCs w:val="27"/>
              </w:rPr>
              <w:t>analysis of public views received during the SDC's public engagement on Combating Climate Change: Energy Saving and Carbon Emission Reduction in Buildings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民政事務局</w:t>
            </w:r>
          </w:p>
          <w:p>
            <w:pPr>
              <w:pStyle w:val="Normal"/>
              <w:widowControl/>
              <w:snapToGrid w:val="false"/>
              <w:spacing w:lineRule="auto" w:line="240"/>
              <w:ind w:left="57" w:right="57" w:hanging="0"/>
              <w:rPr>
                <w:spacing w:val="20"/>
                <w:sz w:val="27"/>
                <w:szCs w:val="27"/>
              </w:rPr>
            </w:pPr>
            <w:r>
              <w:rPr>
                <w:spacing w:val="20"/>
                <w:sz w:val="27"/>
                <w:szCs w:val="27"/>
              </w:rPr>
              <w:t>Home Affairs Bureau</w:t>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36"/>
                <w:sz w:val="27"/>
                <w:szCs w:val="27"/>
              </w:rPr>
              <w:t xml:space="preserve">香港青少年的公民參與及社會網絡 </w:t>
            </w:r>
            <w:r>
              <w:rPr>
                <w:rFonts w:ascii="華康細明體" w:hAnsi="華康細明體" w:cs="華康細明體"/>
                <w:spacing w:val="36"/>
                <w:sz w:val="27"/>
                <w:szCs w:val="27"/>
              </w:rPr>
              <w:t>─</w:t>
            </w:r>
            <w:r>
              <w:rPr>
                <w:spacing w:val="36"/>
                <w:sz w:val="27"/>
                <w:szCs w:val="27"/>
              </w:rPr>
              <w:t xml:space="preserve"> </w:t>
            </w:r>
            <w:r>
              <w:rPr>
                <w:spacing w:val="20"/>
                <w:sz w:val="27"/>
                <w:szCs w:val="27"/>
              </w:rPr>
              <w:t>追蹤研究</w:t>
            </w:r>
          </w:p>
          <w:p>
            <w:pPr>
              <w:pStyle w:val="Normal"/>
              <w:widowControl/>
              <w:snapToGrid w:val="false"/>
              <w:spacing w:lineRule="auto" w:line="240"/>
              <w:ind w:left="57" w:right="57" w:hanging="0"/>
              <w:rPr>
                <w:spacing w:val="20"/>
                <w:sz w:val="27"/>
                <w:szCs w:val="27"/>
              </w:rPr>
            </w:pPr>
            <w:r>
              <w:rPr>
                <w:spacing w:val="20"/>
                <w:sz w:val="27"/>
                <w:szCs w:val="27"/>
              </w:rPr>
              <w:t>(Longitudinal Study on Civic Engagement and Social Networks of Youth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(3/2010)</w:t>
            </w:r>
          </w:p>
        </w:tc>
        <w:tc>
          <w:tcPr>
            <w:tcW w:w="1725" w:type="dxa"/>
            <w:vMerge w:val="restart"/>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 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研究報告及</w:t>
            </w:r>
          </w:p>
          <w:p>
            <w:pPr>
              <w:pStyle w:val="Normal"/>
              <w:widowControl/>
              <w:snapToGrid w:val="false"/>
              <w:spacing w:lineRule="auto" w:line="240"/>
              <w:ind w:left="57" w:right="57" w:hanging="0"/>
              <w:rPr>
                <w:spacing w:val="20"/>
                <w:sz w:val="27"/>
                <w:szCs w:val="27"/>
              </w:rPr>
            </w:pPr>
            <w:r>
              <w:rPr>
                <w:spacing w:val="20"/>
                <w:sz w:val="27"/>
                <w:szCs w:val="27"/>
              </w:rPr>
              <w:t>報告摘要</w:t>
            </w:r>
          </w:p>
          <w:p>
            <w:pPr>
              <w:pStyle w:val="Normal"/>
              <w:widowControl/>
              <w:snapToGrid w:val="false"/>
              <w:spacing w:lineRule="auto" w:line="240"/>
              <w:ind w:left="57" w:right="57" w:hanging="0"/>
              <w:rPr>
                <w:spacing w:val="20"/>
                <w:sz w:val="27"/>
                <w:szCs w:val="27"/>
              </w:rPr>
            </w:pP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Study Report and 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公民教育委員會國民教育推廣活動意見調查</w:t>
            </w:r>
          </w:p>
          <w:p>
            <w:pPr>
              <w:pStyle w:val="Normal"/>
              <w:widowControl/>
              <w:snapToGrid w:val="false"/>
              <w:spacing w:lineRule="exact" w:line="340"/>
              <w:ind w:left="57" w:right="57" w:hanging="0"/>
              <w:rPr>
                <w:spacing w:val="20"/>
                <w:sz w:val="27"/>
                <w:szCs w:val="27"/>
              </w:rPr>
            </w:pPr>
            <w:r>
              <w:rPr>
                <w:spacing w:val="20"/>
                <w:sz w:val="27"/>
                <w:szCs w:val="27"/>
              </w:rPr>
              <w:t>(Opinion Survey on National Education Promotional Activities of the</w:t>
            </w:r>
          </w:p>
          <w:p>
            <w:pPr>
              <w:pStyle w:val="Normal"/>
              <w:widowControl/>
              <w:snapToGrid w:val="false"/>
              <w:spacing w:lineRule="exact" w:line="340"/>
              <w:ind w:left="57" w:right="57" w:hanging="0"/>
              <w:rPr>
                <w:spacing w:val="20"/>
                <w:sz w:val="27"/>
                <w:szCs w:val="27"/>
              </w:rPr>
            </w:pPr>
            <w:r>
              <w:rPr>
                <w:spacing w:val="20"/>
                <w:sz w:val="27"/>
                <w:szCs w:val="27"/>
              </w:rPr>
              <w:t>Committee on the Promotion of Civic Education)</w:t>
            </w:r>
          </w:p>
          <w:p>
            <w:pPr>
              <w:pStyle w:val="Normal"/>
              <w:widowControl/>
              <w:snapToGrid w:val="false"/>
              <w:spacing w:lineRule="exact" w:line="340"/>
              <w:ind w:left="57" w:right="57" w:hanging="0"/>
              <w:rPr>
                <w:spacing w:val="20"/>
                <w:sz w:val="27"/>
                <w:szCs w:val="27"/>
              </w:rPr>
            </w:pPr>
            <w:r>
              <w:rPr>
                <w:spacing w:val="20"/>
                <w:sz w:val="27"/>
                <w:szCs w:val="27"/>
              </w:rPr>
            </w:r>
          </w:p>
          <w:p>
            <w:pPr>
              <w:pStyle w:val="Normal"/>
              <w:widowControl/>
              <w:snapToGrid w:val="false"/>
              <w:spacing w:lineRule="exact" w:line="340"/>
              <w:ind w:left="57" w:right="57" w:hanging="0"/>
              <w:rPr>
                <w:spacing w:val="20"/>
                <w:sz w:val="27"/>
                <w:szCs w:val="27"/>
              </w:rPr>
            </w:pPr>
            <w:r>
              <w:rPr>
                <w:spacing w:val="20"/>
                <w:sz w:val="27"/>
                <w:szCs w:val="27"/>
              </w:rPr>
              <w:t>(11/2010)</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w:t>
            </w:r>
            <w:r>
              <w:rPr>
                <w:spacing w:val="20"/>
                <w:sz w:val="27"/>
                <w:szCs w:val="27"/>
              </w:rPr>
              <w:t>(</w:t>
            </w:r>
            <w:r>
              <w:rPr>
                <w:spacing w:val="20"/>
                <w:sz w:val="27"/>
                <w:szCs w:val="27"/>
              </w:rPr>
              <w:t>中</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Report (Chinese)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of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香港青年統計資料</w:t>
            </w:r>
          </w:p>
          <w:p>
            <w:pPr>
              <w:pStyle w:val="Normal"/>
              <w:widowControl/>
              <w:snapToGrid w:val="false"/>
              <w:spacing w:lineRule="auto" w:line="240"/>
              <w:ind w:left="57" w:right="57" w:hanging="0"/>
              <w:rPr>
                <w:spacing w:val="20"/>
                <w:sz w:val="27"/>
                <w:szCs w:val="27"/>
              </w:rPr>
            </w:pPr>
            <w:r>
              <w:rPr>
                <w:spacing w:val="20"/>
                <w:sz w:val="27"/>
                <w:szCs w:val="27"/>
              </w:rPr>
              <w:t xml:space="preserve">概覽 </w:t>
            </w:r>
            <w:r>
              <w:rPr>
                <w:spacing w:val="20"/>
                <w:sz w:val="27"/>
                <w:szCs w:val="27"/>
              </w:rPr>
              <w:t>2010</w:t>
            </w:r>
          </w:p>
          <w:p>
            <w:pPr>
              <w:pStyle w:val="Normal"/>
              <w:widowControl/>
              <w:snapToGrid w:val="false"/>
              <w:spacing w:lineRule="auto" w:line="240"/>
              <w:ind w:left="57" w:right="57" w:hanging="0"/>
              <w:rPr>
                <w:spacing w:val="20"/>
                <w:sz w:val="27"/>
                <w:szCs w:val="27"/>
              </w:rPr>
            </w:pPr>
            <w:r>
              <w:rPr>
                <w:spacing w:val="20"/>
                <w:sz w:val="27"/>
                <w:szCs w:val="27"/>
              </w:rPr>
              <w:t>(Youth in Hong Kong</w:t>
            </w:r>
          </w:p>
          <w:p>
            <w:pPr>
              <w:pStyle w:val="Normal"/>
              <w:widowControl/>
              <w:snapToGrid w:val="false"/>
              <w:spacing w:lineRule="auto" w:line="240"/>
              <w:ind w:left="57" w:right="57" w:hanging="0"/>
              <w:rPr>
                <w:spacing w:val="20"/>
                <w:sz w:val="27"/>
                <w:szCs w:val="27"/>
              </w:rPr>
            </w:pPr>
            <w:r>
              <w:rPr>
                <w:spacing w:val="20"/>
                <w:sz w:val="27"/>
                <w:szCs w:val="27"/>
              </w:rPr>
              <w:t>A Statistical Profile)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(5/2011)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報告</w:t>
            </w:r>
            <w:r>
              <w:rPr>
                <w:spacing w:val="20"/>
                <w:sz w:val="27"/>
                <w:szCs w:val="27"/>
              </w:rPr>
              <w:t>(</w:t>
            </w:r>
            <w:r>
              <w:rPr>
                <w:spacing w:val="20"/>
                <w:sz w:val="27"/>
                <w:szCs w:val="27"/>
              </w:rPr>
              <w:t>中</w:t>
            </w:r>
            <w:r>
              <w:rPr>
                <w:spacing w:val="20"/>
                <w:sz w:val="27"/>
                <w:szCs w:val="27"/>
              </w:rPr>
              <w:t>)</w:t>
            </w:r>
          </w:p>
          <w:p>
            <w:pPr>
              <w:pStyle w:val="Normal"/>
              <w:widowControl/>
              <w:snapToGrid w:val="false"/>
              <w:spacing w:lineRule="exact" w:line="300"/>
              <w:ind w:left="57" w:right="57" w:hanging="0"/>
              <w:rPr>
                <w:spacing w:val="20"/>
                <w:sz w:val="27"/>
                <w:szCs w:val="27"/>
              </w:rPr>
            </w:pPr>
            <w:r>
              <w:rPr>
                <w:spacing w:val="20"/>
                <w:sz w:val="27"/>
                <w:szCs w:val="27"/>
              </w:rPr>
              <w:t>Report (Chinese)</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exact" w:line="300"/>
              <w:ind w:left="57" w:right="57" w:hanging="0"/>
              <w:rPr>
                <w:spacing w:val="20"/>
                <w:sz w:val="27"/>
                <w:szCs w:val="27"/>
              </w:rPr>
            </w:pPr>
            <w:r>
              <w:rPr>
                <w:spacing w:val="20"/>
                <w:sz w:val="27"/>
                <w:szCs w:val="27"/>
              </w:rPr>
              <w:t>Executive Summary</w:t>
            </w:r>
          </w:p>
          <w:p>
            <w:pPr>
              <w:pStyle w:val="Normal"/>
              <w:widowControl/>
              <w:snapToGrid w:val="false"/>
              <w:spacing w:lineRule="exact" w:line="300"/>
              <w:ind w:left="57" w:right="57" w:hanging="0"/>
              <w:rPr>
                <w:spacing w:val="20"/>
                <w:sz w:val="27"/>
                <w:szCs w:val="27"/>
              </w:rPr>
            </w:pPr>
            <w:r>
              <w:rPr>
                <w:spacing w:val="20"/>
                <w:sz w:val="27"/>
                <w:szCs w:val="27"/>
              </w:rPr>
              <w:t>of Report (Chinese</w:t>
            </w:r>
          </w:p>
          <w:p>
            <w:pPr>
              <w:pStyle w:val="Normal"/>
              <w:widowControl/>
              <w:snapToGrid w:val="false"/>
              <w:spacing w:lineRule="exact" w:line="300"/>
              <w:ind w:left="57" w:right="57" w:hanging="0"/>
              <w:rPr>
                <w:spacing w:val="20"/>
                <w:sz w:val="27"/>
                <w:szCs w:val="27"/>
              </w:rPr>
            </w:pPr>
            <w:r>
              <w:rPr>
                <w:spacing w:val="20"/>
                <w:sz w:val="27"/>
                <w:szCs w:val="27"/>
              </w:rPr>
              <w:t>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香港青年發展指標</w:t>
            </w:r>
          </w:p>
          <w:p>
            <w:pPr>
              <w:pStyle w:val="Normal"/>
              <w:widowControl/>
              <w:snapToGrid w:val="false"/>
              <w:spacing w:lineRule="auto" w:line="240"/>
              <w:ind w:left="57" w:right="57" w:hanging="0"/>
              <w:rPr>
                <w:spacing w:val="20"/>
                <w:sz w:val="27"/>
                <w:szCs w:val="27"/>
              </w:rPr>
            </w:pPr>
            <w:r>
              <w:rPr>
                <w:spacing w:val="20"/>
                <w:sz w:val="27"/>
                <w:szCs w:val="27"/>
              </w:rPr>
              <w:t>(Hong Kong Youth Development Indicators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(11/2011)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w:t>
            </w:r>
            <w:r>
              <w:rPr>
                <w:spacing w:val="20"/>
                <w:sz w:val="27"/>
                <w:szCs w:val="27"/>
              </w:rPr>
              <w:t>(</w:t>
            </w:r>
            <w:r>
              <w:rPr>
                <w:spacing w:val="20"/>
                <w:sz w:val="27"/>
                <w:szCs w:val="27"/>
              </w:rPr>
              <w:t>中</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Report (Chinese)</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報告摘要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of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60"/>
              <w:ind w:left="57" w:right="57" w:hanging="0"/>
              <w:rPr>
                <w:spacing w:val="20"/>
                <w:sz w:val="27"/>
                <w:szCs w:val="27"/>
              </w:rPr>
            </w:pPr>
            <w:r>
              <w:rPr>
                <w:spacing w:val="20"/>
                <w:sz w:val="27"/>
                <w:szCs w:val="27"/>
              </w:rPr>
              <w:t>普及藝術教育顧問研究：行政摘要</w:t>
            </w:r>
          </w:p>
          <w:p>
            <w:pPr>
              <w:pStyle w:val="Normal"/>
              <w:widowControl/>
              <w:snapToGrid w:val="false"/>
              <w:spacing w:lineRule="exact" w:line="360"/>
              <w:ind w:left="57" w:right="57" w:hanging="0"/>
              <w:rPr>
                <w:spacing w:val="20"/>
                <w:sz w:val="27"/>
                <w:szCs w:val="27"/>
              </w:rPr>
            </w:pPr>
            <w:r>
              <w:rPr>
                <w:spacing w:val="20"/>
                <w:sz w:val="27"/>
                <w:szCs w:val="27"/>
              </w:rPr>
              <w:t>(Research Study on Public Arts Education: Executive Summary)</w:t>
            </w:r>
          </w:p>
          <w:p>
            <w:pPr>
              <w:pStyle w:val="Normal"/>
              <w:widowControl/>
              <w:snapToGrid w:val="false"/>
              <w:spacing w:lineRule="exact" w:line="360"/>
              <w:ind w:left="57" w:right="57" w:hanging="0"/>
              <w:rPr>
                <w:spacing w:val="20"/>
                <w:sz w:val="27"/>
                <w:szCs w:val="27"/>
              </w:rPr>
            </w:pPr>
            <w:r>
              <w:rPr>
                <w:spacing w:val="20"/>
                <w:sz w:val="27"/>
                <w:szCs w:val="27"/>
              </w:rPr>
            </w:r>
          </w:p>
          <w:p>
            <w:pPr>
              <w:pStyle w:val="Normal"/>
              <w:widowControl/>
              <w:snapToGrid w:val="false"/>
              <w:spacing w:lineRule="exact" w:line="360"/>
              <w:ind w:left="57" w:right="57" w:hanging="0"/>
              <w:rPr>
                <w:spacing w:val="20"/>
                <w:sz w:val="27"/>
                <w:szCs w:val="27"/>
              </w:rPr>
            </w:pPr>
            <w:r>
              <w:rPr>
                <w:spacing w:val="20"/>
                <w:sz w:val="27"/>
                <w:szCs w:val="27"/>
              </w:rPr>
              <w:t>(2011)</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公民意識研究</w:t>
            </w:r>
          </w:p>
          <w:p>
            <w:pPr>
              <w:pStyle w:val="Normal"/>
              <w:widowControl/>
              <w:snapToGrid w:val="false"/>
              <w:spacing w:lineRule="auto" w:line="240"/>
              <w:ind w:left="57" w:right="57" w:hanging="0"/>
              <w:rPr>
                <w:spacing w:val="20"/>
                <w:sz w:val="27"/>
                <w:szCs w:val="27"/>
              </w:rPr>
            </w:pPr>
            <w:r>
              <w:rPr>
                <w:spacing w:val="20"/>
                <w:sz w:val="27"/>
                <w:szCs w:val="27"/>
              </w:rPr>
              <w:t>(Civic Awareness Study)</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(3/2012)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Report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問卷</w:t>
            </w:r>
            <w:r>
              <w:rPr>
                <w:spacing w:val="20"/>
                <w:sz w:val="27"/>
                <w:szCs w:val="27"/>
              </w:rPr>
              <w:t>(</w:t>
            </w:r>
            <w:r>
              <w:rPr>
                <w:spacing w:val="20"/>
                <w:sz w:val="27"/>
                <w:szCs w:val="27"/>
              </w:rPr>
              <w:t>中</w:t>
            </w:r>
            <w:r>
              <w:rPr>
                <w:spacing w:val="20"/>
                <w:sz w:val="27"/>
                <w:szCs w:val="27"/>
              </w:rPr>
              <w:t>)</w:t>
            </w:r>
          </w:p>
          <w:p>
            <w:pPr>
              <w:pStyle w:val="Normal"/>
              <w:widowControl/>
              <w:snapToGrid w:val="false"/>
              <w:spacing w:lineRule="auto" w:line="240"/>
              <w:ind w:left="57" w:right="57" w:hanging="0"/>
              <w:rPr>
                <w:spacing w:val="20"/>
                <w:sz w:val="27"/>
                <w:szCs w:val="27"/>
              </w:rPr>
            </w:pPr>
            <w:r>
              <w:rPr>
                <w:sz w:val="27"/>
                <w:szCs w:val="27"/>
              </w:rPr>
              <w:t xml:space="preserve">Questionnaire </w:t>
            </w:r>
            <w:r>
              <w:rPr>
                <w:spacing w:val="20"/>
                <w:sz w:val="27"/>
                <w:szCs w:val="27"/>
              </w:rPr>
              <w:t>(Chinese)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12"/>
                <w:sz w:val="27"/>
                <w:szCs w:val="27"/>
              </w:rPr>
            </w:pPr>
            <w:r>
              <w:rPr>
                <w:spacing w:val="12"/>
                <w:sz w:val="27"/>
                <w:szCs w:val="27"/>
              </w:rPr>
              <w:t>二零一一年家庭狀況統計調查</w:t>
            </w:r>
          </w:p>
          <w:p>
            <w:pPr>
              <w:pStyle w:val="Normal"/>
              <w:widowControl/>
              <w:snapToGrid w:val="false"/>
              <w:spacing w:lineRule="auto" w:line="240"/>
              <w:ind w:left="57" w:right="57" w:hanging="0"/>
              <w:rPr>
                <w:spacing w:val="20"/>
                <w:sz w:val="27"/>
                <w:szCs w:val="27"/>
              </w:rPr>
            </w:pPr>
            <w:r>
              <w:rPr>
                <w:spacing w:val="20"/>
                <w:sz w:val="27"/>
                <w:szCs w:val="27"/>
              </w:rPr>
              <w:t>(Family Survey 2011)</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(5/2012)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家庭教育的顧問研究</w:t>
            </w:r>
          </w:p>
          <w:p>
            <w:pPr>
              <w:pStyle w:val="Normal"/>
              <w:widowControl/>
              <w:snapToGrid w:val="false"/>
              <w:spacing w:lineRule="auto" w:line="240"/>
              <w:ind w:left="57" w:right="57" w:hanging="0"/>
              <w:rPr>
                <w:spacing w:val="20"/>
                <w:sz w:val="27"/>
                <w:szCs w:val="27"/>
              </w:rPr>
            </w:pPr>
            <w:r>
              <w:rPr>
                <w:spacing w:val="20"/>
                <w:sz w:val="27"/>
                <w:szCs w:val="27"/>
              </w:rPr>
              <w:t>(Report on the Study of Family Education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(9/2012)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全文</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表演藝術資助機制顧問研究：摘要及報告</w:t>
            </w:r>
          </w:p>
          <w:p>
            <w:pPr>
              <w:pStyle w:val="Normal"/>
              <w:widowControl/>
              <w:snapToGrid w:val="false"/>
              <w:spacing w:lineRule="auto" w:line="240"/>
              <w:ind w:left="57" w:right="57" w:hanging="0"/>
              <w:rPr>
                <w:spacing w:val="20"/>
                <w:sz w:val="27"/>
                <w:szCs w:val="27"/>
              </w:rPr>
            </w:pPr>
            <w:r>
              <w:rPr>
                <w:spacing w:val="20"/>
                <w:sz w:val="27"/>
                <w:szCs w:val="27"/>
              </w:rPr>
              <w:t>(Research Study on a new Funding Mechanism for Performing Arts Groups in Hong Kong: Executive Summary and Report)</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(2012)</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w:t>
            </w:r>
            <w:r>
              <w:rPr>
                <w:spacing w:val="20"/>
                <w:sz w:val="27"/>
                <w:szCs w:val="27"/>
              </w:rPr>
              <w:t>(</w:t>
            </w:r>
            <w:r>
              <w:rPr>
                <w:spacing w:val="20"/>
                <w:sz w:val="27"/>
                <w:szCs w:val="27"/>
              </w:rPr>
              <w:t>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Report (English)</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推動本地足運顧問研究</w:t>
            </w:r>
          </w:p>
          <w:p>
            <w:pPr>
              <w:pStyle w:val="Normal"/>
              <w:widowControl/>
              <w:snapToGrid w:val="false"/>
              <w:spacing w:lineRule="auto" w:line="240"/>
              <w:ind w:left="57" w:right="57" w:hanging="0"/>
              <w:rPr>
                <w:spacing w:val="20"/>
                <w:sz w:val="27"/>
                <w:szCs w:val="27"/>
              </w:rPr>
            </w:pPr>
            <w:r>
              <w:rPr>
                <w:spacing w:val="20"/>
                <w:sz w:val="27"/>
                <w:szCs w:val="27"/>
              </w:rPr>
              <w:t>Consultancy Study for Football Development in Hong Kong</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(12/2009)</w:t>
            </w:r>
          </w:p>
        </w:tc>
        <w:tc>
          <w:tcPr>
            <w:tcW w:w="1725" w:type="dxa"/>
            <w:vMerge w:val="continue"/>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報告全文及摘要</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and Executive Summary of the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 xml:space="preserve">申辦亞運會 </w:t>
            </w:r>
            <w:r>
              <w:rPr>
                <w:rFonts w:ascii="華康細明體" w:hAnsi="華康細明體" w:cs="華康細明體"/>
                <w:spacing w:val="20"/>
                <w:sz w:val="27"/>
                <w:szCs w:val="27"/>
              </w:rPr>
              <w:t>─</w:t>
            </w:r>
            <w:r>
              <w:rPr>
                <w:spacing w:val="20"/>
                <w:sz w:val="27"/>
                <w:szCs w:val="27"/>
              </w:rPr>
              <w:t xml:space="preserve"> 香港如何自處 </w:t>
            </w:r>
            <w:r>
              <w:rPr>
                <w:rFonts w:ascii="華康細明體" w:hAnsi="華康細明體" w:cs="華康細明體"/>
                <w:spacing w:val="20"/>
                <w:sz w:val="27"/>
                <w:szCs w:val="27"/>
              </w:rPr>
              <w:t>─</w:t>
            </w:r>
            <w:r>
              <w:rPr>
                <w:spacing w:val="20"/>
                <w:sz w:val="27"/>
                <w:szCs w:val="27"/>
              </w:rPr>
              <w:t xml:space="preserve"> 體育場地是否足以主辦與</w:t>
            </w:r>
            <w:r>
              <w:rPr>
                <w:spacing w:val="20"/>
                <w:sz w:val="27"/>
                <w:szCs w:val="27"/>
              </w:rPr>
              <w:t>2010</w:t>
            </w:r>
            <w:r>
              <w:rPr>
                <w:spacing w:val="20"/>
                <w:sz w:val="27"/>
                <w:szCs w:val="27"/>
              </w:rPr>
              <w:t>年廣州亞洲運動會</w:t>
            </w:r>
            <w:r>
              <w:rPr>
                <w:spacing w:val="20"/>
                <w:sz w:val="27"/>
                <w:szCs w:val="27"/>
              </w:rPr>
              <w:t>(</w:t>
            </w:r>
            <w:r>
              <w:rPr>
                <w:spacing w:val="20"/>
                <w:sz w:val="27"/>
                <w:szCs w:val="27"/>
              </w:rPr>
              <w:t>亞運會</w:t>
            </w:r>
            <w:r>
              <w:rPr>
                <w:spacing w:val="20"/>
                <w:sz w:val="27"/>
                <w:szCs w:val="27"/>
              </w:rPr>
              <w:t>)</w:t>
            </w:r>
            <w:r>
              <w:rPr>
                <w:spacing w:val="20"/>
                <w:sz w:val="27"/>
                <w:szCs w:val="27"/>
              </w:rPr>
              <w:t>規模相若的亞運會</w:t>
            </w:r>
          </w:p>
          <w:p>
            <w:pPr>
              <w:pStyle w:val="Normal"/>
              <w:widowControl/>
              <w:snapToGrid w:val="false"/>
              <w:spacing w:lineRule="auto" w:line="240"/>
              <w:ind w:left="57" w:right="57" w:hanging="0"/>
              <w:rPr>
                <w:spacing w:val="20"/>
                <w:sz w:val="27"/>
                <w:szCs w:val="27"/>
              </w:rPr>
            </w:pPr>
            <w:r>
              <w:rPr>
                <w:spacing w:val="20"/>
                <w:sz w:val="27"/>
                <w:szCs w:val="27"/>
              </w:rPr>
              <w:t xml:space="preserve">Bid for the Asian Games </w:t>
            </w:r>
            <w:r>
              <w:rPr>
                <w:sz w:val="27"/>
                <w:szCs w:val="27"/>
              </w:rPr>
              <w:t>―</w:t>
            </w:r>
            <w:r>
              <w:rPr>
                <w:spacing w:val="20"/>
                <w:sz w:val="27"/>
                <w:szCs w:val="27"/>
              </w:rPr>
              <w:t xml:space="preserve"> Where does</w:t>
            </w:r>
          </w:p>
          <w:p>
            <w:pPr>
              <w:pStyle w:val="Normal"/>
              <w:widowControl/>
              <w:snapToGrid w:val="false"/>
              <w:spacing w:lineRule="auto" w:line="240"/>
              <w:ind w:left="57" w:right="57" w:hanging="0"/>
              <w:rPr>
                <w:spacing w:val="20"/>
                <w:sz w:val="27"/>
                <w:szCs w:val="27"/>
              </w:rPr>
            </w:pPr>
            <w:r>
              <w:rPr>
                <w:spacing w:val="20"/>
                <w:sz w:val="27"/>
                <w:szCs w:val="27"/>
              </w:rPr>
              <w:t xml:space="preserve">Hong Kong Stand </w:t>
            </w:r>
            <w:r>
              <w:rPr>
                <w:sz w:val="27"/>
                <w:szCs w:val="27"/>
              </w:rPr>
              <w:t>―</w:t>
            </w:r>
            <w:r>
              <w:rPr>
                <w:spacing w:val="20"/>
                <w:sz w:val="27"/>
                <w:szCs w:val="27"/>
              </w:rPr>
              <w:t xml:space="preserve"> Adequacy of Sports Venues for Hosting an Asian Games similar to the Scale of the 2010 Guangzhou Asian Games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(4/2010)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研究結果已包括在香港應否申辦</w:t>
            </w:r>
            <w:r>
              <w:rPr>
                <w:spacing w:val="20"/>
                <w:sz w:val="27"/>
                <w:szCs w:val="27"/>
              </w:rPr>
              <w:t>2023</w:t>
            </w:r>
            <w:r>
              <w:rPr>
                <w:spacing w:val="20"/>
                <w:sz w:val="27"/>
                <w:szCs w:val="27"/>
              </w:rPr>
              <w:t>年亞運會的公眾諮詢資料內。</w:t>
            </w:r>
          </w:p>
          <w:p>
            <w:pPr>
              <w:pStyle w:val="Normal"/>
              <w:widowControl/>
              <w:snapToGrid w:val="false"/>
              <w:spacing w:lineRule="auto" w:line="240"/>
              <w:ind w:left="57" w:right="57" w:hanging="0"/>
              <w:rPr>
                <w:spacing w:val="20"/>
                <w:sz w:val="27"/>
                <w:szCs w:val="27"/>
              </w:rPr>
            </w:pPr>
            <w:r>
              <w:rPr>
                <w:spacing w:val="20"/>
                <w:sz w:val="27"/>
                <w:szCs w:val="27"/>
              </w:rPr>
              <w:t>Study results have been included in the information for public consultation on whether Hong Kong should apply for hosting the Asian Games in 2023</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研究結果</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Study Results</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80"/>
              <w:ind w:left="57" w:right="57" w:hanging="0"/>
              <w:rPr>
                <w:spacing w:val="20"/>
                <w:sz w:val="27"/>
                <w:szCs w:val="27"/>
              </w:rPr>
            </w:pPr>
            <w:r>
              <w:rPr>
                <w:spacing w:val="20"/>
                <w:sz w:val="27"/>
                <w:szCs w:val="27"/>
              </w:rPr>
              <w:t>香港建議申辦</w:t>
            </w:r>
            <w:r>
              <w:rPr>
                <w:spacing w:val="20"/>
                <w:sz w:val="27"/>
                <w:szCs w:val="27"/>
              </w:rPr>
              <w:t>2023</w:t>
            </w:r>
            <w:r>
              <w:rPr>
                <w:spacing w:val="20"/>
                <w:sz w:val="27"/>
                <w:szCs w:val="27"/>
              </w:rPr>
              <w:t>年亞運會的財政及經濟影響評估</w:t>
            </w:r>
          </w:p>
          <w:p>
            <w:pPr>
              <w:pStyle w:val="Normal"/>
              <w:widowControl/>
              <w:snapToGrid w:val="false"/>
              <w:spacing w:lineRule="exact" w:line="380"/>
              <w:ind w:left="57" w:right="57" w:hanging="0"/>
              <w:rPr>
                <w:spacing w:val="20"/>
                <w:sz w:val="27"/>
                <w:szCs w:val="27"/>
              </w:rPr>
            </w:pPr>
            <w:r>
              <w:rPr>
                <w:spacing w:val="20"/>
                <w:sz w:val="27"/>
                <w:szCs w:val="27"/>
              </w:rPr>
              <w:t>Financial and</w:t>
            </w:r>
          </w:p>
          <w:p>
            <w:pPr>
              <w:pStyle w:val="Normal"/>
              <w:widowControl/>
              <w:snapToGrid w:val="false"/>
              <w:spacing w:lineRule="exact" w:line="380"/>
              <w:ind w:left="57" w:right="57" w:hanging="0"/>
              <w:rPr>
                <w:spacing w:val="20"/>
                <w:sz w:val="27"/>
                <w:szCs w:val="27"/>
              </w:rPr>
            </w:pPr>
            <w:r>
              <w:rPr>
                <w:spacing w:val="20"/>
                <w:sz w:val="27"/>
                <w:szCs w:val="27"/>
              </w:rPr>
              <w:t>Economic Impact Assessment of the Proposed 2023 Asian Games in Hong Kong</w:t>
            </w:r>
          </w:p>
          <w:p>
            <w:pPr>
              <w:pStyle w:val="Normal"/>
              <w:widowControl/>
              <w:snapToGrid w:val="false"/>
              <w:spacing w:lineRule="exact" w:line="380"/>
              <w:ind w:left="57" w:right="57" w:hanging="0"/>
              <w:rPr>
                <w:spacing w:val="20"/>
                <w:sz w:val="27"/>
                <w:szCs w:val="27"/>
              </w:rPr>
            </w:pPr>
            <w:r>
              <w:rPr>
                <w:spacing w:val="20"/>
                <w:sz w:val="27"/>
                <w:szCs w:val="27"/>
              </w:rPr>
            </w:r>
          </w:p>
          <w:p>
            <w:pPr>
              <w:pStyle w:val="Normal"/>
              <w:widowControl/>
              <w:snapToGrid w:val="false"/>
              <w:spacing w:lineRule="exact" w:line="380"/>
              <w:ind w:left="57" w:right="57" w:hanging="0"/>
              <w:rPr>
                <w:spacing w:val="20"/>
                <w:sz w:val="27"/>
                <w:szCs w:val="27"/>
              </w:rPr>
            </w:pPr>
            <w:r>
              <w:rPr>
                <w:spacing w:val="20"/>
                <w:sz w:val="27"/>
                <w:szCs w:val="27"/>
              </w:rPr>
              <w:t>(11/2010)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研究結果</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Study Results</w:t>
            </w:r>
          </w:p>
          <w:p>
            <w:pPr>
              <w:pStyle w:val="Normal"/>
              <w:widowControl/>
              <w:snapToGrid w:val="false"/>
              <w:spacing w:lineRule="auto" w:line="24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市民對香港應否申辦</w:t>
            </w:r>
            <w:r>
              <w:rPr>
                <w:spacing w:val="20"/>
                <w:sz w:val="27"/>
                <w:szCs w:val="27"/>
              </w:rPr>
              <w:t>2023</w:t>
            </w:r>
            <w:r>
              <w:rPr>
                <w:spacing w:val="20"/>
                <w:sz w:val="27"/>
                <w:szCs w:val="27"/>
              </w:rPr>
              <w:t>年亞運會電話意見調查</w:t>
            </w:r>
          </w:p>
          <w:p>
            <w:pPr>
              <w:pStyle w:val="Normal"/>
              <w:widowControl/>
              <w:snapToGrid w:val="false"/>
              <w:spacing w:lineRule="auto" w:line="240"/>
              <w:ind w:left="57" w:right="57" w:hanging="0"/>
              <w:rPr>
                <w:spacing w:val="20"/>
                <w:sz w:val="27"/>
                <w:szCs w:val="27"/>
              </w:rPr>
            </w:pPr>
            <w:r>
              <w:rPr>
                <w:spacing w:val="20"/>
                <w:sz w:val="27"/>
                <w:szCs w:val="27"/>
              </w:rPr>
              <w:t>Opinion Survey on Hong Kong's potential bid to host the 2023 Asian Games</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(12/2010)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網頁列載或可供下載</w:t>
            </w:r>
            <w:r>
              <w:rPr>
                <w:spacing w:val="20"/>
                <w:sz w:val="27"/>
                <w:szCs w:val="27"/>
              </w:rPr>
              <w:t>Available on</w:t>
            </w:r>
          </w:p>
          <w:p>
            <w:pPr>
              <w:pStyle w:val="Normal"/>
              <w:widowControl/>
              <w:snapToGrid w:val="false"/>
              <w:spacing w:lineRule="auto" w:line="240"/>
              <w:ind w:left="57" w:right="57" w:hanging="0"/>
              <w:rPr>
                <w:spacing w:val="20"/>
                <w:sz w:val="27"/>
                <w:szCs w:val="27"/>
              </w:rPr>
            </w:pPr>
            <w:r>
              <w:rPr>
                <w:spacing w:val="20"/>
                <w:sz w:val="27"/>
                <w:szCs w:val="27"/>
              </w:rPr>
              <w:t>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報告全文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Full Text of the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就在啟德興建的多用途體育館和香港其他主要體育場地進行的活動總覽及經濟影響評估</w:t>
            </w:r>
          </w:p>
          <w:p>
            <w:pPr>
              <w:pStyle w:val="Normal"/>
              <w:widowControl/>
              <w:snapToGrid w:val="false"/>
              <w:spacing w:lineRule="exact" w:line="280"/>
              <w:ind w:left="57" w:right="57" w:hanging="0"/>
              <w:rPr>
                <w:spacing w:val="20"/>
                <w:sz w:val="27"/>
                <w:szCs w:val="27"/>
              </w:rPr>
            </w:pPr>
            <w:r>
              <w:rPr>
                <w:spacing w:val="20"/>
                <w:sz w:val="27"/>
                <w:szCs w:val="27"/>
              </w:rPr>
              <w:t xml:space="preserve">Event Profile and Economic Impact Assessment of the Multi-purpose Stadium Complex in Kai Tak and Other Major Sporting Venues in Hong Kong </w:t>
            </w:r>
          </w:p>
          <w:p>
            <w:pPr>
              <w:pStyle w:val="Normal"/>
              <w:widowControl/>
              <w:snapToGrid w:val="false"/>
              <w:spacing w:lineRule="exact" w:line="280"/>
              <w:ind w:left="57" w:right="57" w:hanging="0"/>
              <w:rPr>
                <w:spacing w:val="20"/>
                <w:sz w:val="27"/>
                <w:szCs w:val="27"/>
              </w:rPr>
            </w:pPr>
            <w:r>
              <w:rPr>
                <w:spacing w:val="20"/>
                <w:sz w:val="27"/>
                <w:szCs w:val="27"/>
              </w:rPr>
            </w:r>
          </w:p>
          <w:p>
            <w:pPr>
              <w:pStyle w:val="Normal"/>
              <w:widowControl/>
              <w:snapToGrid w:val="false"/>
              <w:spacing w:lineRule="exact" w:line="280"/>
              <w:ind w:left="57" w:right="57" w:hanging="0"/>
              <w:rPr>
                <w:spacing w:val="20"/>
                <w:sz w:val="27"/>
                <w:szCs w:val="27"/>
              </w:rPr>
            </w:pPr>
            <w:r>
              <w:rPr>
                <w:spacing w:val="20"/>
                <w:sz w:val="27"/>
                <w:szCs w:val="27"/>
              </w:rPr>
              <w:t>(11/2010)</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研究用作內部參考。</w:t>
            </w:r>
          </w:p>
          <w:p>
            <w:pPr>
              <w:pStyle w:val="Normal"/>
              <w:widowControl/>
              <w:snapToGrid w:val="false"/>
              <w:spacing w:lineRule="exact" w:line="300"/>
              <w:ind w:left="57" w:right="57" w:hanging="0"/>
              <w:rPr>
                <w:spacing w:val="20"/>
                <w:sz w:val="27"/>
                <w:szCs w:val="27"/>
              </w:rPr>
            </w:pPr>
            <w:r>
              <w:rPr>
                <w:spacing w:val="20"/>
                <w:sz w:val="27"/>
                <w:szCs w:val="27"/>
              </w:rPr>
              <w:t>The study is for internal reference.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不適用</w:t>
            </w:r>
          </w:p>
          <w:p>
            <w:pPr>
              <w:pStyle w:val="Normal"/>
              <w:widowControl/>
              <w:snapToGrid w:val="false"/>
              <w:spacing w:lineRule="exact" w:line="300"/>
              <w:ind w:left="57" w:right="57" w:hanging="0"/>
              <w:rPr>
                <w:spacing w:val="20"/>
                <w:sz w:val="27"/>
                <w:szCs w:val="27"/>
              </w:rPr>
            </w:pPr>
            <w:r>
              <w:rPr>
                <w:spacing w:val="20"/>
                <w:sz w:val="27"/>
                <w:szCs w:val="27"/>
              </w:rPr>
              <w:t>Not</w:t>
            </w:r>
          </w:p>
          <w:p>
            <w:pPr>
              <w:pStyle w:val="Normal"/>
              <w:widowControl/>
              <w:snapToGrid w:val="false"/>
              <w:spacing w:lineRule="exact" w:line="300"/>
              <w:ind w:left="57" w:right="57" w:hanging="0"/>
              <w:rPr>
                <w:spacing w:val="20"/>
                <w:sz w:val="27"/>
                <w:szCs w:val="27"/>
              </w:rPr>
            </w:pPr>
            <w:r>
              <w:rPr>
                <w:spacing w:val="20"/>
                <w:sz w:val="27"/>
                <w:szCs w:val="27"/>
              </w:rPr>
              <w:t>Applicable</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沒有</w:t>
            </w:r>
          </w:p>
          <w:p>
            <w:pPr>
              <w:pStyle w:val="Normal"/>
              <w:widowControl/>
              <w:snapToGrid w:val="false"/>
              <w:spacing w:lineRule="exact" w:line="300"/>
              <w:ind w:left="57" w:right="57" w:hanging="0"/>
              <w:rPr>
                <w:spacing w:val="20"/>
                <w:sz w:val="27"/>
                <w:szCs w:val="27"/>
              </w:rPr>
            </w:pPr>
            <w:r>
              <w:rPr>
                <w:spacing w:val="20"/>
                <w:sz w:val="27"/>
                <w:szCs w:val="27"/>
              </w:rPr>
              <w:t>No</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2010</w:t>
            </w:r>
            <w:r>
              <w:rPr>
                <w:spacing w:val="20"/>
                <w:sz w:val="27"/>
                <w:szCs w:val="27"/>
              </w:rPr>
              <w:t>年主題性住戶統計調查</w:t>
            </w:r>
            <w:r>
              <w:rPr>
                <w:spacing w:val="20"/>
                <w:sz w:val="27"/>
                <w:szCs w:val="27"/>
              </w:rPr>
              <w:t>(</w:t>
            </w:r>
            <w:r>
              <w:rPr>
                <w:spacing w:val="20"/>
                <w:sz w:val="27"/>
                <w:szCs w:val="27"/>
              </w:rPr>
              <w:t>第一輪</w:t>
            </w:r>
            <w:r>
              <w:rPr>
                <w:spacing w:val="20"/>
                <w:sz w:val="27"/>
                <w:szCs w:val="27"/>
              </w:rPr>
              <w:t>)(</w:t>
            </w:r>
            <w:r>
              <w:rPr>
                <w:spacing w:val="20"/>
                <w:sz w:val="27"/>
                <w:szCs w:val="27"/>
              </w:rPr>
              <w:t>運動相關部分</w:t>
            </w:r>
            <w:r>
              <w:rPr>
                <w:spacing w:val="20"/>
                <w:sz w:val="27"/>
                <w:szCs w:val="27"/>
              </w:rPr>
              <w:t>)</w:t>
            </w:r>
          </w:p>
          <w:p>
            <w:pPr>
              <w:pStyle w:val="Normal"/>
              <w:widowControl/>
              <w:snapToGrid w:val="false"/>
              <w:spacing w:lineRule="exact" w:line="300"/>
              <w:ind w:left="57" w:right="57" w:hanging="0"/>
              <w:rPr>
                <w:spacing w:val="20"/>
                <w:sz w:val="27"/>
                <w:szCs w:val="27"/>
              </w:rPr>
            </w:pPr>
            <w:r>
              <w:rPr>
                <w:spacing w:val="20"/>
                <w:sz w:val="27"/>
                <w:szCs w:val="27"/>
              </w:rPr>
              <w:t>Thematic Household Survey 2010 (1st Round) (the part on sports)</w:t>
            </w:r>
          </w:p>
          <w:p>
            <w:pPr>
              <w:pStyle w:val="Normal"/>
              <w:widowControl/>
              <w:snapToGrid w:val="false"/>
              <w:spacing w:lineRule="exact" w:line="300"/>
              <w:ind w:left="57" w:right="57" w:hanging="0"/>
              <w:rPr>
                <w:spacing w:val="20"/>
                <w:sz w:val="27"/>
                <w:szCs w:val="27"/>
              </w:rPr>
            </w:pPr>
            <w:r>
              <w:rPr>
                <w:spacing w:val="20"/>
                <w:sz w:val="27"/>
                <w:szCs w:val="27"/>
              </w:rPr>
            </w:r>
          </w:p>
          <w:p>
            <w:pPr>
              <w:pStyle w:val="Normal"/>
              <w:widowControl/>
              <w:snapToGrid w:val="false"/>
              <w:spacing w:lineRule="exact" w:line="300"/>
              <w:ind w:left="57" w:right="57" w:hanging="0"/>
              <w:rPr>
                <w:spacing w:val="20"/>
                <w:sz w:val="27"/>
                <w:szCs w:val="27"/>
              </w:rPr>
            </w:pPr>
            <w:r>
              <w:rPr>
                <w:spacing w:val="20"/>
                <w:sz w:val="27"/>
                <w:szCs w:val="27"/>
              </w:rPr>
              <w:t>(3/2011)</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研究結果已在政府統計處出版的《主題性住戶統計調查第四十六號報告書》公布。我們已向立法會相關委員會簡介研究結果。</w:t>
            </w:r>
          </w:p>
          <w:p>
            <w:pPr>
              <w:pStyle w:val="Normal"/>
              <w:widowControl/>
              <w:snapToGrid w:val="false"/>
              <w:spacing w:lineRule="exact" w:line="280"/>
              <w:ind w:left="57" w:right="57" w:hanging="0"/>
              <w:rPr>
                <w:spacing w:val="20"/>
                <w:sz w:val="27"/>
                <w:szCs w:val="27"/>
              </w:rPr>
            </w:pPr>
            <w:r>
              <w:rPr>
                <w:spacing w:val="20"/>
                <w:sz w:val="27"/>
                <w:szCs w:val="27"/>
              </w:rPr>
              <w:t xml:space="preserve">Study Results have been announced in the Census and Statistics </w:t>
            </w:r>
            <w:r>
              <w:rPr>
                <w:sz w:val="27"/>
                <w:szCs w:val="27"/>
              </w:rPr>
              <w:t>Department's</w:t>
            </w:r>
            <w:r>
              <w:rPr>
                <w:spacing w:val="20"/>
                <w:sz w:val="27"/>
                <w:szCs w:val="27"/>
              </w:rPr>
              <w:t xml:space="preserve"> publication of "Thematic Household Survey Report No. 46".  We have briefed relevant Legislative Council Panel on the survey results.</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300"/>
              <w:ind w:left="57" w:right="57" w:hanging="0"/>
              <w:rPr>
                <w:spacing w:val="20"/>
                <w:sz w:val="27"/>
                <w:szCs w:val="27"/>
              </w:rPr>
            </w:pPr>
            <w:r>
              <w:rPr>
                <w:spacing w:val="20"/>
                <w:sz w:val="27"/>
                <w:szCs w:val="27"/>
              </w:rPr>
              <w:t>研究結果</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exact" w:line="300"/>
              <w:ind w:left="57" w:right="57" w:hanging="0"/>
              <w:rPr>
                <w:spacing w:val="20"/>
                <w:sz w:val="27"/>
                <w:szCs w:val="27"/>
              </w:rPr>
            </w:pPr>
            <w:r>
              <w:rPr>
                <w:spacing w:val="20"/>
                <w:sz w:val="27"/>
                <w:szCs w:val="27"/>
              </w:rPr>
              <w:t>Study Results</w:t>
            </w:r>
          </w:p>
          <w:p>
            <w:pPr>
              <w:pStyle w:val="Normal"/>
              <w:widowControl/>
              <w:snapToGrid w:val="false"/>
              <w:spacing w:lineRule="exact" w:line="300"/>
              <w:ind w:left="57" w:right="57" w:hanging="0"/>
              <w:rPr>
                <w:spacing w:val="20"/>
                <w:sz w:val="27"/>
                <w:szCs w:val="27"/>
              </w:rPr>
            </w:pPr>
            <w:r>
              <w:rPr>
                <w:spacing w:val="20"/>
                <w:sz w:val="27"/>
                <w:szCs w:val="27"/>
              </w:rPr>
              <w:t>(Chinese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有</w:t>
            </w:r>
          </w:p>
          <w:p>
            <w:pPr>
              <w:pStyle w:val="Normal"/>
              <w:widowControl/>
              <w:snapToGrid w:val="false"/>
              <w:spacing w:lineRule="exact" w:line="280"/>
              <w:ind w:left="57" w:right="57" w:hanging="0"/>
              <w:rPr>
                <w:spacing w:val="20"/>
                <w:sz w:val="27"/>
                <w:szCs w:val="27"/>
              </w:rPr>
            </w:pPr>
            <w:r>
              <w:rPr>
                <w:spacing w:val="20"/>
                <w:sz w:val="27"/>
                <w:szCs w:val="27"/>
              </w:rPr>
              <w:t>Yes</w:t>
            </w:r>
          </w:p>
        </w:tc>
      </w:tr>
      <w:tr>
        <w:trPr>
          <w:trHeight w:val="20" w:hRule="atLeast"/>
        </w:trPr>
        <w:tc>
          <w:tcPr>
            <w:tcW w:w="1846"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r>
          </w:p>
        </w:tc>
        <w:tc>
          <w:tcPr>
            <w:tcW w:w="2194"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啟德體育園區的採購及融資安排</w:t>
            </w:r>
          </w:p>
          <w:p>
            <w:pPr>
              <w:pStyle w:val="Normal"/>
              <w:widowControl/>
              <w:snapToGrid w:val="false"/>
              <w:spacing w:lineRule="auto" w:line="240"/>
              <w:ind w:left="57" w:right="57" w:hanging="0"/>
              <w:rPr>
                <w:spacing w:val="20"/>
                <w:sz w:val="27"/>
                <w:szCs w:val="27"/>
              </w:rPr>
            </w:pPr>
            <w:r>
              <w:rPr>
                <w:spacing w:val="20"/>
                <w:sz w:val="27"/>
                <w:szCs w:val="27"/>
              </w:rPr>
              <w:t>Procurement and Financing Options for the Multi-purpose Sports Complex at Kai Tak</w:t>
            </w:r>
          </w:p>
          <w:p>
            <w:pPr>
              <w:pStyle w:val="Normal"/>
              <w:widowControl/>
              <w:snapToGrid w:val="false"/>
              <w:spacing w:lineRule="auto" w:line="240"/>
              <w:ind w:left="57" w:right="57" w:hanging="0"/>
              <w:rPr>
                <w:spacing w:val="20"/>
                <w:sz w:val="27"/>
                <w:szCs w:val="27"/>
              </w:rPr>
            </w:pPr>
            <w:r>
              <w:rPr>
                <w:spacing w:val="20"/>
                <w:sz w:val="27"/>
                <w:szCs w:val="27"/>
              </w:rPr>
            </w:r>
          </w:p>
          <w:p>
            <w:pPr>
              <w:pStyle w:val="Normal"/>
              <w:widowControl/>
              <w:snapToGrid w:val="false"/>
              <w:spacing w:lineRule="auto" w:line="240"/>
              <w:ind w:left="57" w:right="57" w:hanging="0"/>
              <w:rPr>
                <w:spacing w:val="20"/>
                <w:sz w:val="27"/>
                <w:szCs w:val="27"/>
              </w:rPr>
            </w:pPr>
            <w:r>
              <w:rPr>
                <w:spacing w:val="20"/>
                <w:sz w:val="27"/>
                <w:szCs w:val="27"/>
              </w:rPr>
              <w:t>(8/2012)</w:t>
            </w:r>
          </w:p>
        </w:tc>
        <w:tc>
          <w:tcPr>
            <w:tcW w:w="1725"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exact" w:line="280"/>
              <w:ind w:left="57" w:right="57" w:hanging="0"/>
              <w:rPr>
                <w:spacing w:val="20"/>
                <w:sz w:val="27"/>
                <w:szCs w:val="27"/>
              </w:rPr>
            </w:pPr>
            <w:r>
              <w:rPr>
                <w:spacing w:val="20"/>
                <w:sz w:val="27"/>
                <w:szCs w:val="27"/>
              </w:rPr>
              <w:t>網頁列載或可供下載</w:t>
            </w:r>
            <w:r>
              <w:rPr>
                <w:spacing w:val="20"/>
                <w:sz w:val="27"/>
                <w:szCs w:val="27"/>
              </w:rPr>
              <w:t>Available on</w:t>
            </w:r>
          </w:p>
          <w:p>
            <w:pPr>
              <w:pStyle w:val="Normal"/>
              <w:widowControl/>
              <w:snapToGrid w:val="false"/>
              <w:spacing w:lineRule="auto" w:line="240"/>
              <w:ind w:left="57" w:right="57" w:hanging="0"/>
              <w:rPr>
                <w:spacing w:val="20"/>
                <w:sz w:val="27"/>
                <w:szCs w:val="27"/>
              </w:rPr>
            </w:pPr>
            <w:r>
              <w:rPr>
                <w:spacing w:val="20"/>
                <w:sz w:val="27"/>
                <w:szCs w:val="27"/>
              </w:rPr>
              <w:t>website</w:t>
            </w:r>
          </w:p>
        </w:tc>
        <w:tc>
          <w:tcPr>
            <w:tcW w:w="1887"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摘要及報告全文</w:t>
            </w:r>
            <w:r>
              <w:rPr>
                <w:spacing w:val="20"/>
                <w:sz w:val="27"/>
                <w:szCs w:val="27"/>
              </w:rPr>
              <w:t>(</w:t>
            </w:r>
            <w:r>
              <w:rPr>
                <w:spacing w:val="20"/>
                <w:sz w:val="27"/>
                <w:szCs w:val="27"/>
              </w:rPr>
              <w:t>中及英</w:t>
            </w:r>
            <w:r>
              <w:rPr>
                <w:spacing w:val="20"/>
                <w:sz w:val="27"/>
                <w:szCs w:val="27"/>
              </w:rPr>
              <w:t>)</w:t>
            </w:r>
          </w:p>
          <w:p>
            <w:pPr>
              <w:pStyle w:val="Normal"/>
              <w:widowControl/>
              <w:snapToGrid w:val="false"/>
              <w:spacing w:lineRule="auto" w:line="240"/>
              <w:ind w:left="57" w:right="57" w:hanging="0"/>
              <w:rPr>
                <w:spacing w:val="20"/>
                <w:sz w:val="27"/>
                <w:szCs w:val="27"/>
              </w:rPr>
            </w:pPr>
            <w:r>
              <w:rPr>
                <w:spacing w:val="20"/>
                <w:sz w:val="27"/>
                <w:szCs w:val="27"/>
              </w:rPr>
              <w:t>Executive Summary and Full Text of the Report (Chinese and English)</w:t>
            </w:r>
          </w:p>
        </w:tc>
        <w:tc>
          <w:tcPr>
            <w:tcW w:w="1561" w:type="dxa"/>
            <w:tcBorders>
              <w:top w:val="single" w:sz="4" w:space="0" w:color="000000"/>
              <w:left w:val="single" w:sz="4" w:space="0" w:color="000000"/>
              <w:bottom w:val="single" w:sz="4" w:space="0" w:color="000000"/>
              <w:right w:val="single" w:sz="4" w:space="0" w:color="000000"/>
            </w:tcBorders>
          </w:tcPr>
          <w:p>
            <w:pPr>
              <w:pStyle w:val="Normal"/>
              <w:widowControl/>
              <w:snapToGrid w:val="false"/>
              <w:spacing w:lineRule="auto" w:line="240"/>
              <w:ind w:left="57" w:right="57" w:hanging="0"/>
              <w:rPr>
                <w:spacing w:val="20"/>
                <w:sz w:val="27"/>
                <w:szCs w:val="27"/>
              </w:rPr>
            </w:pPr>
            <w:r>
              <w:rPr>
                <w:spacing w:val="20"/>
                <w:sz w:val="27"/>
                <w:szCs w:val="27"/>
              </w:rPr>
              <w:t>有</w:t>
            </w:r>
          </w:p>
          <w:p>
            <w:pPr>
              <w:pStyle w:val="Normal"/>
              <w:widowControl/>
              <w:snapToGrid w:val="false"/>
              <w:spacing w:lineRule="auto" w:line="240"/>
              <w:ind w:left="57" w:right="57" w:hanging="0"/>
              <w:rPr>
                <w:spacing w:val="20"/>
                <w:sz w:val="27"/>
                <w:szCs w:val="27"/>
              </w:rPr>
            </w:pPr>
            <w:r>
              <w:rPr>
                <w:spacing w:val="20"/>
                <w:sz w:val="27"/>
                <w:szCs w:val="27"/>
              </w:rPr>
              <w:t>Yes</w:t>
            </w:r>
          </w:p>
        </w:tc>
      </w:tr>
    </w:tbl>
    <w:p>
      <w:pPr>
        <w:pStyle w:val="F21"/>
        <w:widowControl/>
        <w:spacing w:lineRule="auto" w:line="240"/>
        <w:ind w:left="240" w:hanging="240"/>
        <w:rPr>
          <w:sz w:val="20"/>
          <w:szCs w:val="27"/>
        </w:rPr>
      </w:pPr>
      <w:r>
        <w:rPr>
          <w:sz w:val="20"/>
          <w:szCs w:val="27"/>
        </w:rPr>
      </w:r>
    </w:p>
    <w:p>
      <w:pPr>
        <w:pStyle w:val="F21"/>
        <w:widowControl/>
        <w:spacing w:lineRule="auto" w:line="240"/>
        <w:ind w:left="240" w:hanging="240"/>
        <w:rPr>
          <w:sz w:val="20"/>
          <w:szCs w:val="27"/>
        </w:rPr>
      </w:pPr>
      <w:r>
        <w:rPr>
          <w:sz w:val="20"/>
          <w:szCs w:val="27"/>
        </w:rPr>
        <w:t>註：</w:t>
      </w:r>
    </w:p>
    <w:p>
      <w:pPr>
        <w:pStyle w:val="F21"/>
        <w:widowControl/>
        <w:spacing w:lineRule="auto" w:line="240"/>
        <w:ind w:left="240" w:hanging="240"/>
        <w:rPr>
          <w:sz w:val="20"/>
          <w:szCs w:val="27"/>
        </w:rPr>
      </w:pPr>
      <w:r>
        <w:rPr>
          <w:sz w:val="20"/>
          <w:szCs w:val="27"/>
        </w:rPr>
      </w:r>
    </w:p>
    <w:p>
      <w:pPr>
        <w:pStyle w:val="F21"/>
        <w:widowControl/>
        <w:numPr>
          <w:ilvl w:val="0"/>
          <w:numId w:val="1"/>
        </w:numPr>
        <w:tabs>
          <w:tab w:val="clear" w:pos="567"/>
        </w:tabs>
        <w:snapToGrid w:val="false"/>
        <w:spacing w:lineRule="auto" w:line="240"/>
        <w:ind w:left="480" w:hanging="480"/>
        <w:textAlignment w:val="baseline"/>
        <w:rPr>
          <w:sz w:val="20"/>
          <w:szCs w:val="27"/>
        </w:rPr>
      </w:pPr>
      <w:r>
        <w:rPr>
          <w:sz w:val="20"/>
          <w:szCs w:val="27"/>
        </w:rPr>
        <w:t>該研究只為整體研究過程中的初步工作，仍需進行後續工作，方能提供一個完備的研究結果。</w:t>
      </w:r>
      <w:r>
        <w:rPr>
          <w:sz w:val="20"/>
          <w:szCs w:val="27"/>
        </w:rPr>
        <w:t>This study constituted only the initial part of the entire study into the subject.  Further studies have to be undertaken to provide a complete conclusion.</w:t>
      </w:r>
    </w:p>
    <w:p>
      <w:pPr>
        <w:pStyle w:val="F21"/>
        <w:widowControl/>
        <w:spacing w:lineRule="auto" w:line="240"/>
        <w:ind w:left="480" w:hanging="480"/>
        <w:rPr>
          <w:sz w:val="20"/>
          <w:szCs w:val="27"/>
        </w:rPr>
      </w:pPr>
      <w:r>
        <w:rPr>
          <w:sz w:val="20"/>
          <w:szCs w:val="27"/>
        </w:rPr>
      </w:r>
    </w:p>
    <w:p>
      <w:pPr>
        <w:pStyle w:val="F21"/>
        <w:widowControl/>
        <w:spacing w:lineRule="auto" w:line="240"/>
        <w:ind w:left="480" w:hanging="480"/>
        <w:rPr>
          <w:sz w:val="20"/>
          <w:szCs w:val="27"/>
        </w:rPr>
      </w:pPr>
      <w:r>
        <w:rPr>
          <w:sz w:val="20"/>
          <w:szCs w:val="27"/>
        </w:rPr>
        <w:t>(2)</w:t>
        <w:tab/>
      </w:r>
      <w:r>
        <w:rPr>
          <w:sz w:val="20"/>
          <w:szCs w:val="27"/>
        </w:rPr>
        <w:t>該研究是涉及一個局部或小規模課題的技術性研究，研究結果主要供內部參考或應用。</w:t>
      </w:r>
      <w:r>
        <w:rPr>
          <w:sz w:val="20"/>
          <w:szCs w:val="27"/>
        </w:rPr>
        <w:t>This study involved a partial or small-scale technical study.  The outcome of the study was intended for internal reference or application.</w:t>
      </w:r>
    </w:p>
    <w:p>
      <w:pPr>
        <w:pStyle w:val="F21"/>
        <w:widowControl/>
        <w:tabs>
          <w:tab w:val="clear" w:pos="567"/>
        </w:tabs>
        <w:spacing w:lineRule="auto" w:line="240"/>
        <w:ind w:left="480" w:hanging="480"/>
        <w:rPr>
          <w:sz w:val="20"/>
          <w:szCs w:val="27"/>
        </w:rPr>
      </w:pPr>
      <w:r>
        <w:rPr>
          <w:sz w:val="20"/>
          <w:szCs w:val="27"/>
        </w:rPr>
      </w:r>
    </w:p>
    <w:p>
      <w:pPr>
        <w:pStyle w:val="F21"/>
        <w:widowControl/>
        <w:tabs>
          <w:tab w:val="clear" w:pos="567"/>
        </w:tabs>
        <w:spacing w:lineRule="auto" w:line="240"/>
        <w:ind w:left="480" w:hanging="480"/>
        <w:rPr>
          <w:sz w:val="20"/>
          <w:szCs w:val="27"/>
        </w:rPr>
      </w:pPr>
      <w:r>
        <w:rPr>
          <w:sz w:val="20"/>
          <w:szCs w:val="27"/>
        </w:rPr>
        <w:t>(3)</w:t>
        <w:tab/>
      </w:r>
      <w:r>
        <w:rPr>
          <w:sz w:val="20"/>
          <w:szCs w:val="27"/>
        </w:rPr>
        <w:t>該研究只屬整個課題研究的一部分，偏重技術可行性。而且研究建議該項目不適合當時採用，建議亦獲當局接納。故此如作出披露，可能會令人產生誤解。</w:t>
      </w:r>
      <w:r>
        <w:rPr>
          <w:sz w:val="20"/>
          <w:szCs w:val="27"/>
        </w:rPr>
        <w:t>This study constituted only part of an entire study and its emphasis was on technical feasibility.  In addition, at the time the study recommended against application of the subject under study and the recommendation was accepted by the commissioning department.  Release of the study report might thus be misleading.</w:t>
      </w:r>
    </w:p>
    <w:p>
      <w:pPr>
        <w:pStyle w:val="F21"/>
        <w:spacing w:lineRule="atLeast" w:line="370"/>
        <w:rPr>
          <w:rFonts w:ascii="華康中黑體" w:hAnsi="華康中黑體" w:eastAsia="華康中黑體"/>
          <w:b/>
          <w:b/>
          <w:sz w:val="28"/>
          <w:szCs w:val="28"/>
        </w:rPr>
      </w:pPr>
      <w:r>
        <w:rPr>
          <w:rFonts w:eastAsia="華康中黑體" w:ascii="華康中黑體" w:hAnsi="華康中黑體"/>
          <w:b/>
          <w:sz w:val="28"/>
          <w:szCs w:val="28"/>
        </w:rPr>
      </w:r>
    </w:p>
    <w:p>
      <w:pPr>
        <w:pStyle w:val="F21"/>
        <w:spacing w:lineRule="atLeast" w:line="370"/>
        <w:rPr/>
      </w:pPr>
      <w:bookmarkStart w:id="59" w:name="bil"/>
      <w:r>
        <w:rPr>
          <w:rFonts w:ascii="華康中黑體" w:hAnsi="華康中黑體" w:eastAsia="華康中黑體"/>
          <w:b/>
          <w:sz w:val="28"/>
          <w:szCs w:val="28"/>
        </w:rPr>
        <w:t>法案</w:t>
      </w:r>
      <w:r>
        <w:br w:type="page"/>
      </w:r>
    </w:p>
    <w:p>
      <w:pPr>
        <w:pStyle w:val="Normal"/>
        <w:spacing w:lineRule="atLeast" w:line="370"/>
        <w:rPr>
          <w:b/>
          <w:b/>
        </w:rPr>
      </w:pPr>
      <w:bookmarkStart w:id="60" w:name="bil"/>
      <w:r>
        <w:rPr>
          <w:b/>
        </w:rPr>
        <w:t>BILLS</w:t>
      </w:r>
      <w:bookmarkEnd w:id="60"/>
    </w:p>
    <w:p>
      <w:pPr>
        <w:pStyle w:val="F21"/>
        <w:spacing w:lineRule="atLeast" w:line="370"/>
        <w:rPr/>
      </w:pPr>
      <w:r>
        <w:rPr/>
      </w:r>
    </w:p>
    <w:p>
      <w:pPr>
        <w:pStyle w:val="F21"/>
        <w:spacing w:lineRule="atLeast" w:line="370"/>
        <w:rPr>
          <w:rFonts w:ascii="華康中黑體" w:hAnsi="華康中黑體" w:eastAsia="華康中黑體"/>
          <w:b/>
          <w:b/>
        </w:rPr>
      </w:pPr>
      <w:r>
        <w:rPr>
          <w:rFonts w:ascii="華康中黑體" w:hAnsi="華康中黑體" w:eastAsia="華康中黑體"/>
          <w:b/>
        </w:rPr>
        <w:t>法案二讀</w:t>
      </w:r>
    </w:p>
    <w:p>
      <w:pPr>
        <w:pStyle w:val="Normal"/>
        <w:spacing w:lineRule="atLeast" w:line="370"/>
        <w:rPr>
          <w:b/>
          <w:b/>
        </w:rPr>
      </w:pPr>
      <w:r>
        <w:rPr>
          <w:b/>
        </w:rPr>
        <w:t>Second Reading of Bills</w:t>
      </w:r>
      <w:bookmarkStart w:id="61" w:name="b2r"/>
      <w:bookmarkEnd w:id="61"/>
    </w:p>
    <w:p>
      <w:pPr>
        <w:pStyle w:val="F21"/>
        <w:spacing w:lineRule="atLeast" w:line="370"/>
        <w:rPr/>
      </w:pPr>
      <w:r>
        <w:rPr/>
      </w:r>
    </w:p>
    <w:p>
      <w:pPr>
        <w:pStyle w:val="F21"/>
        <w:spacing w:lineRule="atLeast" w:line="370"/>
        <w:rPr>
          <w:rFonts w:ascii="華康中黑體" w:hAnsi="華康中黑體" w:eastAsia="華康中黑體"/>
          <w:b/>
          <w:b/>
        </w:rPr>
      </w:pPr>
      <w:bookmarkStart w:id="62" w:name="b2d01"/>
      <w:r>
        <w:rPr>
          <w:rFonts w:ascii="華康中黑體" w:hAnsi="華康中黑體" w:eastAsia="華康中黑體"/>
          <w:b/>
        </w:rPr>
        <w:t>恢復法案二讀辯論</w:t>
      </w:r>
    </w:p>
    <w:p>
      <w:pPr>
        <w:pStyle w:val="Normal"/>
        <w:spacing w:lineRule="atLeast" w:line="370"/>
        <w:rPr>
          <w:b/>
          <w:b/>
        </w:rPr>
      </w:pPr>
      <w:bookmarkStart w:id="63" w:name="b2d01"/>
      <w:r>
        <w:rPr>
          <w:b/>
        </w:rPr>
        <w:t>Resumption of Second Reading Debate on Bills</w:t>
      </w:r>
      <w:bookmarkEnd w:id="63"/>
    </w:p>
    <w:p>
      <w:pPr>
        <w:pStyle w:val="F21"/>
        <w:spacing w:lineRule="atLeast" w:line="370"/>
        <w:rPr/>
      </w:pPr>
      <w:r>
        <w:rPr/>
      </w:r>
    </w:p>
    <w:p>
      <w:pPr>
        <w:pStyle w:val="F21"/>
        <w:spacing w:lineRule="atLeast" w:line="370"/>
        <w:rPr/>
      </w:pPr>
      <w:r>
        <w:rPr>
          <w:rFonts w:ascii="華康中黑體" w:hAnsi="華康中黑體" w:eastAsia="華康中黑體"/>
          <w:b/>
        </w:rPr>
        <w:t>主席</w:t>
      </w:r>
      <w:r>
        <w:rPr>
          <w:rFonts w:ascii="華康中黑體" w:hAnsi="華康中黑體"/>
        </w:rPr>
        <w:t>：</w:t>
      </w:r>
      <w:r>
        <w:rPr/>
        <w:t>法案。本會現在恢復《</w:t>
      </w:r>
      <w:r>
        <w:rPr/>
        <w:t>2013</w:t>
      </w:r>
      <w:r>
        <w:rPr/>
        <w:t>年玩具及兒童產品安全</w:t>
      </w:r>
      <w:r>
        <w:rPr/>
        <w:t>(</w:t>
      </w:r>
      <w:r>
        <w:rPr/>
        <w:t>修訂</w:t>
      </w:r>
      <w:r>
        <w:rPr/>
        <w:t>)</w:t>
      </w:r>
      <w:r>
        <w:rPr/>
        <w:t>條例草案》的二讀辯論。</w:t>
      </w:r>
    </w:p>
    <w:p>
      <w:pPr>
        <w:pStyle w:val="F21"/>
        <w:spacing w:lineRule="atLeast" w:line="370"/>
        <w:rPr/>
      </w:pPr>
      <w:r>
        <w:rPr/>
      </w:r>
    </w:p>
    <w:p>
      <w:pPr>
        <w:pStyle w:val="F21"/>
        <w:spacing w:lineRule="atLeast" w:line="370"/>
        <w:rPr/>
      </w:pPr>
      <w:r>
        <w:rPr/>
      </w:r>
    </w:p>
    <w:p>
      <w:pPr>
        <w:pStyle w:val="F21"/>
        <w:spacing w:lineRule="atLeast" w:line="370"/>
        <w:rPr>
          <w:rFonts w:ascii="華康中黑體" w:hAnsi="華康中黑體" w:eastAsia="華康中黑體"/>
          <w:b/>
          <w:b/>
        </w:rPr>
      </w:pPr>
      <w:bookmarkStart w:id="64" w:name="b2d01a"/>
      <w:r>
        <w:rPr>
          <w:rFonts w:cs="Times New Roman" w:eastAsia="華康中黑體"/>
          <w:b/>
        </w:rPr>
        <w:t>《</w:t>
      </w:r>
      <w:r>
        <w:rPr>
          <w:rFonts w:eastAsia="華康中黑體" w:cs="Times New Roman"/>
          <w:b/>
        </w:rPr>
        <w:t>2013</w:t>
      </w:r>
      <w:r>
        <w:rPr>
          <w:rFonts w:cs="Times New Roman" w:eastAsia="華康中黑體"/>
          <w:b/>
        </w:rPr>
        <w:t>年玩具及兒童產品安全</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spacing w:lineRule="atLeast" w:line="370"/>
        <w:rPr>
          <w:b/>
          <w:b/>
        </w:rPr>
      </w:pPr>
      <w:bookmarkStart w:id="65" w:name="b2d01a"/>
      <w:r>
        <w:rPr>
          <w:b/>
        </w:rPr>
        <w:t>TOYS AND CHILDREN'S PRODUCTS SAFETY (AMENDMENT) BILL 2013</w:t>
      </w:r>
      <w:bookmarkEnd w:id="65"/>
    </w:p>
    <w:p>
      <w:pPr>
        <w:pStyle w:val="F21"/>
        <w:spacing w:lineRule="atLeast" w:line="370"/>
        <w:rPr/>
      </w:pPr>
      <w:r>
        <w:rPr/>
      </w:r>
    </w:p>
    <w:p>
      <w:pPr>
        <w:pStyle w:val="F21"/>
        <w:spacing w:lineRule="atLeast" w:line="370"/>
        <w:rPr>
          <w:rFonts w:eastAsia="華康中黑體" w:cs="Times New Roman"/>
          <w:b/>
          <w:b/>
        </w:rPr>
      </w:pPr>
      <w:r>
        <w:rPr>
          <w:rFonts w:cs="Times New Roman" w:eastAsia="華康中黑體"/>
          <w:b/>
        </w:rPr>
        <w:t>恢復辯論經於</w:t>
      </w:r>
      <w:r>
        <w:rPr>
          <w:rFonts w:eastAsia="華康中黑體" w:cs="Times New Roman"/>
          <w:b/>
        </w:rPr>
        <w:t>2013</w:t>
      </w:r>
      <w:r>
        <w:rPr>
          <w:rFonts w:cs="Times New Roman" w:eastAsia="華康中黑體"/>
          <w:b/>
        </w:rPr>
        <w:t>年</w:t>
      </w:r>
      <w:r>
        <w:rPr>
          <w:rFonts w:eastAsia="華康中黑體" w:cs="Times New Roman"/>
          <w:b/>
        </w:rPr>
        <w:t>7</w:t>
      </w:r>
      <w:r>
        <w:rPr>
          <w:rFonts w:cs="Times New Roman" w:eastAsia="華康中黑體"/>
          <w:b/>
        </w:rPr>
        <w:t>月</w:t>
      </w:r>
      <w:r>
        <w:rPr>
          <w:rFonts w:eastAsia="華康中黑體" w:cs="Times New Roman"/>
          <w:b/>
        </w:rPr>
        <w:t>17</w:t>
      </w:r>
      <w:r>
        <w:rPr>
          <w:rFonts w:cs="Times New Roman" w:eastAsia="華康中黑體"/>
          <w:b/>
        </w:rPr>
        <w:t>日動議的條例草案二讀議案</w:t>
      </w:r>
    </w:p>
    <w:p>
      <w:pPr>
        <w:pStyle w:val="Normal"/>
        <w:spacing w:lineRule="atLeast" w:line="370"/>
        <w:rPr>
          <w:b/>
          <w:b/>
        </w:rPr>
      </w:pPr>
      <w:r>
        <w:rPr>
          <w:b/>
        </w:rPr>
        <w:t>Resumption of debate on Second Reading which was moved on 17 July 2013</w:t>
      </w:r>
    </w:p>
    <w:p>
      <w:pPr>
        <w:pStyle w:val="F21"/>
        <w:spacing w:lineRule="atLeast" w:line="370"/>
        <w:rPr/>
      </w:pPr>
      <w:r>
        <w:rPr/>
      </w:r>
    </w:p>
    <w:p>
      <w:pPr>
        <w:pStyle w:val="F21"/>
        <w:spacing w:lineRule="atLeast" w:line="370"/>
        <w:rPr/>
      </w:pPr>
      <w:r>
        <w:rPr>
          <w:rFonts w:ascii="華康中黑體" w:hAnsi="華康中黑體" w:eastAsia="華康中黑體"/>
          <w:b/>
        </w:rPr>
        <w:t>主席</w:t>
      </w:r>
      <w:r>
        <w:rPr>
          <w:rFonts w:ascii="華康中黑體" w:hAnsi="華康中黑體"/>
        </w:rPr>
        <w:t>：</w:t>
      </w:r>
      <w:r>
        <w:rPr/>
        <w:t>審議上述條例草案的委員會主席林健鋒議員會就委員會的報告，向本會發言。</w:t>
      </w:r>
    </w:p>
    <w:p>
      <w:pPr>
        <w:pStyle w:val="F21"/>
        <w:spacing w:lineRule="atLeast" w:line="370"/>
        <w:rPr/>
      </w:pPr>
      <w:r>
        <w:rPr/>
      </w:r>
    </w:p>
    <w:p>
      <w:pPr>
        <w:pStyle w:val="F21"/>
        <w:spacing w:lineRule="atLeast" w:line="370"/>
        <w:rPr/>
      </w:pPr>
      <w:r>
        <w:rPr/>
      </w:r>
    </w:p>
    <w:p>
      <w:pPr>
        <w:pStyle w:val="F21"/>
        <w:spacing w:lineRule="atLeast" w:line="370"/>
        <w:rPr>
          <w:szCs w:val="27"/>
        </w:rPr>
      </w:pPr>
      <w:r>
        <w:rPr>
          <w:rFonts w:ascii="華康中黑體" w:hAnsi="華康中黑體" w:cs="華康中黑體" w:eastAsia="華康中黑體"/>
          <w:b/>
          <w:szCs w:val="27"/>
        </w:rPr>
        <w:t>林健鋒議員</w:t>
      </w:r>
      <w:r>
        <w:rPr>
          <w:szCs w:val="27"/>
        </w:rPr>
        <w:t>：主席，我謹以《</w:t>
      </w:r>
      <w:r>
        <w:rPr>
          <w:szCs w:val="27"/>
        </w:rPr>
        <w:t>2013</w:t>
      </w:r>
      <w:r>
        <w:rPr>
          <w:szCs w:val="27"/>
        </w:rPr>
        <w:t>年玩具及兒童產品安全</w:t>
      </w:r>
      <w:r>
        <w:rPr>
          <w:szCs w:val="27"/>
        </w:rPr>
        <w:t>(</w:t>
      </w:r>
      <w:r>
        <w:rPr>
          <w:szCs w:val="27"/>
        </w:rPr>
        <w:t>修訂</w:t>
      </w:r>
      <w:r>
        <w:rPr>
          <w:szCs w:val="27"/>
        </w:rPr>
        <w:t>)</w:t>
      </w:r>
      <w:r>
        <w:rPr>
          <w:szCs w:val="27"/>
        </w:rPr>
        <w:t>條例草案》委員會</w:t>
      </w:r>
      <w:r>
        <w:rPr>
          <w:szCs w:val="27"/>
        </w:rPr>
        <w:t>(“</w:t>
      </w:r>
      <w:r>
        <w:rPr>
          <w:szCs w:val="27"/>
        </w:rPr>
        <w:t>法案委員會”</w:t>
      </w:r>
      <w:r>
        <w:rPr>
          <w:szCs w:val="27"/>
        </w:rPr>
        <w:t>)</w:t>
      </w:r>
      <w:r>
        <w:rPr>
          <w:szCs w:val="27"/>
        </w:rPr>
        <w:t>主席的身份，向立法會提交報告，並簡述法案委員會商議的主要事項。法案委員會共舉行了兩次會議，並邀請了公眾及相關團體提交意見書。</w:t>
      </w:r>
    </w:p>
    <w:p>
      <w:pPr>
        <w:pStyle w:val="F21"/>
        <w:spacing w:lineRule="atLeast" w:line="370"/>
        <w:rPr>
          <w:szCs w:val="27"/>
        </w:rPr>
      </w:pPr>
      <w:r>
        <w:rPr>
          <w:szCs w:val="27"/>
        </w:rPr>
      </w:r>
    </w:p>
    <w:p>
      <w:pPr>
        <w:pStyle w:val="F21"/>
        <w:spacing w:lineRule="atLeast" w:line="370"/>
        <w:rPr>
          <w:szCs w:val="27"/>
        </w:rPr>
      </w:pPr>
      <w:r>
        <w:rPr>
          <w:szCs w:val="27"/>
        </w:rPr>
        <w:tab/>
      </w:r>
      <w:r>
        <w:rPr>
          <w:szCs w:val="27"/>
        </w:rPr>
        <w:t>《</w:t>
      </w:r>
      <w:r>
        <w:rPr>
          <w:szCs w:val="27"/>
        </w:rPr>
        <w:t>2013</w:t>
      </w:r>
      <w:r>
        <w:rPr>
          <w:szCs w:val="27"/>
        </w:rPr>
        <w:t>年玩具及兒童產品安全</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的目的是修訂《玩具及兒童產品安全條例》，擴大該條例中“兒童產品”的定義，以及對該條例作出其他修訂，以便訂立附屬法例，以實施鄰苯二甲酸酯的擬議管制。</w:t>
      </w:r>
    </w:p>
    <w:p>
      <w:pPr>
        <w:pStyle w:val="F21"/>
        <w:spacing w:lineRule="atLeast" w:line="370"/>
        <w:rPr>
          <w:szCs w:val="27"/>
        </w:rPr>
      </w:pPr>
      <w:r>
        <w:rPr>
          <w:szCs w:val="27"/>
        </w:rPr>
      </w:r>
    </w:p>
    <w:p>
      <w:pPr>
        <w:pStyle w:val="F21"/>
        <w:spacing w:lineRule="atLeast" w:line="370"/>
        <w:rPr>
          <w:szCs w:val="27"/>
        </w:rPr>
      </w:pPr>
      <w:r>
        <w:rPr>
          <w:szCs w:val="27"/>
        </w:rPr>
      </w:r>
    </w:p>
    <w:p>
      <w:pPr>
        <w:pStyle w:val="F21"/>
        <w:snapToGrid w:val="false"/>
        <w:spacing w:lineRule="atLeast" w:line="370"/>
        <w:rPr>
          <w:szCs w:val="27"/>
        </w:rPr>
      </w:pPr>
      <w:r>
        <w:rPr>
          <w:szCs w:val="27"/>
        </w:rPr>
        <w:t>(</w:t>
      </w:r>
      <w:r>
        <w:rPr>
          <w:szCs w:val="27"/>
        </w:rPr>
        <w:t>代理主席</w:t>
      </w:r>
      <w:r>
        <w:rPr>
          <w:color w:val="000000"/>
          <w:szCs w:val="27"/>
        </w:rPr>
        <w:t>梁君彥</w:t>
      </w:r>
      <w:r>
        <w:rPr>
          <w:szCs w:val="27"/>
        </w:rPr>
        <w:t>議員代為主持會議</w:t>
      </w:r>
      <w:r>
        <w:rPr>
          <w:szCs w:val="27"/>
        </w:rPr>
        <w:t>)</w:t>
      </w:r>
    </w:p>
    <w:p>
      <w:pPr>
        <w:pStyle w:val="F21"/>
        <w:rPr>
          <w:szCs w:val="27"/>
        </w:rPr>
      </w:pPr>
      <w:r>
        <w:rPr>
          <w:szCs w:val="27"/>
        </w:rPr>
      </w:r>
    </w:p>
    <w:p>
      <w:pPr>
        <w:pStyle w:val="F21"/>
        <w:rPr>
          <w:szCs w:val="27"/>
        </w:rPr>
      </w:pPr>
      <w:r>
        <w:rPr>
          <w:szCs w:val="27"/>
        </w:rPr>
        <w:tab/>
      </w:r>
      <w:r>
        <w:rPr>
          <w:szCs w:val="27"/>
        </w:rPr>
        <w:t>法案委員會委員普遍支持引入鄰苯二甲酸酯的擬議管制，以加強保障兒童的安全。法案委員會察悉，擬議就玩具和兒童產品使用的</w:t>
      </w:r>
      <w:r>
        <w:rPr>
          <w:szCs w:val="27"/>
        </w:rPr>
        <w:t>6</w:t>
      </w:r>
      <w:r>
        <w:rPr>
          <w:szCs w:val="27"/>
        </w:rPr>
        <w:t>種鄰苯二甲酸酯實施的管制，與海外先進經濟體系，包括歐盟、美國、加拿大及新加坡的相關法例一致。</w:t>
      </w:r>
    </w:p>
    <w:p>
      <w:pPr>
        <w:pStyle w:val="F21"/>
        <w:rPr>
          <w:szCs w:val="27"/>
        </w:rPr>
      </w:pPr>
      <w:r>
        <w:rPr>
          <w:szCs w:val="27"/>
        </w:rPr>
      </w:r>
    </w:p>
    <w:p>
      <w:pPr>
        <w:pStyle w:val="F21"/>
        <w:rPr>
          <w:szCs w:val="27"/>
        </w:rPr>
      </w:pPr>
      <w:r>
        <w:rPr/>
        <w:tab/>
      </w:r>
      <w:r>
        <w:rPr/>
        <w:t>在審議過程中，有委員關注到鑒於在條例中有關</w:t>
      </w:r>
      <w:r>
        <w:rPr>
          <w:szCs w:val="27"/>
        </w:rPr>
        <w:t>“玩具”及“兒童產品”的定義，是涵蓋這些產品的“包裝”，玩具或兒童產品的包裝是否因此亦會納入擬議管制的範圍。</w:t>
      </w:r>
    </w:p>
    <w:p>
      <w:pPr>
        <w:pStyle w:val="F21"/>
        <w:rPr>
          <w:szCs w:val="27"/>
        </w:rPr>
      </w:pPr>
      <w:r>
        <w:rPr>
          <w:szCs w:val="27"/>
        </w:rPr>
      </w:r>
    </w:p>
    <w:p>
      <w:pPr>
        <w:pStyle w:val="F21"/>
        <w:rPr>
          <w:szCs w:val="27"/>
        </w:rPr>
      </w:pPr>
      <w:r>
        <w:rPr>
          <w:szCs w:val="27"/>
        </w:rPr>
        <w:tab/>
      </w:r>
      <w:r>
        <w:rPr>
          <w:szCs w:val="27"/>
        </w:rPr>
        <w:t>政府當局表示參照了歐美採取的規管方式，擬議管制將不適用於有關產品的包裝。在本條例草案獲通過後，當局將會訂立附屬法例，以實施鄰苯二甲酸酯的擬議管制。有關的適用範圍，亦將會反映在相關的附屬法例內。</w:t>
      </w:r>
    </w:p>
    <w:p>
      <w:pPr>
        <w:pStyle w:val="F21"/>
        <w:rPr>
          <w:szCs w:val="27"/>
        </w:rPr>
      </w:pPr>
      <w:r>
        <w:rPr>
          <w:szCs w:val="27"/>
        </w:rPr>
      </w:r>
    </w:p>
    <w:p>
      <w:pPr>
        <w:pStyle w:val="F21"/>
        <w:rPr>
          <w:szCs w:val="27"/>
        </w:rPr>
      </w:pPr>
      <w:r>
        <w:rPr>
          <w:szCs w:val="27"/>
        </w:rPr>
        <w:tab/>
      </w:r>
      <w:r>
        <w:rPr>
          <w:szCs w:val="27"/>
        </w:rPr>
        <w:t>法案委員會亦關注到，鄰苯二甲酸酯的擬議管制，會否適用於玩具及兒童產品中的塑化物料的內部或接觸不到的部分。政府當局表示，在可合理預見的情況下，玩具及兒童產品的內部或接觸不到的部分，若不可放入幼兒口中，或不會與幼兒有緊密接觸，當局沒有打算把這些部分納入鄰苯二甲酸酯的擬議管制。政府當局表示，會考慮應該如何在擬議附屬法例中反映這一點，並且會參考海外的做法。</w:t>
      </w:r>
    </w:p>
    <w:p>
      <w:pPr>
        <w:pStyle w:val="F21"/>
        <w:rPr>
          <w:szCs w:val="27"/>
        </w:rPr>
      </w:pPr>
      <w:r>
        <w:rPr>
          <w:szCs w:val="27"/>
        </w:rPr>
      </w:r>
    </w:p>
    <w:p>
      <w:pPr>
        <w:pStyle w:val="F21"/>
        <w:rPr>
          <w:szCs w:val="27"/>
        </w:rPr>
      </w:pPr>
      <w:r>
        <w:rPr>
          <w:szCs w:val="27"/>
        </w:rPr>
        <w:tab/>
      </w:r>
      <w:r>
        <w:rPr>
          <w:szCs w:val="27"/>
        </w:rPr>
        <w:t>法案委員會察悉，有關鄰苯二甲酸酯的擬議管制的附屬法例，將會在條例草案獲通過成為法例後訂立。委員要求政府當局應就實施日期，諮詢業界的意見，政府當局同意接納委員的意見。當局亦告知法案委員會，擬議管制大約於</w:t>
      </w:r>
      <w:r>
        <w:rPr>
          <w:szCs w:val="27"/>
        </w:rPr>
        <w:t>2014</w:t>
      </w:r>
      <w:r>
        <w:rPr>
          <w:szCs w:val="27"/>
        </w:rPr>
        <w:t>年年中開始實施。</w:t>
      </w:r>
    </w:p>
    <w:p>
      <w:pPr>
        <w:pStyle w:val="F21"/>
        <w:rPr>
          <w:szCs w:val="27"/>
        </w:rPr>
      </w:pPr>
      <w:r>
        <w:rPr>
          <w:szCs w:val="27"/>
        </w:rPr>
      </w:r>
    </w:p>
    <w:p>
      <w:pPr>
        <w:pStyle w:val="F21"/>
        <w:rPr>
          <w:szCs w:val="27"/>
        </w:rPr>
      </w:pPr>
      <w:r>
        <w:rPr>
          <w:szCs w:val="27"/>
        </w:rPr>
        <w:tab/>
      </w:r>
      <w:r>
        <w:rPr>
          <w:szCs w:val="27"/>
        </w:rPr>
        <w:t>法案委員會並無提出任何修訂，而政府當局提出的修正案，主要是為清晰說明當局的政策原意，並非以條例草案下“兒童產品”的有關規定，對食物或藥劑產品施加規管。法案委員會對政府當局提出的修正案沒有異議。</w:t>
      </w:r>
    </w:p>
    <w:p>
      <w:pPr>
        <w:pStyle w:val="F21"/>
        <w:rPr>
          <w:szCs w:val="27"/>
        </w:rPr>
      </w:pPr>
      <w:r>
        <w:rPr>
          <w:szCs w:val="27"/>
        </w:rPr>
      </w:r>
    </w:p>
    <w:p>
      <w:pPr>
        <w:pStyle w:val="F21"/>
        <w:rPr/>
      </w:pPr>
      <w:r>
        <w:rPr>
          <w:szCs w:val="27"/>
        </w:rPr>
        <w:tab/>
      </w:r>
      <w:r>
        <w:rPr>
          <w:szCs w:val="27"/>
        </w:rPr>
        <w:t>代理主席，以上是我就法案委員會工作的報告。我現在表達個人對條例草案的意見。</w:t>
      </w:r>
    </w:p>
    <w:p>
      <w:pPr>
        <w:pStyle w:val="F21"/>
        <w:rPr>
          <w:szCs w:val="27"/>
        </w:rPr>
      </w:pPr>
      <w:r>
        <w:rPr>
          <w:szCs w:val="27"/>
        </w:rPr>
      </w:r>
    </w:p>
    <w:p>
      <w:pPr>
        <w:pStyle w:val="F21"/>
        <w:rPr>
          <w:szCs w:val="27"/>
        </w:rPr>
      </w:pPr>
      <w:r>
        <w:rPr>
          <w:szCs w:val="27"/>
        </w:rPr>
        <w:tab/>
      </w:r>
      <w:r>
        <w:rPr>
          <w:szCs w:val="27"/>
        </w:rPr>
        <w:t>代理主席，我要申報我是從事玩具製造行業的。現時歐洲、美國、澳洲、新加坡等國家均已有法例規管玩具及兒童產品的塑化劑含量，玩具業普遍支持今次的法例修訂，而事實上大部分業界人士也是守規矩的。我知道即使在今次條例草案提交立法會之前，很多業界人士已經改用適當物料進行生產，尤其是經營歐美出口生意的廠家，採用的標準更嚴謹，目的是希望保障消費者的安全。</w:t>
      </w:r>
    </w:p>
    <w:p>
      <w:pPr>
        <w:pStyle w:val="F21"/>
        <w:rPr>
          <w:szCs w:val="27"/>
        </w:rPr>
      </w:pPr>
      <w:r>
        <w:rPr>
          <w:szCs w:val="27"/>
        </w:rPr>
      </w:r>
    </w:p>
    <w:p>
      <w:pPr>
        <w:pStyle w:val="F21"/>
        <w:rPr>
          <w:szCs w:val="27"/>
        </w:rPr>
      </w:pPr>
      <w:r>
        <w:rPr>
          <w:szCs w:val="27"/>
        </w:rPr>
        <w:tab/>
      </w:r>
      <w:r>
        <w:rPr>
          <w:szCs w:val="27"/>
        </w:rPr>
        <w:t>不過，在審議過程中，我和同業也關注到建議的規管範圍包括產品的包裝，但我看到歐美的標準並沒有管制包裝的塑化劑含量，我和業界均擔心政府有些建議過嚴，比歐美更嚴謹，我們是否要每樣均做到超英趕美呢？廠家都會知道，包裝有很多部分，例如吸塑、薄膜、膠帶，甚至有些油墨也含有塑化劑，而小朋友接觸到包裝的時間其實十分短，加上有警告字句提醒不能放入口裏，根本無須訂立有關條件以規管包裝，而且這也令生產商十分難做。</w:t>
      </w:r>
    </w:p>
    <w:p>
      <w:pPr>
        <w:pStyle w:val="F21"/>
        <w:rPr>
          <w:szCs w:val="27"/>
        </w:rPr>
      </w:pPr>
      <w:r>
        <w:rPr>
          <w:szCs w:val="27"/>
        </w:rPr>
      </w:r>
    </w:p>
    <w:p>
      <w:pPr>
        <w:pStyle w:val="F21"/>
        <w:rPr/>
      </w:pPr>
      <w:r>
        <w:rPr/>
        <w:tab/>
      </w:r>
      <w:r>
        <w:rPr/>
        <w:t>政府其後澄清，規管不會包括規管包裝的塑化劑含量，但因為主體法例範圍比較廣闊，所以定義需要這樣寫，當明年訂立附屬法例規管塑化劑的含量時，便會列明只會規管產品本身，但不包括包裝。政府也因應我們的要求，在法案委員會上提供附屬法例的擬稿，讓我們十分清楚看到規管的內容，以釋除業界的疑慮。</w:t>
      </w:r>
    </w:p>
    <w:p>
      <w:pPr>
        <w:pStyle w:val="F21"/>
        <w:rPr/>
      </w:pPr>
      <w:r>
        <w:rPr/>
      </w:r>
    </w:p>
    <w:p>
      <w:pPr>
        <w:pStyle w:val="F21"/>
        <w:rPr/>
      </w:pPr>
      <w:r>
        <w:rPr/>
        <w:tab/>
      </w:r>
      <w:r>
        <w:rPr/>
        <w:t>代理主席，另一點讓我們關注的是，一些玩具或兒童產品含有內部組件，在一般情況下，小朋友是無法接觸的，而且《玩具及兒童產品安全條例》亦已有所保障，在某些衝撞力下是不容易打開這些玩具產品，令內部配件流出的，加上有警告字句已列明不准把配件放入口中，今次規管把</w:t>
      </w:r>
      <w:r>
        <w:rPr/>
        <w:t>6</w:t>
      </w:r>
      <w:r>
        <w:rPr/>
        <w:t>種塑化劑物料分成兩組，第一組是已經證實有損健康的；第二組是未有實際證據證明會對兒童有影響的，但因應外國會作一些預防性規管，所以我們跟隨國際標準管理。政府表示，第二組塑化劑只會計算小朋友可以放入口中的玩具部分，而不是把整件玩具計算，那麼，業界便可清楚知道應該怎樣做，也可達到法例的目標。</w:t>
      </w:r>
    </w:p>
    <w:p>
      <w:pPr>
        <w:pStyle w:val="F21"/>
        <w:rPr/>
      </w:pPr>
      <w:r>
        <w:rPr/>
      </w:r>
    </w:p>
    <w:p>
      <w:pPr>
        <w:pStyle w:val="F21"/>
        <w:rPr/>
      </w:pPr>
      <w:r>
        <w:rPr/>
        <w:tab/>
      </w:r>
      <w:r>
        <w:rPr/>
        <w:t>代理主席，我和業界支持盡快實施有關條例，以及規管塑化劑含量的附屬法例，盡快保障小朋友的安全。不過，政府要考慮生產商，即是這些玩具廠一般的生產周期，也需要給他們時間就生產線盡快作出有關安排和準備，令他們更能適應新條例的轉變。</w:t>
      </w:r>
    </w:p>
    <w:p>
      <w:pPr>
        <w:pStyle w:val="F21"/>
        <w:rPr/>
      </w:pPr>
      <w:r>
        <w:rPr/>
      </w:r>
    </w:p>
    <w:p>
      <w:pPr>
        <w:pStyle w:val="F21"/>
        <w:rPr>
          <w:szCs w:val="27"/>
        </w:rPr>
      </w:pPr>
      <w:r>
        <w:rPr/>
        <w:tab/>
      </w:r>
      <w:r>
        <w:rPr/>
        <w:t>代理主席，我謹此陳辭。</w:t>
      </w:r>
    </w:p>
    <w:p>
      <w:pPr>
        <w:pStyle w:val="F21"/>
        <w:rPr/>
      </w:pPr>
      <w:r>
        <w:rPr/>
      </w:r>
    </w:p>
    <w:p>
      <w:pPr>
        <w:pStyle w:val="F21"/>
        <w:rPr/>
      </w:pPr>
      <w:r>
        <w:rPr/>
      </w:r>
    </w:p>
    <w:p>
      <w:pPr>
        <w:pStyle w:val="F21"/>
        <w:rPr>
          <w:szCs w:val="27"/>
        </w:rPr>
      </w:pPr>
      <w:r>
        <w:rPr>
          <w:rFonts w:eastAsia="華康中黑體"/>
          <w:b/>
          <w:szCs w:val="27"/>
        </w:rPr>
        <w:t>王國興議員</w:t>
      </w:r>
      <w:r>
        <w:rPr>
          <w:szCs w:val="27"/>
        </w:rPr>
        <w:t>：代理主席，今天政府提出《</w:t>
      </w:r>
      <w:r>
        <w:rPr>
          <w:szCs w:val="27"/>
        </w:rPr>
        <w:t>2013</w:t>
      </w:r>
      <w:r>
        <w:rPr>
          <w:szCs w:val="27"/>
        </w:rPr>
        <w:t>年玩具及兒童產品安全</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，目的是加強對玩具及兒童產品的安全規管。條例草案建議將適用範圍擴大至涵蓋擬便利未滿</w:t>
      </w:r>
      <w:r>
        <w:rPr>
          <w:szCs w:val="27"/>
        </w:rPr>
        <w:t>4</w:t>
      </w:r>
      <w:r>
        <w:rPr>
          <w:szCs w:val="27"/>
        </w:rPr>
        <w:t>歲兒童餵哺、衞生、鬆弛、睡眠、吮吸或長牙，並含有塑化物料的產品，並作出修訂，以實施鄰苯二甲酸酯</w:t>
      </w:r>
      <w:r>
        <w:rPr>
          <w:szCs w:val="27"/>
        </w:rPr>
        <w:t>(</w:t>
      </w:r>
      <w:r>
        <w:rPr>
          <w:szCs w:val="27"/>
        </w:rPr>
        <w:t>即塑化劑</w:t>
      </w:r>
      <w:r>
        <w:rPr>
          <w:szCs w:val="27"/>
        </w:rPr>
        <w:t>)</w:t>
      </w:r>
      <w:r>
        <w:rPr>
          <w:szCs w:val="27"/>
        </w:rPr>
        <w:t>的管制，以達致跟外地先進經濟體系，例如歐盟、澳洲、美國、加拿大和新加坡的標準一致，同時亦為了避免香港成為違規產品的傾銷地，確保兒童的安全和健康。</w:t>
      </w:r>
    </w:p>
    <w:p>
      <w:pPr>
        <w:pStyle w:val="F21"/>
        <w:rPr>
          <w:szCs w:val="27"/>
        </w:rPr>
      </w:pPr>
      <w:r>
        <w:rPr>
          <w:szCs w:val="27"/>
        </w:rPr>
      </w:r>
    </w:p>
    <w:p>
      <w:pPr>
        <w:pStyle w:val="F21"/>
        <w:rPr>
          <w:szCs w:val="27"/>
        </w:rPr>
      </w:pPr>
      <w:r>
        <w:rPr>
          <w:szCs w:val="27"/>
        </w:rPr>
        <w:tab/>
      </w:r>
      <w:r>
        <w:rPr>
          <w:szCs w:val="27"/>
        </w:rPr>
        <w:t>代理主席，對於政府提出的法例修訂，我是十分支持的，因為塑化劑是一種常見的工業增塑劑，用以添加到塑膠中，以增加塑膠的可塑性和柔軟性，因此被廣泛應用於玩具生產上，例如膠波和黃色膠鴨等。但是，塑化劑對人體有害，長期吸收可能會影響人類的生殖功能、免疫系統和神經系統。所以，在玩具中使用塑化劑可能被兒童接觸，甚至被小朋友放進口中，長遠而言便會對兒童構成傷害。因此，立法規管使用塑化劑是有需要的，政府應盡快制定有關的附屬法例。</w:t>
      </w:r>
    </w:p>
    <w:p>
      <w:pPr>
        <w:pStyle w:val="F21"/>
        <w:rPr>
          <w:szCs w:val="27"/>
        </w:rPr>
      </w:pPr>
      <w:r>
        <w:rPr>
          <w:szCs w:val="27"/>
        </w:rPr>
      </w:r>
    </w:p>
    <w:p>
      <w:pPr>
        <w:pStyle w:val="F21"/>
        <w:rPr>
          <w:szCs w:val="27"/>
        </w:rPr>
      </w:pPr>
      <w:r>
        <w:rPr>
          <w:szCs w:val="27"/>
        </w:rPr>
        <w:tab/>
      </w:r>
      <w:r>
        <w:rPr>
          <w:szCs w:val="27"/>
        </w:rPr>
        <w:t>代理主席，除了立法進行規管以外，我認為執法的力度更為重要，因為能否有力執法把關，乃是確保兒童安全一項很重要的措施。事實上，玩具安全最大的問題，在於如何堵截有問題的玩具流入。過往很多時候，海關都只會在有問題的玩具被傳媒揭發時，才被動地回應和全面執法，給人一種後知後覺的感覺，難以令人覺得政府部門為市民進行有力的把關，尤其是塑化劑是看不見的。政府在條例草案獲得通過後，必須進行定期巡查和加強化驗，這才能確保小朋友的安全和健康。</w:t>
      </w:r>
    </w:p>
    <w:p>
      <w:pPr>
        <w:pStyle w:val="F21"/>
        <w:rPr>
          <w:szCs w:val="27"/>
        </w:rPr>
      </w:pPr>
      <w:r>
        <w:rPr>
          <w:szCs w:val="27"/>
        </w:rPr>
      </w:r>
    </w:p>
    <w:p>
      <w:pPr>
        <w:pStyle w:val="F21"/>
        <w:rPr>
          <w:szCs w:val="27"/>
        </w:rPr>
      </w:pPr>
      <w:r>
        <w:rPr>
          <w:szCs w:val="27"/>
        </w:rPr>
        <w:tab/>
      </w:r>
      <w:r>
        <w:rPr>
          <w:szCs w:val="27"/>
        </w:rPr>
        <w:t>現時對玩具的規管，我們看到已有很多法例涵蓋，例如《玩具及兒童產品安全條例》、《消費品安全條例》，以至《商品說明條例》等，但要令這些法例成為“有牙老虎”，政府的把關、部門的巡查和檢控，以至化驗最為重要。因此，在今天這項條例草案獲得通過時，我呼籲政府必須就着這些玩具的來源、安全及標籤，從</w:t>
      </w:r>
      <w:r>
        <w:rPr>
          <w:szCs w:val="27"/>
        </w:rPr>
        <w:t>3</w:t>
      </w:r>
      <w:r>
        <w:rPr>
          <w:szCs w:val="27"/>
        </w:rPr>
        <w:t>方面進一步加大力度，研究保障兒童的健康和安全。第一，要進一步研究收緊法例以進行規管；第二，要加強抽查和檢控；及第三，要加強對消費者的教育，尤其是提高家長的安全意識。</w:t>
      </w:r>
    </w:p>
    <w:p>
      <w:pPr>
        <w:pStyle w:val="F21"/>
        <w:rPr>
          <w:szCs w:val="27"/>
        </w:rPr>
      </w:pPr>
      <w:r>
        <w:rPr>
          <w:szCs w:val="27"/>
        </w:rPr>
      </w:r>
    </w:p>
    <w:p>
      <w:pPr>
        <w:pStyle w:val="F21"/>
        <w:rPr>
          <w:szCs w:val="27"/>
        </w:rPr>
      </w:pPr>
      <w:r>
        <w:rPr>
          <w:szCs w:val="27"/>
        </w:rPr>
        <w:tab/>
      </w:r>
      <w:r>
        <w:rPr>
          <w:szCs w:val="27"/>
        </w:rPr>
        <w:t>為甚麼我要提出這</w:t>
      </w:r>
      <w:r>
        <w:rPr>
          <w:szCs w:val="27"/>
        </w:rPr>
        <w:t>3</w:t>
      </w:r>
      <w:r>
        <w:rPr>
          <w:szCs w:val="27"/>
        </w:rPr>
        <w:t>方面呢？我嘗試舉些例子，透過過往數年出現的問題來說明一下，首先我想談談來源。現時玩具的來源，除了著名商號或有品牌的批發商和零售商外，香港市面的玩具來源，其實很多時均來自網購、郵購或特賣市場，甚至是年宵市場，很多少批量的玩具便藉着這些渠道散貨。因此，對於如此多樣或多元化渠道的玩具來源，當局必須加強監察。例如在</w:t>
      </w:r>
      <w:r>
        <w:rPr>
          <w:szCs w:val="27"/>
        </w:rPr>
        <w:t>2011</w:t>
      </w:r>
      <w:r>
        <w:rPr>
          <w:szCs w:val="27"/>
        </w:rPr>
        <w:t>年的聖誕節前後，就有報章揭露有些廉價而沒有說明產地來源的毛公仔，化驗結果卻發現這些毛公仔內的物料大部分為“黑心棉”，即是既有雜質，亦不知從哪裏採集而來的舊棉花，究竟有否消毒或含菌也並不清楚。後來政府回應表示會加強巡查和跟進，但我們此後卻看不到政府有否跟進和回應。所以，對於這些玩具的來源，我認為當局必須好好把關，我亦希望當局稍後能就此作出回應。</w:t>
      </w:r>
    </w:p>
    <w:p>
      <w:pPr>
        <w:pStyle w:val="F21"/>
        <w:rPr>
          <w:szCs w:val="27"/>
        </w:rPr>
      </w:pPr>
      <w:r>
        <w:rPr>
          <w:szCs w:val="27"/>
        </w:rPr>
      </w:r>
    </w:p>
    <w:p>
      <w:pPr>
        <w:pStyle w:val="F21"/>
        <w:rPr>
          <w:szCs w:val="27"/>
        </w:rPr>
      </w:pPr>
      <w:r>
        <w:rPr>
          <w:szCs w:val="27"/>
        </w:rPr>
        <w:tab/>
      </w:r>
      <w:r>
        <w:rPr>
          <w:szCs w:val="27"/>
        </w:rPr>
        <w:t>第二方面為安全問題。保障兒童的安全非常重要。數歲孩童怎會知道甚麼是安全呢？這很需要由家長把關，所以消費者的教育亦同時相當重要。在</w:t>
      </w:r>
      <w:r>
        <w:rPr>
          <w:szCs w:val="27"/>
        </w:rPr>
        <w:t>2011</w:t>
      </w:r>
      <w:r>
        <w:rPr>
          <w:szCs w:val="27"/>
        </w:rPr>
        <w:t>年</w:t>
      </w:r>
      <w:r>
        <w:rPr>
          <w:szCs w:val="27"/>
        </w:rPr>
        <w:t>10</w:t>
      </w:r>
      <w:r>
        <w:rPr>
          <w:szCs w:val="27"/>
        </w:rPr>
        <w:t>月，有兩款沒有設鎖的摺檯成為了小朋友的陷阱，其中在當年</w:t>
      </w:r>
      <w:r>
        <w:rPr>
          <w:szCs w:val="27"/>
        </w:rPr>
        <w:t>9</w:t>
      </w:r>
      <w:r>
        <w:rPr>
          <w:szCs w:val="27"/>
        </w:rPr>
        <w:t>月，粉嶺便有一名兩歲小童被這些摺檯夾死。今年</w:t>
      </w:r>
      <w:r>
        <w:rPr>
          <w:szCs w:val="27"/>
        </w:rPr>
        <w:t>8</w:t>
      </w:r>
      <w:r>
        <w:rPr>
          <w:szCs w:val="27"/>
        </w:rPr>
        <w:t>月，又有傳媒揭露一間著名玩具銷售商在店鋪內出售一款加壓玩具水槍，它可以在</w:t>
      </w:r>
      <w:r>
        <w:rPr>
          <w:szCs w:val="27"/>
        </w:rPr>
        <w:t>1</w:t>
      </w:r>
      <w:r>
        <w:rPr>
          <w:szCs w:val="27"/>
        </w:rPr>
        <w:t>公尺範圍內射穿</w:t>
      </w:r>
      <w:r>
        <w:rPr>
          <w:szCs w:val="27"/>
        </w:rPr>
        <w:t>10</w:t>
      </w:r>
      <w:r>
        <w:rPr>
          <w:szCs w:val="27"/>
        </w:rPr>
        <w:t>張疊起的紙，如果小童胡亂以這水槍互相射擊玩樂，又不幸射中眼部時，就會對眼睛構成很大影響，而有關公司在被傳媒揭露後亦立即停止出售該款玩具。我想提出的問題是，為何海關及有關規管部門經常後知後覺，無法察覺問題，較傳媒更加落後呢？如果沒有傳媒揭露，這些加壓玩具水槍就會送到小童手上，從而帶來很大的危害。我提出這些例子，也是想說明對玩具安全進行把關的重要性，亦看到部門的職責所在。</w:t>
      </w:r>
    </w:p>
    <w:p>
      <w:pPr>
        <w:pStyle w:val="F21"/>
        <w:rPr>
          <w:szCs w:val="27"/>
        </w:rPr>
      </w:pPr>
      <w:r>
        <w:rPr>
          <w:szCs w:val="27"/>
        </w:rPr>
      </w:r>
    </w:p>
    <w:p>
      <w:pPr>
        <w:pStyle w:val="F21"/>
        <w:rPr>
          <w:szCs w:val="27"/>
        </w:rPr>
      </w:pPr>
      <w:r>
        <w:rPr>
          <w:szCs w:val="27"/>
        </w:rPr>
        <w:tab/>
      </w:r>
      <w:r>
        <w:rPr>
          <w:szCs w:val="27"/>
        </w:rPr>
        <w:t>第三，我想提出標籤問題，這也需要大家極度重視。例如有一款玩具的英文說明書指明只適合</w:t>
      </w:r>
      <w:r>
        <w:rPr>
          <w:szCs w:val="27"/>
        </w:rPr>
        <w:t>12</w:t>
      </w:r>
      <w:r>
        <w:rPr>
          <w:szCs w:val="27"/>
        </w:rPr>
        <w:t>歲或以下兒童使用，但中文說明書卻竟然指明</w:t>
      </w:r>
      <w:r>
        <w:rPr>
          <w:szCs w:val="27"/>
        </w:rPr>
        <w:t>3</w:t>
      </w:r>
      <w:r>
        <w:rPr>
          <w:szCs w:val="27"/>
        </w:rPr>
        <w:t>歲以下的亦可以使用；既然本身已有標籤，為何海關的有關規管部門卻看不到當中的歧異，而誤導了家長呢？究竟海關的監管是否有疏漏呢？我們似乎亦聽不到政府部門有站出來交代。</w:t>
      </w:r>
    </w:p>
    <w:p>
      <w:pPr>
        <w:pStyle w:val="F21"/>
        <w:rPr>
          <w:szCs w:val="27"/>
        </w:rPr>
      </w:pPr>
      <w:r>
        <w:rPr>
          <w:szCs w:val="27"/>
        </w:rPr>
      </w:r>
    </w:p>
    <w:p>
      <w:pPr>
        <w:pStyle w:val="F21"/>
        <w:rPr>
          <w:szCs w:val="27"/>
        </w:rPr>
      </w:pPr>
      <w:r>
        <w:rPr>
          <w:szCs w:val="27"/>
        </w:rPr>
        <w:tab/>
      </w:r>
      <w:r>
        <w:rPr>
          <w:szCs w:val="27"/>
        </w:rPr>
        <w:t>我再舉一個例子，在前年的萬聖節前夕，市面上出現了一款名為“鬼火”的日本鬼節玩具，這款玩具的綿花頭上如蘸了包含有機化合物乙二醇的藥水，便會發出綠色和紫色的火光，即俗稱的“鬼火”，若隱若現的，這便是它的噱頭所在。可是，乙二醇會影響人體血液酸鹼度，從而使人中毒，甚至影響性命。就這款稱為“鬼火”的玩具，其日文標籤說明</w:t>
      </w:r>
      <w:r>
        <w:rPr>
          <w:szCs w:val="27"/>
        </w:rPr>
        <w:t>3</w:t>
      </w:r>
      <w:r>
        <w:rPr>
          <w:szCs w:val="27"/>
        </w:rPr>
        <w:t>歲及以下兒童需要在成人指導下使用，但其中文標籤卻隻字不提這些重要的警示字句。這例子反映出很明顯的問題，便是為何我們的規管部門和海關會看不到這些如此重要的產品標籤漏洞呢？我希望部門可以就此作出回應。</w:t>
      </w:r>
    </w:p>
    <w:p>
      <w:pPr>
        <w:pStyle w:val="F21"/>
        <w:rPr>
          <w:szCs w:val="27"/>
        </w:rPr>
      </w:pPr>
      <w:r>
        <w:rPr>
          <w:szCs w:val="27"/>
        </w:rPr>
      </w:r>
    </w:p>
    <w:p>
      <w:pPr>
        <w:pStyle w:val="F21"/>
        <w:rPr>
          <w:szCs w:val="27"/>
        </w:rPr>
      </w:pPr>
      <w:r>
        <w:rPr>
          <w:szCs w:val="27"/>
        </w:rPr>
        <w:tab/>
      </w:r>
      <w:r>
        <w:rPr>
          <w:szCs w:val="27"/>
        </w:rPr>
        <w:t>代理主席，我列舉以上關於來源、安全和標籤等方面的問題，其實是想藉以說明，我們今天通過這項規管塑化劑的條例草案，重點是在於其獲得通過後，政府部門</w:t>
      </w:r>
      <w:r>
        <w:rPr>
          <w:szCs w:val="27"/>
        </w:rPr>
        <w:t>(</w:t>
      </w:r>
      <w:r>
        <w:rPr>
          <w:szCs w:val="27"/>
        </w:rPr>
        <w:t>尤其是海關</w:t>
      </w:r>
      <w:r>
        <w:rPr>
          <w:szCs w:val="27"/>
        </w:rPr>
        <w:t>)</w:t>
      </w:r>
      <w:r>
        <w:rPr>
          <w:szCs w:val="27"/>
        </w:rPr>
        <w:t>將如何在實施過程中真正加強執法，做好把關工作，不然即使法例已獲制定，卻仍然無法保障兒童的安全和健康。</w:t>
      </w:r>
    </w:p>
    <w:p>
      <w:pPr>
        <w:pStyle w:val="F21"/>
        <w:rPr>
          <w:szCs w:val="27"/>
        </w:rPr>
      </w:pPr>
      <w:r>
        <w:rPr>
          <w:szCs w:val="27"/>
        </w:rPr>
      </w:r>
    </w:p>
    <w:p>
      <w:pPr>
        <w:pStyle w:val="F21"/>
        <w:rPr>
          <w:szCs w:val="27"/>
        </w:rPr>
      </w:pPr>
      <w:r>
        <w:rPr>
          <w:szCs w:val="27"/>
        </w:rPr>
        <w:tab/>
      </w:r>
      <w:r>
        <w:rPr>
          <w:szCs w:val="27"/>
        </w:rPr>
        <w:t>再者，我亦想藉此機會呼籲政府必須加強宣傳和教育。我看到政府近年利用政府頻道，進行了一些如有關奶粉問題等的宣傳，但似乎在玩具產品安全這方面，我卻看不到政府有甚麼宣傳短片。我希望政府會就此作出回應，可否告訴我們最近</w:t>
      </w:r>
      <w:r>
        <w:rPr>
          <w:szCs w:val="27"/>
        </w:rPr>
        <w:t>3</w:t>
      </w:r>
      <w:r>
        <w:rPr>
          <w:szCs w:val="27"/>
        </w:rPr>
        <w:t>年間，政府共有多少段利用電視或電台頻道發放的宣傳短片，以進行公眾教育呢？</w:t>
      </w:r>
    </w:p>
    <w:p>
      <w:pPr>
        <w:pStyle w:val="F21"/>
        <w:rPr>
          <w:szCs w:val="27"/>
        </w:rPr>
      </w:pPr>
      <w:r>
        <w:rPr>
          <w:szCs w:val="27"/>
        </w:rPr>
      </w:r>
    </w:p>
    <w:p>
      <w:pPr>
        <w:pStyle w:val="F21"/>
        <w:rPr>
          <w:szCs w:val="27"/>
        </w:rPr>
      </w:pPr>
      <w:r>
        <w:rPr>
          <w:szCs w:val="27"/>
        </w:rPr>
        <w:tab/>
      </w:r>
      <w:r>
        <w:rPr>
          <w:szCs w:val="27"/>
        </w:rPr>
        <w:t>如果海關無法做好把關，出現了漏洞，便惟有靠消費者提高安全意識，尤其是要令家長對問題加以關注，提高他們的安全意識，讓他們在選購玩具時懂得考慮來源、標籤及安全性，看看玩具會否對小童帶來不安全、不良或危險性的影響，令家長及小童的自我保護意識均得以提高，從而確保在玩具出現問題時，亦可以盡可能把損害程度減至最低。我很希望可以聽到政府就我的發言內容作出回應。</w:t>
      </w:r>
    </w:p>
    <w:p>
      <w:pPr>
        <w:pStyle w:val="F21"/>
        <w:rPr>
          <w:szCs w:val="27"/>
        </w:rPr>
      </w:pPr>
      <w:r>
        <w:rPr>
          <w:szCs w:val="27"/>
        </w:rPr>
      </w:r>
    </w:p>
    <w:p>
      <w:pPr>
        <w:pStyle w:val="F21"/>
        <w:rPr>
          <w:szCs w:val="27"/>
        </w:rPr>
      </w:pPr>
      <w:r>
        <w:rPr>
          <w:szCs w:val="27"/>
        </w:rPr>
        <w:tab/>
      </w:r>
      <w:r>
        <w:rPr>
          <w:szCs w:val="27"/>
        </w:rPr>
        <w:t>多謝代理主席。</w:t>
      </w:r>
    </w:p>
    <w:p>
      <w:pPr>
        <w:pStyle w:val="F21"/>
        <w:rPr>
          <w:szCs w:val="27"/>
        </w:rPr>
      </w:pPr>
      <w:r>
        <w:rPr>
          <w:szCs w:val="27"/>
        </w:rPr>
      </w:r>
    </w:p>
    <w:p>
      <w:pPr>
        <w:pStyle w:val="F21"/>
        <w:rPr/>
      </w:pPr>
      <w:r>
        <w:rPr/>
      </w:r>
    </w:p>
    <w:p>
      <w:pPr>
        <w:pStyle w:val="F21"/>
        <w:rPr>
          <w:szCs w:val="27"/>
        </w:rPr>
      </w:pPr>
      <w:r>
        <w:rPr>
          <w:rFonts w:ascii="華康中黑體" w:hAnsi="華康中黑體" w:cs="華康中黑體" w:eastAsia="華康中黑體"/>
          <w:b/>
          <w:szCs w:val="27"/>
        </w:rPr>
        <w:t>何秀蘭議員</w:t>
      </w:r>
      <w:r>
        <w:rPr>
          <w:szCs w:val="27"/>
        </w:rPr>
        <w:t>：我加入審議這條例草案的法案委員會是基於我一直有從事保護兒童的工作，因此，對於兒童玩具和用品是否符合產品安全，我很着緊。這條例草案規管嬰幼兒軟玩具中不可再含有塑化劑</w:t>
      </w:r>
      <w:r>
        <w:rPr>
          <w:szCs w:val="27"/>
        </w:rPr>
        <w:t>(</w:t>
      </w:r>
      <w:r>
        <w:rPr>
          <w:szCs w:val="27"/>
        </w:rPr>
        <w:t>即鄰苯二甲酸酯</w:t>
      </w:r>
      <w:r>
        <w:rPr>
          <w:szCs w:val="27"/>
        </w:rPr>
        <w:t>)</w:t>
      </w:r>
      <w:r>
        <w:rPr>
          <w:szCs w:val="27"/>
        </w:rPr>
        <w:t>成分，因為據聞如果嬰幼兒吸啜得多，會影響他們的發育。所以，即使在條例草案審議階段，雖然商界覺得這規例對他們原來的營運模式會有影響，需要更改，但為了保護兒童，大家都願意接受這條例草案，但會提出改善意見。</w:t>
      </w:r>
    </w:p>
    <w:p>
      <w:pPr>
        <w:pStyle w:val="F21"/>
        <w:rPr>
          <w:szCs w:val="27"/>
        </w:rPr>
      </w:pPr>
      <w:r>
        <w:rPr>
          <w:szCs w:val="27"/>
        </w:rPr>
      </w:r>
    </w:p>
    <w:p>
      <w:pPr>
        <w:pStyle w:val="F21"/>
        <w:rPr>
          <w:szCs w:val="27"/>
        </w:rPr>
      </w:pPr>
      <w:r>
        <w:rPr>
          <w:szCs w:val="27"/>
        </w:rPr>
        <w:tab/>
      </w:r>
      <w:r>
        <w:rPr>
          <w:szCs w:val="27"/>
        </w:rPr>
        <w:t>但是，代理主席，這條例草案在另一方面對兒童有害，便是當中的用字。我們很注重兒童的教育發展，但律政司竟然在草擬法例的過程中，表現相當馬虎。</w:t>
      </w:r>
    </w:p>
    <w:p>
      <w:pPr>
        <w:pStyle w:val="F21"/>
        <w:rPr>
          <w:szCs w:val="27"/>
        </w:rPr>
      </w:pPr>
      <w:r>
        <w:rPr>
          <w:szCs w:val="27"/>
        </w:rPr>
      </w:r>
    </w:p>
    <w:p>
      <w:pPr>
        <w:pStyle w:val="F21"/>
        <w:rPr>
          <w:szCs w:val="27"/>
        </w:rPr>
      </w:pPr>
      <w:r>
        <w:rPr>
          <w:szCs w:val="27"/>
        </w:rPr>
        <w:tab/>
      </w:r>
      <w:r>
        <w:rPr>
          <w:szCs w:val="27"/>
        </w:rPr>
        <w:t>第一是寫錯字，在這條例草案的第</w:t>
      </w:r>
      <w:r>
        <w:rPr>
          <w:szCs w:val="27"/>
        </w:rPr>
        <w:t>2B(1)(b)(ii)</w:t>
      </w:r>
      <w:r>
        <w:rPr>
          <w:szCs w:val="27"/>
        </w:rPr>
        <w:t>條，“鬆弛”中的“弛”竟誤寫成“馳”，這是一個白字，幸好大家留意到。多謝法律顧問和各委員看到並指出這個白字。由於是一個很明顯的錯誤，我們已要求政府修改，而他們亦願意改正。</w:t>
      </w:r>
    </w:p>
    <w:p>
      <w:pPr>
        <w:pStyle w:val="F21"/>
        <w:rPr>
          <w:szCs w:val="27"/>
        </w:rPr>
      </w:pPr>
      <w:r>
        <w:rPr>
          <w:szCs w:val="27"/>
        </w:rPr>
      </w:r>
    </w:p>
    <w:p>
      <w:pPr>
        <w:pStyle w:val="F21"/>
        <w:spacing w:lineRule="atLeast" w:line="380"/>
        <w:rPr>
          <w:szCs w:val="27"/>
        </w:rPr>
      </w:pPr>
      <w:r>
        <w:rPr>
          <w:szCs w:val="27"/>
        </w:rPr>
        <w:tab/>
      </w:r>
      <w:r>
        <w:rPr>
          <w:szCs w:val="27"/>
        </w:rPr>
        <w:t>另一個錯處同樣在第</w:t>
      </w:r>
      <w:r>
        <w:rPr>
          <w:szCs w:val="27"/>
        </w:rPr>
        <w:t>2B</w:t>
      </w:r>
      <w:r>
        <w:rPr>
          <w:szCs w:val="27"/>
        </w:rPr>
        <w:t>條，便是用了“長牙”一詞。代理主席，如果你到街上問途人知否甚麼是“長牙”，我恐怕沒有多少人懂得回答。原來想表達的意思是出牙，英文</w:t>
      </w:r>
      <w:r>
        <w:rPr>
          <w:szCs w:val="27"/>
        </w:rPr>
        <w:t>teething</w:t>
      </w:r>
      <w:r>
        <w:rPr>
          <w:szCs w:val="27"/>
        </w:rPr>
        <w:t>的意思是很清楚的。然而，在香港用粵語，大家都會用“出牙”而不是“長牙”。再者，“出牙”並不是口語，法律顧問很好，為我們翻查了</w:t>
      </w:r>
      <w:r>
        <w:rPr>
          <w:szCs w:val="27"/>
        </w:rPr>
        <w:t>6</w:t>
      </w:r>
      <w:r>
        <w:rPr>
          <w:szCs w:val="27"/>
        </w:rPr>
        <w:t>本字典，根據這</w:t>
      </w:r>
      <w:r>
        <w:rPr>
          <w:szCs w:val="27"/>
        </w:rPr>
        <w:t>6</w:t>
      </w:r>
      <w:r>
        <w:rPr>
          <w:szCs w:val="27"/>
        </w:rPr>
        <w:t>本字典，英文</w:t>
      </w:r>
      <w:r>
        <w:rPr>
          <w:szCs w:val="27"/>
        </w:rPr>
        <w:t>teething</w:t>
      </w:r>
      <w:r>
        <w:rPr>
          <w:szCs w:val="27"/>
        </w:rPr>
        <w:t>一詞可翻譯為“出牙”，而其中</w:t>
      </w:r>
      <w:r>
        <w:rPr>
          <w:szCs w:val="27"/>
        </w:rPr>
        <w:t>5</w:t>
      </w:r>
      <w:r>
        <w:rPr>
          <w:szCs w:val="27"/>
        </w:rPr>
        <w:t>本字典更只有“出牙”一個譯法，只有一本字典有“出牙”和“長牙”兩個譯法。法例是寫給普通人看的，為何當局不用大家都看得懂的字眼，而要採用一些香港不常用的字眼呢？</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這令人十分擔心。香港用中文來草擬法例，我們有一個舉世無雙的角色，就是用中文寫出普通法的概念，所以我們有一個很重要的歷史責任。但是，律政司近來的表現令人十分擔心，我亦與本會法律顧問總結過去一些條例草案審議的經驗，發現近期條例草案中出現中文錯別字的例子，多不勝數。</w:t>
      </w:r>
    </w:p>
    <w:p>
      <w:pPr>
        <w:pStyle w:val="F21"/>
        <w:spacing w:lineRule="atLeast" w:line="380"/>
        <w:rPr>
          <w:szCs w:val="27"/>
        </w:rPr>
      </w:pPr>
      <w:r>
        <w:rPr>
          <w:szCs w:val="27"/>
        </w:rPr>
      </w:r>
    </w:p>
    <w:p>
      <w:pPr>
        <w:pStyle w:val="F21"/>
        <w:spacing w:lineRule="atLeast" w:line="380"/>
        <w:rPr>
          <w:szCs w:val="27"/>
        </w:rPr>
      </w:pPr>
      <w:r>
        <w:rPr>
          <w:szCs w:val="27"/>
        </w:rPr>
        <w:tab/>
      </w:r>
      <w:r>
        <w:rPr>
          <w:szCs w:val="27"/>
        </w:rPr>
        <w:t>例如在《禁止層壓式計劃條例草案》中，竟然用了“着墨”這麼文藝腔的一個字眼來表達“強調”。“強調”是普通人都明白的，“着墨”則要有點文學修養的人才會明白，也沒有一個客觀的標準。</w:t>
      </w:r>
    </w:p>
    <w:p>
      <w:pPr>
        <w:pStyle w:val="F21"/>
        <w:spacing w:lineRule="atLeast" w:line="380"/>
        <w:rPr>
          <w:szCs w:val="27"/>
        </w:rPr>
      </w:pPr>
      <w:r>
        <w:rPr>
          <w:szCs w:val="27"/>
        </w:rPr>
      </w:r>
    </w:p>
    <w:p>
      <w:pPr>
        <w:pStyle w:val="F21"/>
        <w:spacing w:lineRule="atLeast" w:line="380"/>
        <w:rPr>
          <w:szCs w:val="27"/>
        </w:rPr>
      </w:pPr>
      <w:r>
        <w:rPr>
          <w:szCs w:val="27"/>
        </w:rPr>
        <w:tab/>
      </w:r>
      <w:r>
        <w:rPr>
          <w:szCs w:val="27"/>
        </w:rPr>
        <w:t>此外，“指明”現在又改為“指認”，“提出訴訟”又改為“提起訴訟”。最近，律政司的律師更告訴我們，他們竟然把“按常理亦不可能”理解為與“按常理不能”意思相同。</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代理主席，這些中文用字會影響整項法例背後的哲學精神，以至一些社會倫理的概念。用中文來草擬法例的確是很艱巨的工作，以往政府是很嚴肅對待的。</w:t>
      </w:r>
    </w:p>
    <w:p>
      <w:pPr>
        <w:pStyle w:val="F21"/>
        <w:spacing w:lineRule="atLeast" w:line="380"/>
        <w:rPr>
          <w:szCs w:val="27"/>
        </w:rPr>
      </w:pPr>
      <w:r>
        <w:rPr>
          <w:szCs w:val="27"/>
        </w:rPr>
      </w:r>
    </w:p>
    <w:p>
      <w:pPr>
        <w:pStyle w:val="F21"/>
        <w:tabs>
          <w:tab w:val="clear" w:pos="567"/>
        </w:tabs>
        <w:spacing w:lineRule="atLeast" w:line="380"/>
        <w:rPr>
          <w:szCs w:val="27"/>
        </w:rPr>
      </w:pPr>
      <w:r>
        <w:rPr>
          <w:szCs w:val="27"/>
        </w:rPr>
        <w:tab/>
      </w:r>
      <w:r>
        <w:rPr>
          <w:szCs w:val="27"/>
        </w:rPr>
        <w:t>在</w:t>
      </w:r>
      <w:r>
        <w:rPr>
          <w:szCs w:val="27"/>
        </w:rPr>
        <w:t>1969</w:t>
      </w:r>
      <w:r>
        <w:rPr>
          <w:szCs w:val="27"/>
        </w:rPr>
        <w:t>年，有一個公事上使用中文問題研究委員會，由馮秉芬先生擔任主席，到現在已</w:t>
      </w:r>
      <w:r>
        <w:rPr>
          <w:szCs w:val="27"/>
        </w:rPr>
        <w:t>44</w:t>
      </w:r>
      <w:r>
        <w:rPr>
          <w:szCs w:val="27"/>
        </w:rPr>
        <w:t>年。這個委員會在</w:t>
      </w:r>
      <w:r>
        <w:rPr>
          <w:szCs w:val="27"/>
        </w:rPr>
        <w:t>1972</w:t>
      </w:r>
      <w:r>
        <w:rPr>
          <w:szCs w:val="27"/>
        </w:rPr>
        <w:t>年發表了一份報告，建議所有法例都應該用中、英文頒布。結果因應這份報告，政府成立了中文公事管理局；</w:t>
      </w:r>
      <w:r>
        <w:rPr>
          <w:szCs w:val="27"/>
        </w:rPr>
        <w:t>1985</w:t>
      </w:r>
      <w:r>
        <w:rPr>
          <w:szCs w:val="27"/>
        </w:rPr>
        <w:t>年，律政署亦成立了一個小組，研究用中文去寫法律的真確本；</w:t>
      </w:r>
      <w:r>
        <w:rPr>
          <w:szCs w:val="27"/>
        </w:rPr>
        <w:t>1986</w:t>
      </w:r>
      <w:r>
        <w:rPr>
          <w:szCs w:val="27"/>
        </w:rPr>
        <w:t>年，《皇室訓令》第二十五條亦訂明，法例應該用英文或中文來制定；</w:t>
      </w:r>
      <w:r>
        <w:rPr>
          <w:szCs w:val="27"/>
        </w:rPr>
        <w:t>1987</w:t>
      </w:r>
      <w:r>
        <w:rPr>
          <w:szCs w:val="27"/>
        </w:rPr>
        <w:t>年，更制定了《</w:t>
      </w:r>
      <w:r>
        <w:rPr>
          <w:szCs w:val="27"/>
        </w:rPr>
        <w:t>1987</w:t>
      </w:r>
      <w:r>
        <w:rPr>
          <w:szCs w:val="27"/>
        </w:rPr>
        <w:t>年法定語文</w:t>
      </w:r>
      <w:r>
        <w:rPr>
          <w:szCs w:val="27"/>
        </w:rPr>
        <w:t>(</w:t>
      </w:r>
      <w:r>
        <w:rPr>
          <w:szCs w:val="27"/>
        </w:rPr>
        <w:t>修訂</w:t>
      </w:r>
      <w:r>
        <w:rPr>
          <w:szCs w:val="27"/>
        </w:rPr>
        <w:t>)</w:t>
      </w:r>
      <w:r>
        <w:rPr>
          <w:szCs w:val="27"/>
        </w:rPr>
        <w:t>條例》，以及修改了香港法例第</w:t>
      </w:r>
      <w:r>
        <w:rPr>
          <w:szCs w:val="27"/>
        </w:rPr>
        <w:t>1</w:t>
      </w:r>
      <w:r>
        <w:rPr>
          <w:szCs w:val="27"/>
        </w:rPr>
        <w:t>章的《釋義及通則條例》，當中訂明所有條例必須以兩種法定語文制定及頒布，這條例在</w:t>
      </w:r>
      <w:r>
        <w:rPr>
          <w:szCs w:val="27"/>
        </w:rPr>
        <w:t>1989</w:t>
      </w:r>
      <w:r>
        <w:rPr>
          <w:szCs w:val="27"/>
        </w:rPr>
        <w:t>年</w:t>
      </w:r>
      <w:r>
        <w:rPr>
          <w:szCs w:val="27"/>
        </w:rPr>
        <w:t>4</w:t>
      </w:r>
      <w:r>
        <w:rPr>
          <w:szCs w:val="27"/>
        </w:rPr>
        <w:t>月</w:t>
      </w:r>
      <w:r>
        <w:rPr>
          <w:szCs w:val="27"/>
        </w:rPr>
        <w:t>17</w:t>
      </w:r>
      <w:r>
        <w:rPr>
          <w:szCs w:val="27"/>
        </w:rPr>
        <w:t>日真正生效。其間律政署的工作當然很辛苦，處於摸索階段，因為中文難以表達普通法中的英文概念，以及用英語語法邏輯去表達背後的概念。而且，由於在中、英語的社會中，彼此的文化背景、哲學倫理都不同，所以，有些字眼很難翻譯得準確。</w:t>
      </w:r>
    </w:p>
    <w:p>
      <w:pPr>
        <w:pStyle w:val="F21"/>
        <w:rPr>
          <w:szCs w:val="27"/>
        </w:rPr>
      </w:pPr>
      <w:r>
        <w:rPr>
          <w:szCs w:val="27"/>
        </w:rPr>
      </w:r>
    </w:p>
    <w:p>
      <w:pPr>
        <w:pStyle w:val="F21"/>
        <w:rPr>
          <w:szCs w:val="27"/>
        </w:rPr>
      </w:pPr>
      <w:r>
        <w:rPr>
          <w:szCs w:val="27"/>
        </w:rPr>
        <w:tab/>
      </w:r>
      <w:r>
        <w:rPr>
          <w:szCs w:val="27"/>
        </w:rPr>
        <w:t>但是，縱使如此，基於我們是一個華人社會，應該有中文法例；而我們亦是一個國際城市，有很多商務，應該與英語法制接軌。因此，我們要很認真對待這個責任。律政司前法律草擬專員嚴元浩先生曾發表過，以中文草擬法例，有數個準則必須很嚴謹注重。第一個準則當然是兩個文本都必須準確反映另一個文本的意思。此外，由於對象是不認識法例的市民，所以，草擬法例所用的中文字彙應該是普通人也能明白的，而且必須注意本地風格和習慣，不應胡亂抄襲其他華文社會或華語法律系統的字眼。例如香港用“處罰”，而不是用“處分”；香港把</w:t>
      </w:r>
      <w:r>
        <w:rPr>
          <w:szCs w:val="27"/>
        </w:rPr>
        <w:t>attempted offence</w:t>
      </w:r>
      <w:r>
        <w:rPr>
          <w:szCs w:val="27"/>
        </w:rPr>
        <w:t>翻譯為“企圖犯罪”，而不是“犯罪未遂”。香港用“原本”一詞，所指的是</w:t>
      </w:r>
      <w:r>
        <w:rPr>
          <w:szCs w:val="27"/>
        </w:rPr>
        <w:t>original copy</w:t>
      </w:r>
      <w:r>
        <w:rPr>
          <w:szCs w:val="27"/>
        </w:rPr>
        <w:t>，但在內地，“原本”的意思卻是正本所根據的原稿。</w:t>
      </w:r>
    </w:p>
    <w:p>
      <w:pPr>
        <w:pStyle w:val="F21"/>
        <w:rPr>
          <w:szCs w:val="27"/>
        </w:rPr>
      </w:pPr>
      <w:r>
        <w:rPr>
          <w:szCs w:val="27"/>
        </w:rPr>
      </w:r>
    </w:p>
    <w:p>
      <w:pPr>
        <w:pStyle w:val="F21"/>
        <w:rPr>
          <w:szCs w:val="27"/>
        </w:rPr>
      </w:pPr>
      <w:r>
        <w:rPr>
          <w:szCs w:val="27"/>
        </w:rPr>
        <w:tab/>
      </w:r>
      <w:r>
        <w:rPr>
          <w:szCs w:val="27"/>
        </w:rPr>
        <w:t>一直以來，由以往的雙語法例諮詢委員會，以至</w:t>
      </w:r>
      <w:r>
        <w:rPr>
          <w:szCs w:val="27"/>
        </w:rPr>
        <w:t>1997</w:t>
      </w:r>
      <w:r>
        <w:rPr>
          <w:szCs w:val="27"/>
        </w:rPr>
        <w:t>年後成立的雙語法律制度委員會，都很注重這方面的事宜。大家也很嚴謹對待這方面的工作，希望做到準確，而香港的市民大眾亦看得懂這些法例。但在本條例草案中，關於“長牙”和“出牙”，局方卻執意要用“長牙”，認為這才是正確的寫法。其實在我們的法例中，也有一些習非成是的例子。例如“大律師”這個翻譯過來的稱號，他們的真正身份是訴訟律師，是訟務律師，而不是大律師，但是，當我們草擬本條例草案的中文本時，香港大律師公會堅持用大律師這個稱號，因為大家已約定俗成。由此可見，把本地粵語寫入法例，其實是有先例的。</w:t>
      </w:r>
    </w:p>
    <w:p>
      <w:pPr>
        <w:pStyle w:val="F21"/>
        <w:rPr>
          <w:szCs w:val="27"/>
        </w:rPr>
      </w:pPr>
      <w:r>
        <w:rPr>
          <w:szCs w:val="27"/>
        </w:rPr>
      </w:r>
    </w:p>
    <w:p>
      <w:pPr>
        <w:pStyle w:val="F21"/>
        <w:rPr>
          <w:szCs w:val="27"/>
        </w:rPr>
      </w:pPr>
      <w:r>
        <w:rPr>
          <w:szCs w:val="27"/>
        </w:rPr>
        <w:tab/>
      </w:r>
      <w:r>
        <w:rPr>
          <w:szCs w:val="27"/>
        </w:rPr>
        <w:t>在草擬法例時，由於有些直譯會令條文中的語言近乎粗鄙，因此不會直譯，而採用其他譯法。例如《生死登記條例》中，英文</w:t>
      </w:r>
      <w:r>
        <w:rPr>
          <w:szCs w:val="27"/>
        </w:rPr>
        <w:t>born alive</w:t>
      </w:r>
      <w:r>
        <w:rPr>
          <w:szCs w:val="27"/>
        </w:rPr>
        <w:t>譯為“活產”，但如果是</w:t>
      </w:r>
      <w:r>
        <w:rPr>
          <w:szCs w:val="27"/>
        </w:rPr>
        <w:t>still-born</w:t>
      </w:r>
      <w:r>
        <w:rPr>
          <w:szCs w:val="27"/>
        </w:rPr>
        <w:t xml:space="preserve">，根據“活產”的直譯，便應譯為“死產” </w:t>
      </w:r>
      <w:r>
        <w:rPr>
          <w:rFonts w:ascii="Symbol" w:hAnsi="Symbol" w:cs="Symbol" w:eastAsia="Symbol"/>
          <w:szCs w:val="27"/>
        </w:rPr>
        <w:t></w:t>
      </w:r>
      <w:r>
        <w:rPr>
          <w:szCs w:val="27"/>
        </w:rPr>
        <w:t xml:space="preserve"> 代理主席，我並不是在說粗話，這是嚴元浩先生已發表的一篇文章中所舉的例子 </w:t>
      </w:r>
      <w:r>
        <w:rPr>
          <w:rFonts w:ascii="Symbol" w:hAnsi="Symbol" w:cs="Symbol" w:eastAsia="Symbol"/>
          <w:szCs w:val="27"/>
        </w:rPr>
        <w:t></w:t>
      </w:r>
      <w:r>
        <w:rPr>
          <w:szCs w:val="27"/>
        </w:rPr>
        <w:t xml:space="preserve"> 但為免人家覺得法例所用的字眼粗鄙，會考慮用其他方法，故最終譯為“非活產”。</w:t>
      </w:r>
    </w:p>
    <w:p>
      <w:pPr>
        <w:pStyle w:val="F21"/>
        <w:rPr>
          <w:szCs w:val="27"/>
        </w:rPr>
      </w:pPr>
      <w:r>
        <w:rPr>
          <w:szCs w:val="27"/>
        </w:rPr>
      </w:r>
    </w:p>
    <w:p>
      <w:pPr>
        <w:pStyle w:val="F21"/>
        <w:rPr>
          <w:szCs w:val="27"/>
        </w:rPr>
      </w:pPr>
      <w:r>
        <w:rPr>
          <w:szCs w:val="27"/>
        </w:rPr>
        <w:tab/>
      </w:r>
      <w:r>
        <w:rPr>
          <w:szCs w:val="27"/>
        </w:rPr>
        <w:t>由此可見，當我們用中文來草擬法例，要考慮的事情非常多。但今次這個例子，把</w:t>
      </w:r>
      <w:r>
        <w:rPr>
          <w:szCs w:val="27"/>
        </w:rPr>
        <w:t>teething</w:t>
      </w:r>
      <w:r>
        <w:rPr>
          <w:szCs w:val="27"/>
        </w:rPr>
        <w:t>譯為甚少人用、連字典中也不常見的“長牙”，代理主席，我真的有很大意見。可能大家會問，為何一個用語值得我花</w:t>
      </w:r>
      <w:r>
        <w:rPr>
          <w:szCs w:val="27"/>
        </w:rPr>
        <w:t>10</w:t>
      </w:r>
      <w:r>
        <w:rPr>
          <w:szCs w:val="27"/>
        </w:rPr>
        <w:t>多分鐘來討論？我要在此重申，法例反映一個地方的秩序和規則，旨在令普通市民明白，讓他們知所適從，知道如何守法。而草擬用語在整體上反映社會對法治思維的概念，或當中的政治角色和功能，是不能掉以輕心的，否則，如果我們胡亂翻譯或草擬，法例中的責任、職權、主次會變得含糊，整個制度也會敗壞。</w:t>
      </w:r>
    </w:p>
    <w:p>
      <w:pPr>
        <w:pStyle w:val="F21"/>
        <w:spacing w:lineRule="atLeast" w:line="370"/>
        <w:rPr>
          <w:szCs w:val="27"/>
        </w:rPr>
      </w:pPr>
      <w:r>
        <w:rPr>
          <w:szCs w:val="27"/>
        </w:rPr>
      </w:r>
    </w:p>
    <w:p>
      <w:pPr>
        <w:pStyle w:val="F21"/>
        <w:spacing w:lineRule="atLeast" w:line="370"/>
        <w:rPr>
          <w:szCs w:val="27"/>
        </w:rPr>
      </w:pPr>
      <w:r>
        <w:rPr>
          <w:szCs w:val="27"/>
        </w:rPr>
        <w:tab/>
      </w:r>
      <w:r>
        <w:rPr>
          <w:szCs w:val="27"/>
        </w:rPr>
        <w:t>其實，在本條例草案草擬期間，本來局方也曾提出不如譯為“牙齒生長”，雖然較長，用了</w:t>
      </w:r>
      <w:r>
        <w:rPr>
          <w:szCs w:val="27"/>
        </w:rPr>
        <w:t>4</w:t>
      </w:r>
      <w:r>
        <w:rPr>
          <w:szCs w:val="27"/>
        </w:rPr>
        <w:t>個字，但始終意思會準確，而且說出來大家都會明白。但是，很不幸，有些委員堅持用“長牙”。不過，有部分委員在互聯網上搜尋過，發現“出牙”一詞除了在字典中常用外，在衞生署的網頁也是用“出牙”而不用“長牙”。代理主席，今次除了局方和律政司在草擬初期用錯字外，我也感到很抱憾的是法案委員會內的成員也不願意接納這項修訂。</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代理主席，我要重申，香港肩負華語社會中體現普通法概念的重要責任，在華語社會中，只有我們在做這項工作。因此，我請律政司法律草擬科和本會的同事嚴謹和認真對待香港法例的中文草擬，多謝代理主席。</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pPr>
      <w:r>
        <w:rPr>
          <w:rFonts w:ascii="華康中黑體" w:hAnsi="華康中黑體" w:eastAsia="華康中黑體"/>
          <w:b/>
        </w:rPr>
        <w:t>代理主席</w:t>
      </w:r>
      <w:r>
        <w:rPr>
          <w:rFonts w:ascii="華康中黑體" w:hAnsi="華康中黑體"/>
        </w:rPr>
        <w:t>：</w:t>
      </w:r>
      <w:r>
        <w:rPr/>
        <w:t>是否有其他議員想發言？</w:t>
      </w:r>
    </w:p>
    <w:p>
      <w:pPr>
        <w:pStyle w:val="F21"/>
        <w:spacing w:lineRule="atLeast" w:line="370"/>
        <w:rPr/>
      </w:pPr>
      <w:r>
        <w:rPr/>
      </w:r>
    </w:p>
    <w:p>
      <w:pPr>
        <w:pStyle w:val="F21"/>
        <w:spacing w:lineRule="atLeast" w:line="370"/>
        <w:rPr/>
      </w:pPr>
      <w:r>
        <w:rPr/>
        <w:t>(</w:t>
      </w:r>
      <w:r>
        <w:rPr/>
        <w:t>沒有其他議員表示想發言</w:t>
      </w:r>
      <w:r>
        <w:rPr/>
        <w:t>)</w:t>
      </w:r>
    </w:p>
    <w:p>
      <w:pPr>
        <w:pStyle w:val="F21"/>
        <w:spacing w:lineRule="atLeast" w:line="370"/>
        <w:rPr/>
      </w:pPr>
      <w:r>
        <w:rPr/>
      </w:r>
    </w:p>
    <w:p>
      <w:pPr>
        <w:pStyle w:val="F21"/>
        <w:spacing w:lineRule="atLeast" w:line="370"/>
        <w:rPr/>
      </w:pPr>
      <w:r>
        <w:rPr/>
      </w:r>
    </w:p>
    <w:p>
      <w:pPr>
        <w:pStyle w:val="F21"/>
        <w:spacing w:lineRule="atLeast" w:line="370"/>
        <w:rPr/>
      </w:pPr>
      <w:r>
        <w:rPr>
          <w:rFonts w:eastAsia="華康中黑體"/>
          <w:b/>
        </w:rPr>
        <w:t>代理主席</w:t>
      </w:r>
      <w:r>
        <w:rPr/>
        <w:t>：如果沒有，我現在請商務及經濟發展局局長發言答辯。在局長答辯後，辯論即告結束。</w:t>
      </w:r>
    </w:p>
    <w:p>
      <w:pPr>
        <w:pStyle w:val="F21"/>
        <w:spacing w:lineRule="atLeast" w:line="370"/>
        <w:rPr/>
      </w:pPr>
      <w:r>
        <w:rPr/>
      </w:r>
    </w:p>
    <w:p>
      <w:pPr>
        <w:pStyle w:val="F21"/>
        <w:spacing w:lineRule="atLeast" w:line="370"/>
        <w:rPr/>
      </w:pPr>
      <w:r>
        <w:rPr/>
      </w:r>
    </w:p>
    <w:p>
      <w:pPr>
        <w:pStyle w:val="F21"/>
        <w:spacing w:lineRule="atLeast" w:line="370"/>
        <w:rPr>
          <w:szCs w:val="27"/>
        </w:rPr>
      </w:pPr>
      <w:r>
        <w:rPr>
          <w:rFonts w:ascii="華康中黑體" w:hAnsi="華康中黑體" w:cs="華康中黑體" w:eastAsia="華康中黑體"/>
          <w:b/>
          <w:szCs w:val="27"/>
        </w:rPr>
        <w:t>商務及經濟發展局局長</w:t>
      </w:r>
      <w:r>
        <w:rPr>
          <w:szCs w:val="27"/>
        </w:rPr>
        <w:t>：首先，我要多謝由林健鋒議員出任主席的</w:t>
      </w:r>
      <w:r>
        <w:rPr>
          <w:bCs/>
          <w:szCs w:val="27"/>
        </w:rPr>
        <w:t>《</w:t>
      </w:r>
      <w:r>
        <w:rPr>
          <w:bCs/>
          <w:szCs w:val="27"/>
        </w:rPr>
        <w:t>2013</w:t>
      </w:r>
      <w:r>
        <w:rPr>
          <w:bCs/>
          <w:szCs w:val="27"/>
        </w:rPr>
        <w:t>年玩具及兒童產品安全</w:t>
      </w:r>
      <w:r>
        <w:rPr>
          <w:bCs/>
          <w:szCs w:val="27"/>
        </w:rPr>
        <w:t>(</w:t>
      </w:r>
      <w:r>
        <w:rPr>
          <w:bCs/>
          <w:szCs w:val="27"/>
        </w:rPr>
        <w:t>修訂</w:t>
      </w:r>
      <w:r>
        <w:rPr>
          <w:bCs/>
          <w:szCs w:val="27"/>
        </w:rPr>
        <w:t>)</w:t>
      </w:r>
      <w:r>
        <w:rPr>
          <w:bCs/>
          <w:szCs w:val="27"/>
        </w:rPr>
        <w:t>條例草案》委員會</w:t>
      </w:r>
      <w:r>
        <w:rPr>
          <w:bCs/>
          <w:szCs w:val="27"/>
        </w:rPr>
        <w:t>(“</w:t>
      </w:r>
      <w:r>
        <w:rPr>
          <w:szCs w:val="27"/>
        </w:rPr>
        <w:t>法案委員會”</w:t>
      </w:r>
      <w:r>
        <w:rPr>
          <w:szCs w:val="27"/>
        </w:rPr>
        <w:t>)</w:t>
      </w:r>
      <w:r>
        <w:rPr>
          <w:szCs w:val="27"/>
        </w:rPr>
        <w:t>，有效率地完成審議《</w:t>
      </w:r>
      <w:r>
        <w:rPr>
          <w:szCs w:val="27"/>
        </w:rPr>
        <w:t>2013</w:t>
      </w:r>
      <w:r>
        <w:rPr>
          <w:szCs w:val="27"/>
        </w:rPr>
        <w:t>年玩具及兒童產品安全</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的工作，並給予我們寶貴的建議和意見。我亦十分感謝剛才發言支持修例的議員。我相信議員和政府都有一致的目標，便是要保護兒童，免受某些塑化劑的不良影響。</w:t>
      </w:r>
    </w:p>
    <w:p>
      <w:pPr>
        <w:pStyle w:val="F21"/>
        <w:spacing w:lineRule="atLeast" w:line="370"/>
        <w:rPr>
          <w:szCs w:val="27"/>
        </w:rPr>
      </w:pPr>
      <w:r>
        <w:rPr>
          <w:szCs w:val="27"/>
        </w:rPr>
      </w:r>
    </w:p>
    <w:p>
      <w:pPr>
        <w:pStyle w:val="F21"/>
        <w:spacing w:lineRule="atLeast" w:line="370"/>
        <w:rPr>
          <w:szCs w:val="27"/>
        </w:rPr>
      </w:pPr>
      <w:r>
        <w:rPr>
          <w:szCs w:val="27"/>
        </w:rPr>
        <w:tab/>
      </w:r>
      <w:r>
        <w:rPr>
          <w:szCs w:val="27"/>
        </w:rPr>
        <w:t>現行的《玩具及兒童產品安全條例》</w:t>
      </w:r>
      <w:r>
        <w:rPr>
          <w:szCs w:val="27"/>
        </w:rPr>
        <w:t>(“</w:t>
      </w:r>
      <w:r>
        <w:rPr>
          <w:szCs w:val="27"/>
        </w:rPr>
        <w:t>《條例》”</w:t>
      </w:r>
      <w:r>
        <w:rPr>
          <w:szCs w:val="27"/>
        </w:rPr>
        <w:t>)</w:t>
      </w:r>
      <w:r>
        <w:rPr>
          <w:szCs w:val="27"/>
        </w:rPr>
        <w:t>規管玩具及</w:t>
      </w:r>
      <w:r>
        <w:rPr>
          <w:szCs w:val="27"/>
        </w:rPr>
        <w:t>12</w:t>
      </w:r>
      <w:r>
        <w:rPr>
          <w:szCs w:val="27"/>
        </w:rPr>
        <w:t>類載列於《條例》附表</w:t>
      </w:r>
      <w:r>
        <w:rPr>
          <w:szCs w:val="27"/>
        </w:rPr>
        <w:t>2</w:t>
      </w:r>
      <w:r>
        <w:rPr>
          <w:szCs w:val="27"/>
        </w:rPr>
        <w:t>的兒童產品。《條例》規定，玩具及附表</w:t>
      </w:r>
      <w:r>
        <w:rPr>
          <w:szCs w:val="27"/>
        </w:rPr>
        <w:t>2</w:t>
      </w:r>
      <w:r>
        <w:rPr>
          <w:szCs w:val="27"/>
        </w:rPr>
        <w:t>產品必須符合《條例》訂明的任何一套國際間採用的安全標準中適用的全部規定。《條例》亦訂明，政府可制定規例，就玩具和附表</w:t>
      </w:r>
      <w:r>
        <w:rPr>
          <w:szCs w:val="27"/>
        </w:rPr>
        <w:t>2</w:t>
      </w:r>
      <w:r>
        <w:rPr>
          <w:szCs w:val="27"/>
        </w:rPr>
        <w:t>產品訂立附加安全標準。這制度確保給予本港兒童的安全水平與國際基準看齊。</w:t>
      </w:r>
    </w:p>
    <w:p>
      <w:pPr>
        <w:pStyle w:val="F21"/>
        <w:rPr>
          <w:szCs w:val="27"/>
        </w:rPr>
      </w:pPr>
      <w:r>
        <w:rPr>
          <w:szCs w:val="27"/>
        </w:rPr>
      </w:r>
    </w:p>
    <w:p>
      <w:pPr>
        <w:pStyle w:val="F21"/>
        <w:rPr>
          <w:szCs w:val="27"/>
        </w:rPr>
      </w:pPr>
      <w:r>
        <w:rPr>
          <w:szCs w:val="27"/>
        </w:rPr>
        <w:tab/>
      </w:r>
      <w:r>
        <w:rPr>
          <w:szCs w:val="27"/>
        </w:rPr>
        <w:t>正如商務及經濟發展局局長在</w:t>
      </w:r>
      <w:r>
        <w:rPr>
          <w:szCs w:val="27"/>
        </w:rPr>
        <w:t>7</w:t>
      </w:r>
      <w:r>
        <w:rPr>
          <w:szCs w:val="27"/>
        </w:rPr>
        <w:t>月動議二讀條例草案時表示，條例草案的主要目的，是擴大現行《條例》中“兒童產品”的涵蓋範圍，除包括現時附表</w:t>
      </w:r>
      <w:r>
        <w:rPr>
          <w:szCs w:val="27"/>
        </w:rPr>
        <w:t>2</w:t>
      </w:r>
      <w:r>
        <w:rPr>
          <w:szCs w:val="27"/>
        </w:rPr>
        <w:t>的</w:t>
      </w:r>
      <w:r>
        <w:rPr>
          <w:szCs w:val="27"/>
        </w:rPr>
        <w:t>12</w:t>
      </w:r>
      <w:r>
        <w:rPr>
          <w:szCs w:val="27"/>
        </w:rPr>
        <w:t>類兒童產品外，還涵蓋“擬便利未滿</w:t>
      </w:r>
      <w:r>
        <w:rPr>
          <w:szCs w:val="27"/>
        </w:rPr>
        <w:t>4</w:t>
      </w:r>
      <w:r>
        <w:rPr>
          <w:szCs w:val="27"/>
        </w:rPr>
        <w:t>歲兒童的餵哺、衞生、鬆弛、睡眠、吮吸或長牙，並含有任何塑化物料”的產品。擴大《條例》的適用範圍後，便可透過制定附屬法例，規管某些玩具及兒童產品中的</w:t>
      </w:r>
      <w:r>
        <w:rPr>
          <w:szCs w:val="27"/>
        </w:rPr>
        <w:t>6</w:t>
      </w:r>
      <w:r>
        <w:rPr>
          <w:szCs w:val="27"/>
        </w:rPr>
        <w:t>種鄰苯二甲酸酯的含量。該</w:t>
      </w:r>
      <w:r>
        <w:rPr>
          <w:szCs w:val="27"/>
        </w:rPr>
        <w:t>6</w:t>
      </w:r>
      <w:r>
        <w:rPr>
          <w:szCs w:val="27"/>
        </w:rPr>
        <w:t>種鄰苯二甲酸酯是</w:t>
      </w:r>
      <w:r>
        <w:rPr>
          <w:szCs w:val="27"/>
        </w:rPr>
        <w:t>DEHP</w:t>
      </w:r>
      <w:r>
        <w:rPr>
          <w:szCs w:val="27"/>
        </w:rPr>
        <w:t>、</w:t>
      </w:r>
      <w:r>
        <w:rPr>
          <w:szCs w:val="27"/>
        </w:rPr>
        <w:t>DBP</w:t>
      </w:r>
      <w:r>
        <w:rPr>
          <w:szCs w:val="27"/>
        </w:rPr>
        <w:t>、</w:t>
      </w:r>
      <w:r>
        <w:rPr>
          <w:szCs w:val="27"/>
        </w:rPr>
        <w:t>BBP</w:t>
      </w:r>
      <w:r>
        <w:rPr>
          <w:szCs w:val="27"/>
        </w:rPr>
        <w:t>、</w:t>
      </w:r>
      <w:r>
        <w:rPr>
          <w:szCs w:val="27"/>
        </w:rPr>
        <w:t>DINP</w:t>
      </w:r>
      <w:r>
        <w:rPr>
          <w:szCs w:val="27"/>
        </w:rPr>
        <w:t>、</w:t>
      </w:r>
      <w:r>
        <w:rPr>
          <w:szCs w:val="27"/>
        </w:rPr>
        <w:t>DIDP</w:t>
      </w:r>
      <w:r>
        <w:rPr>
          <w:szCs w:val="27"/>
        </w:rPr>
        <w:t>及</w:t>
      </w:r>
      <w:r>
        <w:rPr>
          <w:szCs w:val="27"/>
        </w:rPr>
        <w:t>DNOP</w:t>
      </w:r>
      <w:r>
        <w:rPr>
          <w:szCs w:val="27"/>
        </w:rPr>
        <w:t>。</w:t>
      </w:r>
    </w:p>
    <w:p>
      <w:pPr>
        <w:pStyle w:val="F21"/>
        <w:rPr>
          <w:szCs w:val="27"/>
        </w:rPr>
      </w:pPr>
      <w:r>
        <w:rPr>
          <w:szCs w:val="27"/>
        </w:rPr>
      </w:r>
    </w:p>
    <w:p>
      <w:pPr>
        <w:pStyle w:val="F21"/>
        <w:rPr>
          <w:szCs w:val="27"/>
        </w:rPr>
      </w:pPr>
      <w:r>
        <w:rPr>
          <w:szCs w:val="27"/>
        </w:rPr>
        <w:tab/>
      </w:r>
      <w:r>
        <w:rPr>
          <w:szCs w:val="27"/>
        </w:rPr>
        <w:t>鄰苯二甲酸酯是常用於軟膠產品的塑化劑，作用是提高物料的彈性及耐用程度。鄰苯二甲酸酯在人體內的急性毒性很低，主要的關注是長期通過口腔攝取的問題。經外國的動物實驗證實，如果長期攝取某幾類鄰苯二甲酸酯，會對肝及腎臟、生殖及發育方面構成不良影響。由於幼兒經常將物件放入口中，因此有可能透過吮吸、咬嚼，將物件中的鄰苯二甲酸酯攝入身體而危害其健康。</w:t>
      </w:r>
    </w:p>
    <w:p>
      <w:pPr>
        <w:pStyle w:val="F21"/>
        <w:rPr>
          <w:szCs w:val="27"/>
        </w:rPr>
      </w:pPr>
      <w:r>
        <w:rPr>
          <w:szCs w:val="27"/>
        </w:rPr>
      </w:r>
    </w:p>
    <w:p>
      <w:pPr>
        <w:pStyle w:val="F21"/>
        <w:rPr>
          <w:szCs w:val="27"/>
        </w:rPr>
      </w:pPr>
      <w:r>
        <w:rPr>
          <w:szCs w:val="27"/>
        </w:rPr>
        <w:tab/>
      </w:r>
      <w:r>
        <w:rPr>
          <w:szCs w:val="27"/>
        </w:rPr>
        <w:t>所以，多個外國經濟體系，包括歐洲聯盟、美國、加拿大及新加坡，已經就與幼兒有密切接觸的玩具及兒童產品，限制上述</w:t>
      </w:r>
      <w:r>
        <w:rPr>
          <w:szCs w:val="27"/>
        </w:rPr>
        <w:t>6</w:t>
      </w:r>
      <w:r>
        <w:rPr>
          <w:szCs w:val="27"/>
        </w:rPr>
        <w:t>種鄰苯二甲酸酯的含量。我們認為有需要確保香港對該</w:t>
      </w:r>
      <w:r>
        <w:rPr>
          <w:szCs w:val="27"/>
        </w:rPr>
        <w:t>6</w:t>
      </w:r>
      <w:r>
        <w:rPr>
          <w:szCs w:val="27"/>
        </w:rPr>
        <w:t>種鄰苯二甲酸酯的規管與這些先進國家看齊，以保障兒童的健康，並避免香港成為不合規格產品的傾銷地。</w:t>
      </w:r>
    </w:p>
    <w:p>
      <w:pPr>
        <w:pStyle w:val="F21"/>
        <w:rPr>
          <w:szCs w:val="27"/>
        </w:rPr>
      </w:pPr>
      <w:r>
        <w:rPr>
          <w:szCs w:val="27"/>
        </w:rPr>
      </w:r>
    </w:p>
    <w:p>
      <w:pPr>
        <w:pStyle w:val="F21"/>
        <w:rPr>
          <w:szCs w:val="27"/>
        </w:rPr>
      </w:pPr>
      <w:r>
        <w:rPr>
          <w:szCs w:val="27"/>
        </w:rPr>
        <w:tab/>
      </w:r>
      <w:r>
        <w:rPr>
          <w:szCs w:val="27"/>
        </w:rPr>
        <w:t>事實上，根據消費者委員會</w:t>
      </w:r>
      <w:r>
        <w:rPr>
          <w:szCs w:val="27"/>
        </w:rPr>
        <w:t>(“</w:t>
      </w:r>
      <w:r>
        <w:rPr>
          <w:szCs w:val="27"/>
        </w:rPr>
        <w:t>消委會”</w:t>
      </w:r>
      <w:r>
        <w:rPr>
          <w:szCs w:val="27"/>
        </w:rPr>
        <w:t>)</w:t>
      </w:r>
      <w:r>
        <w:rPr>
          <w:szCs w:val="27"/>
        </w:rPr>
        <w:t>最近進行的玩具測試，市場上確實有幼兒常常接觸到的部分玩具有高含量的塑化劑，公眾對此有很大關注。因此，通過條例草案後，藉附屬法例管制有關</w:t>
      </w:r>
      <w:r>
        <w:rPr>
          <w:szCs w:val="27"/>
        </w:rPr>
        <w:t>6</w:t>
      </w:r>
      <w:r>
        <w:rPr>
          <w:szCs w:val="27"/>
        </w:rPr>
        <w:t>種鄰苯二甲酸酯在玩具和兒童產品中的含量是必須的。</w:t>
      </w:r>
    </w:p>
    <w:p>
      <w:pPr>
        <w:pStyle w:val="F21"/>
        <w:rPr>
          <w:szCs w:val="27"/>
        </w:rPr>
      </w:pPr>
      <w:r>
        <w:rPr>
          <w:szCs w:val="27"/>
        </w:rPr>
      </w:r>
    </w:p>
    <w:p>
      <w:pPr>
        <w:pStyle w:val="F21"/>
        <w:rPr>
          <w:szCs w:val="27"/>
        </w:rPr>
      </w:pPr>
      <w:r>
        <w:rPr>
          <w:szCs w:val="27"/>
        </w:rPr>
        <w:tab/>
      </w:r>
      <w:r>
        <w:rPr>
          <w:szCs w:val="27"/>
        </w:rPr>
        <w:t>我們曾就條例草案的建議諮詢主要商會、兒童社福團體及公眾，而法案委員會亦曾去信業界及商會，邀請他們就條例草案提交意見。收到的意見書普遍支持條例草案的目的，亦有對技術問題提出建議。法案委員會已詳細討論收到的意見。就一些關於規例用字的建議，我們會於草擬有關的附屬法例時適當處理。</w:t>
      </w:r>
    </w:p>
    <w:p>
      <w:pPr>
        <w:pStyle w:val="F21"/>
        <w:rPr>
          <w:szCs w:val="27"/>
        </w:rPr>
      </w:pPr>
      <w:r>
        <w:rPr>
          <w:szCs w:val="27"/>
        </w:rPr>
        <w:t xml:space="preserve"> </w:t>
      </w:r>
    </w:p>
    <w:p>
      <w:pPr>
        <w:pStyle w:val="F21"/>
        <w:rPr>
          <w:szCs w:val="27"/>
        </w:rPr>
      </w:pPr>
      <w:r>
        <w:rPr>
          <w:szCs w:val="27"/>
        </w:rPr>
        <w:tab/>
      </w:r>
      <w:r>
        <w:rPr>
          <w:szCs w:val="27"/>
        </w:rPr>
        <w:t>何議員剛才提到在條例草案新增第</w:t>
      </w:r>
      <w:r>
        <w:rPr>
          <w:szCs w:val="27"/>
        </w:rPr>
        <w:t>2B(1)(b)(ii)</w:t>
      </w:r>
      <w:r>
        <w:rPr>
          <w:szCs w:val="27"/>
        </w:rPr>
        <w:t>條中“</w:t>
      </w:r>
      <w:r>
        <w:rPr>
          <w:szCs w:val="27"/>
        </w:rPr>
        <w:t>teething”</w:t>
      </w:r>
      <w:r>
        <w:rPr>
          <w:szCs w:val="27"/>
        </w:rPr>
        <w:t>一詞的中文文本，應採用較常用的“出牙”取代“長牙”。事實上，我們已仔細研究有關建議，而法案委員會亦就此事詳細討論。正如我們在法案委員會會議上解釋，從條文英文文本的文意理解，“</w:t>
      </w:r>
      <w:r>
        <w:rPr>
          <w:szCs w:val="27"/>
        </w:rPr>
        <w:t>teething”</w:t>
      </w:r>
      <w:r>
        <w:rPr>
          <w:szCs w:val="27"/>
        </w:rPr>
        <w:t>一詞是指牙齒生長或發展，而從該條文中文文本的文意理解，“便利</w:t>
      </w:r>
      <w:r>
        <w:rPr>
          <w:szCs w:val="27"/>
        </w:rPr>
        <w:t>......</w:t>
      </w:r>
      <w:r>
        <w:rPr>
          <w:szCs w:val="27"/>
        </w:rPr>
        <w:t>長牙”中的“長牙”一詞可表達與英文文本相同的意思。</w:t>
      </w:r>
    </w:p>
    <w:p>
      <w:pPr>
        <w:pStyle w:val="F21"/>
        <w:spacing w:lineRule="atLeast" w:line="370"/>
        <w:rPr>
          <w:szCs w:val="27"/>
        </w:rPr>
      </w:pPr>
      <w:r>
        <w:rPr>
          <w:szCs w:val="27"/>
        </w:rPr>
      </w:r>
    </w:p>
    <w:p>
      <w:pPr>
        <w:pStyle w:val="F21"/>
        <w:spacing w:lineRule="atLeast" w:line="370"/>
        <w:rPr>
          <w:szCs w:val="27"/>
        </w:rPr>
      </w:pPr>
      <w:r>
        <w:rPr>
          <w:szCs w:val="27"/>
        </w:rPr>
        <w:tab/>
      </w:r>
      <w:r>
        <w:rPr>
          <w:szCs w:val="27"/>
        </w:rPr>
        <w:t>從法律角度而言，如果用“出牙”一詞取代“長牙”，中文文本或有可能被理解為只是指兒童的乳齒從牙齦內萌出，而未能清晰表達“</w:t>
      </w:r>
      <w:r>
        <w:rPr>
          <w:szCs w:val="27"/>
        </w:rPr>
        <w:t>teething”</w:t>
      </w:r>
      <w:r>
        <w:rPr>
          <w:szCs w:val="27"/>
        </w:rPr>
        <w:t>一詞的英文意思。</w:t>
      </w:r>
    </w:p>
    <w:p>
      <w:pPr>
        <w:pStyle w:val="F21"/>
        <w:spacing w:lineRule="atLeast" w:line="370"/>
        <w:rPr>
          <w:szCs w:val="27"/>
        </w:rPr>
      </w:pPr>
      <w:r>
        <w:rPr>
          <w:szCs w:val="27"/>
        </w:rPr>
      </w:r>
    </w:p>
    <w:p>
      <w:pPr>
        <w:pStyle w:val="F21"/>
        <w:spacing w:lineRule="atLeast" w:line="370"/>
        <w:rPr>
          <w:szCs w:val="27"/>
        </w:rPr>
      </w:pPr>
      <w:r>
        <w:rPr>
          <w:szCs w:val="27"/>
        </w:rPr>
        <w:tab/>
      </w:r>
      <w:r>
        <w:rPr>
          <w:szCs w:val="27"/>
        </w:rPr>
        <w:t>何議員剛才亦提到我們曾提出採用“牙齒生長”取代“長牙”，但有議員認為此詞冗長，亦有議員接受保留“長牙”。其實，“長牙”一詞亦屬常用，舉例來說，台灣經濟部標準檢驗局的網頁提及美國有關鄰苯二甲酸酯管制的指導文件，當中是以“長牙”作為“</w:t>
      </w:r>
      <w:r>
        <w:rPr>
          <w:szCs w:val="27"/>
        </w:rPr>
        <w:t>teething”</w:t>
      </w:r>
      <w:r>
        <w:rPr>
          <w:szCs w:val="27"/>
        </w:rPr>
        <w:t>的中文文本的。此外，一些常用的英漢詞典，例如牛津英漢雙解詞典及朗文英漢雙解辭典，亦以“長牙”作為“</w:t>
      </w:r>
      <w:r>
        <w:rPr>
          <w:szCs w:val="27"/>
        </w:rPr>
        <w:t>teething”</w:t>
      </w:r>
      <w:r>
        <w:rPr>
          <w:szCs w:val="27"/>
        </w:rPr>
        <w:t>的中文釋義。考慮到議員的意見及法律方面的關注，我們保留了“長牙”作為“</w:t>
      </w:r>
      <w:r>
        <w:rPr>
          <w:szCs w:val="27"/>
        </w:rPr>
        <w:t>teething”</w:t>
      </w:r>
      <w:r>
        <w:rPr>
          <w:szCs w:val="27"/>
        </w:rPr>
        <w:t>的中文文本。</w:t>
      </w:r>
    </w:p>
    <w:p>
      <w:pPr>
        <w:pStyle w:val="F21"/>
        <w:spacing w:lineRule="atLeast" w:line="370"/>
        <w:rPr>
          <w:szCs w:val="27"/>
        </w:rPr>
      </w:pPr>
      <w:r>
        <w:rPr>
          <w:szCs w:val="27"/>
        </w:rPr>
      </w:r>
    </w:p>
    <w:p>
      <w:pPr>
        <w:pStyle w:val="F21"/>
        <w:spacing w:lineRule="atLeast" w:line="370"/>
        <w:rPr>
          <w:szCs w:val="27"/>
        </w:rPr>
      </w:pPr>
      <w:r>
        <w:rPr>
          <w:szCs w:val="27"/>
        </w:rPr>
        <w:tab/>
      </w:r>
      <w:r>
        <w:rPr>
          <w:szCs w:val="27"/>
        </w:rPr>
        <w:t>林議員剛才亦提到，就政府建議的鄰苯二甲酸酯規管，不應將玩具及兒童產品的包裝物料，以及一些內部或接觸不到的部件納入規管的範圍。這些技術事宜屬於將會制定的附屬法例的範疇。正如我們在法案委員會會議上解釋，根據其他經濟體系的做法，建議的鄰苯二甲酸酯規管是不適用於玩具及兒童產品的包裝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至於玩具或兒童產品</w:t>
      </w:r>
      <w:r>
        <w:rPr>
          <w:szCs w:val="27"/>
        </w:rPr>
        <w:t>(</w:t>
      </w:r>
      <w:r>
        <w:rPr>
          <w:szCs w:val="27"/>
        </w:rPr>
        <w:t>或其部分</w:t>
      </w:r>
      <w:r>
        <w:rPr>
          <w:szCs w:val="27"/>
        </w:rPr>
        <w:t>)</w:t>
      </w:r>
      <w:r>
        <w:rPr>
          <w:szCs w:val="27"/>
        </w:rPr>
        <w:t>是否為建議的鄰苯二甲酸酯規管所涵蓋，主要的考慮是有關玩具或兒童產品是否有任何塑化部分可放入幼兒口中或與幼兒有緊密接觸。我們會參考其他經濟體系的做法，考慮如何反映在附屬法例。</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代理主席，因應法案委員會的建議及支持，我會在全體委員會審議階段動議兩項技術性的修正案，以表明《條例》不適用於食物及藥物，以及改善條例草案的中文草擬。</w:t>
      </w:r>
    </w:p>
    <w:p>
      <w:pPr>
        <w:pStyle w:val="F21"/>
        <w:spacing w:lineRule="atLeast" w:line="370"/>
        <w:rPr>
          <w:szCs w:val="27"/>
        </w:rPr>
      </w:pPr>
      <w:r>
        <w:rPr>
          <w:szCs w:val="27"/>
        </w:rPr>
      </w:r>
    </w:p>
    <w:p>
      <w:pPr>
        <w:pStyle w:val="F21"/>
        <w:spacing w:lineRule="atLeast" w:line="370"/>
        <w:rPr>
          <w:szCs w:val="27"/>
        </w:rPr>
      </w:pPr>
      <w:r>
        <w:rPr>
          <w:szCs w:val="27"/>
        </w:rPr>
        <w:tab/>
      </w:r>
      <w:r>
        <w:rPr>
          <w:szCs w:val="27"/>
        </w:rPr>
        <w:t>條例草案獲通過後，我們會盡快根據經修訂的《條例》制定附屬法例，就某些玩具及擬便利未滿</w:t>
      </w:r>
      <w:r>
        <w:rPr>
          <w:szCs w:val="27"/>
        </w:rPr>
        <w:t>4</w:t>
      </w:r>
      <w:r>
        <w:rPr>
          <w:szCs w:val="27"/>
        </w:rPr>
        <w:t>歲兒童的餵哺、衞生、鬆弛、睡眠、吮吸或長牙的產品中有關</w:t>
      </w:r>
      <w:r>
        <w:rPr>
          <w:szCs w:val="27"/>
        </w:rPr>
        <w:t>6</w:t>
      </w:r>
      <w:r>
        <w:rPr>
          <w:szCs w:val="27"/>
        </w:rPr>
        <w:t>種鄰苯二甲酸酯，訂定含量上限及其他技術方面的細節，並提交予立法會審議。我們希望規管可約於</w:t>
      </w:r>
      <w:r>
        <w:rPr>
          <w:szCs w:val="27"/>
        </w:rPr>
        <w:t>2014</w:t>
      </w:r>
      <w:r>
        <w:rPr>
          <w:szCs w:val="27"/>
        </w:rPr>
        <w:t>年年中開始實施。</w:t>
      </w:r>
    </w:p>
    <w:p>
      <w:pPr>
        <w:pStyle w:val="F21"/>
        <w:rPr>
          <w:szCs w:val="27"/>
        </w:rPr>
      </w:pPr>
      <w:r>
        <w:rPr>
          <w:szCs w:val="27"/>
        </w:rPr>
      </w:r>
    </w:p>
    <w:p>
      <w:pPr>
        <w:pStyle w:val="F21"/>
        <w:rPr>
          <w:szCs w:val="27"/>
        </w:rPr>
      </w:pPr>
      <w:r>
        <w:rPr>
          <w:szCs w:val="27"/>
        </w:rPr>
        <w:tab/>
      </w:r>
      <w:r>
        <w:rPr>
          <w:szCs w:val="27"/>
        </w:rPr>
        <w:t>與此同時，我們會聯同負責執行《條例》工作的香港海關</w:t>
      </w:r>
      <w:r>
        <w:rPr>
          <w:szCs w:val="27"/>
        </w:rPr>
        <w:t>(“</w:t>
      </w:r>
      <w:r>
        <w:rPr>
          <w:szCs w:val="27"/>
        </w:rPr>
        <w:t>海關”</w:t>
      </w:r>
      <w:r>
        <w:rPr>
          <w:szCs w:val="27"/>
        </w:rPr>
        <w:t>)</w:t>
      </w:r>
      <w:r>
        <w:rPr>
          <w:szCs w:val="27"/>
        </w:rPr>
        <w:t>，以及消委會，加強有關鄰苯二甲酸酯管制的宣傳工作，使公眾和業界了解新規定的內容，希望令王國興議員更了解我們的工作。例如，海關及消委會會在市面試購含有塑化物料的玩具及兒童產品，交予政府化驗所或其他認可化驗所進行測試，以檢視產品中鄰苯二甲酸酯的含量，並將結果公布。此外，海關亦會舉辦座談會，向業界講解有關新規定，並會到訪幼兒中心及幼稚園等作簡介，讓校方與家長了解如何選購合規格的產品。而且，海關會定期抽查市場上的玩具及兒童產品，並且安排測試。如果發現有違規的產品，海關一定會作出合適的執法行動，包括禁制有關商戶供應產品或提出檢控。</w:t>
      </w:r>
    </w:p>
    <w:p>
      <w:pPr>
        <w:pStyle w:val="F21"/>
        <w:rPr>
          <w:szCs w:val="27"/>
        </w:rPr>
      </w:pPr>
      <w:r>
        <w:rPr>
          <w:szCs w:val="27"/>
        </w:rPr>
      </w:r>
    </w:p>
    <w:p>
      <w:pPr>
        <w:pStyle w:val="F21"/>
        <w:rPr>
          <w:szCs w:val="27"/>
        </w:rPr>
      </w:pPr>
      <w:r>
        <w:rPr>
          <w:szCs w:val="27"/>
        </w:rPr>
        <w:tab/>
      </w:r>
      <w:r>
        <w:rPr>
          <w:szCs w:val="27"/>
        </w:rPr>
        <w:t>代理主席，我謹此陳辭，希望各位議員支持條例草案，以及我稍後在全體委員會審議階段提出的修正案。</w:t>
      </w:r>
    </w:p>
    <w:p>
      <w:pPr>
        <w:pStyle w:val="F21"/>
        <w:rPr>
          <w:szCs w:val="27"/>
        </w:rPr>
      </w:pPr>
      <w:r>
        <w:rPr>
          <w:szCs w:val="27"/>
        </w:rPr>
      </w:r>
    </w:p>
    <w:p>
      <w:pPr>
        <w:pStyle w:val="F21"/>
        <w:rPr>
          <w:szCs w:val="27"/>
        </w:rPr>
      </w:pPr>
      <w:r>
        <w:rPr>
          <w:szCs w:val="27"/>
        </w:rPr>
        <w:tab/>
      </w:r>
      <w:r>
        <w:rPr>
          <w:szCs w:val="27"/>
        </w:rPr>
        <w:t>多謝。</w:t>
      </w:r>
    </w:p>
    <w:p>
      <w:pPr>
        <w:pStyle w:val="F21"/>
        <w:rPr/>
      </w:pPr>
      <w:r>
        <w:rPr/>
      </w:r>
    </w:p>
    <w:p>
      <w:pPr>
        <w:pStyle w:val="F21"/>
        <w:rPr/>
      </w:pPr>
      <w:r>
        <w:rPr/>
      </w:r>
    </w:p>
    <w:p>
      <w:pPr>
        <w:pStyle w:val="F21"/>
        <w:snapToGrid w:val="false"/>
        <w:rPr>
          <w:rFonts w:ascii="華康中黑體" w:hAnsi="華康中黑體" w:eastAsia="華康中黑體"/>
          <w:b/>
          <w:b/>
        </w:rPr>
      </w:pPr>
      <w:r>
        <w:rPr>
          <w:rFonts w:ascii="華康中黑體" w:hAnsi="華康中黑體" w:eastAsia="華康中黑體"/>
          <w:b/>
        </w:rPr>
        <w:t>代理主席</w:t>
      </w:r>
      <w:r>
        <w:rPr>
          <w:rFonts w:ascii="華康中黑體" w:hAnsi="華康中黑體"/>
        </w:rPr>
        <w:t>：</w:t>
      </w:r>
      <w:r>
        <w:rPr/>
        <w:t>我現在向各位提出的待決議題是：《</w:t>
      </w:r>
      <w:r>
        <w:rPr/>
        <w:t>2013</w:t>
      </w:r>
      <w:r>
        <w:rPr/>
        <w:t>年玩具及兒童產品安‍全</w:t>
      </w:r>
      <w:r>
        <w:rPr/>
        <w:t>(</w:t>
      </w:r>
      <w:r>
        <w:rPr/>
        <w:t>修訂</w:t>
      </w:r>
      <w:r>
        <w:rPr/>
        <w:t>)</w:t>
      </w:r>
      <w:r>
        <w:rPr/>
        <w:t>條例草案》，予‍以‍二讀。現在付諸表決，贊成的請舉手。</w:t>
      </w:r>
    </w:p>
    <w:p>
      <w:pPr>
        <w:pStyle w:val="F21"/>
        <w:snapToGrid w:val="false"/>
        <w:rPr>
          <w:rFonts w:ascii="細明體" w:hAnsi="細明體"/>
        </w:rPr>
      </w:pPr>
      <w:r>
        <w:rPr>
          <w:rFonts w:ascii="細明體" w:hAnsi="細明體"/>
        </w:rPr>
      </w:r>
    </w:p>
    <w:p>
      <w:pPr>
        <w:pStyle w:val="F21"/>
        <w:snapToGrid w:val="false"/>
        <w:rPr/>
      </w:pPr>
      <w:r>
        <w:rPr/>
        <w:t>(</w:t>
      </w:r>
      <w:r>
        <w:rPr/>
        <w:t>議員舉手</w:t>
      </w:r>
      <w:r>
        <w:rPr/>
        <w:t>)</w:t>
      </w:r>
    </w:p>
    <w:p>
      <w:pPr>
        <w:pStyle w:val="F21"/>
        <w:snapToGrid w:val="false"/>
        <w:rPr>
          <w:rFonts w:ascii="華康中黑體" w:hAnsi="華康中黑體" w:eastAsia="華康中黑體"/>
          <w:b/>
          <w:b/>
        </w:rPr>
      </w:pPr>
      <w:r>
        <w:rPr>
          <w:rFonts w:eastAsia="華康中黑體" w:ascii="華康中黑體" w:hAnsi="華康中黑體"/>
          <w:b/>
        </w:rPr>
      </w:r>
    </w:p>
    <w:p>
      <w:pPr>
        <w:pStyle w:val="F21"/>
        <w:snapToGrid w:val="false"/>
        <w:rPr>
          <w:rFonts w:ascii="華康中黑體" w:hAnsi="華康中黑體" w:eastAsia="華康中黑體"/>
          <w:b/>
          <w:b/>
        </w:rPr>
      </w:pPr>
      <w:r>
        <w:rPr>
          <w:rFonts w:eastAsia="華康中黑體" w:ascii="華康中黑體" w:hAnsi="華康中黑體"/>
          <w:b/>
        </w:rPr>
      </w:r>
    </w:p>
    <w:p>
      <w:pPr>
        <w:pStyle w:val="F21"/>
        <w:snapToGrid w:val="false"/>
        <w:rPr/>
      </w:pPr>
      <w:r>
        <w:rPr>
          <w:rFonts w:ascii="華康中黑體" w:hAnsi="華康中黑體" w:eastAsia="華康中黑體"/>
          <w:b/>
        </w:rPr>
        <w:t>代理主席</w:t>
      </w:r>
      <w:r>
        <w:rPr>
          <w:rFonts w:ascii="華康中黑體" w:hAnsi="華康中黑體"/>
        </w:rPr>
        <w:t>：</w:t>
      </w:r>
      <w:r>
        <w:rPr/>
        <w:t>反對的請舉手。</w:t>
      </w:r>
    </w:p>
    <w:p>
      <w:pPr>
        <w:pStyle w:val="F21"/>
        <w:snapToGrid w:val="false"/>
        <w:rPr/>
      </w:pPr>
      <w:r>
        <w:rPr/>
      </w:r>
    </w:p>
    <w:p>
      <w:pPr>
        <w:pStyle w:val="F21"/>
        <w:snapToGrid w:val="false"/>
        <w:rPr/>
      </w:pPr>
      <w:r>
        <w:rPr/>
        <w:t>(</w:t>
      </w:r>
      <w:r>
        <w:rPr/>
        <w:t>沒有議員舉手</w:t>
      </w:r>
      <w:r>
        <w:rPr/>
        <w:t>)</w:t>
      </w:r>
    </w:p>
    <w:p>
      <w:pPr>
        <w:pStyle w:val="F21"/>
        <w:snapToGrid w:val="false"/>
        <w:rPr/>
      </w:pPr>
      <w:r>
        <w:rPr/>
      </w:r>
    </w:p>
    <w:p>
      <w:pPr>
        <w:pStyle w:val="F21"/>
        <w:snapToGrid w:val="false"/>
        <w:rPr/>
      </w:pPr>
      <w:r>
        <w:rPr/>
      </w:r>
    </w:p>
    <w:p>
      <w:pPr>
        <w:pStyle w:val="F21"/>
        <w:snapToGrid w:val="false"/>
        <w:rPr/>
      </w:pPr>
      <w:r>
        <w:rPr>
          <w:rFonts w:ascii="華康中黑體" w:hAnsi="華康中黑體" w:eastAsia="華康中黑體"/>
          <w:b/>
        </w:rPr>
        <w:t>代理主席</w:t>
      </w:r>
      <w:r>
        <w:rPr>
          <w:rFonts w:ascii="華康中黑體" w:hAnsi="華康中黑體"/>
        </w:rPr>
        <w:t>：</w:t>
      </w:r>
      <w:r>
        <w:rPr/>
        <w:t>我認為議題獲得在席議員以過半數贊成。我宣布議案獲得通過。</w:t>
      </w:r>
    </w:p>
    <w:p>
      <w:pPr>
        <w:pStyle w:val="F21"/>
        <w:snapToGrid w:val="false"/>
        <w:rPr/>
      </w:pPr>
      <w:r>
        <w:rPr/>
      </w:r>
    </w:p>
    <w:p>
      <w:pPr>
        <w:pStyle w:val="F21"/>
        <w:rPr/>
      </w:pPr>
      <w:r>
        <w:rPr/>
      </w:r>
    </w:p>
    <w:p>
      <w:pPr>
        <w:pStyle w:val="F21"/>
        <w:rPr/>
      </w:pPr>
      <w:r>
        <w:rPr>
          <w:rFonts w:ascii="華康中黑體" w:hAnsi="華康中黑體" w:eastAsia="華康中黑體"/>
          <w:b/>
        </w:rPr>
        <w:t>秘書</w:t>
      </w:r>
      <w:r>
        <w:rPr/>
        <w:t>：《</w:t>
      </w:r>
      <w:r>
        <w:rPr/>
        <w:t>2013</w:t>
      </w:r>
      <w:r>
        <w:rPr/>
        <w:t>年玩具及兒童產品安全</w:t>
      </w:r>
      <w:r>
        <w:rPr/>
        <w:t>(</w:t>
      </w:r>
      <w:r>
        <w:rPr/>
        <w:t>修訂</w:t>
      </w:r>
      <w:r>
        <w:rPr/>
        <w:t>)</w:t>
      </w:r>
      <w:r>
        <w:rPr/>
        <w:t>條例草案》。</w:t>
      </w:r>
    </w:p>
    <w:p>
      <w:pPr>
        <w:pStyle w:val="F21"/>
        <w:rPr/>
      </w:pPr>
      <w:r>
        <w:rPr/>
      </w:r>
    </w:p>
    <w:p>
      <w:pPr>
        <w:pStyle w:val="F21"/>
        <w:rPr/>
      </w:pPr>
      <w:r>
        <w:rPr/>
      </w:r>
    </w:p>
    <w:p>
      <w:pPr>
        <w:pStyle w:val="F21"/>
        <w:rPr/>
      </w:pPr>
      <w:r>
        <w:rPr/>
        <w:t>立法會進入全體委員會審議階段。</w:t>
      </w:r>
    </w:p>
    <w:p>
      <w:pPr>
        <w:pStyle w:val="Normal"/>
        <w:rPr/>
      </w:pPr>
      <w:r>
        <w:rPr/>
        <w:t>Council went into Committee.</w:t>
      </w:r>
    </w:p>
    <w:p>
      <w:pPr>
        <w:pStyle w:val="Normal"/>
        <w:spacing w:lineRule="exact" w:line="200"/>
        <w:rPr/>
      </w:pPr>
      <w:r>
        <w:rPr/>
      </w:r>
    </w:p>
    <w:p>
      <w:pPr>
        <w:pStyle w:val="F21"/>
        <w:spacing w:lineRule="atLeast" w:line="350"/>
        <w:rPr>
          <w:rFonts w:ascii="華康中黑體" w:hAnsi="華康中黑體" w:eastAsia="華康中黑體"/>
          <w:b/>
          <w:b/>
        </w:rPr>
      </w:pPr>
      <w:bookmarkStart w:id="66" w:name="cos01"/>
      <w:r>
        <w:rPr>
          <w:rFonts w:ascii="華康中黑體" w:hAnsi="華康中黑體" w:eastAsia="華康中黑體"/>
          <w:b/>
        </w:rPr>
        <w:t>全體委員會審議階段</w:t>
      </w:r>
      <w:r>
        <w:br w:type="page"/>
      </w:r>
    </w:p>
    <w:p>
      <w:pPr>
        <w:pStyle w:val="Normal"/>
        <w:spacing w:lineRule="atLeast" w:line="350"/>
        <w:rPr>
          <w:b/>
          <w:b/>
        </w:rPr>
      </w:pPr>
      <w:bookmarkStart w:id="67" w:name="cos01"/>
      <w:r>
        <w:rPr>
          <w:b/>
        </w:rPr>
        <w:t>Committee Stage</w:t>
      </w:r>
      <w:bookmarkEnd w:id="67"/>
    </w:p>
    <w:p>
      <w:pPr>
        <w:pStyle w:val="F21"/>
        <w:spacing w:lineRule="atLeast" w:line="350"/>
        <w:rPr/>
      </w:pPr>
      <w:r>
        <w:rPr/>
      </w:r>
    </w:p>
    <w:p>
      <w:pPr>
        <w:pStyle w:val="F21"/>
        <w:spacing w:lineRule="atLeast" w:line="350"/>
        <w:rPr/>
      </w:pPr>
      <w:r>
        <w:rPr>
          <w:rFonts w:ascii="華康中黑體" w:hAnsi="華康中黑體" w:eastAsia="華康中黑體"/>
          <w:b/>
        </w:rPr>
        <w:t>代理全委會主席</w:t>
      </w:r>
      <w:r>
        <w:rPr>
          <w:rFonts w:ascii="華康中黑體" w:hAnsi="華康中黑體"/>
        </w:rPr>
        <w:t>：</w:t>
      </w:r>
      <w:r>
        <w:rPr/>
        <w:t>全體委員會審議階段。本會現在成為全體委員會。</w:t>
      </w:r>
    </w:p>
    <w:p>
      <w:pPr>
        <w:pStyle w:val="F21"/>
        <w:spacing w:lineRule="atLeast" w:line="350"/>
        <w:rPr/>
      </w:pPr>
      <w:r>
        <w:rPr/>
      </w:r>
    </w:p>
    <w:p>
      <w:pPr>
        <w:pStyle w:val="F21"/>
        <w:spacing w:lineRule="atLeast" w:line="350"/>
        <w:rPr/>
      </w:pPr>
      <w:r>
        <w:rPr/>
      </w:r>
    </w:p>
    <w:p>
      <w:pPr>
        <w:pStyle w:val="F21"/>
        <w:spacing w:lineRule="atLeast" w:line="350"/>
        <w:rPr>
          <w:rFonts w:eastAsia="華康中黑體" w:cs="Times New Roman"/>
          <w:b/>
          <w:b/>
        </w:rPr>
      </w:pPr>
      <w:bookmarkStart w:id="68" w:name="cos01a"/>
      <w:r>
        <w:rPr>
          <w:rFonts w:cs="Times New Roman" w:eastAsia="華康中黑體"/>
          <w:b/>
        </w:rPr>
        <w:t>《</w:t>
      </w:r>
      <w:r>
        <w:rPr>
          <w:rFonts w:eastAsia="華康中黑體" w:cs="Times New Roman"/>
          <w:b/>
        </w:rPr>
        <w:t>2013</w:t>
      </w:r>
      <w:r>
        <w:rPr>
          <w:rFonts w:cs="Times New Roman" w:eastAsia="華康中黑體"/>
          <w:b/>
        </w:rPr>
        <w:t>年玩具及兒童產品安全</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spacing w:lineRule="atLeast" w:line="350"/>
        <w:rPr>
          <w:b/>
          <w:b/>
        </w:rPr>
      </w:pPr>
      <w:bookmarkStart w:id="69" w:name="cos01a"/>
      <w:r>
        <w:rPr>
          <w:b/>
        </w:rPr>
        <w:t>TOYS AND CHILDREN'S PRODUCTS SAFETY (AMENDMENT) BILL 2013</w:t>
      </w:r>
      <w:bookmarkEnd w:id="69"/>
    </w:p>
    <w:p>
      <w:pPr>
        <w:pStyle w:val="F21"/>
        <w:spacing w:lineRule="atLeast" w:line="350"/>
        <w:rPr/>
      </w:pPr>
      <w:r>
        <w:rPr/>
      </w:r>
    </w:p>
    <w:p>
      <w:pPr>
        <w:pStyle w:val="F21"/>
        <w:spacing w:lineRule="atLeast" w:line="350"/>
        <w:rPr/>
      </w:pPr>
      <w:r>
        <w:rPr>
          <w:rFonts w:ascii="華康中黑體" w:hAnsi="華康中黑體" w:eastAsia="華康中黑體"/>
          <w:b/>
        </w:rPr>
        <w:t>代理全委會主席</w:t>
      </w:r>
      <w:r>
        <w:rPr>
          <w:rFonts w:ascii="華康中黑體" w:hAnsi="華康中黑體"/>
        </w:rPr>
        <w:t>：</w:t>
      </w:r>
      <w:r>
        <w:rPr/>
        <w:t>我現在向各位提出的待議議題是：以下條文納入《</w:t>
      </w:r>
      <w:r>
        <w:rPr/>
        <w:t>2013</w:t>
      </w:r>
      <w:r>
        <w:rPr/>
        <w:t>年玩具及兒童產品安全</w:t>
      </w:r>
      <w:r>
        <w:rPr/>
        <w:t>(</w:t>
      </w:r>
      <w:r>
        <w:rPr/>
        <w:t>修訂</w:t>
      </w:r>
      <w:r>
        <w:rPr/>
        <w:t>)</w:t>
      </w:r>
      <w:r>
        <w:rPr/>
        <w:t>條例草案》。</w:t>
      </w:r>
    </w:p>
    <w:p>
      <w:pPr>
        <w:pStyle w:val="F21"/>
        <w:spacing w:lineRule="atLeast" w:line="350"/>
        <w:rPr/>
      </w:pPr>
      <w:r>
        <w:rPr/>
      </w:r>
    </w:p>
    <w:p>
      <w:pPr>
        <w:pStyle w:val="F21"/>
        <w:spacing w:lineRule="atLeast" w:line="350"/>
        <w:rPr/>
      </w:pPr>
      <w:r>
        <w:rPr/>
      </w:r>
    </w:p>
    <w:p>
      <w:pPr>
        <w:pStyle w:val="F21"/>
        <w:spacing w:lineRule="atLeast" w:line="350"/>
        <w:rPr/>
      </w:pPr>
      <w:r>
        <w:rPr>
          <w:rFonts w:ascii="華康中黑體" w:hAnsi="華康中黑體" w:eastAsia="華康中黑體"/>
          <w:b/>
        </w:rPr>
        <w:t>秘書</w:t>
      </w:r>
      <w:r>
        <w:rPr/>
        <w:t>：第</w:t>
      </w:r>
      <w:r>
        <w:rPr/>
        <w:t>1</w:t>
      </w:r>
      <w:r>
        <w:rPr/>
        <w:t>、</w:t>
      </w:r>
      <w:r>
        <w:rPr/>
        <w:t>2</w:t>
      </w:r>
      <w:r>
        <w:rPr/>
        <w:t>、</w:t>
      </w:r>
      <w:r>
        <w:rPr/>
        <w:t>3</w:t>
      </w:r>
      <w:r>
        <w:rPr/>
        <w:t>及</w:t>
      </w:r>
      <w:r>
        <w:rPr/>
        <w:t>5</w:t>
      </w:r>
      <w:r>
        <w:rPr/>
        <w:t>至</w:t>
      </w:r>
      <w:r>
        <w:rPr/>
        <w:t>17</w:t>
      </w:r>
      <w:r>
        <w:rPr/>
        <w:t>條。</w:t>
      </w:r>
    </w:p>
    <w:p>
      <w:pPr>
        <w:pStyle w:val="F21"/>
        <w:spacing w:lineRule="atLeast" w:line="350"/>
        <w:rPr/>
      </w:pPr>
      <w:r>
        <w:rPr/>
      </w:r>
    </w:p>
    <w:p>
      <w:pPr>
        <w:pStyle w:val="F21"/>
        <w:spacing w:lineRule="atLeast" w:line="350"/>
        <w:rPr/>
      </w:pPr>
      <w:r>
        <w:rPr/>
      </w:r>
    </w:p>
    <w:p>
      <w:pPr>
        <w:pStyle w:val="F21"/>
        <w:spacing w:lineRule="atLeast" w:line="350"/>
        <w:rPr/>
      </w:pPr>
      <w:r>
        <w:rPr>
          <w:rFonts w:ascii="華康中黑體" w:hAnsi="華康中黑體" w:eastAsia="華康中黑體"/>
          <w:b/>
        </w:rPr>
        <w:t>代理全委會主席</w:t>
      </w:r>
      <w:r>
        <w:rPr>
          <w:rFonts w:ascii="華康中黑體" w:hAnsi="華康中黑體"/>
        </w:rPr>
        <w:t>：</w:t>
      </w:r>
      <w:r>
        <w:rPr/>
        <w:t>是否有委員想發言？</w:t>
      </w:r>
    </w:p>
    <w:p>
      <w:pPr>
        <w:pStyle w:val="F21"/>
        <w:spacing w:lineRule="atLeast" w:line="350"/>
        <w:rPr/>
      </w:pPr>
      <w:r>
        <w:rPr/>
      </w:r>
    </w:p>
    <w:p>
      <w:pPr>
        <w:pStyle w:val="F21"/>
        <w:spacing w:lineRule="atLeast" w:line="350"/>
        <w:rPr/>
      </w:pPr>
      <w:r>
        <w:rPr/>
        <w:t>(</w:t>
      </w:r>
      <w:r>
        <w:rPr/>
        <w:t>沒有委員表示想發言</w:t>
      </w:r>
      <w:r>
        <w:rPr/>
        <w:t>)</w:t>
      </w:r>
    </w:p>
    <w:p>
      <w:pPr>
        <w:pStyle w:val="F21"/>
        <w:spacing w:lineRule="atLeast" w:line="350"/>
        <w:rPr/>
      </w:pPr>
      <w:r>
        <w:rPr/>
      </w:r>
    </w:p>
    <w:p>
      <w:pPr>
        <w:pStyle w:val="F21"/>
        <w:spacing w:lineRule="atLeast" w:line="350"/>
        <w:rPr/>
      </w:pPr>
      <w:r>
        <w:rPr/>
      </w:r>
    </w:p>
    <w:p>
      <w:pPr>
        <w:pStyle w:val="F21"/>
        <w:snapToGrid w:val="false"/>
        <w:spacing w:lineRule="atLeast" w:line="350"/>
        <w:rPr/>
      </w:pPr>
      <w:r>
        <w:rPr>
          <w:rFonts w:eastAsia="華康中黑體"/>
          <w:b/>
          <w:color w:val="000000"/>
          <w:szCs w:val="27"/>
        </w:rPr>
        <w:t>代理全委會主席</w:t>
      </w:r>
      <w:r>
        <w:rPr>
          <w:color w:val="000000"/>
          <w:szCs w:val="27"/>
        </w:rPr>
        <w:t>：</w:t>
      </w:r>
      <w:r>
        <w:rPr/>
        <w:t>我現在向各位提出的待決議題是：第</w:t>
      </w:r>
      <w:r>
        <w:rPr/>
        <w:t>1</w:t>
      </w:r>
      <w:r>
        <w:rPr/>
        <w:t>、</w:t>
      </w:r>
      <w:r>
        <w:rPr/>
        <w:t>2</w:t>
      </w:r>
      <w:r>
        <w:rPr/>
        <w:t>、</w:t>
      </w:r>
      <w:r>
        <w:rPr/>
        <w:t>3</w:t>
      </w:r>
      <w:r>
        <w:rPr/>
        <w:t>及</w:t>
      </w:r>
      <w:r>
        <w:rPr/>
        <w:t>5</w:t>
      </w:r>
      <w:r>
        <w:rPr/>
        <w:t>至</w:t>
      </w:r>
      <w:r>
        <w:rPr/>
        <w:t>17</w:t>
      </w:r>
      <w:r>
        <w:rPr/>
        <w:t>條納‍入本條例草案。現在付諸表決，贊成的請舉手。</w:t>
      </w:r>
    </w:p>
    <w:p>
      <w:pPr>
        <w:pStyle w:val="F21"/>
        <w:snapToGrid w:val="false"/>
        <w:spacing w:lineRule="atLeast" w:line="350"/>
        <w:rPr/>
      </w:pPr>
      <w:r>
        <w:rPr/>
      </w:r>
    </w:p>
    <w:p>
      <w:pPr>
        <w:pStyle w:val="F21"/>
        <w:snapToGrid w:val="false"/>
        <w:spacing w:lineRule="atLeast" w:line="350"/>
        <w:rPr/>
      </w:pPr>
      <w:r>
        <w:rPr/>
        <w:t>(</w:t>
      </w:r>
      <w:r>
        <w:rPr/>
        <w:t>委員舉手</w:t>
      </w:r>
      <w:r>
        <w:rPr/>
        <w:t>)</w:t>
      </w:r>
    </w:p>
    <w:p>
      <w:pPr>
        <w:pStyle w:val="F21"/>
        <w:snapToGrid w:val="false"/>
        <w:spacing w:lineRule="atLeast" w:line="350"/>
        <w:rPr>
          <w:rFonts w:ascii="華康中黑體" w:hAnsi="華康中黑體" w:eastAsia="華康中黑體"/>
          <w:b/>
          <w:b/>
        </w:rPr>
      </w:pPr>
      <w:r>
        <w:rPr>
          <w:rFonts w:eastAsia="華康中黑體" w:ascii="華康中黑體" w:hAnsi="華康中黑體"/>
          <w:b/>
        </w:rPr>
      </w:r>
    </w:p>
    <w:p>
      <w:pPr>
        <w:pStyle w:val="F21"/>
        <w:snapToGrid w:val="false"/>
        <w:spacing w:lineRule="atLeast" w:line="350"/>
        <w:rPr>
          <w:rFonts w:ascii="華康中黑體" w:hAnsi="華康中黑體" w:eastAsia="華康中黑體"/>
          <w:b/>
          <w:b/>
        </w:rPr>
      </w:pPr>
      <w:r>
        <w:rPr>
          <w:rFonts w:eastAsia="華康中黑體" w:ascii="華康中黑體" w:hAnsi="華康中黑體"/>
          <w:b/>
        </w:rPr>
      </w:r>
    </w:p>
    <w:p>
      <w:pPr>
        <w:pStyle w:val="F21"/>
        <w:widowControl/>
        <w:snapToGrid w:val="false"/>
        <w:spacing w:lineRule="atLeast" w:line="350"/>
        <w:ind w:left="2520" w:hanging="2520"/>
        <w:rPr>
          <w:color w:val="000000"/>
          <w:szCs w:val="27"/>
        </w:rPr>
      </w:pPr>
      <w:r>
        <w:rPr>
          <w:rFonts w:eastAsia="華康中黑體"/>
          <w:b/>
          <w:color w:val="000000"/>
          <w:szCs w:val="27"/>
        </w:rPr>
        <w:t>代理全委會主席</w:t>
      </w:r>
      <w:r>
        <w:rPr>
          <w:color w:val="000000"/>
          <w:szCs w:val="27"/>
        </w:rPr>
        <w:t>：</w:t>
      </w:r>
      <w:r>
        <w:rPr/>
        <w:t>反對的請舉手</w:t>
      </w:r>
      <w:r>
        <w:rPr>
          <w:color w:val="000000"/>
          <w:szCs w:val="27"/>
        </w:rPr>
        <w:t>。</w:t>
      </w:r>
    </w:p>
    <w:p>
      <w:pPr>
        <w:pStyle w:val="F21"/>
        <w:snapToGrid w:val="false"/>
        <w:spacing w:lineRule="atLeast" w:line="350"/>
        <w:rPr/>
      </w:pPr>
      <w:r>
        <w:rPr/>
      </w:r>
    </w:p>
    <w:p>
      <w:pPr>
        <w:pStyle w:val="F21"/>
        <w:snapToGrid w:val="false"/>
        <w:spacing w:lineRule="atLeast" w:line="350"/>
        <w:rPr/>
      </w:pPr>
      <w:r>
        <w:rPr/>
        <w:t>(</w:t>
      </w:r>
      <w:r>
        <w:rPr/>
        <w:t>沒有委員舉手</w:t>
      </w:r>
      <w:r>
        <w:rPr/>
        <w:t>)</w:t>
      </w:r>
    </w:p>
    <w:p>
      <w:pPr>
        <w:pStyle w:val="F21"/>
        <w:snapToGrid w:val="false"/>
        <w:spacing w:lineRule="atLeast" w:line="350"/>
        <w:rPr/>
      </w:pPr>
      <w:r>
        <w:rPr/>
      </w:r>
    </w:p>
    <w:p>
      <w:pPr>
        <w:pStyle w:val="Normal"/>
        <w:spacing w:lineRule="atLeast" w:line="350"/>
        <w:ind w:left="2482" w:hanging="2482"/>
        <w:rPr>
          <w:rFonts w:eastAsia="華康中黑體"/>
          <w:b/>
          <w:b/>
          <w:color w:val="000000"/>
          <w:spacing w:val="20"/>
          <w:sz w:val="27"/>
          <w:szCs w:val="27"/>
        </w:rPr>
      </w:pPr>
      <w:r>
        <w:rPr>
          <w:rFonts w:eastAsia="華康中黑體"/>
          <w:b/>
          <w:color w:val="000000"/>
          <w:spacing w:val="20"/>
          <w:sz w:val="27"/>
          <w:szCs w:val="27"/>
        </w:rPr>
      </w:r>
    </w:p>
    <w:p>
      <w:pPr>
        <w:pStyle w:val="Normal"/>
        <w:tabs>
          <w:tab w:val="clear" w:pos="720"/>
          <w:tab w:val="left" w:pos="567" w:leader="none"/>
        </w:tabs>
        <w:snapToGrid w:val="false"/>
        <w:spacing w:lineRule="atLeast" w:line="350"/>
        <w:rPr>
          <w:spacing w:val="20"/>
          <w:sz w:val="27"/>
          <w:szCs w:val="27"/>
        </w:rPr>
      </w:pPr>
      <w:r>
        <w:rPr>
          <w:rFonts w:eastAsia="華康中黑體"/>
          <w:b/>
          <w:color w:val="000000"/>
          <w:spacing w:val="20"/>
          <w:sz w:val="27"/>
          <w:szCs w:val="27"/>
        </w:rPr>
        <w:t>代理全委會主席</w:t>
      </w:r>
      <w:r>
        <w:rPr>
          <w:color w:val="000000"/>
          <w:spacing w:val="20"/>
          <w:sz w:val="27"/>
          <w:szCs w:val="27"/>
        </w:rPr>
        <w:t>：</w:t>
      </w:r>
      <w:r>
        <w:rPr>
          <w:spacing w:val="20"/>
          <w:sz w:val="27"/>
          <w:szCs w:val="27"/>
        </w:rPr>
        <w:t>我認為議題獲得在席委員以‍過半數贊成。我宣布議案獲得通過。</w:t>
      </w:r>
    </w:p>
    <w:p>
      <w:pPr>
        <w:pStyle w:val="Normal"/>
        <w:tabs>
          <w:tab w:val="clear" w:pos="720"/>
          <w:tab w:val="left" w:pos="567" w:leader="none"/>
        </w:tabs>
        <w:snapToGrid w:val="false"/>
        <w:rPr>
          <w:spacing w:val="20"/>
          <w:sz w:val="27"/>
          <w:szCs w:val="27"/>
        </w:rPr>
      </w:pPr>
      <w:r>
        <w:rPr>
          <w:spacing w:val="20"/>
          <w:sz w:val="27"/>
          <w:szCs w:val="27"/>
        </w:rPr>
      </w:r>
    </w:p>
    <w:p>
      <w:pPr>
        <w:pStyle w:val="Normal"/>
        <w:tabs>
          <w:tab w:val="clear" w:pos="720"/>
          <w:tab w:val="left" w:pos="567" w:leader="none"/>
        </w:tabs>
        <w:snapToGrid w:val="false"/>
        <w:rPr>
          <w:spacing w:val="20"/>
          <w:sz w:val="27"/>
          <w:szCs w:val="27"/>
        </w:rPr>
      </w:pPr>
      <w:r>
        <w:rPr>
          <w:spacing w:val="20"/>
          <w:sz w:val="27"/>
          <w:szCs w:val="27"/>
        </w:rPr>
      </w:r>
    </w:p>
    <w:p>
      <w:pPr>
        <w:pStyle w:val="Normal"/>
        <w:tabs>
          <w:tab w:val="clear" w:pos="720"/>
          <w:tab w:val="left" w:pos="567" w:leader="none"/>
        </w:tabs>
        <w:snapToGrid w:val="false"/>
        <w:rPr>
          <w:spacing w:val="20"/>
          <w:sz w:val="27"/>
          <w:szCs w:val="27"/>
        </w:rPr>
      </w:pPr>
      <w:r>
        <w:rPr>
          <w:rFonts w:eastAsia="華康中黑體"/>
          <w:b/>
          <w:spacing w:val="20"/>
          <w:sz w:val="27"/>
          <w:szCs w:val="27"/>
        </w:rPr>
        <w:t>秘書</w:t>
      </w:r>
      <w:r>
        <w:rPr>
          <w:spacing w:val="20"/>
          <w:sz w:val="27"/>
          <w:szCs w:val="27"/>
        </w:rPr>
        <w:t>：第</w:t>
      </w:r>
      <w:r>
        <w:rPr>
          <w:spacing w:val="20"/>
          <w:sz w:val="27"/>
          <w:szCs w:val="27"/>
        </w:rPr>
        <w:t>4</w:t>
      </w:r>
      <w:r>
        <w:rPr>
          <w:spacing w:val="20"/>
          <w:sz w:val="27"/>
          <w:szCs w:val="27"/>
        </w:rPr>
        <w:t>條。</w:t>
      </w:r>
    </w:p>
    <w:p>
      <w:pPr>
        <w:pStyle w:val="F21"/>
        <w:spacing w:lineRule="atLeast" w:line="350"/>
        <w:rPr>
          <w:szCs w:val="27"/>
        </w:rPr>
      </w:pPr>
      <w:r>
        <w:rPr>
          <w:rFonts w:eastAsia="華康中黑體"/>
          <w:b/>
          <w:szCs w:val="27"/>
        </w:rPr>
        <w:t>商務及經濟發展局局長</w:t>
      </w:r>
      <w:r>
        <w:rPr>
          <w:szCs w:val="27"/>
        </w:rPr>
        <w:t>：代理主席，我動議修正條例草案第</w:t>
      </w:r>
      <w:r>
        <w:rPr>
          <w:szCs w:val="27"/>
        </w:rPr>
        <w:t>4</w:t>
      </w:r>
      <w:r>
        <w:rPr>
          <w:szCs w:val="27"/>
        </w:rPr>
        <w:t>條，以加入新的第</w:t>
      </w:r>
      <w:r>
        <w:rPr>
          <w:szCs w:val="27"/>
        </w:rPr>
        <w:t>2AA</w:t>
      </w:r>
      <w:r>
        <w:rPr>
          <w:szCs w:val="27"/>
        </w:rPr>
        <w:t>條及修正第</w:t>
      </w:r>
      <w:r>
        <w:rPr>
          <w:szCs w:val="27"/>
        </w:rPr>
        <w:t>2B(1)(b)(ii)</w:t>
      </w:r>
      <w:r>
        <w:rPr>
          <w:szCs w:val="27"/>
        </w:rPr>
        <w:t>條的中文本，修正案的內容已載列於發送給各委員的文件。</w:t>
      </w:r>
      <w:r>
        <w:br w:type="page"/>
      </w:r>
    </w:p>
    <w:p>
      <w:pPr>
        <w:pStyle w:val="F21"/>
        <w:spacing w:lineRule="atLeast" w:line="350"/>
        <w:rPr>
          <w:szCs w:val="27"/>
        </w:rPr>
      </w:pPr>
      <w:r>
        <w:rPr>
          <w:szCs w:val="27"/>
        </w:rPr>
      </w:r>
    </w:p>
    <w:p>
      <w:pPr>
        <w:pStyle w:val="F21"/>
        <w:spacing w:lineRule="atLeast" w:line="350"/>
        <w:rPr>
          <w:szCs w:val="27"/>
        </w:rPr>
      </w:pPr>
      <w:r>
        <w:rPr>
          <w:szCs w:val="27"/>
        </w:rPr>
        <w:tab/>
      </w:r>
      <w:r>
        <w:rPr>
          <w:szCs w:val="27"/>
        </w:rPr>
        <w:t>正如我剛才提到，條例草案建議擴闊“兒童產品”的定義，以涵蓋《玩具及兒童產品安全條例》</w:t>
      </w:r>
      <w:r>
        <w:rPr>
          <w:szCs w:val="27"/>
        </w:rPr>
        <w:t>(“</w:t>
      </w:r>
      <w:r>
        <w:rPr>
          <w:szCs w:val="27"/>
        </w:rPr>
        <w:t>《條例》”</w:t>
      </w:r>
      <w:r>
        <w:rPr>
          <w:szCs w:val="27"/>
        </w:rPr>
        <w:t>)</w:t>
      </w:r>
      <w:r>
        <w:rPr>
          <w:szCs w:val="27"/>
        </w:rPr>
        <w:t>下</w:t>
      </w:r>
      <w:r>
        <w:rPr>
          <w:szCs w:val="27"/>
        </w:rPr>
        <w:t>12</w:t>
      </w:r>
      <w:r>
        <w:rPr>
          <w:szCs w:val="27"/>
        </w:rPr>
        <w:t>類兒童產品以外，擬便利未滿</w:t>
      </w:r>
      <w:r>
        <w:rPr>
          <w:szCs w:val="27"/>
        </w:rPr>
        <w:t>4</w:t>
      </w:r>
      <w:r>
        <w:rPr>
          <w:szCs w:val="27"/>
        </w:rPr>
        <w:t>歲兒童餵哺、衞生、鬆弛、睡眠、吮吸或長牙，並含有塑化物料的產品。</w:t>
      </w:r>
    </w:p>
    <w:p>
      <w:pPr>
        <w:pStyle w:val="F21"/>
        <w:spacing w:lineRule="atLeast" w:line="350"/>
        <w:rPr>
          <w:szCs w:val="27"/>
        </w:rPr>
      </w:pPr>
      <w:r>
        <w:rPr>
          <w:szCs w:val="27"/>
        </w:rPr>
      </w:r>
    </w:p>
    <w:p>
      <w:pPr>
        <w:pStyle w:val="F21"/>
        <w:spacing w:lineRule="atLeast" w:line="350"/>
        <w:rPr>
          <w:szCs w:val="27"/>
        </w:rPr>
      </w:pPr>
      <w:r>
        <w:rPr>
          <w:szCs w:val="27"/>
        </w:rPr>
        <w:tab/>
      </w:r>
      <w:r>
        <w:rPr>
          <w:szCs w:val="27"/>
        </w:rPr>
        <w:t>法案委員會認為擴闊後的“兒童產品”定義，有可能涵蓋食物及藥物。就此，我們在法案委員會的會議上已明確表示，政府一向的政策原意不是以《條例》規管食物或藥物。此類產品受其他現行的法例所規管，例如《公眾衞生及市政條例》、《藥劑業及毒藥條例》或《中醫藥條例》。法案委員會因此建議政府訂立明確條文，以免除對政策原意的疑問。我們認同法案委員會的意見，因此動議加入新的第</w:t>
      </w:r>
      <w:r>
        <w:rPr>
          <w:szCs w:val="27"/>
        </w:rPr>
        <w:t>2AA</w:t>
      </w:r>
      <w:r>
        <w:rPr>
          <w:szCs w:val="27"/>
        </w:rPr>
        <w:t>條，以表明條例不適用於食物或藥物。</w:t>
      </w:r>
    </w:p>
    <w:p>
      <w:pPr>
        <w:pStyle w:val="F21"/>
        <w:spacing w:lineRule="atLeast" w:line="350"/>
        <w:rPr>
          <w:szCs w:val="27"/>
        </w:rPr>
      </w:pPr>
      <w:r>
        <w:rPr>
          <w:szCs w:val="27"/>
        </w:rPr>
      </w:r>
    </w:p>
    <w:p>
      <w:pPr>
        <w:pStyle w:val="F21"/>
        <w:spacing w:lineRule="atLeast" w:line="350"/>
        <w:rPr>
          <w:szCs w:val="27"/>
        </w:rPr>
      </w:pPr>
      <w:r>
        <w:rPr>
          <w:szCs w:val="27"/>
        </w:rPr>
        <w:tab/>
      </w:r>
      <w:r>
        <w:rPr>
          <w:szCs w:val="27"/>
        </w:rPr>
        <w:t>此外，修正案提出技術修訂，更正第</w:t>
      </w:r>
      <w:r>
        <w:rPr>
          <w:szCs w:val="27"/>
        </w:rPr>
        <w:t>2B(1)(b)(ii)</w:t>
      </w:r>
      <w:r>
        <w:rPr>
          <w:szCs w:val="27"/>
        </w:rPr>
        <w:t>條中文本“鬆馳”中的“馳”字</w:t>
      </w:r>
      <w:r>
        <w:rPr>
          <w:rStyle w:val="FootnoteAnchor"/>
          <w:szCs w:val="27"/>
        </w:rPr>
        <w:footnoteReference w:customMarkFollows="1" w:id="7"/>
        <w:t>1</w:t>
      </w:r>
      <w:r>
        <w:rPr>
          <w:szCs w:val="27"/>
        </w:rPr>
        <w:t>。</w:t>
      </w:r>
    </w:p>
    <w:p>
      <w:pPr>
        <w:pStyle w:val="F21"/>
        <w:spacing w:lineRule="atLeast" w:line="350"/>
        <w:rPr>
          <w:szCs w:val="27"/>
        </w:rPr>
      </w:pPr>
      <w:r>
        <w:rPr>
          <w:szCs w:val="27"/>
        </w:rPr>
      </w:r>
    </w:p>
    <w:p>
      <w:pPr>
        <w:pStyle w:val="F21"/>
        <w:spacing w:lineRule="atLeast" w:line="350"/>
        <w:rPr>
          <w:szCs w:val="27"/>
        </w:rPr>
      </w:pPr>
      <w:r>
        <w:rPr>
          <w:szCs w:val="27"/>
        </w:rPr>
        <w:tab/>
      </w:r>
      <w:r>
        <w:rPr>
          <w:szCs w:val="27"/>
        </w:rPr>
        <w:t>法案委員會支持修正案，我懇請委員支持並予以通過。</w:t>
      </w:r>
    </w:p>
    <w:p>
      <w:pPr>
        <w:pStyle w:val="F21"/>
        <w:spacing w:lineRule="atLeast" w:line="350"/>
        <w:rPr>
          <w:szCs w:val="27"/>
        </w:rPr>
      </w:pPr>
      <w:r>
        <w:rPr>
          <w:szCs w:val="27"/>
        </w:rPr>
      </w:r>
    </w:p>
    <w:p>
      <w:pPr>
        <w:pStyle w:val="F21"/>
        <w:spacing w:lineRule="atLeast" w:line="350"/>
        <w:rPr>
          <w:szCs w:val="27"/>
        </w:rPr>
      </w:pPr>
      <w:r>
        <w:rPr>
          <w:szCs w:val="27"/>
        </w:rPr>
        <w:tab/>
      </w:r>
      <w:r>
        <w:rPr>
          <w:szCs w:val="27"/>
        </w:rPr>
        <w:t>多謝代理主席。</w:t>
      </w:r>
    </w:p>
    <w:p>
      <w:pPr>
        <w:pStyle w:val="F21"/>
        <w:spacing w:lineRule="atLeast" w:line="350"/>
        <w:rPr/>
      </w:pPr>
      <w:r>
        <w:rPr/>
      </w:r>
    </w:p>
    <w:p>
      <w:pPr>
        <w:pStyle w:val="F21"/>
        <w:spacing w:lineRule="atLeast" w:line="350"/>
        <w:rPr>
          <w:i/>
          <w:i/>
        </w:rPr>
      </w:pPr>
      <w:r>
        <w:rPr>
          <w:i/>
        </w:rPr>
        <w:t>擬議修正案內容</w:t>
      </w:r>
    </w:p>
    <w:p>
      <w:pPr>
        <w:pStyle w:val="F21"/>
        <w:spacing w:lineRule="atLeast" w:line="350"/>
        <w:rPr/>
      </w:pPr>
      <w:r>
        <w:rPr/>
      </w:r>
    </w:p>
    <w:p>
      <w:pPr>
        <w:pStyle w:val="F21"/>
        <w:spacing w:lineRule="atLeast" w:line="350"/>
        <w:rPr>
          <w:rFonts w:eastAsia="華康中黑體" w:cs="Times New Roman"/>
          <w:b/>
          <w:b/>
        </w:rPr>
      </w:pPr>
      <w:r>
        <w:rPr>
          <w:rFonts w:cs="Times New Roman" w:eastAsia="華康中黑體"/>
          <w:b/>
        </w:rPr>
        <w:t>第</w:t>
      </w:r>
      <w:r>
        <w:rPr>
          <w:rFonts w:eastAsia="華康中黑體" w:cs="Times New Roman"/>
          <w:b/>
        </w:rPr>
        <w:t>4</w:t>
      </w:r>
      <w:r>
        <w:rPr>
          <w:rFonts w:cs="Times New Roman" w:eastAsia="華康中黑體"/>
          <w:b/>
        </w:rPr>
        <w:t>條</w:t>
      </w:r>
      <w:r>
        <w:rPr>
          <w:rFonts w:eastAsia="華康中黑體" w:cs="Times New Roman"/>
          <w:b/>
        </w:rPr>
        <w:t>(</w:t>
      </w:r>
      <w:hyperlink w:anchor="anx01">
        <w:r>
          <w:rPr>
            <w:rFonts w:cs="Times New Roman" w:eastAsia="華康中黑體"/>
            <w:b/>
          </w:rPr>
          <w:t>見附件</w:t>
        </w:r>
        <w:r>
          <w:rPr>
            <w:rFonts w:eastAsia="華康中黑體" w:cs="Times New Roman"/>
            <w:b/>
          </w:rPr>
          <w:t>I</w:t>
        </w:r>
      </w:hyperlink>
      <w:r>
        <w:rPr>
          <w:rFonts w:eastAsia="華康中黑體" w:cs="Times New Roman"/>
          <w:b/>
        </w:rPr>
        <w:t>)</w:t>
      </w:r>
    </w:p>
    <w:p>
      <w:pPr>
        <w:pStyle w:val="F21"/>
        <w:spacing w:lineRule="atLeast" w:line="350"/>
        <w:rPr/>
      </w:pPr>
      <w:r>
        <w:rPr/>
      </w:r>
    </w:p>
    <w:p>
      <w:pPr>
        <w:pStyle w:val="F21"/>
        <w:spacing w:lineRule="atLeast" w:line="350"/>
        <w:rPr/>
      </w:pPr>
      <w:r>
        <w:rPr/>
      </w:r>
    </w:p>
    <w:p>
      <w:pPr>
        <w:pStyle w:val="F21"/>
        <w:spacing w:lineRule="atLeast" w:line="350"/>
        <w:rPr/>
      </w:pPr>
      <w:r>
        <w:rPr>
          <w:rFonts w:ascii="華康中黑體" w:hAnsi="華康中黑體" w:eastAsia="華康中黑體"/>
          <w:b/>
        </w:rPr>
        <w:t>代理全委會主席</w:t>
      </w:r>
      <w:r>
        <w:rPr>
          <w:rFonts w:ascii="華康中黑體" w:hAnsi="華康中黑體"/>
        </w:rPr>
        <w:t>：</w:t>
      </w:r>
      <w:r>
        <w:rPr/>
        <w:t>是否有委員想發言？</w:t>
      </w:r>
    </w:p>
    <w:p>
      <w:pPr>
        <w:pStyle w:val="F21"/>
        <w:spacing w:lineRule="atLeast" w:line="350"/>
        <w:rPr/>
      </w:pPr>
      <w:r>
        <w:rPr/>
      </w:r>
    </w:p>
    <w:p>
      <w:pPr>
        <w:pStyle w:val="F21"/>
        <w:spacing w:lineRule="atLeast" w:line="350"/>
        <w:rPr/>
      </w:pPr>
      <w:r>
        <w:rPr/>
      </w:r>
    </w:p>
    <w:p>
      <w:pPr>
        <w:pStyle w:val="F21"/>
        <w:spacing w:lineRule="atLeast" w:line="350"/>
        <w:rPr>
          <w:szCs w:val="27"/>
        </w:rPr>
      </w:pPr>
      <w:r>
        <w:rPr>
          <w:rFonts w:ascii="華康中黑體" w:hAnsi="華康中黑體" w:cs="華康中黑體" w:eastAsia="華康中黑體"/>
          <w:b/>
          <w:szCs w:val="27"/>
        </w:rPr>
        <w:t>何秀蘭議員</w:t>
      </w:r>
      <w:r>
        <w:rPr>
          <w:szCs w:val="27"/>
        </w:rPr>
        <w:t>：代理主席，我想在此補充一點。剛才局長提及長牙，並表示有關的中文草擬參考了台灣的用語。但是，</w:t>
      </w:r>
      <w:r>
        <w:rPr>
          <w:szCs w:val="27"/>
        </w:rPr>
        <w:t>1996</w:t>
      </w:r>
      <w:r>
        <w:rPr>
          <w:szCs w:val="27"/>
        </w:rPr>
        <w:t>年</w:t>
      </w:r>
      <w:r>
        <w:rPr>
          <w:szCs w:val="27"/>
        </w:rPr>
        <w:t>2</w:t>
      </w:r>
      <w:r>
        <w:rPr>
          <w:szCs w:val="27"/>
        </w:rPr>
        <w:t>月，律政司前法律草擬專員嚴元浩先生在澳門大學法學院發表的論文正好指出，我們不應該生吞活剝內地或台灣的法律用語。</w:t>
      </w:r>
    </w:p>
    <w:p>
      <w:pPr>
        <w:pStyle w:val="F21"/>
        <w:rPr>
          <w:szCs w:val="27"/>
        </w:rPr>
      </w:pPr>
      <w:r>
        <w:rPr>
          <w:szCs w:val="27"/>
        </w:rPr>
        <w:tab/>
      </w:r>
      <w:r>
        <w:rPr>
          <w:szCs w:val="27"/>
        </w:rPr>
        <w:t>我也想在此提出質疑，是否因為律政司同事使用譯音輸入法，卻沒有作校對，只求讀音正確，卻沒有理會有否出現錯別字。此外，如果用電腦軟件為律政司作校對，是隨時有可能出錯的。</w:t>
      </w:r>
      <w:r>
        <w:br w:type="page"/>
      </w:r>
    </w:p>
    <w:p>
      <w:pPr>
        <w:pStyle w:val="F21"/>
        <w:rPr>
          <w:szCs w:val="27"/>
        </w:rPr>
      </w:pPr>
      <w:r>
        <w:rPr>
          <w:szCs w:val="27"/>
        </w:rPr>
      </w:r>
    </w:p>
    <w:p>
      <w:pPr>
        <w:pStyle w:val="F21"/>
        <w:rPr>
          <w:szCs w:val="27"/>
        </w:rPr>
      </w:pPr>
      <w:r>
        <w:rPr>
          <w:szCs w:val="27"/>
        </w:rPr>
        <w:tab/>
      </w:r>
      <w:r>
        <w:rPr>
          <w:szCs w:val="27"/>
        </w:rPr>
        <w:t>代理主席，在兩個星期前，我們在另一條法例中發現英文</w:t>
      </w:r>
      <w:r>
        <w:rPr>
          <w:szCs w:val="27"/>
        </w:rPr>
        <w:t>Trail</w:t>
      </w:r>
      <w:r>
        <w:rPr>
          <w:szCs w:val="27"/>
        </w:rPr>
        <w:t>一詞在憲報中竟然寫成</w:t>
      </w:r>
      <w:r>
        <w:rPr>
          <w:szCs w:val="27"/>
        </w:rPr>
        <w:t>Trial</w:t>
      </w:r>
      <w:r>
        <w:rPr>
          <w:szCs w:val="27"/>
        </w:rPr>
        <w:t>。這是兩個不同的詞語，幸好原文的內容是關於郊野的，大家不易混淆，因而容易察覺這個錯字。代理主席，我再次促請律政司負責法律草擬的人員，嚴謹認真地對待這項工作。</w:t>
      </w:r>
    </w:p>
    <w:p>
      <w:pPr>
        <w:pStyle w:val="F21"/>
        <w:rPr>
          <w:szCs w:val="27"/>
        </w:rPr>
      </w:pPr>
      <w:r>
        <w:rPr>
          <w:szCs w:val="27"/>
        </w:rPr>
      </w:r>
    </w:p>
    <w:p>
      <w:pPr>
        <w:pStyle w:val="F21"/>
        <w:rPr>
          <w:szCs w:val="27"/>
        </w:rPr>
      </w:pPr>
      <w:r>
        <w:rPr>
          <w:szCs w:val="27"/>
        </w:rPr>
        <w:tab/>
      </w:r>
      <w:r>
        <w:rPr>
          <w:szCs w:val="27"/>
        </w:rPr>
        <w:t>在</w:t>
      </w:r>
      <w:r>
        <w:rPr>
          <w:szCs w:val="27"/>
        </w:rPr>
        <w:t>1997</w:t>
      </w:r>
      <w:r>
        <w:rPr>
          <w:szCs w:val="27"/>
        </w:rPr>
        <w:t>年前，我們成立了雙語法例諮詢委員會，當中有很多有識之士，大家認真推敲中文用語，但現今又如何呢？為何今天法律草擬工作的表現和水平，倒退得如此嚴重？甚至出現白字、手民之誤，卻竟然沒有程序找出這些錯誤，有關法例便已於憲報上刊登。</w:t>
      </w:r>
    </w:p>
    <w:p>
      <w:pPr>
        <w:pStyle w:val="F21"/>
        <w:rPr>
          <w:szCs w:val="27"/>
        </w:rPr>
      </w:pPr>
      <w:r>
        <w:rPr>
          <w:szCs w:val="27"/>
        </w:rPr>
      </w:r>
    </w:p>
    <w:p>
      <w:pPr>
        <w:pStyle w:val="F21"/>
        <w:rPr>
          <w:szCs w:val="27"/>
        </w:rPr>
      </w:pPr>
      <w:r>
        <w:rPr>
          <w:szCs w:val="27"/>
        </w:rPr>
        <w:tab/>
      </w:r>
      <w:r>
        <w:rPr>
          <w:szCs w:val="27"/>
        </w:rPr>
        <w:t>代理主席，這是一篇沉痛懇切的陳辭，我請政府官員認真對待自己的工作。多謝代理主席。</w:t>
      </w:r>
    </w:p>
    <w:p>
      <w:pPr>
        <w:pStyle w:val="F21"/>
        <w:rPr>
          <w:szCs w:val="27"/>
        </w:rPr>
      </w:pPr>
      <w:r>
        <w:rPr>
          <w:szCs w:val="27"/>
        </w:rPr>
      </w:r>
    </w:p>
    <w:p>
      <w:pPr>
        <w:pStyle w:val="F21"/>
        <w:rPr>
          <w:szCs w:val="27"/>
        </w:rPr>
      </w:pPr>
      <w:r>
        <w:rPr>
          <w:szCs w:val="27"/>
        </w:rPr>
      </w:r>
    </w:p>
    <w:p>
      <w:pPr>
        <w:pStyle w:val="F21"/>
        <w:rPr/>
      </w:pPr>
      <w:r>
        <w:rPr>
          <w:rFonts w:ascii="華康中黑體" w:hAnsi="華康中黑體" w:eastAsia="華康中黑體"/>
          <w:b/>
        </w:rPr>
        <w:t>代理全委會主席</w:t>
      </w:r>
      <w:r>
        <w:rPr>
          <w:rFonts w:ascii="華康中黑體" w:hAnsi="華康中黑體"/>
        </w:rPr>
        <w:t>：</w:t>
      </w:r>
      <w:r>
        <w:rPr/>
        <w:t>是否有其他委員想發言？</w:t>
      </w:r>
    </w:p>
    <w:p>
      <w:pPr>
        <w:pStyle w:val="F21"/>
        <w:rPr/>
      </w:pPr>
      <w:r>
        <w:rPr/>
      </w:r>
    </w:p>
    <w:p>
      <w:pPr>
        <w:pStyle w:val="F21"/>
        <w:rPr/>
      </w:pPr>
      <w:r>
        <w:rPr/>
        <w:t>(</w:t>
      </w:r>
      <w:r>
        <w:rPr/>
        <w:t>沒有其他委員表示想發言</w:t>
      </w:r>
      <w:r>
        <w:rPr/>
        <w:t>)</w:t>
      </w:r>
    </w:p>
    <w:p>
      <w:pPr>
        <w:pStyle w:val="F21"/>
        <w:rPr/>
      </w:pPr>
      <w:r>
        <w:rPr/>
      </w:r>
    </w:p>
    <w:p>
      <w:pPr>
        <w:pStyle w:val="F21"/>
        <w:rPr/>
      </w:pPr>
      <w:r>
        <w:rPr/>
      </w:r>
    </w:p>
    <w:p>
      <w:pPr>
        <w:pStyle w:val="Normal"/>
        <w:tabs>
          <w:tab w:val="clear" w:pos="720"/>
          <w:tab w:val="left" w:pos="567" w:leader="none"/>
        </w:tabs>
        <w:snapToGrid w:val="false"/>
        <w:rPr>
          <w:spacing w:val="20"/>
          <w:sz w:val="27"/>
        </w:rPr>
      </w:pPr>
      <w:r>
        <w:rPr>
          <w:rFonts w:eastAsia="華康中黑體"/>
          <w:b/>
          <w:color w:val="000000"/>
          <w:spacing w:val="20"/>
          <w:sz w:val="27"/>
          <w:szCs w:val="27"/>
        </w:rPr>
        <w:t>代理全委會主席</w:t>
      </w:r>
      <w:r>
        <w:rPr>
          <w:color w:val="000000"/>
          <w:spacing w:val="20"/>
          <w:sz w:val="27"/>
          <w:szCs w:val="27"/>
        </w:rPr>
        <w:t>：</w:t>
      </w:r>
      <w:r>
        <w:rPr>
          <w:spacing w:val="20"/>
          <w:sz w:val="27"/>
        </w:rPr>
        <w:t>我現在向各位提出的待決議題是：商務及經濟發展局局‍長動議的修‍正‍案，予‍以‍通‍過。現在付諸表決，贊成的請舉手。</w:t>
      </w:r>
    </w:p>
    <w:p>
      <w:pPr>
        <w:pStyle w:val="Normal"/>
        <w:spacing w:lineRule="atLeast" w:line="400"/>
        <w:rPr>
          <w:spacing w:val="20"/>
          <w:sz w:val="27"/>
          <w:szCs w:val="27"/>
        </w:rPr>
      </w:pPr>
      <w:r>
        <w:rPr>
          <w:spacing w:val="20"/>
          <w:sz w:val="27"/>
          <w:szCs w:val="27"/>
        </w:rPr>
      </w:r>
    </w:p>
    <w:p>
      <w:pPr>
        <w:pStyle w:val="F21"/>
        <w:snapToGrid w:val="false"/>
        <w:spacing w:lineRule="atLeast" w:line="400"/>
        <w:rPr/>
      </w:pPr>
      <w:r>
        <w:rPr/>
        <w:t>(</w:t>
      </w:r>
      <w:r>
        <w:rPr/>
        <w:t>委員舉手</w:t>
      </w:r>
      <w:r>
        <w:rPr/>
        <w:t>)</w:t>
      </w:r>
    </w:p>
    <w:p>
      <w:pPr>
        <w:pStyle w:val="F21"/>
        <w:snapToGrid w:val="false"/>
        <w:spacing w:lineRule="atLeast" w:line="400"/>
        <w:rPr>
          <w:rFonts w:ascii="華康中黑體" w:hAnsi="華康中黑體" w:eastAsia="華康中黑體"/>
          <w:b/>
          <w:b/>
        </w:rPr>
      </w:pPr>
      <w:r>
        <w:rPr>
          <w:rFonts w:eastAsia="華康中黑體" w:ascii="華康中黑體" w:hAnsi="華康中黑體"/>
          <w:b/>
        </w:rPr>
      </w:r>
    </w:p>
    <w:p>
      <w:pPr>
        <w:pStyle w:val="F21"/>
        <w:snapToGrid w:val="false"/>
        <w:spacing w:lineRule="atLeast" w:line="400"/>
        <w:rPr>
          <w:rFonts w:ascii="華康中黑體" w:hAnsi="華康中黑體" w:eastAsia="華康中黑體"/>
          <w:b/>
          <w:b/>
        </w:rPr>
      </w:pPr>
      <w:r>
        <w:rPr>
          <w:rFonts w:eastAsia="華康中黑體" w:ascii="華康中黑體" w:hAnsi="華康中黑體"/>
          <w:b/>
        </w:rPr>
      </w:r>
    </w:p>
    <w:p>
      <w:pPr>
        <w:pStyle w:val="F21"/>
        <w:widowControl/>
        <w:snapToGrid w:val="false"/>
        <w:spacing w:lineRule="atLeast" w:line="400"/>
        <w:ind w:left="2520" w:hanging="2520"/>
        <w:rPr>
          <w:color w:val="000000"/>
          <w:szCs w:val="27"/>
        </w:rPr>
      </w:pPr>
      <w:r>
        <w:rPr>
          <w:rFonts w:eastAsia="華康中黑體"/>
          <w:b/>
          <w:color w:val="000000"/>
          <w:szCs w:val="27"/>
        </w:rPr>
        <w:t>代理全委會主席</w:t>
      </w:r>
      <w:r>
        <w:rPr>
          <w:color w:val="000000"/>
          <w:szCs w:val="27"/>
        </w:rPr>
        <w:t>：</w:t>
      </w:r>
      <w:r>
        <w:rPr/>
        <w:t>反對的請舉手</w:t>
      </w:r>
      <w:r>
        <w:rPr>
          <w:color w:val="000000"/>
          <w:szCs w:val="27"/>
        </w:rPr>
        <w:t>。</w:t>
      </w:r>
    </w:p>
    <w:p>
      <w:pPr>
        <w:pStyle w:val="F21"/>
        <w:snapToGrid w:val="false"/>
        <w:spacing w:lineRule="atLeast" w:line="400"/>
        <w:rPr/>
      </w:pPr>
      <w:r>
        <w:rPr/>
      </w:r>
    </w:p>
    <w:p>
      <w:pPr>
        <w:pStyle w:val="F21"/>
        <w:snapToGrid w:val="false"/>
        <w:spacing w:lineRule="atLeast" w:line="400"/>
        <w:rPr/>
      </w:pPr>
      <w:r>
        <w:rPr/>
        <w:t>(</w:t>
      </w:r>
      <w:r>
        <w:rPr/>
        <w:t>沒有委員舉手</w:t>
      </w:r>
      <w:r>
        <w:rPr/>
        <w:t>)</w:t>
      </w:r>
    </w:p>
    <w:p>
      <w:pPr>
        <w:pStyle w:val="Normal"/>
        <w:spacing w:lineRule="atLeast" w:line="400"/>
        <w:rPr>
          <w:spacing w:val="20"/>
          <w:sz w:val="27"/>
          <w:szCs w:val="27"/>
        </w:rPr>
      </w:pPr>
      <w:r>
        <w:rPr>
          <w:spacing w:val="20"/>
          <w:sz w:val="27"/>
          <w:szCs w:val="27"/>
        </w:rPr>
      </w:r>
    </w:p>
    <w:p>
      <w:pPr>
        <w:pStyle w:val="Normal"/>
        <w:spacing w:lineRule="atLeast" w:line="400"/>
        <w:rPr>
          <w:spacing w:val="20"/>
          <w:sz w:val="27"/>
          <w:szCs w:val="27"/>
        </w:rPr>
      </w:pPr>
      <w:r>
        <w:rPr>
          <w:spacing w:val="20"/>
          <w:sz w:val="27"/>
          <w:szCs w:val="27"/>
        </w:rPr>
      </w:r>
    </w:p>
    <w:p>
      <w:pPr>
        <w:pStyle w:val="F21"/>
        <w:snapToGrid w:val="false"/>
        <w:rPr>
          <w:szCs w:val="27"/>
        </w:rPr>
      </w:pPr>
      <w:r>
        <w:rPr>
          <w:rFonts w:eastAsia="華康中黑體"/>
          <w:b/>
          <w:color w:val="000000"/>
          <w:szCs w:val="27"/>
        </w:rPr>
        <w:t>代理全委會主席</w:t>
      </w:r>
      <w:r>
        <w:rPr>
          <w:color w:val="000000"/>
          <w:szCs w:val="27"/>
        </w:rPr>
        <w:t>：</w:t>
      </w:r>
      <w:r>
        <w:rPr>
          <w:szCs w:val="27"/>
        </w:rPr>
        <w:t>我認為議題獲得在席委員以‍過半數贊成。我宣布修正案獲得通過。</w:t>
      </w:r>
    </w:p>
    <w:p>
      <w:pPr>
        <w:pStyle w:val="F21"/>
        <w:snapToGrid w:val="false"/>
        <w:spacing w:lineRule="atLeast" w:line="320"/>
        <w:rPr>
          <w:color w:val="000000"/>
          <w:szCs w:val="27"/>
        </w:rPr>
      </w:pPr>
      <w:r>
        <w:rPr>
          <w:rFonts w:eastAsia="華康中黑體"/>
          <w:b/>
          <w:color w:val="000000"/>
          <w:szCs w:val="27"/>
        </w:rPr>
        <w:t>秘書</w:t>
      </w:r>
      <w:r>
        <w:rPr>
          <w:color w:val="000000"/>
          <w:szCs w:val="27"/>
        </w:rPr>
        <w:t>：經修正的第</w:t>
      </w:r>
      <w:r>
        <w:rPr>
          <w:color w:val="000000"/>
          <w:szCs w:val="27"/>
        </w:rPr>
        <w:t>4</w:t>
      </w:r>
      <w:r>
        <w:rPr>
          <w:color w:val="000000"/>
          <w:szCs w:val="27"/>
        </w:rPr>
        <w:t>條。</w:t>
      </w:r>
      <w:r>
        <w:br w:type="page"/>
      </w:r>
    </w:p>
    <w:p>
      <w:pPr>
        <w:pStyle w:val="F21"/>
        <w:spacing w:lineRule="atLeast" w:line="320"/>
        <w:rPr/>
      </w:pPr>
      <w:r>
        <w:rPr/>
      </w:r>
    </w:p>
    <w:p>
      <w:pPr>
        <w:pStyle w:val="F21"/>
        <w:spacing w:lineRule="atLeast" w:line="320"/>
        <w:rPr/>
      </w:pPr>
      <w:r>
        <w:rPr/>
      </w:r>
    </w:p>
    <w:p>
      <w:pPr>
        <w:pStyle w:val="F21"/>
        <w:snapToGrid w:val="false"/>
        <w:spacing w:lineRule="atLeast" w:line="320"/>
        <w:rPr>
          <w:color w:val="000000"/>
          <w:szCs w:val="27"/>
        </w:rPr>
      </w:pPr>
      <w:r>
        <w:rPr>
          <w:rFonts w:eastAsia="華康中黑體"/>
          <w:b/>
          <w:color w:val="000000"/>
          <w:szCs w:val="27"/>
        </w:rPr>
        <w:t>代理全委會主席</w:t>
      </w:r>
      <w:r>
        <w:rPr>
          <w:color w:val="000000"/>
          <w:szCs w:val="27"/>
        </w:rPr>
        <w:t>：我現在向各位提出的待決議題是：經修正的第</w:t>
      </w:r>
      <w:r>
        <w:rPr>
          <w:color w:val="000000"/>
          <w:szCs w:val="27"/>
        </w:rPr>
        <w:t>4</w:t>
      </w:r>
      <w:r>
        <w:rPr>
          <w:color w:val="000000"/>
          <w:szCs w:val="27"/>
        </w:rPr>
        <w:t>條納入本條例草案。現在付諸表決，贊成的請舉手。</w:t>
      </w:r>
    </w:p>
    <w:p>
      <w:pPr>
        <w:pStyle w:val="Normal"/>
        <w:spacing w:lineRule="atLeast" w:line="320"/>
        <w:rPr>
          <w:spacing w:val="20"/>
          <w:sz w:val="27"/>
          <w:szCs w:val="27"/>
        </w:rPr>
      </w:pPr>
      <w:r>
        <w:rPr>
          <w:spacing w:val="20"/>
          <w:sz w:val="27"/>
          <w:szCs w:val="27"/>
        </w:rPr>
      </w:r>
    </w:p>
    <w:p>
      <w:pPr>
        <w:pStyle w:val="F21"/>
        <w:snapToGrid w:val="false"/>
        <w:spacing w:lineRule="atLeast" w:line="320"/>
        <w:rPr/>
      </w:pPr>
      <w:r>
        <w:rPr/>
        <w:t>(</w:t>
      </w:r>
      <w:r>
        <w:rPr/>
        <w:t>委員舉手</w:t>
      </w:r>
      <w:r>
        <w:rPr/>
        <w:t>)</w:t>
      </w:r>
    </w:p>
    <w:p>
      <w:pPr>
        <w:pStyle w:val="F21"/>
        <w:snapToGrid w:val="false"/>
        <w:spacing w:lineRule="atLeast" w:line="320"/>
        <w:rPr>
          <w:rFonts w:ascii="華康中黑體" w:hAnsi="華康中黑體" w:eastAsia="華康中黑體"/>
          <w:b/>
          <w:b/>
        </w:rPr>
      </w:pPr>
      <w:r>
        <w:rPr>
          <w:rFonts w:eastAsia="華康中黑體" w:ascii="華康中黑體" w:hAnsi="華康中黑體"/>
          <w:b/>
        </w:rPr>
      </w:r>
    </w:p>
    <w:p>
      <w:pPr>
        <w:pStyle w:val="F21"/>
        <w:snapToGrid w:val="false"/>
        <w:spacing w:lineRule="atLeast" w:line="320"/>
        <w:rPr>
          <w:rFonts w:ascii="華康中黑體" w:hAnsi="華康中黑體" w:eastAsia="華康中黑體"/>
          <w:b/>
          <w:b/>
        </w:rPr>
      </w:pPr>
      <w:r>
        <w:rPr>
          <w:rFonts w:eastAsia="華康中黑體" w:ascii="華康中黑體" w:hAnsi="華康中黑體"/>
          <w:b/>
        </w:rPr>
      </w:r>
    </w:p>
    <w:p>
      <w:pPr>
        <w:pStyle w:val="F21"/>
        <w:widowControl/>
        <w:snapToGrid w:val="false"/>
        <w:spacing w:lineRule="atLeast" w:line="320"/>
        <w:ind w:left="2520" w:hanging="2520"/>
        <w:rPr>
          <w:color w:val="000000"/>
          <w:szCs w:val="27"/>
        </w:rPr>
      </w:pPr>
      <w:r>
        <w:rPr>
          <w:rFonts w:eastAsia="華康中黑體"/>
          <w:b/>
          <w:color w:val="000000"/>
          <w:szCs w:val="27"/>
        </w:rPr>
        <w:t>代理全委會主席</w:t>
      </w:r>
      <w:r>
        <w:rPr>
          <w:color w:val="000000"/>
          <w:szCs w:val="27"/>
        </w:rPr>
        <w:t>：</w:t>
      </w:r>
      <w:r>
        <w:rPr/>
        <w:t>反對的請舉手</w:t>
      </w:r>
      <w:r>
        <w:rPr>
          <w:color w:val="000000"/>
          <w:szCs w:val="27"/>
        </w:rPr>
        <w:t>。</w:t>
      </w:r>
    </w:p>
    <w:p>
      <w:pPr>
        <w:pStyle w:val="F21"/>
        <w:snapToGrid w:val="false"/>
        <w:spacing w:lineRule="atLeast" w:line="320"/>
        <w:rPr/>
      </w:pPr>
      <w:r>
        <w:rPr/>
      </w:r>
    </w:p>
    <w:p>
      <w:pPr>
        <w:pStyle w:val="F21"/>
        <w:snapToGrid w:val="false"/>
        <w:spacing w:lineRule="atLeast" w:line="320"/>
        <w:rPr/>
      </w:pPr>
      <w:r>
        <w:rPr/>
        <w:t>(</w:t>
      </w:r>
      <w:r>
        <w:rPr/>
        <w:t>沒有委員舉手</w:t>
      </w:r>
      <w:r>
        <w:rPr/>
        <w:t>)</w:t>
      </w:r>
    </w:p>
    <w:p>
      <w:pPr>
        <w:pStyle w:val="Normal"/>
        <w:spacing w:lineRule="atLeast" w:line="320"/>
        <w:rPr>
          <w:spacing w:val="20"/>
          <w:sz w:val="27"/>
          <w:szCs w:val="27"/>
        </w:rPr>
      </w:pPr>
      <w:r>
        <w:rPr>
          <w:spacing w:val="20"/>
          <w:sz w:val="27"/>
          <w:szCs w:val="27"/>
        </w:rPr>
      </w:r>
    </w:p>
    <w:p>
      <w:pPr>
        <w:pStyle w:val="Normal"/>
        <w:spacing w:lineRule="atLeast" w:line="320"/>
        <w:rPr>
          <w:spacing w:val="20"/>
          <w:sz w:val="27"/>
          <w:szCs w:val="27"/>
        </w:rPr>
      </w:pPr>
      <w:r>
        <w:rPr>
          <w:spacing w:val="20"/>
          <w:sz w:val="27"/>
          <w:szCs w:val="27"/>
        </w:rPr>
      </w:r>
    </w:p>
    <w:p>
      <w:pPr>
        <w:pStyle w:val="F21"/>
        <w:snapToGrid w:val="false"/>
        <w:spacing w:lineRule="atLeast" w:line="320"/>
        <w:rPr>
          <w:color w:val="000000"/>
          <w:szCs w:val="27"/>
        </w:rPr>
      </w:pPr>
      <w:r>
        <w:rPr>
          <w:rFonts w:eastAsia="華康中黑體"/>
          <w:b/>
          <w:color w:val="000000"/>
          <w:szCs w:val="27"/>
        </w:rPr>
        <w:t>代理全委會主席</w:t>
      </w:r>
      <w:r>
        <w:rPr>
          <w:color w:val="000000"/>
          <w:szCs w:val="27"/>
        </w:rPr>
        <w:t>：</w:t>
      </w:r>
      <w:r>
        <w:rPr>
          <w:szCs w:val="27"/>
        </w:rPr>
        <w:t>我認為議題獲得在席委員以‍過半數贊成。我宣布議案獲得通過。</w:t>
      </w:r>
    </w:p>
    <w:p>
      <w:pPr>
        <w:pStyle w:val="F21"/>
        <w:spacing w:lineRule="atLeast" w:line="320"/>
        <w:rPr/>
      </w:pPr>
      <w:r>
        <w:rPr/>
      </w:r>
    </w:p>
    <w:p>
      <w:pPr>
        <w:pStyle w:val="F21"/>
        <w:spacing w:lineRule="atLeast" w:line="320"/>
        <w:rPr/>
      </w:pPr>
      <w:r>
        <w:rPr/>
      </w:r>
    </w:p>
    <w:p>
      <w:pPr>
        <w:pStyle w:val="F21"/>
        <w:spacing w:lineRule="atLeast" w:line="320"/>
        <w:rPr/>
      </w:pPr>
      <w:r>
        <w:rPr>
          <w:rFonts w:ascii="華康中黑體" w:hAnsi="華康中黑體" w:eastAsia="華康中黑體"/>
          <w:b/>
        </w:rPr>
        <w:t>代理全委會主席</w:t>
      </w:r>
      <w:r>
        <w:rPr>
          <w:rFonts w:ascii="華康中黑體" w:hAnsi="華康中黑體"/>
        </w:rPr>
        <w:t>：</w:t>
      </w:r>
      <w:r>
        <w:rPr/>
        <w:t>全體委員會現在回復為立法會。</w:t>
      </w:r>
    </w:p>
    <w:p>
      <w:pPr>
        <w:pStyle w:val="F21"/>
        <w:spacing w:lineRule="atLeast" w:line="320"/>
        <w:rPr/>
      </w:pPr>
      <w:r>
        <w:rPr/>
      </w:r>
    </w:p>
    <w:p>
      <w:pPr>
        <w:pStyle w:val="F21"/>
        <w:spacing w:lineRule="atLeast" w:line="320"/>
        <w:rPr/>
      </w:pPr>
      <w:r>
        <w:rPr/>
      </w:r>
    </w:p>
    <w:p>
      <w:pPr>
        <w:pStyle w:val="F21"/>
        <w:spacing w:lineRule="atLeast" w:line="320"/>
        <w:rPr/>
      </w:pPr>
      <w:r>
        <w:rPr/>
        <w:t>全體委員會隨而回復為立法會。</w:t>
      </w:r>
    </w:p>
    <w:p>
      <w:pPr>
        <w:pStyle w:val="Normal"/>
        <w:spacing w:lineRule="atLeast" w:line="320"/>
        <w:rPr/>
      </w:pPr>
      <w:r>
        <w:rPr/>
        <w:t>Council then resumed.</w:t>
      </w:r>
    </w:p>
    <w:p>
      <w:pPr>
        <w:pStyle w:val="F21"/>
        <w:spacing w:lineRule="atLeast" w:line="320"/>
        <w:rPr/>
      </w:pPr>
      <w:r>
        <w:rPr/>
      </w:r>
    </w:p>
    <w:p>
      <w:pPr>
        <w:pStyle w:val="F21"/>
        <w:spacing w:lineRule="atLeast" w:line="320"/>
        <w:rPr/>
      </w:pPr>
      <w:r>
        <w:rPr/>
      </w:r>
    </w:p>
    <w:p>
      <w:pPr>
        <w:pStyle w:val="F21"/>
        <w:spacing w:lineRule="atLeast" w:line="320"/>
        <w:rPr>
          <w:rFonts w:ascii="華康中黑體" w:hAnsi="華康中黑體" w:eastAsia="華康中黑體"/>
          <w:b/>
          <w:b/>
        </w:rPr>
      </w:pPr>
      <w:bookmarkStart w:id="70" w:name="b3r01"/>
      <w:r>
        <w:rPr>
          <w:rFonts w:ascii="華康中黑體" w:hAnsi="華康中黑體" w:eastAsia="華康中黑體"/>
          <w:b/>
        </w:rPr>
        <w:t>法案三讀</w:t>
      </w:r>
    </w:p>
    <w:p>
      <w:pPr>
        <w:pStyle w:val="Normal"/>
        <w:spacing w:lineRule="atLeast" w:line="320"/>
        <w:rPr>
          <w:b/>
          <w:b/>
        </w:rPr>
      </w:pPr>
      <w:bookmarkStart w:id="71" w:name="b3r01"/>
      <w:r>
        <w:rPr>
          <w:b/>
        </w:rPr>
        <w:t>Third Reading of Bills</w:t>
      </w:r>
      <w:bookmarkEnd w:id="71"/>
    </w:p>
    <w:p>
      <w:pPr>
        <w:pStyle w:val="F21"/>
        <w:spacing w:lineRule="atLeast" w:line="320"/>
        <w:rPr/>
      </w:pPr>
      <w:r>
        <w:rPr/>
      </w:r>
    </w:p>
    <w:p>
      <w:pPr>
        <w:pStyle w:val="F21"/>
        <w:spacing w:lineRule="atLeast" w:line="320"/>
        <w:rPr/>
      </w:pPr>
      <w:r>
        <w:rPr>
          <w:rFonts w:ascii="華康中黑體" w:hAnsi="華康中黑體" w:eastAsia="華康中黑體"/>
          <w:b/>
        </w:rPr>
        <w:t>代理主席</w:t>
      </w:r>
      <w:r>
        <w:rPr>
          <w:rFonts w:ascii="華康中黑體" w:hAnsi="華康中黑體"/>
        </w:rPr>
        <w:t>：</w:t>
      </w:r>
      <w:r>
        <w:rPr/>
        <w:t>法案：三讀。</w:t>
      </w:r>
    </w:p>
    <w:p>
      <w:pPr>
        <w:pStyle w:val="F21"/>
        <w:spacing w:lineRule="atLeast" w:line="320"/>
        <w:rPr/>
      </w:pPr>
      <w:r>
        <w:rPr/>
      </w:r>
    </w:p>
    <w:p>
      <w:pPr>
        <w:pStyle w:val="F21"/>
        <w:spacing w:lineRule="atLeast" w:line="320"/>
        <w:rPr/>
      </w:pPr>
      <w:r>
        <w:rPr/>
      </w:r>
    </w:p>
    <w:p>
      <w:pPr>
        <w:pStyle w:val="F21"/>
        <w:spacing w:lineRule="atLeast" w:line="320"/>
        <w:rPr>
          <w:rFonts w:eastAsia="華康中黑體" w:cs="Times New Roman"/>
          <w:b/>
          <w:b/>
        </w:rPr>
      </w:pPr>
      <w:bookmarkStart w:id="72" w:name="b3r01a"/>
      <w:r>
        <w:rPr>
          <w:rFonts w:cs="Times New Roman" w:eastAsia="華康中黑體"/>
          <w:b/>
        </w:rPr>
        <w:t>《</w:t>
      </w:r>
      <w:r>
        <w:rPr>
          <w:rFonts w:eastAsia="華康中黑體" w:cs="Times New Roman"/>
          <w:b/>
        </w:rPr>
        <w:t>2013</w:t>
      </w:r>
      <w:r>
        <w:rPr>
          <w:rFonts w:cs="Times New Roman" w:eastAsia="華康中黑體"/>
          <w:b/>
        </w:rPr>
        <w:t>年玩具及兒童產品安全</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Normal"/>
        <w:spacing w:lineRule="atLeast" w:line="320"/>
        <w:rPr>
          <w:b/>
          <w:b/>
        </w:rPr>
      </w:pPr>
      <w:bookmarkStart w:id="73" w:name="b3r01a"/>
      <w:r>
        <w:rPr>
          <w:b/>
        </w:rPr>
        <w:t>TOYS AND CHILDREN'S PRODUCTS SAFETY (AMENDMENT) BILL 2013</w:t>
      </w:r>
      <w:bookmarkEnd w:id="73"/>
    </w:p>
    <w:p>
      <w:pPr>
        <w:pStyle w:val="F21"/>
        <w:spacing w:lineRule="atLeast" w:line="320"/>
        <w:rPr>
          <w:lang w:val="en-GB"/>
        </w:rPr>
      </w:pPr>
      <w:r>
        <w:rPr>
          <w:lang w:val="en-GB"/>
        </w:rPr>
      </w:r>
    </w:p>
    <w:p>
      <w:pPr>
        <w:pStyle w:val="F21"/>
        <w:spacing w:lineRule="atLeast" w:line="320"/>
        <w:rPr/>
      </w:pPr>
      <w:r>
        <w:rPr>
          <w:rFonts w:ascii="華康中黑體" w:hAnsi="華康中黑體" w:eastAsia="華康中黑體"/>
          <w:b/>
        </w:rPr>
        <w:t>商務及經濟發展局局長</w:t>
      </w:r>
      <w:r>
        <w:rPr/>
        <w:t>：代理主席，</w:t>
      </w:r>
    </w:p>
    <w:p>
      <w:pPr>
        <w:pStyle w:val="F21"/>
        <w:spacing w:lineRule="atLeast" w:line="320"/>
        <w:rPr/>
      </w:pPr>
      <w:r>
        <w:rPr/>
      </w:r>
    </w:p>
    <w:p>
      <w:pPr>
        <w:pStyle w:val="F21"/>
        <w:spacing w:lineRule="atLeast" w:line="320"/>
        <w:rPr/>
      </w:pPr>
      <w:r>
        <w:rPr/>
        <w:t>《</w:t>
      </w:r>
      <w:r>
        <w:rPr/>
        <w:t>2013</w:t>
      </w:r>
      <w:r>
        <w:rPr/>
        <w:t>年玩具及兒童產品安全</w:t>
      </w:r>
      <w:r>
        <w:rPr/>
        <w:t>(</w:t>
      </w:r>
      <w:r>
        <w:rPr/>
        <w:t>修訂</w:t>
      </w:r>
      <w:r>
        <w:rPr/>
        <w:t>)</w:t>
      </w:r>
      <w:r>
        <w:rPr/>
        <w:t>條例草案》</w:t>
      </w:r>
    </w:p>
    <w:p>
      <w:pPr>
        <w:pStyle w:val="F21"/>
        <w:spacing w:lineRule="atLeast" w:line="320"/>
        <w:rPr/>
      </w:pPr>
      <w:r>
        <w:rPr/>
      </w:r>
    </w:p>
    <w:p>
      <w:pPr>
        <w:pStyle w:val="F21"/>
        <w:spacing w:lineRule="atLeast" w:line="320"/>
        <w:rPr/>
      </w:pPr>
      <w:r>
        <w:rPr/>
        <w:t>經修正後已通過全體委員會審議階段。我動議此條例草案予以三讀並通過。</w:t>
      </w:r>
    </w:p>
    <w:p>
      <w:pPr>
        <w:pStyle w:val="F21"/>
        <w:spacing w:lineRule="atLeast" w:line="420"/>
        <w:rPr/>
      </w:pPr>
      <w:r>
        <w:rPr>
          <w:rFonts w:ascii="華康中黑體" w:hAnsi="華康中黑體" w:eastAsia="華康中黑體"/>
          <w:b/>
        </w:rPr>
        <w:t>代理主席</w:t>
      </w:r>
      <w:r>
        <w:rPr>
          <w:rFonts w:ascii="華康中黑體" w:hAnsi="華康中黑體"/>
        </w:rPr>
        <w:t>：</w:t>
      </w:r>
      <w:r>
        <w:rPr/>
        <w:t>我現在向各位提出的待議議題是：《</w:t>
      </w:r>
      <w:r>
        <w:rPr/>
        <w:t>2013</w:t>
      </w:r>
      <w:r>
        <w:rPr/>
        <w:t>年玩具及兒童產品安全</w:t>
      </w:r>
      <w:r>
        <w:rPr/>
        <w:t>(</w:t>
      </w:r>
      <w:r>
        <w:rPr/>
        <w:t>修訂</w:t>
      </w:r>
      <w:r>
        <w:rPr/>
        <w:t>)</w:t>
      </w:r>
      <w:r>
        <w:rPr/>
        <w:t>條例草案》予以三讀並通過。</w:t>
      </w:r>
      <w:r>
        <w:br w:type="page"/>
      </w:r>
    </w:p>
    <w:p>
      <w:pPr>
        <w:pStyle w:val="F21"/>
        <w:spacing w:lineRule="atLeast" w:line="420"/>
        <w:rPr/>
      </w:pPr>
      <w:r>
        <w:rPr/>
      </w:r>
    </w:p>
    <w:p>
      <w:pPr>
        <w:pStyle w:val="F21"/>
        <w:spacing w:lineRule="atLeast" w:line="420"/>
        <w:rPr/>
      </w:pPr>
      <w:r>
        <w:rPr>
          <w:rFonts w:eastAsia="華康中黑體" w:ascii="華康中黑體" w:hAnsi="華康中黑體"/>
          <w:b/>
        </w:rPr>
        <w:tab/>
      </w:r>
      <w:r>
        <w:rPr/>
        <w:t>是否有議員想發言？</w:t>
      </w:r>
    </w:p>
    <w:p>
      <w:pPr>
        <w:pStyle w:val="F21"/>
        <w:spacing w:lineRule="atLeast" w:line="420"/>
        <w:rPr/>
      </w:pPr>
      <w:r>
        <w:rPr/>
      </w:r>
    </w:p>
    <w:p>
      <w:pPr>
        <w:pStyle w:val="F21"/>
        <w:spacing w:lineRule="atLeast" w:line="420"/>
        <w:rPr/>
      </w:pPr>
      <w:r>
        <w:rPr/>
        <w:t>(</w:t>
      </w:r>
      <w:r>
        <w:rPr/>
        <w:t>沒有議員表示想發言</w:t>
      </w:r>
      <w:r>
        <w:rPr/>
        <w:t>)</w:t>
      </w:r>
    </w:p>
    <w:p>
      <w:pPr>
        <w:pStyle w:val="F21"/>
        <w:spacing w:lineRule="atLeast" w:line="420"/>
        <w:rPr/>
      </w:pPr>
      <w:r>
        <w:rPr/>
      </w:r>
    </w:p>
    <w:p>
      <w:pPr>
        <w:pStyle w:val="F21"/>
        <w:spacing w:lineRule="atLeast" w:line="420"/>
        <w:rPr/>
      </w:pPr>
      <w:r>
        <w:rPr/>
      </w:r>
    </w:p>
    <w:p>
      <w:pPr>
        <w:pStyle w:val="F21"/>
        <w:spacing w:lineRule="atLeast" w:line="420"/>
        <w:rPr/>
      </w:pPr>
      <w:r>
        <w:rPr>
          <w:rFonts w:eastAsia="華康中黑體"/>
          <w:b/>
        </w:rPr>
        <w:t>代理主席</w:t>
      </w:r>
      <w:r>
        <w:rPr/>
        <w:t>：我現在向各位提出上述待決議題，付諸表決。贊成的請舉手。</w:t>
      </w:r>
    </w:p>
    <w:p>
      <w:pPr>
        <w:pStyle w:val="F21"/>
        <w:spacing w:lineRule="atLeast" w:line="420"/>
        <w:rPr/>
      </w:pPr>
      <w:r>
        <w:rPr/>
      </w:r>
    </w:p>
    <w:p>
      <w:pPr>
        <w:pStyle w:val="F21"/>
        <w:spacing w:lineRule="atLeast" w:line="420"/>
        <w:rPr/>
      </w:pPr>
      <w:r>
        <w:rPr/>
        <w:t>(</w:t>
      </w:r>
      <w:r>
        <w:rPr/>
        <w:t>議員舉手</w:t>
      </w:r>
      <w:r>
        <w:rPr/>
        <w:t>)</w:t>
      </w:r>
    </w:p>
    <w:p>
      <w:pPr>
        <w:pStyle w:val="F21"/>
        <w:spacing w:lineRule="atLeast" w:line="420"/>
        <w:rPr/>
      </w:pPr>
      <w:r>
        <w:rPr/>
      </w:r>
    </w:p>
    <w:p>
      <w:pPr>
        <w:pStyle w:val="F21"/>
        <w:spacing w:lineRule="atLeast" w:line="420"/>
        <w:rPr/>
      </w:pPr>
      <w:r>
        <w:rPr/>
      </w:r>
    </w:p>
    <w:p>
      <w:pPr>
        <w:pStyle w:val="F21"/>
        <w:spacing w:lineRule="atLeast" w:line="420"/>
        <w:rPr/>
      </w:pPr>
      <w:r>
        <w:rPr>
          <w:rFonts w:eastAsia="華康中黑體"/>
          <w:b/>
        </w:rPr>
        <w:t>代理主席</w:t>
      </w:r>
      <w:r>
        <w:rPr/>
        <w:t>：反對的請舉手。</w:t>
      </w:r>
    </w:p>
    <w:p>
      <w:pPr>
        <w:pStyle w:val="F21"/>
        <w:spacing w:lineRule="atLeast" w:line="420"/>
        <w:rPr/>
      </w:pPr>
      <w:r>
        <w:rPr/>
      </w:r>
    </w:p>
    <w:p>
      <w:pPr>
        <w:pStyle w:val="F21"/>
        <w:spacing w:lineRule="atLeast" w:line="420"/>
        <w:rPr/>
      </w:pPr>
      <w:r>
        <w:rPr/>
        <w:t>(</w:t>
      </w:r>
      <w:r>
        <w:rPr/>
        <w:t>沒有議員舉手</w:t>
      </w:r>
      <w:r>
        <w:rPr/>
        <w:t>)</w:t>
      </w:r>
    </w:p>
    <w:p>
      <w:pPr>
        <w:pStyle w:val="F21"/>
        <w:spacing w:lineRule="atLeast" w:line="420"/>
        <w:rPr/>
      </w:pPr>
      <w:r>
        <w:rPr/>
      </w:r>
    </w:p>
    <w:p>
      <w:pPr>
        <w:pStyle w:val="F21"/>
        <w:spacing w:lineRule="atLeast" w:line="420"/>
        <w:rPr/>
      </w:pPr>
      <w:r>
        <w:rPr/>
      </w:r>
    </w:p>
    <w:p>
      <w:pPr>
        <w:pStyle w:val="F21"/>
        <w:spacing w:lineRule="atLeast" w:line="420"/>
        <w:rPr/>
      </w:pPr>
      <w:r>
        <w:rPr>
          <w:rFonts w:eastAsia="華康中黑體"/>
          <w:b/>
        </w:rPr>
        <w:t>代理主席</w:t>
      </w:r>
      <w:r>
        <w:rPr/>
        <w:t>：我認為議題獲得在席議員以過半數贊成。我宣布議案獲得通過。</w:t>
      </w:r>
    </w:p>
    <w:p>
      <w:pPr>
        <w:pStyle w:val="F21"/>
        <w:spacing w:lineRule="atLeast" w:line="420"/>
        <w:rPr/>
      </w:pPr>
      <w:r>
        <w:rPr/>
      </w:r>
    </w:p>
    <w:p>
      <w:pPr>
        <w:pStyle w:val="F21"/>
        <w:spacing w:lineRule="atLeast" w:line="420"/>
        <w:rPr/>
      </w:pPr>
      <w:r>
        <w:rPr/>
      </w:r>
    </w:p>
    <w:p>
      <w:pPr>
        <w:pStyle w:val="F21"/>
        <w:spacing w:lineRule="atLeast" w:line="420"/>
        <w:rPr/>
      </w:pPr>
      <w:r>
        <w:rPr>
          <w:rFonts w:ascii="華康中黑體" w:hAnsi="華康中黑體" w:eastAsia="華康中黑體"/>
          <w:b/>
        </w:rPr>
        <w:t>秘書</w:t>
      </w:r>
      <w:r>
        <w:rPr/>
        <w:t>：《</w:t>
      </w:r>
      <w:r>
        <w:rPr/>
        <w:t>2013</w:t>
      </w:r>
      <w:r>
        <w:rPr/>
        <w:t>年玩具及兒童產品安全</w:t>
      </w:r>
      <w:r>
        <w:rPr/>
        <w:t>(</w:t>
      </w:r>
      <w:r>
        <w:rPr/>
        <w:t>修訂</w:t>
      </w:r>
      <w:r>
        <w:rPr/>
        <w:t>)</w:t>
      </w:r>
      <w:r>
        <w:rPr/>
        <w:t>條例草案》。</w:t>
      </w:r>
    </w:p>
    <w:p>
      <w:pPr>
        <w:pStyle w:val="F21"/>
        <w:spacing w:lineRule="atLeast" w:line="420"/>
        <w:rPr/>
      </w:pPr>
      <w:r>
        <w:rPr/>
      </w:r>
    </w:p>
    <w:p>
      <w:pPr>
        <w:pStyle w:val="F21"/>
        <w:spacing w:lineRule="atLeast" w:line="420"/>
        <w:rPr/>
      </w:pPr>
      <w:r>
        <w:rPr/>
      </w:r>
    </w:p>
    <w:p>
      <w:pPr>
        <w:pStyle w:val="F21"/>
        <w:spacing w:lineRule="atLeast" w:line="420"/>
        <w:rPr>
          <w:rFonts w:ascii="華康中黑體" w:hAnsi="華康中黑體" w:eastAsia="華康中黑體"/>
          <w:b/>
          <w:b/>
        </w:rPr>
      </w:pPr>
      <w:bookmarkStart w:id="74" w:name="b2d02"/>
      <w:r>
        <w:rPr>
          <w:rFonts w:ascii="華康中黑體" w:hAnsi="華康中黑體" w:eastAsia="華康中黑體"/>
          <w:b/>
        </w:rPr>
        <w:t>恢復法案二讀辯論</w:t>
      </w:r>
    </w:p>
    <w:p>
      <w:pPr>
        <w:pStyle w:val="Normal"/>
        <w:spacing w:lineRule="atLeast" w:line="420"/>
        <w:rPr>
          <w:b/>
          <w:b/>
        </w:rPr>
      </w:pPr>
      <w:bookmarkStart w:id="75" w:name="b2d02"/>
      <w:r>
        <w:rPr>
          <w:b/>
        </w:rPr>
        <w:t>Resumption of Second Reading Debate on Bills</w:t>
      </w:r>
      <w:bookmarkEnd w:id="75"/>
    </w:p>
    <w:p>
      <w:pPr>
        <w:pStyle w:val="F21"/>
        <w:spacing w:lineRule="atLeast" w:line="420"/>
        <w:rPr/>
      </w:pPr>
      <w:r>
        <w:rPr/>
      </w:r>
    </w:p>
    <w:p>
      <w:pPr>
        <w:pStyle w:val="F21"/>
        <w:spacing w:lineRule="atLeast" w:line="420"/>
        <w:rPr/>
      </w:pPr>
      <w:r>
        <w:rPr>
          <w:rFonts w:ascii="華康中黑體" w:hAnsi="華康中黑體" w:eastAsia="華康中黑體"/>
          <w:b/>
        </w:rPr>
        <w:t>代理主席</w:t>
      </w:r>
      <w:r>
        <w:rPr>
          <w:rFonts w:ascii="華康中黑體" w:hAnsi="華康中黑體"/>
        </w:rPr>
        <w:t>：</w:t>
      </w:r>
      <w:r>
        <w:rPr/>
        <w:t>本會現在恢復《</w:t>
      </w:r>
      <w:r>
        <w:rPr/>
        <w:t>2013</w:t>
      </w:r>
      <w:r>
        <w:rPr/>
        <w:t>年廢物處置</w:t>
      </w:r>
      <w:r>
        <w:rPr/>
        <w:t>(</w:t>
      </w:r>
      <w:r>
        <w:rPr/>
        <w:t>修訂</w:t>
      </w:r>
      <w:r>
        <w:rPr/>
        <w:t>)</w:t>
      </w:r>
      <w:r>
        <w:rPr/>
        <w:t>條例草案》的二讀辯論。</w:t>
      </w:r>
    </w:p>
    <w:p>
      <w:pPr>
        <w:pStyle w:val="F21"/>
        <w:spacing w:lineRule="atLeast" w:line="390"/>
        <w:rPr/>
      </w:pPr>
      <w:r>
        <w:rPr/>
      </w:r>
    </w:p>
    <w:p>
      <w:pPr>
        <w:pStyle w:val="F21"/>
        <w:spacing w:lineRule="atLeast" w:line="410"/>
        <w:rPr>
          <w:rFonts w:ascii="華康中黑體" w:hAnsi="華康中黑體" w:eastAsia="華康中黑體"/>
          <w:b/>
          <w:b/>
        </w:rPr>
      </w:pPr>
      <w:bookmarkStart w:id="76" w:name="b2d02a"/>
      <w:r>
        <w:rPr>
          <w:rFonts w:cs="Times New Roman" w:eastAsia="華康中黑體"/>
          <w:b/>
        </w:rPr>
        <w:t>《</w:t>
      </w:r>
      <w:r>
        <w:rPr>
          <w:rFonts w:eastAsia="華康中黑體" w:cs="Times New Roman"/>
          <w:b/>
        </w:rPr>
        <w:t>2013</w:t>
      </w:r>
      <w:r>
        <w:rPr>
          <w:rFonts w:cs="Times New Roman" w:eastAsia="華康中黑體"/>
          <w:b/>
        </w:rPr>
        <w:t>年廢物處置</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p>
    <w:p>
      <w:pPr>
        <w:pStyle w:val="F21"/>
        <w:spacing w:lineRule="atLeast" w:line="410"/>
        <w:rPr>
          <w:rFonts w:cs="Times New Roman"/>
          <w:b/>
          <w:b/>
          <w:spacing w:val="0"/>
          <w:sz w:val="28"/>
          <w:lang w:val="en-GB"/>
        </w:rPr>
      </w:pPr>
      <w:bookmarkStart w:id="77" w:name="b2d02a"/>
      <w:r>
        <w:rPr>
          <w:rFonts w:cs="Times New Roman"/>
          <w:b/>
          <w:spacing w:val="0"/>
          <w:sz w:val="28"/>
          <w:lang w:val="en-GB"/>
        </w:rPr>
        <w:t>WASTE DISPOSAL (AMENDMENT) BILL 2013</w:t>
      </w:r>
      <w:bookmarkEnd w:id="77"/>
    </w:p>
    <w:p>
      <w:pPr>
        <w:pStyle w:val="F21"/>
        <w:spacing w:lineRule="atLeast" w:line="410"/>
        <w:rPr>
          <w:rFonts w:cs="Times New Roman"/>
          <w:b/>
          <w:b/>
          <w:spacing w:val="0"/>
          <w:sz w:val="28"/>
          <w:lang w:val="en-GB"/>
        </w:rPr>
      </w:pPr>
      <w:r>
        <w:rPr>
          <w:rFonts w:cs="Times New Roman"/>
          <w:b/>
          <w:spacing w:val="0"/>
          <w:sz w:val="28"/>
          <w:lang w:val="en-GB"/>
        </w:rPr>
      </w:r>
    </w:p>
    <w:p>
      <w:pPr>
        <w:pStyle w:val="F21"/>
        <w:spacing w:lineRule="atLeast" w:line="410"/>
        <w:rPr>
          <w:rFonts w:eastAsia="華康中黑體" w:cs="Times New Roman"/>
          <w:b/>
          <w:b/>
        </w:rPr>
      </w:pPr>
      <w:r>
        <w:rPr>
          <w:rFonts w:cs="Times New Roman" w:eastAsia="華康中黑體"/>
          <w:b/>
        </w:rPr>
        <w:t>恢復辯論經於</w:t>
      </w:r>
      <w:r>
        <w:rPr>
          <w:rFonts w:eastAsia="華康中黑體" w:cs="Times New Roman"/>
          <w:b/>
        </w:rPr>
        <w:t>2013</w:t>
      </w:r>
      <w:r>
        <w:rPr>
          <w:rFonts w:cs="Times New Roman" w:eastAsia="華康中黑體"/>
          <w:b/>
        </w:rPr>
        <w:t>年</w:t>
      </w:r>
      <w:r>
        <w:rPr>
          <w:rFonts w:eastAsia="華康中黑體" w:cs="Times New Roman"/>
          <w:b/>
        </w:rPr>
        <w:t>6</w:t>
      </w:r>
      <w:r>
        <w:rPr>
          <w:rFonts w:cs="Times New Roman" w:eastAsia="華康中黑體"/>
          <w:b/>
        </w:rPr>
        <w:t>月</w:t>
      </w:r>
      <w:r>
        <w:rPr>
          <w:rFonts w:eastAsia="華康中黑體" w:cs="Times New Roman"/>
          <w:b/>
        </w:rPr>
        <w:t>26</w:t>
      </w:r>
      <w:r>
        <w:rPr>
          <w:rFonts w:cs="Times New Roman" w:eastAsia="華康中黑體"/>
          <w:b/>
        </w:rPr>
        <w:t>日動議的條例草案二讀議案</w:t>
      </w:r>
    </w:p>
    <w:p>
      <w:pPr>
        <w:pStyle w:val="Normal"/>
        <w:spacing w:lineRule="atLeast" w:line="410"/>
        <w:rPr>
          <w:b/>
          <w:b/>
        </w:rPr>
      </w:pPr>
      <w:r>
        <w:rPr>
          <w:b/>
        </w:rPr>
        <w:t>Resumption of debate on Second Reading which was moved on 26 June 2013</w:t>
      </w:r>
    </w:p>
    <w:p>
      <w:pPr>
        <w:pStyle w:val="F21"/>
        <w:spacing w:lineRule="atLeast" w:line="410"/>
        <w:rPr/>
      </w:pPr>
      <w:r>
        <w:rPr/>
      </w:r>
    </w:p>
    <w:p>
      <w:pPr>
        <w:pStyle w:val="F21"/>
        <w:spacing w:lineRule="atLeast" w:line="410"/>
        <w:rPr>
          <w:rFonts w:cs="Times New Roman"/>
        </w:rPr>
      </w:pPr>
      <w:r>
        <w:rPr>
          <w:rFonts w:cs="Times New Roman" w:eastAsia="華康中黑體"/>
          <w:b/>
        </w:rPr>
        <w:t>代理主席</w:t>
      </w:r>
      <w:r>
        <w:rPr>
          <w:rFonts w:cs="Times New Roman"/>
        </w:rPr>
        <w:t>：審議上述條例草案的委員會主席何秀蘭議員會就委員會的報告，向本會發言。</w:t>
      </w:r>
    </w:p>
    <w:p>
      <w:pPr>
        <w:pStyle w:val="F21"/>
        <w:spacing w:lineRule="atLeast" w:line="410"/>
        <w:rPr>
          <w:rFonts w:cs="Times New Roman"/>
        </w:rPr>
      </w:pPr>
      <w:r>
        <w:rPr>
          <w:rFonts w:cs="Times New Roman"/>
        </w:rPr>
      </w:r>
    </w:p>
    <w:p>
      <w:pPr>
        <w:pStyle w:val="F21"/>
        <w:spacing w:lineRule="atLeast" w:line="410"/>
        <w:rPr>
          <w:rFonts w:cs="Times New Roman"/>
        </w:rPr>
      </w:pPr>
      <w:r>
        <w:rPr>
          <w:rFonts w:cs="Times New Roman"/>
        </w:rPr>
      </w:r>
    </w:p>
    <w:p>
      <w:pPr>
        <w:pStyle w:val="F21"/>
        <w:spacing w:lineRule="atLeast" w:line="410"/>
        <w:rPr/>
      </w:pPr>
      <w:r>
        <w:rPr>
          <w:rFonts w:ascii="華康中黑體" w:hAnsi="華康中黑體" w:eastAsia="華康中黑體"/>
          <w:b/>
        </w:rPr>
        <w:t>何秀蘭議員</w:t>
      </w:r>
      <w:r>
        <w:rPr/>
        <w:t>：代理主席，我謹以《</w:t>
      </w:r>
      <w:r>
        <w:rPr/>
        <w:t>2013</w:t>
      </w:r>
      <w:r>
        <w:rPr/>
        <w:t>年廢物處置</w:t>
      </w:r>
      <w:r>
        <w:rPr/>
        <w:t>(</w:t>
      </w:r>
      <w:r>
        <w:rPr/>
        <w:t>修訂</w:t>
      </w:r>
      <w:r>
        <w:rPr/>
        <w:t>)</w:t>
      </w:r>
      <w:r>
        <w:rPr/>
        <w:t>條例草案》</w:t>
      </w:r>
      <w:r>
        <w:rPr>
          <w:szCs w:val="27"/>
        </w:rPr>
        <w:t>(“</w:t>
      </w:r>
      <w:r>
        <w:rPr>
          <w:szCs w:val="27"/>
        </w:rPr>
        <w:t>條例草案”</w:t>
      </w:r>
      <w:r>
        <w:rPr>
          <w:szCs w:val="27"/>
        </w:rPr>
        <w:t>)</w:t>
      </w:r>
      <w:r>
        <w:rPr/>
        <w:t>委員會主席的身份，匯報法案委員會的商議工作。法案委員會與政府當局共舉行了</w:t>
      </w:r>
      <w:r>
        <w:rPr/>
        <w:t>4</w:t>
      </w:r>
      <w:r>
        <w:rPr/>
        <w:t>次會議，並聽取了公眾和業界團體代表的意見。</w:t>
      </w:r>
    </w:p>
    <w:p>
      <w:pPr>
        <w:pStyle w:val="F21"/>
        <w:spacing w:lineRule="atLeast" w:line="410"/>
        <w:rPr/>
      </w:pPr>
      <w:r>
        <w:rPr/>
      </w:r>
    </w:p>
    <w:p>
      <w:pPr>
        <w:pStyle w:val="F21"/>
        <w:spacing w:lineRule="atLeast" w:line="410"/>
        <w:rPr/>
      </w:pPr>
      <w:r>
        <w:rPr/>
        <w:tab/>
      </w:r>
      <w:r>
        <w:rPr/>
        <w:t>法案委員會察悉根據現行的《廢物處置條例》</w:t>
      </w:r>
      <w:r>
        <w:rPr/>
        <w:t>(</w:t>
      </w:r>
      <w:r>
        <w:rPr/>
        <w:t>第</w:t>
      </w:r>
      <w:r>
        <w:rPr/>
        <w:t>354</w:t>
      </w:r>
      <w:r>
        <w:rPr/>
        <w:t>章</w:t>
      </w:r>
      <w:r>
        <w:rPr/>
        <w:t>)</w:t>
      </w:r>
      <w:r>
        <w:rPr/>
        <w:t>第</w:t>
      </w:r>
      <w:r>
        <w:rPr/>
        <w:t>16A</w:t>
      </w:r>
      <w:r>
        <w:rPr/>
        <w:t>條，任何人未獲土地擁有人或合法佔用人的許可而在任何地方擺放廢物，即屬違法。但是，如何取得許可，並無法例規定。所以，在某些情況下，由於難以證明擺放者未獲土地擁有人或合法佔用人的許可，當局未能針對在私人土地上非法棄置廢物作有效執法。</w:t>
      </w:r>
    </w:p>
    <w:p>
      <w:pPr>
        <w:pStyle w:val="F21"/>
        <w:spacing w:lineRule="atLeast" w:line="410"/>
        <w:rPr/>
      </w:pPr>
      <w:r>
        <w:rPr/>
      </w:r>
    </w:p>
    <w:p>
      <w:pPr>
        <w:pStyle w:val="F21"/>
        <w:spacing w:lineRule="atLeast" w:line="410"/>
        <w:rPr/>
      </w:pPr>
      <w:r>
        <w:rPr/>
        <w:tab/>
      </w:r>
      <w:r>
        <w:rPr/>
        <w:t>法案委員會知悉，過去數年，在新界私人土地上非法棄置建築廢物的情況加劇。在</w:t>
      </w:r>
      <w:r>
        <w:rPr/>
        <w:t>2009</w:t>
      </w:r>
      <w:r>
        <w:rPr/>
        <w:t>年，有建築廢物被棄置於上水河上鄉一幅逾</w:t>
      </w:r>
      <w:r>
        <w:rPr/>
        <w:t>1 000</w:t>
      </w:r>
      <w:r>
        <w:rPr/>
        <w:t>平方米的農地上，引起各方注意。當局在</w:t>
      </w:r>
      <w:r>
        <w:rPr/>
        <w:t>2010</w:t>
      </w:r>
      <w:r>
        <w:rPr/>
        <w:t>年進行公眾諮詢及在檢討《廢物處置條例》後，認為除列於《廢物處置條例》第</w:t>
      </w:r>
      <w:r>
        <w:rPr/>
        <w:t>16A</w:t>
      </w:r>
      <w:r>
        <w:rPr/>
        <w:t>條的現行規管外，有必要加強《廢物處置條例》對在私人土地上擺放建築廢物的規管。</w:t>
      </w:r>
    </w:p>
    <w:p>
      <w:pPr>
        <w:pStyle w:val="F21"/>
        <w:spacing w:lineRule="atLeast" w:line="410"/>
        <w:rPr/>
      </w:pPr>
      <w:r>
        <w:rPr/>
      </w:r>
    </w:p>
    <w:p>
      <w:pPr>
        <w:pStyle w:val="F21"/>
        <w:spacing w:lineRule="atLeast" w:line="410"/>
        <w:rPr/>
      </w:pPr>
      <w:r>
        <w:rPr/>
        <w:tab/>
      </w:r>
      <w:r>
        <w:rPr/>
        <w:t>條例草案建議加入新的第</w:t>
      </w:r>
      <w:r>
        <w:rPr/>
        <w:t>16B</w:t>
      </w:r>
      <w:r>
        <w:rPr/>
        <w:t>及</w:t>
      </w:r>
      <w:r>
        <w:rPr/>
        <w:t>16C</w:t>
      </w:r>
      <w:r>
        <w:rPr/>
        <w:t>條，擬議新訂的條文訂明，除了若干豁除情況外，在私人地段擺放建築廢物，須有該地段的唯一或全體擁有人的有效許可，方可進行；而上述許可須以環境保護署</w:t>
      </w:r>
      <w:r>
        <w:rPr/>
        <w:t>(“</w:t>
      </w:r>
      <w:r>
        <w:rPr/>
        <w:t>環保署”</w:t>
      </w:r>
      <w:r>
        <w:rPr/>
        <w:t>)</w:t>
      </w:r>
      <w:r>
        <w:rPr/>
        <w:t>署長指明的表格給予，而給予許可的表格亦須註有由環保署署長加上的認收標記，該許可才算有效。此外，這表格須在該地段的一個顯眼位置展示。擬議新訂的條文訂明，任何人如沒有有效許可而在私人地段擺放建築廢物，或促使將建築廢物擺放在該地段，即屬犯罪。</w:t>
      </w:r>
    </w:p>
    <w:p>
      <w:pPr>
        <w:pStyle w:val="F21"/>
        <w:rPr/>
      </w:pPr>
      <w:r>
        <w:rPr/>
      </w:r>
    </w:p>
    <w:p>
      <w:pPr>
        <w:pStyle w:val="F21"/>
        <w:rPr/>
      </w:pPr>
      <w:r>
        <w:rPr/>
        <w:tab/>
      </w:r>
      <w:r>
        <w:rPr/>
        <w:t>法案委員會又察悉，擬議加強規管的制度不適用於兩種情況：一是棄置廢物的面積不超過</w:t>
      </w:r>
      <w:r>
        <w:rPr/>
        <w:t>20</w:t>
      </w:r>
      <w:r>
        <w:rPr/>
        <w:t>平方米。委員會審議時，委員查詢</w:t>
      </w:r>
      <w:r>
        <w:rPr/>
        <w:t>20</w:t>
      </w:r>
      <w:r>
        <w:rPr/>
        <w:t>平方米如何量度，以及高度有否限制，為何只以長度乘闊度來計算。當時官員解釋，廢物傾倒時，會形成天然斜度，所以量度到</w:t>
      </w:r>
      <w:r>
        <w:rPr/>
        <w:t>20</w:t>
      </w:r>
      <w:r>
        <w:rPr/>
        <w:t>平方米便可。</w:t>
      </w:r>
    </w:p>
    <w:p>
      <w:pPr>
        <w:pStyle w:val="F21"/>
        <w:rPr/>
      </w:pPr>
      <w:r>
        <w:rPr/>
      </w:r>
    </w:p>
    <w:p>
      <w:pPr>
        <w:pStyle w:val="F21"/>
        <w:rPr/>
      </w:pPr>
      <w:r>
        <w:rPr/>
        <w:tab/>
      </w:r>
      <w:r>
        <w:rPr/>
        <w:t>此外，代理主席，有關執法程序，法案委員會察悉，根據《廢物處置條例》第</w:t>
      </w:r>
      <w:r>
        <w:rPr/>
        <w:t>23F</w:t>
      </w:r>
      <w:r>
        <w:rPr/>
        <w:t>條，故意阻撓獲授權人員行使權力，即屬犯罪。如有需要，獲授權人員可尋求警務人員協助。當然，土地擁有人看到有人傾倒廢物，會即時報警。但是，委員會察悉，警方並非這條條例的執法人員，環保署才是，但環保署並非</w:t>
      </w:r>
      <w:r>
        <w:rPr/>
        <w:t>24</w:t>
      </w:r>
      <w:r>
        <w:rPr/>
        <w:t>小時當值。所以，在執法程序上，委員都擔心，土地擁有人即使當場看到有人傾倒廢物，致電找人來執法，可能也沒有執法人員即時前來提供協助。當局給我們的解釋是，土地擁有人可透過照相、拍攝等方法留下證據，及後再提供這些證據，而環保署人員等文職官員如不能有效把傾倒廢物的人趕走，可召警求援。</w:t>
      </w:r>
    </w:p>
    <w:p>
      <w:pPr>
        <w:pStyle w:val="F21"/>
        <w:rPr/>
      </w:pPr>
      <w:r>
        <w:rPr/>
      </w:r>
    </w:p>
    <w:p>
      <w:pPr>
        <w:pStyle w:val="F21"/>
        <w:rPr/>
      </w:pPr>
      <w:r>
        <w:rPr/>
        <w:tab/>
      </w:r>
      <w:r>
        <w:rPr/>
        <w:t>代理主席，以上是法案委員會審議的工作簡要匯報，以下是我的個人意見和政策立場。</w:t>
      </w:r>
    </w:p>
    <w:p>
      <w:pPr>
        <w:pStyle w:val="F21"/>
        <w:rPr/>
      </w:pPr>
      <w:r>
        <w:rPr/>
      </w:r>
    </w:p>
    <w:p>
      <w:pPr>
        <w:pStyle w:val="F21"/>
        <w:rPr>
          <w:szCs w:val="27"/>
        </w:rPr>
      </w:pPr>
      <w:r>
        <w:rPr/>
        <w:tab/>
      </w:r>
      <w:r>
        <w:rPr/>
        <w:t>我們歡迎這次的法例修訂。正如報告所說，過去在河上鄉有很大型的非法傾倒建築廢物場地，其中部分原因主要是土地業權的紛爭，或業權擁有人之間對怎樣處理土地有不同的意見。於是，有人把建築廢物傾倒在農地或漁塘，堵塞漁塘水源或去水道，令有關土地的天然環境受到破壞，不能再用於漁農畜牧的用途。</w:t>
      </w:r>
      <w:r>
        <w:rPr>
          <w:szCs w:val="27"/>
        </w:rPr>
        <w:t>那幅土地沒用了，在那裏耕種或從事漁業的後人的生計無法繼續，大家只好達成共識，將這幅土地變賣。這些行為雖是私人行為，但每個人的業權都應該得到應有的保障，不應受到非法行為破壞。</w:t>
      </w:r>
    </w:p>
    <w:p>
      <w:pPr>
        <w:pStyle w:val="F21"/>
        <w:rPr>
          <w:szCs w:val="27"/>
        </w:rPr>
      </w:pPr>
      <w:r>
        <w:rPr>
          <w:szCs w:val="27"/>
        </w:rPr>
      </w:r>
    </w:p>
    <w:p>
      <w:pPr>
        <w:pStyle w:val="F21"/>
        <w:rPr>
          <w:szCs w:val="27"/>
        </w:rPr>
      </w:pPr>
      <w:r>
        <w:rPr>
          <w:szCs w:val="27"/>
        </w:rPr>
        <w:tab/>
      </w:r>
      <w:r>
        <w:rPr>
          <w:szCs w:val="27"/>
        </w:rPr>
        <w:t>時至今日，受害人若發現有人傾倒廢物，即使報警並將罪犯繩之於法，也要花錢清理廢物，沒有人會幫助他。如果他不及時清理，還可能會被當局票控，要他馬上處理。所以，在審議時，我們也有請行政當局考慮用行政程序來審視受害人是否有能力修補破壞，並考慮給予適當的支援。最差的情況是，受害人發現有人傾倒廢物而報案後，當局不單不能拘捕罪犯，還立即發出票控，要他馬上清理廢物。</w:t>
      </w:r>
    </w:p>
    <w:p>
      <w:pPr>
        <w:pStyle w:val="F21"/>
        <w:rPr>
          <w:szCs w:val="27"/>
        </w:rPr>
      </w:pPr>
      <w:r>
        <w:rPr>
          <w:szCs w:val="27"/>
        </w:rPr>
        <w:tab/>
      </w:r>
      <w:r>
        <w:rPr>
          <w:szCs w:val="27"/>
        </w:rPr>
        <w:t>此外，代理主席，有關執法的問題，正如我剛才所說，環保署不是</w:t>
      </w:r>
      <w:r>
        <w:rPr>
          <w:szCs w:val="27"/>
        </w:rPr>
        <w:t>24</w:t>
      </w:r>
      <w:r>
        <w:rPr>
          <w:szCs w:val="27"/>
        </w:rPr>
        <w:t>小時當值，所以在晚上或沒有人察覺時傾倒廢物，非法行為便不容易被察覺。業界提出了一種自律的方法。香港泥頭車司機協會提出一種方法並已實施，即在車輛上裝置衞星導航系統</w:t>
      </w:r>
      <w:r>
        <w:rPr>
          <w:szCs w:val="27"/>
        </w:rPr>
        <w:t>(GPS)</w:t>
      </w:r>
      <w:r>
        <w:rPr>
          <w:szCs w:val="27"/>
        </w:rPr>
        <w:t>。這樣做不是因為司機不識路，而是這個裝置可以記錄該車輛曾經前往哪裏。當有事情發生，最低限度相關車輛的司機可以清楚表明，車輛沒有前往某些地方，沒有參與非法行為。司機協會亦請各界在傾倒建築廢料時，找懂得自律的車輛傾倒。這個裝置是有效的。所以，我希望當局與業界一起追蹤評估這個裝置，在適當時候應考慮在保護私隱和防止非法傾倒廢物之間取得平衡，將這個裝置的安裝正式納入車輛續牌時的要求。</w:t>
      </w:r>
      <w:r>
        <w:br w:type="page"/>
      </w:r>
    </w:p>
    <w:p>
      <w:pPr>
        <w:pStyle w:val="F21"/>
        <w:rPr>
          <w:szCs w:val="27"/>
        </w:rPr>
      </w:pPr>
      <w:r>
        <w:rPr>
          <w:szCs w:val="27"/>
        </w:rPr>
      </w:r>
    </w:p>
    <w:p>
      <w:pPr>
        <w:pStyle w:val="F21"/>
        <w:rPr>
          <w:szCs w:val="27"/>
        </w:rPr>
      </w:pPr>
      <w:r>
        <w:rPr>
          <w:szCs w:val="27"/>
        </w:rPr>
        <w:tab/>
      </w:r>
      <w:r>
        <w:rPr>
          <w:szCs w:val="27"/>
        </w:rPr>
        <w:t>此外，代理主席，在條例草案審議期間，我們亦察覺到這項法例其實不能規管市區，但在市區，非法傾倒建築廢物的情況亦相當猖獗。在私家街當然有這些情況出現，但在私家街找齊所有業權人進行申請是不可能的事。所以，大家都明白這件事，不過請當局加緊執法。而另外一類地方會引來非法傾倒，亦引致災難性的後果。例如，幾年前在港島跑馬地區有一場大雨，不但令跑馬地黃泥涌道有嚴重水浸，更令其中一個住宅金山花園的斜坡倒塌。為甚麼呢？追源溯始，原來有人在上面雲景道的高架汽車天橋非法傾置建築廢物，令上面的引水道堵塞，於是雨水不能流到應去的排水渠，反而沖到黃泥涌道。</w:t>
      </w:r>
    </w:p>
    <w:p>
      <w:pPr>
        <w:pStyle w:val="F21"/>
        <w:rPr>
          <w:szCs w:val="27"/>
        </w:rPr>
      </w:pPr>
      <w:r>
        <w:rPr>
          <w:szCs w:val="27"/>
        </w:rPr>
      </w:r>
    </w:p>
    <w:p>
      <w:pPr>
        <w:pStyle w:val="F21"/>
        <w:rPr>
          <w:szCs w:val="27"/>
        </w:rPr>
      </w:pPr>
      <w:r>
        <w:rPr>
          <w:szCs w:val="27"/>
        </w:rPr>
        <w:tab/>
      </w:r>
      <w:r>
        <w:rPr>
          <w:szCs w:val="27"/>
        </w:rPr>
        <w:t>所以，代理主席，當我們今時今日的法例稍有改善，能夠規管新界地區非法傾置建築廢料時，我亦請當局在市區加緊執法，令現行法例能有效地保護居民的居住環境。我再一次說，香港泥頭車司機協會自律性地安裝衞星導航系統，是一個值得當局考慮的措施。</w:t>
      </w:r>
    </w:p>
    <w:p>
      <w:pPr>
        <w:pStyle w:val="F21"/>
        <w:rPr>
          <w:szCs w:val="27"/>
        </w:rPr>
      </w:pPr>
      <w:r>
        <w:rPr>
          <w:szCs w:val="27"/>
        </w:rPr>
      </w:r>
    </w:p>
    <w:p>
      <w:pPr>
        <w:pStyle w:val="F21"/>
        <w:rPr>
          <w:szCs w:val="27"/>
        </w:rPr>
      </w:pPr>
      <w:r>
        <w:rPr>
          <w:szCs w:val="27"/>
        </w:rPr>
        <w:tab/>
      </w:r>
      <w:r>
        <w:rPr>
          <w:szCs w:val="27"/>
        </w:rPr>
        <w:t>多謝代理主席。</w:t>
      </w:r>
    </w:p>
    <w:p>
      <w:pPr>
        <w:pStyle w:val="F21"/>
        <w:rPr>
          <w:szCs w:val="27"/>
        </w:rPr>
      </w:pPr>
      <w:r>
        <w:rPr>
          <w:szCs w:val="27"/>
        </w:rPr>
      </w:r>
    </w:p>
    <w:p>
      <w:pPr>
        <w:pStyle w:val="F21"/>
        <w:rPr/>
      </w:pPr>
      <w:r>
        <w:rPr/>
      </w:r>
    </w:p>
    <w:p>
      <w:pPr>
        <w:pStyle w:val="F21"/>
        <w:tabs>
          <w:tab w:val="clear" w:pos="567"/>
        </w:tabs>
        <w:rPr>
          <w:szCs w:val="27"/>
        </w:rPr>
      </w:pPr>
      <w:r>
        <w:rPr>
          <w:rFonts w:ascii="華康中黑體" w:hAnsi="華康中黑體" w:cs="華康中黑體" w:eastAsia="華康中黑體"/>
          <w:b/>
          <w:szCs w:val="27"/>
        </w:rPr>
        <w:t>胡志偉議員</w:t>
      </w:r>
      <w:r>
        <w:rPr>
          <w:szCs w:val="27"/>
        </w:rPr>
        <w:t>：代理主席，我發言支持恢復二讀《</w:t>
      </w:r>
      <w:r>
        <w:rPr>
          <w:szCs w:val="27"/>
        </w:rPr>
        <w:t>2013</w:t>
      </w:r>
      <w:r>
        <w:rPr>
          <w:szCs w:val="27"/>
        </w:rPr>
        <w:t>年廢物處置</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。以下是我對條例草案的意見。</w:t>
      </w:r>
    </w:p>
    <w:p>
      <w:pPr>
        <w:pStyle w:val="F21"/>
        <w:rPr>
          <w:szCs w:val="27"/>
        </w:rPr>
      </w:pPr>
      <w:r>
        <w:rPr>
          <w:szCs w:val="27"/>
        </w:rPr>
      </w:r>
    </w:p>
    <w:p>
      <w:pPr>
        <w:pStyle w:val="F21"/>
        <w:rPr>
          <w:szCs w:val="27"/>
        </w:rPr>
      </w:pPr>
      <w:r>
        <w:rPr>
          <w:szCs w:val="27"/>
        </w:rPr>
        <w:tab/>
      </w:r>
      <w:r>
        <w:rPr>
          <w:szCs w:val="27"/>
        </w:rPr>
        <w:t>非法傾倒的問題存在已久。正如政府在立法會參考摘要中提到，有一宗在</w:t>
      </w:r>
      <w:r>
        <w:rPr>
          <w:szCs w:val="27"/>
        </w:rPr>
        <w:t>2009</w:t>
      </w:r>
      <w:r>
        <w:rPr>
          <w:szCs w:val="27"/>
        </w:rPr>
        <w:t>年於上水河上鄉發生的個案，當時有建築廢物被棄置於一幅逾</w:t>
      </w:r>
      <w:r>
        <w:rPr>
          <w:szCs w:val="27"/>
        </w:rPr>
        <w:t>10</w:t>
      </w:r>
      <w:r>
        <w:rPr>
          <w:szCs w:val="27"/>
        </w:rPr>
        <w:t>萬呎的農地上。但是，政府無法在</w:t>
      </w:r>
      <w:r>
        <w:rPr>
          <w:szCs w:val="27"/>
        </w:rPr>
        <w:t>6</w:t>
      </w:r>
      <w:r>
        <w:rPr>
          <w:szCs w:val="27"/>
        </w:rPr>
        <w:t>個月的限期內得到足夠證據，亦無法獲得土地業權人的資料而進行檢控。本次修訂透過新訂的第</w:t>
      </w:r>
      <w:r>
        <w:rPr>
          <w:szCs w:val="27"/>
        </w:rPr>
        <w:t>16B</w:t>
      </w:r>
      <w:r>
        <w:rPr>
          <w:szCs w:val="27"/>
        </w:rPr>
        <w:t>條，嘗試解決問題，從這個角度而言，我們會支持條例草案。</w:t>
      </w:r>
    </w:p>
    <w:p>
      <w:pPr>
        <w:pStyle w:val="F21"/>
        <w:spacing w:lineRule="atLeast" w:line="370"/>
        <w:rPr>
          <w:szCs w:val="27"/>
        </w:rPr>
      </w:pPr>
      <w:r>
        <w:rPr>
          <w:szCs w:val="27"/>
        </w:rPr>
        <w:tab/>
      </w:r>
      <w:r>
        <w:rPr>
          <w:szCs w:val="27"/>
        </w:rPr>
        <w:t>不過，即使我們支持這次的法例修訂，我仍然覺得在處理非法棄置建築填料的問題上，政府仍有很多可以改善的地方。例如，在罰則方面，我們看到《廢物處置條例》第</w:t>
      </w:r>
      <w:r>
        <w:rPr>
          <w:szCs w:val="27"/>
        </w:rPr>
        <w:t>16A</w:t>
      </w:r>
      <w:r>
        <w:rPr>
          <w:szCs w:val="27"/>
        </w:rPr>
        <w:t>條及新修訂的第</w:t>
      </w:r>
      <w:r>
        <w:rPr>
          <w:szCs w:val="27"/>
        </w:rPr>
        <w:t>16B</w:t>
      </w:r>
      <w:r>
        <w:rPr>
          <w:szCs w:val="27"/>
        </w:rPr>
        <w:t>條規定，第一次定罪可處罰款</w:t>
      </w:r>
      <w:r>
        <w:rPr>
          <w:szCs w:val="27"/>
        </w:rPr>
        <w:t>20</w:t>
      </w:r>
      <w:r>
        <w:rPr>
          <w:szCs w:val="27"/>
        </w:rPr>
        <w:t>萬元及監禁</w:t>
      </w:r>
      <w:r>
        <w:rPr>
          <w:szCs w:val="27"/>
        </w:rPr>
        <w:t>6</w:t>
      </w:r>
      <w:r>
        <w:rPr>
          <w:szCs w:val="27"/>
        </w:rPr>
        <w:t>個月；而第二次定罪或其後定罪，可處罰款</w:t>
      </w:r>
      <w:r>
        <w:rPr>
          <w:szCs w:val="27"/>
        </w:rPr>
        <w:t>50</w:t>
      </w:r>
      <w:r>
        <w:rPr>
          <w:szCs w:val="27"/>
        </w:rPr>
        <w:t>萬元及監禁</w:t>
      </w:r>
      <w:r>
        <w:rPr>
          <w:szCs w:val="27"/>
        </w:rPr>
        <w:t>6</w:t>
      </w:r>
      <w:r>
        <w:rPr>
          <w:szCs w:val="27"/>
        </w:rPr>
        <w:t>個月。同時，如法庭信納屬持續罪行的個案，按持續犯罪期間每天另處罰款</w:t>
      </w:r>
      <w:r>
        <w:rPr>
          <w:szCs w:val="27"/>
        </w:rPr>
        <w:t>1</w:t>
      </w:r>
      <w:r>
        <w:rPr>
          <w:szCs w:val="27"/>
        </w:rPr>
        <w:t>萬元。</w:t>
      </w:r>
      <w:r>
        <w:br w:type="page"/>
      </w:r>
    </w:p>
    <w:p>
      <w:pPr>
        <w:pStyle w:val="F21"/>
        <w:spacing w:lineRule="atLeast" w:line="370"/>
        <w:rPr>
          <w:szCs w:val="27"/>
        </w:rPr>
      </w:pPr>
      <w:r>
        <w:rPr>
          <w:szCs w:val="27"/>
        </w:rPr>
      </w:r>
    </w:p>
    <w:p>
      <w:pPr>
        <w:pStyle w:val="F21"/>
        <w:spacing w:lineRule="atLeast" w:line="370"/>
        <w:rPr>
          <w:szCs w:val="27"/>
        </w:rPr>
      </w:pPr>
      <w:r>
        <w:rPr>
          <w:szCs w:val="27"/>
        </w:rPr>
        <w:tab/>
      </w:r>
      <w:r>
        <w:rPr>
          <w:szCs w:val="27"/>
        </w:rPr>
        <w:t>但是，法庭判罰的結果予公眾的感覺是，罰則未能反映社會對非法棄置建築廢料的關注。根據政府提供的資料，</w:t>
      </w:r>
      <w:r>
        <w:rPr>
          <w:szCs w:val="27"/>
        </w:rPr>
        <w:t>2012-2013</w:t>
      </w:r>
      <w:r>
        <w:rPr>
          <w:szCs w:val="27"/>
        </w:rPr>
        <w:t>年度的被判罰個案最高罰款額是</w:t>
      </w:r>
      <w:r>
        <w:rPr>
          <w:szCs w:val="27"/>
        </w:rPr>
        <w:t>2</w:t>
      </w:r>
      <w:r>
        <w:rPr>
          <w:szCs w:val="27"/>
        </w:rPr>
        <w:t>萬元，甚至有個別個案只是</w:t>
      </w:r>
      <w:r>
        <w:rPr>
          <w:szCs w:val="27"/>
        </w:rPr>
        <w:t>1,500</w:t>
      </w:r>
      <w:r>
        <w:rPr>
          <w:szCs w:val="27"/>
        </w:rPr>
        <w:t>元，相等於亂抛垃圾的定額罰款。當然，我同意法庭必須考慮每宗案件的性質及嚴重性去判刑，但我覺得政府應該主動就部分嚴重的個案提出上訴，以顯示政府及公眾對此問題的關注。而如果是現行的罰則或法例導致法庭未能對個別個案提出更具阻嚇性判罰，我相信我和立法會其他同事均隨時樂意與政府探討及進行相應的法例修訂。</w:t>
      </w:r>
    </w:p>
    <w:p>
      <w:pPr>
        <w:pStyle w:val="F21"/>
        <w:spacing w:lineRule="atLeast" w:line="370"/>
        <w:rPr>
          <w:szCs w:val="27"/>
        </w:rPr>
      </w:pPr>
      <w:r>
        <w:rPr>
          <w:szCs w:val="27"/>
        </w:rPr>
      </w:r>
    </w:p>
    <w:p>
      <w:pPr>
        <w:pStyle w:val="F21"/>
        <w:spacing w:lineRule="atLeast" w:line="370"/>
        <w:rPr>
          <w:szCs w:val="27"/>
        </w:rPr>
      </w:pPr>
      <w:r>
        <w:rPr>
          <w:szCs w:val="27"/>
        </w:rPr>
        <w:tab/>
      </w:r>
      <w:r>
        <w:rPr>
          <w:szCs w:val="27"/>
        </w:rPr>
        <w:t>公眾對非法傾倒的關注不只在於建築廢料對周邊環境的影響，因為大家都知道，部分非法傾倒往往涉及希望改變土地現有用途，也就是我們常說的“先破壞、後發展”的目標。目前的法例對在政府官地上或已有法定圖則規管的土地上的非法傾倒已有較好的規管，因為前者是侵佔官地，而在法定圖則下對未經城規會批准的用途，或不符圖則要求的發展的罰則比《廢物處置條例》更重</w:t>
      </w:r>
      <w:r>
        <w:rPr>
          <w:szCs w:val="27"/>
        </w:rPr>
        <w:t>(</w:t>
      </w:r>
      <w:r>
        <w:rPr>
          <w:szCs w:val="27"/>
        </w:rPr>
        <w:t>第一次定罪最高罰</w:t>
      </w:r>
      <w:r>
        <w:rPr>
          <w:szCs w:val="27"/>
        </w:rPr>
        <w:t>50</w:t>
      </w:r>
      <w:r>
        <w:rPr>
          <w:szCs w:val="27"/>
        </w:rPr>
        <w:t>萬元，之後的定罪最高罰</w:t>
      </w:r>
      <w:r>
        <w:rPr>
          <w:szCs w:val="27"/>
          <w:lang w:eastAsia="zh-CN"/>
        </w:rPr>
        <w:t>1</w:t>
      </w:r>
      <w:r>
        <w:rPr>
          <w:szCs w:val="27"/>
        </w:rPr>
        <w:t>00</w:t>
      </w:r>
      <w:r>
        <w:rPr>
          <w:szCs w:val="27"/>
        </w:rPr>
        <w:t>萬元</w:t>
      </w:r>
      <w:r>
        <w:rPr>
          <w:szCs w:val="27"/>
        </w:rPr>
        <w:t>)</w:t>
      </w:r>
      <w:r>
        <w:rPr>
          <w:szCs w:val="27"/>
        </w:rPr>
        <w:t>。當然，我們不能排除有個別私人土地業主會覬覦土地發展潛力，從而破壞屬於</w:t>
      </w:r>
      <w:r>
        <w:rPr>
          <w:szCs w:val="27"/>
          <w:lang w:eastAsia="zh-CN"/>
        </w:rPr>
        <w:t>“</w:t>
      </w:r>
      <w:r>
        <w:rPr>
          <w:szCs w:val="27"/>
        </w:rPr>
        <w:t>農業</w:t>
      </w:r>
      <w:r>
        <w:rPr>
          <w:szCs w:val="27"/>
          <w:lang w:eastAsia="zh-CN"/>
        </w:rPr>
        <w:t>”</w:t>
      </w:r>
      <w:r>
        <w:rPr>
          <w:szCs w:val="27"/>
        </w:rPr>
        <w:t>、</w:t>
      </w:r>
      <w:r>
        <w:rPr>
          <w:szCs w:val="27"/>
          <w:lang w:eastAsia="zh-CN"/>
        </w:rPr>
        <w:t>“</w:t>
      </w:r>
      <w:r>
        <w:rPr>
          <w:szCs w:val="27"/>
        </w:rPr>
        <w:t>綠化地帶</w:t>
      </w:r>
      <w:r>
        <w:rPr>
          <w:szCs w:val="27"/>
          <w:lang w:eastAsia="zh-CN"/>
        </w:rPr>
        <w:t>”</w:t>
      </w:r>
      <w:r>
        <w:rPr>
          <w:szCs w:val="27"/>
        </w:rPr>
        <w:t>或</w:t>
      </w:r>
      <w:r>
        <w:rPr>
          <w:szCs w:val="27"/>
          <w:lang w:eastAsia="zh-CN"/>
        </w:rPr>
        <w:t>“</w:t>
      </w:r>
      <w:r>
        <w:rPr>
          <w:szCs w:val="27"/>
        </w:rPr>
        <w:t>自然保育區</w:t>
      </w:r>
      <w:r>
        <w:rPr>
          <w:szCs w:val="27"/>
          <w:lang w:eastAsia="zh-CN"/>
        </w:rPr>
        <w:t>”</w:t>
      </w:r>
      <w:r>
        <w:rPr>
          <w:szCs w:val="27"/>
        </w:rPr>
        <w:t>用途的土地，並藉此向城規會申請改變土地用途。尤其是過去城規會亦曾批准個別的個案。不過總體而言，處理《城市規劃條例》下的土地上的非法傾倒總比仍以集體官契形式持有的土地甚至“不包括土地”為理想。</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我的理解是，現時較難處理在新界以舊有集體官契形式規管的私人土地。雖然集體官契上標明為</w:t>
      </w:r>
      <w:r>
        <w:rPr>
          <w:szCs w:val="27"/>
          <w:lang w:eastAsia="zh-CN"/>
        </w:rPr>
        <w:t>“</w:t>
      </w:r>
      <w:r>
        <w:rPr>
          <w:szCs w:val="27"/>
        </w:rPr>
        <w:t>農地</w:t>
      </w:r>
      <w:r>
        <w:rPr>
          <w:szCs w:val="27"/>
          <w:lang w:eastAsia="zh-CN"/>
        </w:rPr>
        <w:t>”</w:t>
      </w:r>
      <w:r>
        <w:rPr>
          <w:szCs w:val="27"/>
        </w:rPr>
        <w:t>的地段應只能作農業用途，但由於在</w:t>
      </w:r>
      <w:r>
        <w:rPr>
          <w:szCs w:val="27"/>
        </w:rPr>
        <w:t>1983</w:t>
      </w:r>
      <w:r>
        <w:rPr>
          <w:szCs w:val="27"/>
        </w:rPr>
        <w:t>年的一宗個案中，當時的英國樞密院判決集體官契上的“農地”並非只可作農業用途，</w:t>
      </w:r>
      <w:r>
        <w:rPr>
          <w:szCs w:val="27"/>
        </w:rPr>
        <w:t>(</w:t>
      </w:r>
      <w:r>
        <w:rPr>
          <w:szCs w:val="27"/>
        </w:rPr>
        <w:t>我引述</w:t>
      </w:r>
      <w:r>
        <w:rPr>
          <w:szCs w:val="27"/>
        </w:rPr>
        <w:t>)</w:t>
      </w:r>
      <w:r>
        <w:rPr>
          <w:szCs w:val="27"/>
        </w:rPr>
        <w:t>：“官契附表所列的土地用途只屬說明性質，並非爭議中所指的隱含契約類別”。當時法庭裁定，只有發出噪音、惡臭和厭惡性的行業不得在集體官契所規管的土地上作業。</w:t>
      </w:r>
    </w:p>
    <w:p>
      <w:pPr>
        <w:pStyle w:val="F21"/>
        <w:spacing w:lineRule="atLeast" w:line="370"/>
        <w:rPr>
          <w:szCs w:val="27"/>
        </w:rPr>
      </w:pPr>
      <w:r>
        <w:rPr>
          <w:szCs w:val="27"/>
        </w:rPr>
      </w:r>
    </w:p>
    <w:p>
      <w:pPr>
        <w:pStyle w:val="F21"/>
        <w:spacing w:lineRule="atLeast" w:line="370"/>
        <w:rPr>
          <w:szCs w:val="27"/>
        </w:rPr>
      </w:pPr>
      <w:r>
        <w:rPr>
          <w:szCs w:val="27"/>
        </w:rPr>
        <w:tab/>
      </w:r>
      <w:r>
        <w:rPr>
          <w:szCs w:val="27"/>
        </w:rPr>
        <w:t>有關案件</w:t>
      </w:r>
      <w:r>
        <w:rPr>
          <w:szCs w:val="27"/>
          <w:lang w:eastAsia="zh-CN"/>
        </w:rPr>
        <w:t>導致的</w:t>
      </w:r>
      <w:r>
        <w:rPr>
          <w:szCs w:val="27"/>
        </w:rPr>
        <w:t>結果是，新界有多幅未開墾的農地，為迎合市場需要，轉作露天貯物、棄置車輛、修理車輛工場、貨櫃存放場和停車場等用途。而這亦是為何我們經常提到無法以土地契約條款去管制非法傾倒的原因。而在</w:t>
      </w:r>
      <w:r>
        <w:rPr>
          <w:szCs w:val="27"/>
          <w:lang w:eastAsia="zh-CN"/>
        </w:rPr>
        <w:t>“</w:t>
      </w:r>
      <w:r>
        <w:rPr>
          <w:szCs w:val="27"/>
        </w:rPr>
        <w:t>不包括土地</w:t>
      </w:r>
      <w:r>
        <w:rPr>
          <w:szCs w:val="27"/>
          <w:lang w:eastAsia="zh-CN"/>
        </w:rPr>
        <w:t>”</w:t>
      </w:r>
      <w:r>
        <w:rPr>
          <w:szCs w:val="27"/>
        </w:rPr>
        <w:t>中的私人地段亦面對類似問題，基於沒有納入郊野公園或法定圖則，土地的使用及發展變成“</w:t>
      </w:r>
      <w:r>
        <w:rPr>
          <w:szCs w:val="27"/>
        </w:rPr>
        <w:t>N</w:t>
      </w:r>
      <w:r>
        <w:rPr>
          <w:szCs w:val="27"/>
        </w:rPr>
        <w:t>不管”。</w:t>
      </w:r>
    </w:p>
    <w:p>
      <w:pPr>
        <w:pStyle w:val="F21"/>
        <w:spacing w:lineRule="atLeast" w:line="370"/>
        <w:rPr>
          <w:szCs w:val="27"/>
        </w:rPr>
      </w:pPr>
      <w:r>
        <w:rPr>
          <w:szCs w:val="27"/>
        </w:rPr>
      </w:r>
    </w:p>
    <w:p>
      <w:pPr>
        <w:pStyle w:val="F21"/>
        <w:spacing w:lineRule="atLeast" w:line="370"/>
        <w:rPr>
          <w:szCs w:val="27"/>
        </w:rPr>
      </w:pPr>
      <w:r>
        <w:rPr>
          <w:szCs w:val="27"/>
        </w:rPr>
        <w:tab/>
      </w:r>
      <w:r>
        <w:rPr>
          <w:szCs w:val="27"/>
        </w:rPr>
        <w:t>因此</w:t>
      </w:r>
      <w:r>
        <w:rPr>
          <w:szCs w:val="27"/>
          <w:lang w:eastAsia="zh-CN"/>
        </w:rPr>
        <w:t>，</w:t>
      </w:r>
      <w:r>
        <w:rPr>
          <w:szCs w:val="27"/>
        </w:rPr>
        <w:t>長遠而言，我認為政府有必要盡快對以集體官契形式規管的土地進行土地規劃。務求解決自</w:t>
      </w:r>
      <w:r>
        <w:rPr>
          <w:szCs w:val="27"/>
        </w:rPr>
        <w:t>1983</w:t>
      </w:r>
      <w:r>
        <w:rPr>
          <w:szCs w:val="27"/>
        </w:rPr>
        <w:t>年以來，新界鄉郊土地規劃面對的困局，而我相信這才是長遠解決非法傾倒的處理方案。</w:t>
      </w:r>
    </w:p>
    <w:p>
      <w:pPr>
        <w:pStyle w:val="F21"/>
        <w:spacing w:lineRule="atLeast" w:line="370"/>
        <w:rPr>
          <w:szCs w:val="27"/>
        </w:rPr>
      </w:pPr>
      <w:r>
        <w:rPr>
          <w:szCs w:val="27"/>
        </w:rPr>
      </w:r>
    </w:p>
    <w:p>
      <w:pPr>
        <w:pStyle w:val="F21"/>
        <w:spacing w:lineRule="atLeast" w:line="370"/>
        <w:rPr>
          <w:szCs w:val="27"/>
        </w:rPr>
      </w:pPr>
      <w:r>
        <w:rPr>
          <w:szCs w:val="27"/>
        </w:rPr>
        <w:tab/>
      </w:r>
      <w:r>
        <w:rPr>
          <w:szCs w:val="27"/>
        </w:rPr>
        <w:t>回到</w:t>
      </w:r>
      <w:r>
        <w:rPr>
          <w:szCs w:val="27"/>
          <w:lang w:eastAsia="zh-CN"/>
        </w:rPr>
        <w:t>這</w:t>
      </w:r>
      <w:r>
        <w:rPr>
          <w:szCs w:val="27"/>
        </w:rPr>
        <w:t>次的條例草案內容，其實在審議期間我曾對條文的寫法提出問題，席上我問到第</w:t>
      </w:r>
      <w:r>
        <w:rPr>
          <w:szCs w:val="27"/>
        </w:rPr>
        <w:t>16B</w:t>
      </w:r>
      <w:r>
        <w:rPr>
          <w:szCs w:val="27"/>
        </w:rPr>
        <w:t>條，座落在一片或一幅地上的房屋或建築物的地下是否符合修訂中“一片或一幅地”的涵義。我的出發點是在不少新界鄉村中均可看到已荒廢的村屋或建築物，亦有機會成為非法傾倒的對象。雖然相對可能性較少，但我們仍然擔心。政府的回覆是有建築物的土地不受新訂第</w:t>
      </w:r>
      <w:r>
        <w:rPr>
          <w:szCs w:val="27"/>
        </w:rPr>
        <w:t>16B</w:t>
      </w:r>
      <w:r>
        <w:rPr>
          <w:szCs w:val="27"/>
        </w:rPr>
        <w:t>條規管，但第</w:t>
      </w:r>
      <w:r>
        <w:rPr>
          <w:szCs w:val="27"/>
        </w:rPr>
        <w:t>16A</w:t>
      </w:r>
      <w:r>
        <w:rPr>
          <w:szCs w:val="27"/>
        </w:rPr>
        <w:t>條仍然適用。不過，我想指出，問題是第</w:t>
      </w:r>
      <w:r>
        <w:rPr>
          <w:szCs w:val="27"/>
        </w:rPr>
        <w:t>16B</w:t>
      </w:r>
      <w:r>
        <w:rPr>
          <w:szCs w:val="27"/>
        </w:rPr>
        <w:t>條的出現正是因為原有的第</w:t>
      </w:r>
      <w:r>
        <w:rPr>
          <w:szCs w:val="27"/>
        </w:rPr>
        <w:t>16A</w:t>
      </w:r>
      <w:r>
        <w:rPr>
          <w:szCs w:val="27"/>
        </w:rPr>
        <w:t>條未足以令政府提出檢控，我建議政府留意日後的發展，考慮是否需要再進行修訂，堵塞漏洞。</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代理主席，我謹此陳辭，支持條例草案恢復二讀。多謝代理主席。</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陳恒鑌議員</w:t>
      </w:r>
      <w:r>
        <w:rPr>
          <w:szCs w:val="27"/>
        </w:rPr>
        <w:t>：代理主席，《</w:t>
      </w:r>
      <w:r>
        <w:rPr>
          <w:szCs w:val="27"/>
        </w:rPr>
        <w:t>2013</w:t>
      </w:r>
      <w:r>
        <w:rPr>
          <w:szCs w:val="27"/>
        </w:rPr>
        <w:t>年廢物處置</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旨在修訂過往《廢物處置條例》的內容，藉以規定只能在取得私人土地上所有擁有人許可下，並向環境保護署</w:t>
      </w:r>
      <w:r>
        <w:rPr>
          <w:szCs w:val="27"/>
        </w:rPr>
        <w:t>(“</w:t>
      </w:r>
      <w:r>
        <w:rPr>
          <w:szCs w:val="27"/>
        </w:rPr>
        <w:t>環保署”</w:t>
      </w:r>
      <w:r>
        <w:rPr>
          <w:szCs w:val="27"/>
        </w:rPr>
        <w:t>)</w:t>
      </w:r>
      <w:r>
        <w:rPr>
          <w:szCs w:val="27"/>
        </w:rPr>
        <w:t>署長申請確認表格後，才可在該土地上擺放建築廢物。過往，只須獲得其中一名土地擁有人同意，即可傾倒廢物，但由於部分土地的業權模糊不清，引致出現很多紛爭，政府也難以執法。就此，政府提出修訂條例草案及其修正案，民建聯表示支持。然而，雖然有此修訂，但有部分市民十分關心的問題在條例草案中依然無法解決。就此，我會以土地污染、執法及罰則</w:t>
      </w:r>
      <w:r>
        <w:rPr>
          <w:szCs w:val="27"/>
        </w:rPr>
        <w:t>3</w:t>
      </w:r>
      <w:r>
        <w:rPr>
          <w:szCs w:val="27"/>
        </w:rPr>
        <w:t>方面提出問題，以及向政府提出建議。</w:t>
      </w:r>
    </w:p>
    <w:p>
      <w:pPr>
        <w:pStyle w:val="F21"/>
        <w:rPr>
          <w:szCs w:val="27"/>
        </w:rPr>
      </w:pPr>
      <w:r>
        <w:rPr>
          <w:szCs w:val="27"/>
        </w:rPr>
      </w:r>
    </w:p>
    <w:p>
      <w:pPr>
        <w:pStyle w:val="F21"/>
        <w:rPr>
          <w:szCs w:val="27"/>
        </w:rPr>
      </w:pPr>
      <w:r>
        <w:rPr>
          <w:szCs w:val="27"/>
        </w:rPr>
        <w:tab/>
      </w:r>
      <w:r>
        <w:rPr>
          <w:szCs w:val="27"/>
        </w:rPr>
        <w:t>首先是土地污染的問題。法案委員會曾討論，是否需要規管要將受非法建築廢料擺放活動的地方進行土地復原。政府回應指，除非該建築廢料內含有化學物質，環保署署長才可根據《廢物處置</w:t>
      </w:r>
      <w:r>
        <w:rPr>
          <w:szCs w:val="27"/>
        </w:rPr>
        <w:t>(</w:t>
      </w:r>
      <w:r>
        <w:rPr>
          <w:szCs w:val="27"/>
        </w:rPr>
        <w:t>化學廢物</w:t>
      </w:r>
      <w:r>
        <w:rPr>
          <w:szCs w:val="27"/>
        </w:rPr>
        <w:t>)(</w:t>
      </w:r>
      <w:r>
        <w:rPr>
          <w:szCs w:val="27"/>
        </w:rPr>
        <w:t>一般</w:t>
      </w:r>
      <w:r>
        <w:rPr>
          <w:szCs w:val="27"/>
        </w:rPr>
        <w:t>)</w:t>
      </w:r>
      <w:r>
        <w:rPr>
          <w:szCs w:val="27"/>
        </w:rPr>
        <w:t>規例》執行有關法律，否則，政府無法要求進行土地復原。土地擁有人只可循民事途徑向非法傾倒者追討有關費用，這種安排對土地擁有人或受害者極度不公平。曾有一宗個案，事主投訴其土地旁邊長期擺放建築物廢料，但由於不符合化學廢物的定義，所以多年來無人清理。問題是，該建築廢物內含有金屬物質，受到雨水的侵蝕，物質便會隨着雨水進入土壤，繼而使土地的金屬或其他微量元素超標，令周遭土地亦變得不適宜耕作。然而，現時條例草案沒有規定必須將受擺放活動影響的土地還原，任由廢物長期擺放而持續污染土地，政府似乎是束手無</w:t>
      </w:r>
      <w:r>
        <w:rPr/>
        <w:t>“</w:t>
      </w:r>
      <w:r>
        <w:rPr>
          <w:szCs w:val="27"/>
        </w:rPr>
        <w:t>法”，也沒有就土地復原問題進行相關立法。就此，民建聯希望當局作出跟進，研究進一步的立法或補救措施。</w:t>
      </w:r>
    </w:p>
    <w:p>
      <w:pPr>
        <w:pStyle w:val="F21"/>
        <w:rPr>
          <w:szCs w:val="27"/>
        </w:rPr>
      </w:pPr>
      <w:r>
        <w:rPr>
          <w:szCs w:val="27"/>
        </w:rPr>
      </w:r>
    </w:p>
    <w:p>
      <w:pPr>
        <w:pStyle w:val="F21"/>
        <w:rPr>
          <w:szCs w:val="27"/>
        </w:rPr>
      </w:pPr>
      <w:r>
        <w:rPr>
          <w:szCs w:val="27"/>
        </w:rPr>
        <w:tab/>
      </w:r>
      <w:r>
        <w:rPr>
          <w:szCs w:val="27"/>
        </w:rPr>
        <w:t>此外，即使今天的條例草案能夠獲得通過，在執法上依然十分困難，這是剛才很多同事也有提及的。我曾在會上詢問當局，為何市民的投訴數字偏高，但最終能夠作出票控的數字卻偏低。政府官員指出，部分原因在於搜證困難，若不是當場“斷正”，一般很難搜集足夠證據作出檢控，形成“有法難執”的情況。我認同在普通法的社會中，必須保障被告人獲得公平審訊，會採取寧縱莫枉的原則。然而，面對如此苛刻的舉證要求，我希望當局能積極跟進，以增強阻嚇作用。</w:t>
      </w:r>
    </w:p>
    <w:p>
      <w:pPr>
        <w:pStyle w:val="F21"/>
        <w:rPr>
          <w:szCs w:val="27"/>
        </w:rPr>
      </w:pPr>
      <w:r>
        <w:rPr>
          <w:szCs w:val="27"/>
        </w:rPr>
      </w:r>
    </w:p>
    <w:p>
      <w:pPr>
        <w:pStyle w:val="F21"/>
        <w:rPr>
          <w:szCs w:val="27"/>
        </w:rPr>
      </w:pPr>
      <w:r>
        <w:rPr>
          <w:szCs w:val="27"/>
        </w:rPr>
        <w:tab/>
      </w:r>
      <w:r>
        <w:rPr>
          <w:szCs w:val="27"/>
        </w:rPr>
        <w:t>當市民看到非法傾倒建築廢物時，第一時間當然是聯絡警察。代理主席剛才也說過，即使警察到場也無權執法，因為條例規定必須由“授權人士”執法，亦即環保署人員，故警察到場也束手無策，需要致電環保署，但很可惜，環保署沒有</w:t>
      </w:r>
      <w:r>
        <w:rPr>
          <w:szCs w:val="27"/>
        </w:rPr>
        <w:t>24</w:t>
      </w:r>
      <w:r>
        <w:rPr>
          <w:szCs w:val="27"/>
        </w:rPr>
        <w:t>小時熱線，警察根本不能與環保署人員聯絡，如何執法呢？尤其是傾倒活動通常在晚間進行，相信成功檢控的機會率十分低。除在鄉郊出現問題外，現時在市區亦有大量非法棄置的建築廢物的情況。政府回應指，體積少於</w:t>
      </w:r>
      <w:r>
        <w:rPr>
          <w:szCs w:val="27"/>
        </w:rPr>
        <w:t>0.2</w:t>
      </w:r>
      <w:r>
        <w:rPr>
          <w:szCs w:val="27"/>
        </w:rPr>
        <w:t>立方米的廢物可視作一般垃圾處理，定額罰款</w:t>
      </w:r>
      <w:r>
        <w:rPr>
          <w:szCs w:val="27"/>
        </w:rPr>
        <w:t>1,500</w:t>
      </w:r>
      <w:r>
        <w:rPr>
          <w:szCs w:val="27"/>
        </w:rPr>
        <w:t>元；若體積大於</w:t>
      </w:r>
      <w:r>
        <w:rPr>
          <w:szCs w:val="27"/>
        </w:rPr>
        <w:t>0.2</w:t>
      </w:r>
      <w:r>
        <w:rPr>
          <w:szCs w:val="27"/>
        </w:rPr>
        <w:t>立方米，才可引用現有《廢物處置條例》第</w:t>
      </w:r>
      <w:r>
        <w:rPr>
          <w:szCs w:val="27"/>
        </w:rPr>
        <w:t>16A</w:t>
      </w:r>
      <w:r>
        <w:rPr>
          <w:szCs w:val="27"/>
        </w:rPr>
        <w:t>條作出檢控。近年來，政府針對樓宇管理及維修推行多項強制性措施，包括強制驗樓及驗窗計劃、違例招牌檢核計劃、引入小型工程承建商註冊制度等，間接增加市區非法棄置的情況。最近社會亦關注到街頭出現很多環保斗的問題。雖然市區沒有鄉郊土地業權的問題，大多數街巷都屬政府公地，但過去的檢控數字依然寥寥可數。這部分原因可能歸咎於搜證的困難，但當局是否疏於執法呢？希望當局檢討一下。</w:t>
      </w:r>
    </w:p>
    <w:p>
      <w:pPr>
        <w:pStyle w:val="F21"/>
        <w:rPr>
          <w:szCs w:val="27"/>
        </w:rPr>
      </w:pPr>
      <w:r>
        <w:rPr>
          <w:szCs w:val="27"/>
        </w:rPr>
      </w:r>
    </w:p>
    <w:p>
      <w:pPr>
        <w:pStyle w:val="F21"/>
        <w:spacing w:lineRule="atLeast" w:line="370"/>
        <w:rPr>
          <w:szCs w:val="27"/>
        </w:rPr>
      </w:pPr>
      <w:r>
        <w:rPr>
          <w:szCs w:val="27"/>
        </w:rPr>
        <w:tab/>
      </w:r>
      <w:r>
        <w:rPr>
          <w:szCs w:val="27"/>
        </w:rPr>
        <w:t xml:space="preserve">如果環保署真的有心打擊非法處置建築廢物，不妨考慮仿效禁煙辦的做法，成立專職調查小隊，四處巡查執法，如發現一些可疑之處，便可立刻作出跟進。當局亦可在部分鄉郊或市區棄置黑點加設閉路電視 </w:t>
      </w:r>
      <w:r>
        <w:rPr>
          <w:rFonts w:ascii="Symbol" w:hAnsi="Symbol" w:cs="Symbol" w:eastAsia="Symbol"/>
          <w:szCs w:val="27"/>
        </w:rPr>
        <w:t></w:t>
      </w:r>
      <w:r>
        <w:rPr>
          <w:szCs w:val="27"/>
        </w:rPr>
        <w:t xml:space="preserve"> 當然，局方可能表示此舉會引致私隱的問題，但有時“裝假狗”亦可以收阻嚇之用，也能幫忙市民。此外，為加強執法效用，各個部門也須加強互相配合，包括各區地政處、食物環境衞生署、規劃署、水務署等，應設立即時通報機制，通力合作打擊非法傾倒的問題。舉例來說，各區地政處會定期在鄉郊檢測土地界線問題，如在途中發現非法處置建築廢物，亦可以立刻通知環保署進行跟進，令問題不致進一步惡化。同時，政府亦應加強宣傳，鼓勵市民及團體舉報，於社區中形成監察網絡，彌補疏於執法的情況。</w:t>
      </w:r>
    </w:p>
    <w:p>
      <w:pPr>
        <w:pStyle w:val="F21"/>
        <w:spacing w:lineRule="atLeast" w:line="370"/>
        <w:rPr>
          <w:szCs w:val="27"/>
        </w:rPr>
      </w:pPr>
      <w:r>
        <w:rPr>
          <w:szCs w:val="27"/>
        </w:rPr>
      </w:r>
    </w:p>
    <w:p>
      <w:pPr>
        <w:pStyle w:val="F21"/>
        <w:spacing w:lineRule="atLeast" w:line="370"/>
        <w:rPr>
          <w:szCs w:val="27"/>
        </w:rPr>
      </w:pPr>
      <w:r>
        <w:rPr>
          <w:szCs w:val="27"/>
        </w:rPr>
        <w:tab/>
      </w:r>
      <w:r>
        <w:rPr>
          <w:szCs w:val="27"/>
        </w:rPr>
        <w:t>最後，我想談及罰則的事宜。於一個公聽會上，鄉議局代表列舉了一宗新聞，令我最感深刻。該新聞指曾有一位婆婆親身阻擋泥頭車進行傾倒，而且非法傾倒的規模頗大，但最終被告只是被罰款數千元了事。於</w:t>
      </w:r>
      <w:r>
        <w:rPr>
          <w:szCs w:val="27"/>
        </w:rPr>
        <w:t>2012</w:t>
      </w:r>
      <w:r>
        <w:rPr>
          <w:szCs w:val="27"/>
        </w:rPr>
        <w:t>年，以現有條例成功檢控的個案數目為</w:t>
      </w:r>
      <w:r>
        <w:rPr>
          <w:szCs w:val="27"/>
        </w:rPr>
        <w:t>45</w:t>
      </w:r>
      <w:r>
        <w:rPr>
          <w:szCs w:val="27"/>
        </w:rPr>
        <w:t>宗，雖然條例最高罰款可達至</w:t>
      </w:r>
      <w:r>
        <w:rPr>
          <w:szCs w:val="27"/>
        </w:rPr>
        <w:t>20</w:t>
      </w:r>
      <w:r>
        <w:rPr>
          <w:szCs w:val="27"/>
        </w:rPr>
        <w:t>萬元，但在</w:t>
      </w:r>
      <w:r>
        <w:rPr>
          <w:szCs w:val="27"/>
        </w:rPr>
        <w:t>45</w:t>
      </w:r>
      <w:r>
        <w:rPr>
          <w:szCs w:val="27"/>
        </w:rPr>
        <w:t>宗個案中，平均罰款只是</w:t>
      </w:r>
      <w:r>
        <w:rPr>
          <w:szCs w:val="27"/>
        </w:rPr>
        <w:t>5,100</w:t>
      </w:r>
      <w:r>
        <w:rPr>
          <w:szCs w:val="27"/>
        </w:rPr>
        <w:t>元，其中罰款最低的更只是</w:t>
      </w:r>
      <w:r>
        <w:rPr>
          <w:szCs w:val="27"/>
        </w:rPr>
        <w:t>1,500</w:t>
      </w:r>
      <w:r>
        <w:rPr>
          <w:szCs w:val="27"/>
        </w:rPr>
        <w:t>元，由此可見我們的懲處是否不足呢？是否不夠嚴，令人樂於以身試法呢？雖然政府一直表示，不設最低罰款水平，是要讓法庭在判處時能充分考慮每宗個案的情況後酌情處理。然而，污染土地後只被判處罰款數千元，是否真的具有阻嚇力呢？為解決懲處不嚴的問題，民建聯希望政府能考慮設立最低罰款水平或定額罰款制度，以收阻嚇作用。</w:t>
      </w:r>
    </w:p>
    <w:p>
      <w:pPr>
        <w:pStyle w:val="F21"/>
        <w:spacing w:lineRule="atLeast" w:line="370"/>
        <w:rPr>
          <w:szCs w:val="27"/>
        </w:rPr>
      </w:pPr>
      <w:r>
        <w:rPr>
          <w:szCs w:val="27"/>
        </w:rPr>
      </w:r>
    </w:p>
    <w:p>
      <w:pPr>
        <w:pStyle w:val="F21"/>
        <w:spacing w:lineRule="atLeast" w:line="370"/>
        <w:rPr>
          <w:szCs w:val="27"/>
        </w:rPr>
      </w:pPr>
      <w:r>
        <w:rPr>
          <w:szCs w:val="27"/>
        </w:rPr>
        <w:tab/>
      </w:r>
      <w:r>
        <w:rPr>
          <w:szCs w:val="27"/>
        </w:rPr>
        <w:t>目前，雖然民建聯支持條例草案，但仍希望政府注意條例草案中束手無“法”、“疏於執法”及“懲處不嚴”的</w:t>
      </w:r>
      <w:r>
        <w:rPr>
          <w:szCs w:val="27"/>
        </w:rPr>
        <w:t>3</w:t>
      </w:r>
      <w:r>
        <w:rPr>
          <w:szCs w:val="27"/>
        </w:rPr>
        <w:t>個問題，繼續跟進和檢討。</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代理主席，我謹此陳辭。</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李卓人議員</w:t>
      </w:r>
      <w:r>
        <w:rPr>
          <w:szCs w:val="27"/>
        </w:rPr>
        <w:t>：代理主席，我發言支持《</w:t>
      </w:r>
      <w:r>
        <w:rPr>
          <w:szCs w:val="27"/>
        </w:rPr>
        <w:t>2013</w:t>
      </w:r>
      <w:r>
        <w:rPr>
          <w:szCs w:val="27"/>
        </w:rPr>
        <w:t>年廢物處置</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 xml:space="preserve">，因為這項法例 </w:t>
      </w:r>
      <w:r>
        <w:rPr>
          <w:rFonts w:ascii="Symbol" w:hAnsi="Symbol" w:cs="Symbol" w:eastAsia="Symbol"/>
          <w:szCs w:val="27"/>
        </w:rPr>
        <w:t></w:t>
      </w:r>
      <w:r>
        <w:rPr>
          <w:szCs w:val="27"/>
        </w:rPr>
        <w:t xml:space="preserve"> 局長，你可能不知道 </w:t>
      </w:r>
      <w:r>
        <w:rPr>
          <w:rFonts w:ascii="Symbol" w:hAnsi="Symbol" w:cs="Symbol" w:eastAsia="Symbol"/>
          <w:szCs w:val="27"/>
        </w:rPr>
        <w:t></w:t>
      </w:r>
      <w:r>
        <w:rPr>
          <w:szCs w:val="27"/>
        </w:rPr>
        <w:t xml:space="preserve"> 是用血和淚換回來的。我稍後會解釋血從哪裏來。淚，肯定是有的，而血亦是有的。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就這次法例修訂而言，條例草案的報告亦有提到，今次修例是由</w:t>
      </w:r>
      <w:r>
        <w:rPr>
          <w:szCs w:val="27"/>
        </w:rPr>
        <w:t>2009</w:t>
      </w:r>
      <w:r>
        <w:rPr>
          <w:szCs w:val="27"/>
        </w:rPr>
        <w:t xml:space="preserve">年上水河上鄉發生一宗非法傾倒泥頭的事件而引發的。當時我亦有參與處理該宗個案。由於當事人是我們工會的會員，他的母親一直在那裏居住，而該處是一塊祖堂地 </w:t>
      </w:r>
      <w:r>
        <w:rPr>
          <w:rFonts w:ascii="Symbol" w:hAnsi="Symbol" w:cs="Symbol" w:eastAsia="Symbol"/>
          <w:szCs w:val="27"/>
        </w:rPr>
        <w:t></w:t>
      </w:r>
      <w:r>
        <w:rPr>
          <w:szCs w:val="27"/>
        </w:rPr>
        <w:t xml:space="preserve"> 而現時亦在處理逆權被侵佔的案件中，但這是另一個法律問題 </w:t>
      </w:r>
      <w:r>
        <w:rPr>
          <w:rFonts w:ascii="Symbol" w:hAnsi="Symbol" w:cs="Symbol" w:eastAsia="Symbol"/>
          <w:szCs w:val="27"/>
        </w:rPr>
        <w:t></w:t>
      </w:r>
      <w:r>
        <w:rPr>
          <w:szCs w:val="27"/>
        </w:rPr>
        <w:t xml:space="preserve"> 她在那裏種菜多年，一天早上起來看到整塊菜田被人傾倒泥頭。當然，被傾倒泥頭的範圍不單是她的菜田，還包括周圍的土地。大家試想想，整塊被傾倒泥頭的土地達</w:t>
      </w:r>
      <w:r>
        <w:rPr>
          <w:szCs w:val="27"/>
        </w:rPr>
        <w:t>1 000</w:t>
      </w:r>
      <w:r>
        <w:rPr>
          <w:szCs w:val="27"/>
        </w:rPr>
        <w:t>平方米，範圍是非常大的。</w:t>
      </w:r>
    </w:p>
    <w:p>
      <w:pPr>
        <w:pStyle w:val="F21"/>
        <w:rPr>
          <w:szCs w:val="27"/>
        </w:rPr>
      </w:pPr>
      <w:r>
        <w:rPr>
          <w:szCs w:val="27"/>
        </w:rPr>
      </w:r>
    </w:p>
    <w:p>
      <w:pPr>
        <w:pStyle w:val="F21"/>
        <w:rPr>
          <w:szCs w:val="27"/>
        </w:rPr>
      </w:pPr>
      <w:r>
        <w:rPr>
          <w:szCs w:val="27"/>
        </w:rPr>
        <w:tab/>
      </w:r>
      <w:r>
        <w:rPr>
          <w:szCs w:val="27"/>
        </w:rPr>
        <w:t xml:space="preserve">當我到達那裏時，令我感到憤怒及最不滿的是 </w:t>
      </w:r>
      <w:r>
        <w:rPr>
          <w:rFonts w:ascii="Symbol" w:hAnsi="Symbol" w:cs="Symbol" w:eastAsia="Symbol"/>
          <w:szCs w:val="27"/>
        </w:rPr>
        <w:t></w:t>
      </w:r>
      <w:r>
        <w:rPr>
          <w:szCs w:val="27"/>
        </w:rPr>
        <w:t xml:space="preserve"> 當然是當事人的兒子召喚了警察、環境保護署</w:t>
      </w:r>
      <w:r>
        <w:rPr>
          <w:szCs w:val="27"/>
        </w:rPr>
        <w:t>(“</w:t>
      </w:r>
      <w:r>
        <w:rPr>
          <w:szCs w:val="27"/>
        </w:rPr>
        <w:t>環保署”</w:t>
      </w:r>
      <w:r>
        <w:rPr>
          <w:szCs w:val="27"/>
        </w:rPr>
        <w:t>)</w:t>
      </w:r>
      <w:r>
        <w:rPr>
          <w:szCs w:val="27"/>
        </w:rPr>
        <w:t xml:space="preserve">及地政總署的人員到來 </w:t>
      </w:r>
      <w:r>
        <w:rPr>
          <w:rFonts w:ascii="Symbol" w:hAnsi="Symbol" w:cs="Symbol" w:eastAsia="Symbol"/>
          <w:szCs w:val="27"/>
        </w:rPr>
        <w:t></w:t>
      </w:r>
      <w:r>
        <w:rPr>
          <w:szCs w:val="27"/>
        </w:rPr>
        <w:t xml:space="preserve"> 其後全部人在觀察後卻表示不可以做任何事。為何不可以做任何事呢？原來便是現時這項法案要堵塞的漏洞。原來按照當時的法例，未得到該土地擁有人同意，是不可以傾倒泥頭的。然而，他們卻表示不能執法，因為不知道土地擁有人是誰，更不知道土地擁有人是否同意，所以他們不能執法，只能眼巴巴看着泥頭車一直在傾倒泥頭；最多只能抄下車牌，然後看着某人在指揮工人傾倒泥頭，事件擾攘了數天。</w:t>
      </w:r>
    </w:p>
    <w:p>
      <w:pPr>
        <w:pStyle w:val="F21"/>
        <w:rPr>
          <w:szCs w:val="27"/>
        </w:rPr>
      </w:pPr>
      <w:r>
        <w:rPr>
          <w:szCs w:val="27"/>
        </w:rPr>
      </w:r>
    </w:p>
    <w:p>
      <w:pPr>
        <w:pStyle w:val="F21"/>
        <w:rPr>
          <w:szCs w:val="27"/>
        </w:rPr>
      </w:pPr>
      <w:r>
        <w:rPr>
          <w:szCs w:val="27"/>
        </w:rPr>
        <w:tab/>
      </w:r>
      <w:r>
        <w:rPr>
          <w:szCs w:val="27"/>
        </w:rPr>
        <w:t xml:space="preserve">其實，事件當中還有其他荒謬的事情，那便是除了傾倒泥土的問題外，發展局也須對事件負上很大責任，規劃署亦有很大責任。那裏建有一個涼亭，竟然有人在官地上建了一個涼亭，可以這樣作惡。但是，沒有辦法，涼亭已經興建了 </w:t>
      </w:r>
      <w:r>
        <w:rPr>
          <w:rFonts w:ascii="Symbol" w:hAnsi="Symbol" w:cs="Symbol" w:eastAsia="Symbol"/>
          <w:szCs w:val="27"/>
        </w:rPr>
        <w:t></w:t>
      </w:r>
      <w:r>
        <w:rPr>
          <w:szCs w:val="27"/>
        </w:rPr>
        <w:t xml:space="preserve"> 在官地上興建了，違規發展亦已做了，卻沒有人執法。所以，整個問題始終是常見的“先破壞，後發展”，而為何他要這樣做，在那裏傾倒泥土呢？根本是有人想在該處興建丁屋，所以預先傾倒泥土。所以，整件事本身來說，大家看到的法律漏洞是多麼令人憤慨。原來看着有人違法，卻沒有人能做事，警察不能、環保署不能、地政總署不能、規劃署等全部都沒有人可處理，所以真的令受害人非常不滿。</w:t>
      </w:r>
    </w:p>
    <w:p>
      <w:pPr>
        <w:pStyle w:val="F21"/>
        <w:rPr>
          <w:szCs w:val="27"/>
        </w:rPr>
      </w:pPr>
      <w:r>
        <w:rPr>
          <w:szCs w:val="27"/>
        </w:rPr>
      </w:r>
    </w:p>
    <w:p>
      <w:pPr>
        <w:pStyle w:val="F21"/>
        <w:rPr>
          <w:szCs w:val="27"/>
        </w:rPr>
      </w:pPr>
      <w:r>
        <w:rPr>
          <w:szCs w:val="27"/>
        </w:rPr>
        <w:tab/>
      </w:r>
      <w:r>
        <w:rPr>
          <w:szCs w:val="27"/>
        </w:rPr>
        <w:t>為何我說是用血換回來呢？事實上，後來發生了一件事，大家不知道，投訴人的兒子後來被人砍了他的手，幸而最後能治癒，但真是嚴重的受傷。事後，他堅持追究到底。但是，堅持追究到底是否有用？老實說，沒有用，因為後來在那裏指揮卸泥的人被拘捕，最後亦被檢控。但是，誰是幕後指使的人，至今天大家雖然心中有數，但最後卻沒有將他繩之於法。但是，他已成功地破壞整片土地。這便是整件事的過程和背景。</w:t>
      </w:r>
    </w:p>
    <w:p>
      <w:pPr>
        <w:pStyle w:val="F21"/>
        <w:rPr>
          <w:szCs w:val="27"/>
        </w:rPr>
      </w:pPr>
      <w:r>
        <w:rPr>
          <w:szCs w:val="27"/>
        </w:rPr>
      </w:r>
    </w:p>
    <w:p>
      <w:pPr>
        <w:pStyle w:val="F21"/>
        <w:rPr>
          <w:szCs w:val="27"/>
        </w:rPr>
      </w:pPr>
      <w:r>
        <w:rPr>
          <w:szCs w:val="27"/>
        </w:rPr>
        <w:tab/>
      </w:r>
      <w:r>
        <w:rPr>
          <w:szCs w:val="27"/>
        </w:rPr>
        <w:t>此外，還有一些更荒謬的事情，就是原來那些土地擁有人，無緣無故被人傾倒泥頭後，根據法例，因為他是業主／地主，所以被警告要恢復原狀，否則便是犯法。從業主的角度來看，無緣無故被人傾倒泥頭，報警不獲受理，然後更被控告，要將土地恢復原狀。但是，法例便是如此荒謬。我希望接下來不會再有事情發生，因為現時的法例真是用血和淚換回來。現時作出的法例修訂是，規定在任何傾倒泥頭之前，一定要事先申請，清楚說明已經申請，並獲得許可，而業主亦已同意方可進行。如果沒有許可及業主的同意，便不能傾倒泥頭。以前並非這樣，總之在傾倒泥頭後，是無法作出檢控的。我們希望以後可以提出檢控，要清清楚楚，一定要事先申請，獲得許可，才可以傾倒泥頭。</w:t>
      </w:r>
    </w:p>
    <w:p>
      <w:pPr>
        <w:pStyle w:val="F21"/>
        <w:rPr>
          <w:szCs w:val="27"/>
        </w:rPr>
      </w:pPr>
      <w:r>
        <w:rPr>
          <w:szCs w:val="27"/>
        </w:rPr>
      </w:r>
    </w:p>
    <w:p>
      <w:pPr>
        <w:pStyle w:val="F21"/>
        <w:rPr>
          <w:szCs w:val="27"/>
        </w:rPr>
      </w:pPr>
      <w:r>
        <w:rPr>
          <w:szCs w:val="27"/>
        </w:rPr>
        <w:tab/>
      </w:r>
      <w:r>
        <w:rPr>
          <w:szCs w:val="27"/>
        </w:rPr>
        <w:t>但是，就今次提出的法例修訂，我擔心的問題亦是執法問題，屆時執法的情況會怎樣？能否拘捕那些人？因為現時有這個市場存在，如果泥頭運往堆填區，每公噸收費</w:t>
      </w:r>
      <w:r>
        <w:rPr>
          <w:szCs w:val="27"/>
        </w:rPr>
        <w:t>125</w:t>
      </w:r>
      <w:r>
        <w:rPr>
          <w:szCs w:val="27"/>
        </w:rPr>
        <w:t>元；如果在其他地方傾倒，收費多少，我不知道。這些是有關人士之間的勾結，但畢竟真的是有市場，只要讓他傾倒廢物，便可以賺錢，也無須付錢給堆填區。會否有些人為了避免支付每公噸</w:t>
      </w:r>
      <w:r>
        <w:rPr>
          <w:szCs w:val="27"/>
        </w:rPr>
        <w:t>125</w:t>
      </w:r>
      <w:r>
        <w:rPr>
          <w:szCs w:val="27"/>
        </w:rPr>
        <w:t>元的收費，而指使泥頭車司機非法傾倒泥頭到其他地方呢？背後指使的人永遠沒有事，不論發生甚麼事情，須負責或被檢控的永遠是泥頭車的司機。</w:t>
      </w:r>
    </w:p>
    <w:p>
      <w:pPr>
        <w:pStyle w:val="F21"/>
        <w:rPr>
          <w:szCs w:val="27"/>
        </w:rPr>
      </w:pPr>
      <w:r>
        <w:rPr>
          <w:szCs w:val="27"/>
        </w:rPr>
      </w:r>
    </w:p>
    <w:p>
      <w:pPr>
        <w:pStyle w:val="F21"/>
        <w:rPr>
          <w:szCs w:val="27"/>
        </w:rPr>
      </w:pPr>
      <w:r>
        <w:rPr>
          <w:szCs w:val="27"/>
        </w:rPr>
        <w:tab/>
      </w:r>
      <w:r>
        <w:rPr>
          <w:szCs w:val="27"/>
        </w:rPr>
        <w:t>所以，我們認為整個問題是一定要把指使者追究到底，而不只是控告表面的司機，因為單是控告司機沒有意思，背後還有指使者。究竟以後如何執法呢？我們真的不清楚未來情況為何，因為我們擔心的情況是，市民不懂得致電環保署，最後又只是報警，警察來到後卻由於他們並非執法單位，因此要找環保署人員前來，會否在環保署人員來到的時候，已經完成所有的非法傾倒，環保署人員來到甚麼也看不到，只看到一堆泥？我們最擔心的便是這一點。所以，我希望環保署應該和警方說，在警方到達現場後，即使他們不是執法單位，但也有責任幫忙，正如當他們看到罪案發生時，也要制止、喝停對方，要求對方提供證件資料，如果沒有批准證件便不能繼續堆泥。我不知道屆時的確實情況，但我感到擔心，希望局長稍後可以告訴我們，有否跟警務處處長討論過，將來執行有關法例時，會否變成最先到場的人員無能為力，而其後到達的人卻是賊過興兵，沒有意思呢？這是我們很希望當局能夠關注的。</w:t>
      </w:r>
    </w:p>
    <w:p>
      <w:pPr>
        <w:pStyle w:val="F21"/>
        <w:rPr>
          <w:szCs w:val="27"/>
        </w:rPr>
      </w:pPr>
      <w:r>
        <w:rPr>
          <w:szCs w:val="27"/>
        </w:rPr>
      </w:r>
    </w:p>
    <w:p>
      <w:pPr>
        <w:pStyle w:val="F21"/>
        <w:rPr>
          <w:szCs w:val="27"/>
        </w:rPr>
      </w:pPr>
      <w:r>
        <w:rPr>
          <w:szCs w:val="27"/>
        </w:rPr>
        <w:tab/>
      </w:r>
      <w:r>
        <w:rPr>
          <w:szCs w:val="27"/>
        </w:rPr>
        <w:t>另一個問題，就是我希望法庭方面能夠聽到我們立法會的聲音，沒理由作出這麼輕的懲處，</w:t>
      </w:r>
      <w:r>
        <w:rPr>
          <w:szCs w:val="27"/>
        </w:rPr>
        <w:t>2013</w:t>
      </w:r>
      <w:r>
        <w:rPr>
          <w:szCs w:val="27"/>
        </w:rPr>
        <w:t>年的罰款是由</w:t>
      </w:r>
      <w:r>
        <w:rPr>
          <w:szCs w:val="27"/>
        </w:rPr>
        <w:t>1,500</w:t>
      </w:r>
      <w:r>
        <w:rPr>
          <w:szCs w:val="27"/>
        </w:rPr>
        <w:t>元至</w:t>
      </w:r>
      <w:r>
        <w:rPr>
          <w:szCs w:val="27"/>
        </w:rPr>
        <w:t>2</w:t>
      </w:r>
      <w:r>
        <w:rPr>
          <w:szCs w:val="27"/>
        </w:rPr>
        <w:t>萬元不等，平均是</w:t>
      </w:r>
      <w:r>
        <w:rPr>
          <w:szCs w:val="27"/>
        </w:rPr>
        <w:t>8,611</w:t>
      </w:r>
      <w:r>
        <w:rPr>
          <w:szCs w:val="27"/>
        </w:rPr>
        <w:t>元；</w:t>
      </w:r>
      <w:r>
        <w:rPr>
          <w:szCs w:val="27"/>
        </w:rPr>
        <w:t>2010</w:t>
      </w:r>
      <w:r>
        <w:rPr>
          <w:szCs w:val="27"/>
        </w:rPr>
        <w:t>年時是</w:t>
      </w:r>
      <w:r>
        <w:rPr>
          <w:szCs w:val="27"/>
        </w:rPr>
        <w:t>500</w:t>
      </w:r>
      <w:r>
        <w:rPr>
          <w:szCs w:val="27"/>
        </w:rPr>
        <w:t>元至</w:t>
      </w:r>
      <w:r>
        <w:rPr>
          <w:szCs w:val="27"/>
        </w:rPr>
        <w:t>6,000</w:t>
      </w:r>
      <w:r>
        <w:rPr>
          <w:szCs w:val="27"/>
        </w:rPr>
        <w:t>元，平均只有</w:t>
      </w:r>
      <w:r>
        <w:rPr>
          <w:szCs w:val="27"/>
        </w:rPr>
        <w:t>2,631</w:t>
      </w:r>
      <w:r>
        <w:rPr>
          <w:szCs w:val="27"/>
        </w:rPr>
        <w:t>元。所處罰款平均只得</w:t>
      </w:r>
      <w:r>
        <w:rPr>
          <w:szCs w:val="27"/>
        </w:rPr>
        <w:t>2,000</w:t>
      </w:r>
      <w:r>
        <w:rPr>
          <w:szCs w:val="27"/>
        </w:rPr>
        <w:t>多元、</w:t>
      </w:r>
      <w:r>
        <w:rPr>
          <w:szCs w:val="27"/>
        </w:rPr>
        <w:t>8,000</w:t>
      </w:r>
      <w:r>
        <w:rPr>
          <w:szCs w:val="27"/>
        </w:rPr>
        <w:t>多元而已。首先，要檢控犯事者並不容易，即使成功檢控他們，懲罰卻只有這麼輕，根本沒有阻嚇力，所以，我們十分希望訂明最低罰款。本來我們跟局長討論法例時，說過應該設定最低罰則，那樣便清清楚楚，現在設定最高罰款</w:t>
      </w:r>
      <w:r>
        <w:rPr>
          <w:szCs w:val="27"/>
        </w:rPr>
        <w:t>20</w:t>
      </w:r>
      <w:r>
        <w:rPr>
          <w:szCs w:val="27"/>
        </w:rPr>
        <w:t>萬元是沒有意思的，平均罰款卻只是</w:t>
      </w:r>
      <w:r>
        <w:rPr>
          <w:szCs w:val="27"/>
        </w:rPr>
        <w:t>8,000</w:t>
      </w:r>
      <w:r>
        <w:rPr>
          <w:szCs w:val="27"/>
        </w:rPr>
        <w:t>多元，最高也只是</w:t>
      </w:r>
      <w:r>
        <w:rPr>
          <w:szCs w:val="27"/>
        </w:rPr>
        <w:t>2</w:t>
      </w:r>
      <w:r>
        <w:rPr>
          <w:szCs w:val="27"/>
        </w:rPr>
        <w:t>萬元，</w:t>
      </w:r>
      <w:r>
        <w:rPr>
          <w:szCs w:val="27"/>
        </w:rPr>
        <w:t>2</w:t>
      </w:r>
      <w:r>
        <w:rPr>
          <w:szCs w:val="27"/>
        </w:rPr>
        <w:t>萬元連一成也不夠，倒不如設定最低罰款罷了。不過，當然律政司又會說香港很少訂明最低罰款，如果經我們十分強烈的要求，當局最後仍然說不能訂定最低罰款，理由是香港不是這樣立法的，除非是就每宗個案都提出上訴，我希望今天的會議紀錄可提交予法庭，讓法官知道，這些情況是不能縱容的，一定要予以重罰，因為香港已經有太多</w:t>
      </w:r>
      <w:r>
        <w:rPr/>
        <w:t>“</w:t>
      </w:r>
      <w:r>
        <w:rPr>
          <w:szCs w:val="27"/>
        </w:rPr>
        <w:t>先破壞、後發展</w:t>
      </w:r>
      <w:r>
        <w:rPr>
          <w:rFonts w:cs="Times New Roman"/>
          <w:szCs w:val="27"/>
        </w:rPr>
        <w:t>”</w:t>
      </w:r>
      <w:r>
        <w:rPr>
          <w:szCs w:val="27"/>
        </w:rPr>
        <w:t>的事件出現。所以，我希望可以清楚表達工黨就這方面的態度。</w:t>
      </w:r>
    </w:p>
    <w:p>
      <w:pPr>
        <w:pStyle w:val="F21"/>
        <w:rPr>
          <w:szCs w:val="27"/>
        </w:rPr>
      </w:pPr>
      <w:r>
        <w:rPr>
          <w:szCs w:val="27"/>
        </w:rPr>
      </w:r>
    </w:p>
    <w:p>
      <w:pPr>
        <w:pStyle w:val="F21"/>
        <w:rPr>
          <w:szCs w:val="27"/>
        </w:rPr>
      </w:pPr>
      <w:r>
        <w:rPr>
          <w:szCs w:val="27"/>
        </w:rPr>
        <w:tab/>
      </w:r>
      <w:r>
        <w:rPr>
          <w:szCs w:val="27"/>
        </w:rPr>
        <w:t>最後，何秀蘭</w:t>
      </w:r>
      <w:r>
        <w:rPr>
          <w:rFonts w:ascii="華康細明體" w:hAnsi="華康細明體"/>
          <w:szCs w:val="27"/>
        </w:rPr>
        <w:t>議員</w:t>
      </w:r>
      <w:r>
        <w:rPr>
          <w:szCs w:val="27"/>
        </w:rPr>
        <w:t>剛才也提及，泥頭車司機的工會、協會方面希望落實安裝</w:t>
      </w:r>
      <w:r>
        <w:rPr>
          <w:szCs w:val="27"/>
        </w:rPr>
        <w:t>GPS</w:t>
      </w:r>
      <w:r>
        <w:rPr>
          <w:szCs w:val="27"/>
        </w:rPr>
        <w:t>系統。為何他們要設定</w:t>
      </w:r>
      <w:r>
        <w:rPr>
          <w:szCs w:val="27"/>
        </w:rPr>
        <w:t>GPS</w:t>
      </w:r>
      <w:r>
        <w:rPr>
          <w:szCs w:val="27"/>
        </w:rPr>
        <w:t>系統，記錄所有定位呢？他們最希望的便是大家可以追究指使者，從而清楚知道他們的車輛曾到過哪裏，全部也有證據，將來便可以有紀錄，清楚顯示誰人指使他們到那裏，以及車輛曾經到那裏。我想這樣搜證方面肯定會增強，而且也希望所搜獲的證據能夠阻嚇業界，讓他們知道不應該為了得到聘用，而做出違法事情，並希望讓大家知道，最後其實是會出現問題的，同時亦希望他們屆時能夠供出指使者，因為法例清楚訂明，指使者是要負上責任，是有罪的。所以，我們希望政府多檢控指使者，而不僅是捕捉“蒼蠅”；“老虎”也要打，只打“蒼蠅”是沒有意思的。多謝代理主席。</w:t>
      </w:r>
    </w:p>
    <w:p>
      <w:pPr>
        <w:pStyle w:val="F21"/>
        <w:rPr>
          <w:rFonts w:cs="Times New Roman"/>
        </w:rPr>
      </w:pPr>
      <w:r>
        <w:rPr>
          <w:rFonts w:cs="Times New Roman"/>
        </w:rPr>
      </w:r>
    </w:p>
    <w:p>
      <w:pPr>
        <w:pStyle w:val="F21"/>
        <w:rPr>
          <w:rFonts w:cs="Times New Roman"/>
        </w:rPr>
      </w:pPr>
      <w:r>
        <w:rPr>
          <w:rFonts w:cs="Times New Roman"/>
        </w:rPr>
      </w:r>
    </w:p>
    <w:p>
      <w:pPr>
        <w:pStyle w:val="F21"/>
        <w:spacing w:lineRule="atLeast" w:line="370"/>
        <w:rPr>
          <w:szCs w:val="27"/>
        </w:rPr>
      </w:pPr>
      <w:r>
        <w:rPr>
          <w:rFonts w:eastAsia="華康中黑體"/>
          <w:b/>
          <w:szCs w:val="27"/>
        </w:rPr>
        <w:t>鍾國斌議員</w:t>
      </w:r>
      <w:r>
        <w:rPr>
          <w:szCs w:val="27"/>
        </w:rPr>
        <w:t>：近年不少投訴均指在私人土地上非法棄置建築廢料的問題十分嚴重，非法棄置建築廢料的問題現時不只在新界區發生，也可見於市區的大街小巷。大家剛才已討論這個問題的嚴重性，所以，自由黨支持《</w:t>
      </w:r>
      <w:r>
        <w:rPr>
          <w:szCs w:val="27"/>
        </w:rPr>
        <w:t>2013</w:t>
      </w:r>
      <w:r>
        <w:rPr>
          <w:szCs w:val="27"/>
        </w:rPr>
        <w:t>年廢物處置</w:t>
      </w:r>
      <w:r>
        <w:rPr>
          <w:szCs w:val="27"/>
        </w:rPr>
        <w:t>(</w:t>
      </w:r>
      <w:r>
        <w:rPr>
          <w:szCs w:val="27"/>
        </w:rPr>
        <w:t>修訂</w:t>
      </w:r>
      <w:r>
        <w:rPr>
          <w:szCs w:val="27"/>
        </w:rPr>
        <w:t>)</w:t>
      </w:r>
      <w:r>
        <w:rPr>
          <w:szCs w:val="27"/>
        </w:rPr>
        <w:t>條例草案》</w:t>
      </w:r>
      <w:r>
        <w:rPr>
          <w:szCs w:val="27"/>
        </w:rPr>
        <w:t>(“</w:t>
      </w:r>
      <w:r>
        <w:rPr>
          <w:szCs w:val="27"/>
        </w:rPr>
        <w:t>條例草案”</w:t>
      </w:r>
      <w:r>
        <w:rPr>
          <w:szCs w:val="27"/>
        </w:rPr>
        <w:t>)</w:t>
      </w:r>
      <w:r>
        <w:rPr>
          <w:szCs w:val="27"/>
        </w:rPr>
        <w:t>。</w:t>
      </w:r>
    </w:p>
    <w:p>
      <w:pPr>
        <w:pStyle w:val="F21"/>
        <w:spacing w:lineRule="atLeast" w:line="370"/>
        <w:rPr>
          <w:szCs w:val="27"/>
        </w:rPr>
      </w:pPr>
      <w:r>
        <w:rPr>
          <w:szCs w:val="27"/>
        </w:rPr>
      </w:r>
    </w:p>
    <w:p>
      <w:pPr>
        <w:pStyle w:val="F21"/>
        <w:spacing w:lineRule="atLeast" w:line="370"/>
        <w:rPr>
          <w:szCs w:val="27"/>
        </w:rPr>
      </w:pPr>
      <w:r>
        <w:rPr>
          <w:szCs w:val="27"/>
        </w:rPr>
        <w:tab/>
      </w:r>
      <w:r>
        <w:rPr>
          <w:szCs w:val="27"/>
        </w:rPr>
        <w:t>政府這次修例的目的是加強規管在私人土地上擺放建築廢料，改善現有法例下因舉證困難而令當局未能有效執法的問題，從而加強阻嚇在私人土地上非法棄置建築廢料，保障土地擁有人的權益，以及保護環境。不過，我認為問題的根本解決方法不應單靠加強執法或增加罰則，我們認為應該從源頭減廢着手。</w:t>
      </w:r>
    </w:p>
    <w:p>
      <w:pPr>
        <w:pStyle w:val="F21"/>
        <w:spacing w:lineRule="atLeast" w:line="370"/>
        <w:rPr>
          <w:szCs w:val="27"/>
        </w:rPr>
      </w:pPr>
      <w:r>
        <w:rPr>
          <w:szCs w:val="27"/>
        </w:rPr>
      </w:r>
    </w:p>
    <w:p>
      <w:pPr>
        <w:pStyle w:val="F21"/>
        <w:spacing w:lineRule="atLeast" w:line="370"/>
        <w:rPr>
          <w:szCs w:val="27"/>
        </w:rPr>
      </w:pPr>
      <w:r>
        <w:rPr>
          <w:szCs w:val="27"/>
        </w:rPr>
        <w:tab/>
      </w:r>
      <w:r>
        <w:rPr>
          <w:szCs w:val="27"/>
        </w:rPr>
        <w:t>本港堆填區每天需要處理近</w:t>
      </w:r>
      <w:r>
        <w:rPr>
          <w:szCs w:val="27"/>
        </w:rPr>
        <w:t>13 000</w:t>
      </w:r>
      <w:r>
        <w:rPr>
          <w:szCs w:val="27"/>
        </w:rPr>
        <w:t>公噸廢物，當局自從在</w:t>
      </w:r>
      <w:r>
        <w:rPr>
          <w:szCs w:val="27"/>
        </w:rPr>
        <w:t>2006</w:t>
      </w:r>
      <w:r>
        <w:rPr>
          <w:szCs w:val="27"/>
        </w:rPr>
        <w:t>年實施建築廢料按量收費計劃以來，建築廢料的數量已大幅減少，但目前每天仍棄置近</w:t>
      </w:r>
      <w:r>
        <w:rPr>
          <w:szCs w:val="27"/>
        </w:rPr>
        <w:t>3 500</w:t>
      </w:r>
      <w:r>
        <w:rPr>
          <w:szCs w:val="27"/>
        </w:rPr>
        <w:t>公噸建築廢料，差不多佔堆填區整體廢物量的兩成半。</w:t>
      </w:r>
    </w:p>
    <w:p>
      <w:pPr>
        <w:pStyle w:val="F21"/>
        <w:spacing w:lineRule="atLeast" w:line="370"/>
        <w:rPr>
          <w:szCs w:val="27"/>
        </w:rPr>
      </w:pPr>
      <w:r>
        <w:rPr>
          <w:szCs w:val="27"/>
        </w:rPr>
      </w:r>
    </w:p>
    <w:p>
      <w:pPr>
        <w:pStyle w:val="F21"/>
        <w:spacing w:lineRule="atLeast" w:line="370"/>
        <w:rPr>
          <w:szCs w:val="27"/>
        </w:rPr>
      </w:pPr>
      <w:r>
        <w:rPr>
          <w:szCs w:val="27"/>
        </w:rPr>
        <w:tab/>
      </w:r>
      <w:r>
        <w:rPr>
          <w:szCs w:val="27"/>
        </w:rPr>
        <w:t>由於欠缺可供棄置建築廢料的地方，故自然會引致非法棄置、隨處傾倒廢料的嚴重問題。除了加強執法外，我認為政府應該加強推動源頭減廢，與建築商商討，並鼓勵他們減少建築廢料。同時，可以雙管齊下，支持發展回收業，鼓勵研究將建築廢料回收再用。</w:t>
      </w:r>
    </w:p>
    <w:p>
      <w:pPr>
        <w:pStyle w:val="F21"/>
        <w:spacing w:lineRule="atLeast" w:line="370"/>
        <w:rPr>
          <w:szCs w:val="27"/>
        </w:rPr>
      </w:pPr>
      <w:r>
        <w:rPr>
          <w:szCs w:val="27"/>
        </w:rPr>
      </w:r>
    </w:p>
    <w:p>
      <w:pPr>
        <w:pStyle w:val="F21"/>
        <w:spacing w:lineRule="atLeast" w:line="370"/>
        <w:rPr>
          <w:szCs w:val="27"/>
        </w:rPr>
      </w:pPr>
      <w:r>
        <w:rPr>
          <w:szCs w:val="27"/>
        </w:rPr>
        <w:tab/>
      </w:r>
      <w:r>
        <w:rPr>
          <w:szCs w:val="27"/>
        </w:rPr>
        <w:t>政府只採取檢控、加強罰則等方法，始終無法解決問題。外國其實有不少例子將建築業界棄置的建材循環再用，當局在研究增加建築廢料按量收費的同時，應該增加經濟誘因，令回收行業得以發展，包括協助及鼓勵業界發展循環再用的技術，才是有效解決建築廢料棄置的方法。</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自由黨認為政府當局關注都市固體廢物處理是一件好事。香港過往對處理都市固體廢物的態度是以懲罰性為主，近日可持續發展委員會就都市固體廢物進行諮詢，但仍是以徵費作為處理問題的軸心。然而，單靠徵費或罰款，實際上並不能有效減廢。要有效解決本港的廢物處理問題，必須從減廢、回收和循環再用這</w:t>
      </w:r>
      <w:r>
        <w:rPr>
          <w:szCs w:val="27"/>
        </w:rPr>
        <w:t>3</w:t>
      </w:r>
      <w:r>
        <w:rPr>
          <w:szCs w:val="27"/>
        </w:rPr>
        <w:t>方面對症下藥。</w:t>
      </w:r>
    </w:p>
    <w:p>
      <w:pPr>
        <w:pStyle w:val="F21"/>
        <w:spacing w:lineRule="atLeast" w:line="370"/>
        <w:rPr>
          <w:szCs w:val="27"/>
        </w:rPr>
      </w:pPr>
      <w:r>
        <w:rPr>
          <w:szCs w:val="27"/>
        </w:rPr>
      </w:r>
    </w:p>
    <w:p>
      <w:pPr>
        <w:pStyle w:val="F21"/>
        <w:spacing w:lineRule="atLeast" w:line="370"/>
        <w:rPr>
          <w:szCs w:val="27"/>
        </w:rPr>
      </w:pPr>
      <w:r>
        <w:rPr>
          <w:szCs w:val="27"/>
        </w:rPr>
        <w:tab/>
      </w:r>
      <w:r>
        <w:rPr>
          <w:szCs w:val="27"/>
        </w:rPr>
        <w:t>香港的回收再用工作一直未有做好，回收行業往往集中收集回收價值較高的物料，例如廢紙、金屬、膠樽等產品，而非所有廢物均被回收再造。至於海外早已實行的玻璃及廚餘回收，以及有機資源回收中心，仍停留在起步階段，而政府現有的推展政策，包括推廣廢物源頭分類及發展環保園等仍然支援不足。因此，香港必須借鏡鄰國在減廢、回收及再用的寶貴經驗，才能解決最終的根本問題。</w:t>
      </w:r>
    </w:p>
    <w:p>
      <w:pPr>
        <w:pStyle w:val="F21"/>
        <w:spacing w:lineRule="atLeast" w:line="370"/>
        <w:rPr>
          <w:szCs w:val="27"/>
        </w:rPr>
      </w:pPr>
      <w:r>
        <w:rPr>
          <w:szCs w:val="27"/>
        </w:rPr>
      </w:r>
    </w:p>
    <w:p>
      <w:pPr>
        <w:pStyle w:val="F21"/>
        <w:spacing w:lineRule="atLeast" w:line="370"/>
        <w:rPr>
          <w:szCs w:val="27"/>
        </w:rPr>
      </w:pPr>
      <w:r>
        <w:rPr>
          <w:szCs w:val="27"/>
        </w:rPr>
        <w:tab/>
      </w:r>
      <w:r>
        <w:rPr>
          <w:szCs w:val="27"/>
        </w:rPr>
        <w:t>代理主席，自由黨支持通過條例草案及修正案。我謹此陳辭。</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80"/>
        <w:rPr>
          <w:szCs w:val="27"/>
        </w:rPr>
      </w:pPr>
      <w:r>
        <w:rPr>
          <w:rFonts w:ascii="華康中黑體" w:hAnsi="華康中黑體" w:cs="華康中黑體" w:eastAsia="華康中黑體"/>
          <w:b/>
          <w:szCs w:val="27"/>
        </w:rPr>
        <w:t>陳家洛議員</w:t>
      </w:r>
      <w:r>
        <w:rPr>
          <w:szCs w:val="27"/>
        </w:rPr>
        <w:t>：代理主席，公民黨支持《</w:t>
      </w:r>
      <w:r>
        <w:rPr>
          <w:szCs w:val="27"/>
        </w:rPr>
        <w:t>2013</w:t>
      </w:r>
      <w:r>
        <w:rPr>
          <w:szCs w:val="27"/>
        </w:rPr>
        <w:t>年廢物處置</w:t>
      </w:r>
      <w:r>
        <w:rPr>
          <w:szCs w:val="27"/>
        </w:rPr>
        <w:t>(</w:t>
      </w:r>
      <w:r>
        <w:rPr>
          <w:szCs w:val="27"/>
        </w:rPr>
        <w:t>修訂</w:t>
      </w:r>
      <w:r>
        <w:rPr>
          <w:szCs w:val="27"/>
        </w:rPr>
        <w:t>)</w:t>
      </w:r>
      <w:r>
        <w:rPr>
          <w:szCs w:val="27"/>
        </w:rPr>
        <w:t>條例草案》，但關於這項條例草案，若我們以法論法，就法律本身而言，這當然是為了堵塞原本法例的不足之處，即第</w:t>
      </w:r>
      <w:r>
        <w:rPr>
          <w:szCs w:val="27"/>
        </w:rPr>
        <w:t>16A</w:t>
      </w:r>
      <w:r>
        <w:rPr>
          <w:szCs w:val="27"/>
        </w:rPr>
        <w:t>條。由於舉證的困難，很多時當搜集到證據時，可能已過了檢控時限，所以政府在這方面的法律操作上，提議作出一些修改，以改善情況，克服搜證時遇到的困難，特別是當牽涉非法傾倒建築廢料時，在有關情況下可如何取得私人土地業主的准許，以及向環境局局長申請許可，令有關工作得以進行。</w:t>
      </w:r>
    </w:p>
    <w:p>
      <w:pPr>
        <w:pStyle w:val="F21"/>
        <w:spacing w:lineRule="atLeast" w:line="380"/>
        <w:rPr>
          <w:szCs w:val="27"/>
        </w:rPr>
      </w:pPr>
      <w:r>
        <w:rPr>
          <w:szCs w:val="27"/>
        </w:rPr>
        <w:tab/>
      </w:r>
      <w:r>
        <w:rPr>
          <w:szCs w:val="27"/>
        </w:rPr>
        <w:t>所以，公民黨當然是支持這個大前提和方向的。事實上，如果所訂立的法例無法執行，亦無法保障受影響的良民百姓的利益，以致破壞環境，根本是毫無意義的。因此，我們希望這項修正案本身能真正進一步為一直以來受非法建築廢料棄置影響的居民，特別是新界地區的居民，提供多一重保障。</w:t>
      </w:r>
      <w:r>
        <w:br w:type="page"/>
      </w:r>
    </w:p>
    <w:p>
      <w:pPr>
        <w:pStyle w:val="F21"/>
        <w:spacing w:lineRule="atLeast" w:line="380"/>
        <w:rPr>
          <w:szCs w:val="27"/>
        </w:rPr>
      </w:pPr>
      <w:r>
        <w:rPr>
          <w:szCs w:val="27"/>
        </w:rPr>
      </w:r>
    </w:p>
    <w:p>
      <w:pPr>
        <w:pStyle w:val="F21"/>
        <w:spacing w:lineRule="atLeast" w:line="380"/>
        <w:rPr>
          <w:szCs w:val="27"/>
        </w:rPr>
      </w:pPr>
      <w:r>
        <w:rPr>
          <w:szCs w:val="27"/>
        </w:rPr>
        <w:tab/>
      </w:r>
      <w:r>
        <w:rPr>
          <w:szCs w:val="27"/>
        </w:rPr>
        <w:t>然而，當法案委員會在討論這個問題時，我們看到問題在於政府當局訂有一些豁免項目，例如剛才有議員提到在建築物內出現的棄置情況是可獲豁免的。事實上，居住在新界的居民或當我們往新界探訪親友時，可能也會看到一些已被棄置或類似被棄置的建築物內，已開始出現一些垃圾或廢料持續堆積的情況。如果法例清楚列明這項豁免，當然會令人覺得似乎有另一個漏洞是這次提出的修正案所無法處理的，或政府的想法是要視乎情況，待下一階段才作檢討。但問題在於政府現時的說法似乎是想叫我們放心，他們運用原本的第</w:t>
      </w:r>
      <w:r>
        <w:rPr>
          <w:szCs w:val="27"/>
        </w:rPr>
        <w:t>16A</w:t>
      </w:r>
      <w:r>
        <w:rPr>
          <w:szCs w:val="27"/>
        </w:rPr>
        <w:t>條已可處理有關問題，或有關問題已正在處理當中。不過，我只想指出，如果我們覺得目前在舉證及處理有關問題時已如此困難，將來在面對這些情況時，又是否真的能做得到呢？</w:t>
      </w:r>
    </w:p>
    <w:p>
      <w:pPr>
        <w:pStyle w:val="F21"/>
        <w:spacing w:lineRule="atLeast" w:line="380"/>
        <w:rPr>
          <w:szCs w:val="27"/>
        </w:rPr>
      </w:pPr>
      <w:r>
        <w:rPr>
          <w:szCs w:val="27"/>
        </w:rPr>
      </w:r>
    </w:p>
    <w:p>
      <w:pPr>
        <w:pStyle w:val="F21"/>
        <w:spacing w:lineRule="atLeast" w:line="380"/>
        <w:rPr>
          <w:szCs w:val="27"/>
        </w:rPr>
      </w:pPr>
      <w:r>
        <w:rPr>
          <w:szCs w:val="27"/>
        </w:rPr>
        <w:tab/>
      </w:r>
      <w:r>
        <w:rPr>
          <w:szCs w:val="27"/>
        </w:rPr>
        <w:t>另一個問題是，在任何地段擺放總面積不超過</w:t>
      </w:r>
      <w:r>
        <w:rPr>
          <w:szCs w:val="27"/>
        </w:rPr>
        <w:t>20</w:t>
      </w:r>
      <w:r>
        <w:rPr>
          <w:szCs w:val="27"/>
        </w:rPr>
        <w:t>平方米的建築廢物是可以獲得豁免的，新修訂的第</w:t>
      </w:r>
      <w:r>
        <w:rPr>
          <w:szCs w:val="27"/>
        </w:rPr>
        <w:t>16B</w:t>
      </w:r>
      <w:r>
        <w:rPr>
          <w:szCs w:val="27"/>
        </w:rPr>
        <w:t>條並不適用。究竟</w:t>
      </w:r>
      <w:r>
        <w:rPr>
          <w:szCs w:val="27"/>
        </w:rPr>
        <w:t>20</w:t>
      </w:r>
      <w:r>
        <w:rPr>
          <w:szCs w:val="27"/>
        </w:rPr>
        <w:t>平方米的面積是大還是小？這當然是見仁見智。政府或業界在法案委員會進行討論時，均認為這是一項合適的豁免，但我認為大家也要明白的一點是，這要視乎你的居住地點，例如一些居住在新界的朋友，他們租住或購買的物業可能是一幢丁屋或丁屋的其中一層，而其中一位業主可能準備將該物業旁邊的另一地段用作發展另一幢物業，但在該地段上已開始出現一些傾倒廢料的情況，範圍雖不算太大，不過問題在於，這已對環境造成破壞，亦對鄰近居民造成滋擾。</w:t>
      </w:r>
    </w:p>
    <w:p>
      <w:pPr>
        <w:pStyle w:val="F21"/>
        <w:spacing w:lineRule="atLeast" w:line="380"/>
        <w:rPr>
          <w:szCs w:val="27"/>
        </w:rPr>
      </w:pPr>
      <w:r>
        <w:rPr>
          <w:szCs w:val="27"/>
        </w:rPr>
      </w:r>
    </w:p>
    <w:p>
      <w:pPr>
        <w:pStyle w:val="F21"/>
        <w:spacing w:lineRule="atLeast" w:line="380"/>
        <w:rPr>
          <w:szCs w:val="27"/>
        </w:rPr>
      </w:pPr>
      <w:r>
        <w:rPr>
          <w:szCs w:val="27"/>
        </w:rPr>
        <w:tab/>
      </w:r>
      <w:r>
        <w:rPr>
          <w:szCs w:val="27"/>
        </w:rPr>
        <w:t>很多時，由於有關土地屬私人業權，在做法上其實是很困難的，現行的條例亦未必能幫到他們。代理主席，我們很擔心的一件事是所謂“道高一尺，魔高一丈”，我很多謝剛才李卓人議員重提</w:t>
      </w:r>
      <w:r>
        <w:rPr>
          <w:szCs w:val="27"/>
        </w:rPr>
        <w:t>2010</w:t>
      </w:r>
      <w:r>
        <w:rPr>
          <w:szCs w:val="27"/>
        </w:rPr>
        <w:t xml:space="preserve">年河上鄉的例子。事實上，面對這些不法分子 </w:t>
      </w:r>
      <w:r>
        <w:rPr>
          <w:rFonts w:ascii="Symbol" w:hAnsi="Symbol" w:cs="Symbol" w:eastAsia="Symbol"/>
          <w:szCs w:val="27"/>
        </w:rPr>
        <w:t></w:t>
      </w:r>
      <w:r>
        <w:rPr>
          <w:szCs w:val="27"/>
        </w:rPr>
        <w:t xml:space="preserve"> 不論是基於甚麼理由 </w:t>
      </w:r>
      <w:r>
        <w:rPr>
          <w:rFonts w:ascii="Symbol" w:hAnsi="Symbol" w:cs="Symbol" w:eastAsia="Symbol"/>
          <w:szCs w:val="27"/>
        </w:rPr>
        <w:t></w:t>
      </w:r>
      <w:r>
        <w:rPr>
          <w:szCs w:val="27"/>
        </w:rPr>
        <w:t xml:space="preserve"> 用盡一切方法影響居民或業權擁有人，企圖或意圖從中獲利，或脅迫他們出售或放棄本身已擁有的物業或土地，或在其之上所進行的合法活動，其實政府應該站在他們的一方，嚴加執法。</w:t>
      </w:r>
    </w:p>
    <w:p>
      <w:pPr>
        <w:pStyle w:val="F21"/>
        <w:spacing w:lineRule="atLeast" w:line="380"/>
        <w:rPr>
          <w:szCs w:val="27"/>
        </w:rPr>
      </w:pPr>
      <w:r>
        <w:rPr>
          <w:szCs w:val="27"/>
        </w:rPr>
      </w:r>
    </w:p>
    <w:p>
      <w:pPr>
        <w:pStyle w:val="F21"/>
        <w:spacing w:lineRule="atLeast" w:line="380"/>
        <w:rPr>
          <w:szCs w:val="27"/>
        </w:rPr>
      </w:pPr>
      <w:r>
        <w:rPr>
          <w:szCs w:val="27"/>
        </w:rPr>
        <w:tab/>
      </w:r>
      <w:r>
        <w:rPr>
          <w:szCs w:val="27"/>
        </w:rPr>
        <w:t>不過，我們看到其實問題在於政府在報告中所提到的情況，雖然警方會聯同環境保護署，一起合作處理這個問題，但卻正正欠缺了一條</w:t>
      </w:r>
      <w:r>
        <w:rPr>
          <w:szCs w:val="27"/>
        </w:rPr>
        <w:t>24</w:t>
      </w:r>
      <w:r>
        <w:rPr>
          <w:szCs w:val="27"/>
        </w:rPr>
        <w:t>小時熱線，而政府的說法是，他們會加強巡查或突擊行動，但事實上，他們並無提供可令市民安心的詳盡資料。當然，我們會聽其言，觀其行，希望政府因這項條例草案獲得通過而加強執法和巡查，保障很多無辜市民或居民本身的權益，免他們受到不法分子的非法行為侵略。</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在數個月前，立法會有同事問及在市區的建築廢料傾倒的情況，當然我明白亦理解該等情況與這項條例並無直接關係，但事實上，政府提供的數據，不論是檢控或巡查數字，也可謂未能令市民安心和滿意。事實上，問題在於當立法會非常努力地企圖透過修訂條例，堵塞政府和市民均注意到的現行法例的漏洞時，對政府的期望自然會提高，但在期望提高的同時，假如政府在資源或仔細的操作或運作過程中追不上這個期望時，便會產生很大的問題。</w:t>
      </w:r>
    </w:p>
    <w:p>
      <w:pPr>
        <w:pStyle w:val="F21"/>
        <w:spacing w:lineRule="atLeast" w:line="380"/>
        <w:rPr>
          <w:szCs w:val="27"/>
        </w:rPr>
      </w:pPr>
      <w:r>
        <w:rPr>
          <w:szCs w:val="27"/>
        </w:rPr>
      </w:r>
    </w:p>
    <w:p>
      <w:pPr>
        <w:pStyle w:val="F21"/>
        <w:spacing w:lineRule="atLeast" w:line="380"/>
        <w:rPr>
          <w:szCs w:val="27"/>
        </w:rPr>
      </w:pPr>
      <w:r>
        <w:rPr>
          <w:szCs w:val="27"/>
        </w:rPr>
        <w:tab/>
      </w:r>
      <w:r>
        <w:rPr>
          <w:szCs w:val="27"/>
        </w:rPr>
        <w:t>故此，在立法會會議上，我希望向局長說清楚，在這項條例草案通過後，也要定期向立法會相關的事務委員會作正式交代，在新的條例草案通過後，讓我們看到究竟所謂巡查、突擊檢查和成功檢控的數據為何。這方面的數據是很重要的。</w:t>
      </w:r>
    </w:p>
    <w:p>
      <w:pPr>
        <w:pStyle w:val="F21"/>
        <w:spacing w:lineRule="atLeast" w:line="380"/>
        <w:rPr>
          <w:szCs w:val="27"/>
        </w:rPr>
      </w:pPr>
      <w:r>
        <w:rPr>
          <w:szCs w:val="27"/>
        </w:rPr>
      </w:r>
    </w:p>
    <w:p>
      <w:pPr>
        <w:pStyle w:val="F21"/>
        <w:spacing w:lineRule="atLeast" w:line="380"/>
        <w:rPr>
          <w:szCs w:val="27"/>
        </w:rPr>
      </w:pPr>
      <w:r>
        <w:rPr>
          <w:szCs w:val="27"/>
        </w:rPr>
        <w:tab/>
      </w:r>
      <w:r>
        <w:rPr>
          <w:szCs w:val="27"/>
        </w:rPr>
        <w:t>法例訂明如要在地方棄置一些建築廢料，要事先申請許可，並展示許可證。坦白說，這是守法的人一定會做的事，香港是一個法治社會，很多市民都是奉公守法的人，他們都會這樣做，但對於一些非法行為，老實說，例如一些社團或黑社會的侵權或破壞環境的行為，從我們這次暫時所看過的文件或政府表面上給予的承諾所見，我相信在這方面似乎仍存有落差。所以，在具體執行這項條例時，我強烈希望並要求有關部門加強這方面的執法行動。同時，在檢控的過程中，特別要放大不法分子採取的侵權手法和破壞環境的活動，如此一來，不但可教育公眾，還能向市民大眾發放一個較清晰的信息，讓他們知道這類行為</w:t>
      </w:r>
      <w:r>
        <w:rPr>
          <w:szCs w:val="27"/>
        </w:rPr>
        <w:t>(</w:t>
      </w:r>
      <w:r>
        <w:rPr>
          <w:szCs w:val="27"/>
        </w:rPr>
        <w:t>例如上水河上鄉的情況</w:t>
      </w:r>
      <w:r>
        <w:rPr>
          <w:szCs w:val="27"/>
        </w:rPr>
        <w:t>)</w:t>
      </w:r>
      <w:r>
        <w:rPr>
          <w:szCs w:val="27"/>
        </w:rPr>
        <w:t>是社會絕對不能容忍的。不論是哪個政府部門，包括警方或環境保護署，均會與良民百姓站在同一陣線，加大力度，嚴謹執法。</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代理主席，我謹此陳辭。</w:t>
      </w:r>
    </w:p>
    <w:p>
      <w:pPr>
        <w:pStyle w:val="F21"/>
        <w:spacing w:lineRule="atLeast" w:line="370"/>
        <w:rPr>
          <w:rFonts w:cs="Times New Roman"/>
        </w:rPr>
      </w:pPr>
      <w:r>
        <w:rPr>
          <w:rFonts w:cs="Times New Roman" w:eastAsia="華康中黑體"/>
          <w:b/>
        </w:rPr>
        <w:t>代理主席</w:t>
      </w:r>
      <w:r>
        <w:rPr>
          <w:rFonts w:cs="Times New Roman"/>
        </w:rPr>
        <w:t>：是否有其他議員想發言？</w:t>
      </w:r>
      <w:r>
        <w:br w:type="page"/>
      </w:r>
    </w:p>
    <w:p>
      <w:pPr>
        <w:pStyle w:val="F21"/>
        <w:spacing w:lineRule="atLeast" w:line="370"/>
        <w:rPr>
          <w:rFonts w:cs="Times New Roman"/>
        </w:rPr>
      </w:pPr>
      <w:r>
        <w:rPr>
          <w:rFonts w:cs="Times New Roman"/>
        </w:rPr>
      </w:r>
    </w:p>
    <w:p>
      <w:pPr>
        <w:pStyle w:val="F21"/>
        <w:spacing w:lineRule="atLeast" w:line="370"/>
        <w:rPr/>
      </w:pPr>
      <w:r>
        <w:rPr/>
        <w:t>(</w:t>
      </w:r>
      <w:r>
        <w:rPr/>
        <w:t>沒有其他議員表示想發言</w:t>
      </w:r>
      <w:r>
        <w:rPr/>
        <w:t>)</w:t>
      </w:r>
    </w:p>
    <w:p>
      <w:pPr>
        <w:pStyle w:val="F21"/>
        <w:spacing w:lineRule="atLeast" w:line="370"/>
        <w:rPr/>
      </w:pPr>
      <w:r>
        <w:rPr/>
      </w:r>
    </w:p>
    <w:p>
      <w:pPr>
        <w:pStyle w:val="F21"/>
        <w:spacing w:lineRule="atLeast" w:line="370"/>
        <w:rPr/>
      </w:pPr>
      <w:r>
        <w:rPr/>
      </w:r>
    </w:p>
    <w:p>
      <w:pPr>
        <w:pStyle w:val="F21"/>
        <w:spacing w:lineRule="atLeast" w:line="370"/>
        <w:rPr/>
      </w:pPr>
      <w:r>
        <w:rPr>
          <w:rFonts w:eastAsia="華康中黑體"/>
          <w:b/>
        </w:rPr>
        <w:t>代理主席</w:t>
      </w:r>
      <w:r>
        <w:rPr/>
        <w:t>：如果沒有，我現在請環境局局長發言答辯。在局長答辯後，辯論即告結束。</w:t>
      </w:r>
    </w:p>
    <w:p>
      <w:pPr>
        <w:pStyle w:val="F21"/>
        <w:spacing w:lineRule="atLeast" w:line="370"/>
        <w:rPr/>
      </w:pPr>
      <w:r>
        <w:rPr/>
      </w:r>
    </w:p>
    <w:p>
      <w:pPr>
        <w:pStyle w:val="F21"/>
        <w:spacing w:lineRule="atLeast" w:line="370"/>
        <w:rPr/>
      </w:pPr>
      <w:r>
        <w:rPr/>
      </w:r>
    </w:p>
    <w:p>
      <w:pPr>
        <w:pStyle w:val="F21"/>
        <w:spacing w:lineRule="atLeast" w:line="370"/>
        <w:rPr>
          <w:szCs w:val="27"/>
        </w:rPr>
      </w:pPr>
      <w:r>
        <w:rPr>
          <w:rFonts w:eastAsia="華康中黑體"/>
          <w:b/>
          <w:szCs w:val="27"/>
        </w:rPr>
        <w:t>環境局局長</w:t>
      </w:r>
      <w:r>
        <w:rPr>
          <w:szCs w:val="27"/>
        </w:rPr>
        <w:t>：代理主席，今年</w:t>
      </w:r>
      <w:r>
        <w:rPr>
          <w:szCs w:val="27"/>
        </w:rPr>
        <w:t>6</w:t>
      </w:r>
      <w:r>
        <w:rPr>
          <w:szCs w:val="27"/>
        </w:rPr>
        <w:t>月，政府提交《</w:t>
      </w:r>
      <w:r>
        <w:rPr>
          <w:szCs w:val="27"/>
        </w:rPr>
        <w:t>2013</w:t>
      </w:r>
      <w:r>
        <w:rPr>
          <w:szCs w:val="27"/>
        </w:rPr>
        <w:t>年廢物處置</w:t>
      </w:r>
      <w:r>
        <w:rPr>
          <w:szCs w:val="27"/>
        </w:rPr>
        <w:t>(</w:t>
      </w:r>
      <w:r>
        <w:rPr>
          <w:szCs w:val="27"/>
        </w:rPr>
        <w:t>修訂</w:t>
      </w:r>
      <w:r>
        <w:rPr>
          <w:szCs w:val="27"/>
        </w:rPr>
        <w:t>)</w:t>
      </w:r>
      <w:r>
        <w:rPr>
          <w:szCs w:val="27"/>
        </w:rPr>
        <w:t>條例草案》</w:t>
      </w:r>
      <w:r>
        <w:rPr>
          <w:szCs w:val="27"/>
        </w:rPr>
        <w:t>(“</w:t>
      </w:r>
      <w:r>
        <w:rPr>
          <w:szCs w:val="27"/>
        </w:rPr>
        <w:t>條例草案”</w:t>
      </w:r>
      <w:r>
        <w:rPr/>
        <w:t>)</w:t>
      </w:r>
      <w:r>
        <w:rPr>
          <w:szCs w:val="27"/>
        </w:rPr>
        <w:t>，目的是加強規管在私人土地上非法擺放建築廢物的問題。我們計劃透過規定在私人土地擺放建築廢物，須事前按照一套新設程序取得土地擁有人的書面許可，從而協助政府部門加強執法。</w:t>
      </w:r>
    </w:p>
    <w:p>
      <w:pPr>
        <w:pStyle w:val="F21"/>
        <w:spacing w:lineRule="atLeast" w:line="370"/>
        <w:rPr>
          <w:szCs w:val="27"/>
        </w:rPr>
      </w:pPr>
      <w:r>
        <w:rPr>
          <w:szCs w:val="27"/>
        </w:rPr>
      </w:r>
    </w:p>
    <w:p>
      <w:pPr>
        <w:pStyle w:val="F21"/>
        <w:spacing w:lineRule="atLeast" w:line="370"/>
        <w:rPr>
          <w:szCs w:val="27"/>
        </w:rPr>
      </w:pPr>
      <w:r>
        <w:rPr>
          <w:szCs w:val="27"/>
        </w:rPr>
        <w:tab/>
      </w:r>
      <w:r>
        <w:rPr>
          <w:szCs w:val="27"/>
        </w:rPr>
        <w:t>首先我要多謝由何秀蘭議員擔任主席的法案委員會，經過</w:t>
      </w:r>
      <w:r>
        <w:rPr>
          <w:szCs w:val="27"/>
        </w:rPr>
        <w:t>4</w:t>
      </w:r>
      <w:r>
        <w:rPr>
          <w:szCs w:val="27"/>
        </w:rPr>
        <w:t>次會議，順利完成審議工作，並就條例草案的執行和非法棄置廢物的更廣泛議題提出意見。剛才數位議員的發言已表達了議會的關注，我回應如下：</w:t>
      </w:r>
    </w:p>
    <w:p>
      <w:pPr>
        <w:pStyle w:val="F21"/>
        <w:spacing w:lineRule="atLeast" w:line="370"/>
        <w:rPr>
          <w:szCs w:val="27"/>
        </w:rPr>
      </w:pPr>
      <w:r>
        <w:rPr>
          <w:szCs w:val="27"/>
        </w:rPr>
      </w:r>
    </w:p>
    <w:p>
      <w:pPr>
        <w:pStyle w:val="F21"/>
        <w:spacing w:lineRule="atLeast" w:line="370"/>
        <w:rPr>
          <w:szCs w:val="27"/>
        </w:rPr>
      </w:pPr>
      <w:r>
        <w:rPr>
          <w:szCs w:val="27"/>
        </w:rPr>
        <w:tab/>
      </w:r>
      <w:r>
        <w:rPr>
          <w:szCs w:val="27"/>
        </w:rPr>
        <w:t>整體而言，在現行《廢物處置條例》下，擺放廢物須事先得到有關土地業權人許可，但就私人土地而言，過去政府曾經因為業權資料不完整或紀錄過時，無法成功提出檢控。根據條例草案，任何人日後如果要在私人土地上擺放建築廢物，除非符合相關豁免，否則必須事前向私人土地的所有擁有人取得有效的書面許可，並且經過環境保護署</w:t>
      </w:r>
      <w:r>
        <w:rPr>
          <w:szCs w:val="27"/>
        </w:rPr>
        <w:t>(“</w:t>
      </w:r>
      <w:r>
        <w:rPr>
          <w:szCs w:val="27"/>
        </w:rPr>
        <w:t>環保署”</w:t>
      </w:r>
      <w:r>
        <w:rPr>
          <w:szCs w:val="27"/>
        </w:rPr>
        <w:t>)</w:t>
      </w:r>
      <w:r>
        <w:rPr>
          <w:szCs w:val="27"/>
        </w:rPr>
        <w:t>人員的核實及加蓋認收的程序，才可進行擺放活動。新程序有以下好處：</w:t>
      </w:r>
    </w:p>
    <w:p>
      <w:pPr>
        <w:pStyle w:val="F21"/>
        <w:spacing w:lineRule="atLeast" w:line="370"/>
        <w:rPr>
          <w:szCs w:val="27"/>
        </w:rPr>
      </w:pPr>
      <w:r>
        <w:rPr>
          <w:szCs w:val="27"/>
        </w:rPr>
      </w:r>
    </w:p>
    <w:p>
      <w:pPr>
        <w:pStyle w:val="Style14"/>
        <w:spacing w:lineRule="atLeast" w:line="370"/>
        <w:rPr>
          <w:i w:val="false"/>
          <w:i w:val="false"/>
        </w:rPr>
      </w:pPr>
      <w:r>
        <w:rPr>
          <w:i w:val="false"/>
        </w:rPr>
        <w:t>(</w:t>
      </w:r>
      <w:r>
        <w:rPr>
          <w:i w:val="false"/>
        </w:rPr>
        <w:t>一</w:t>
      </w:r>
      <w:r>
        <w:rPr>
          <w:i w:val="false"/>
        </w:rPr>
        <w:t>)</w:t>
        <w:tab/>
      </w:r>
      <w:r>
        <w:rPr>
          <w:i w:val="false"/>
        </w:rPr>
        <w:t>我們可以預先得悉在私人土地上有關擺放物料的計劃，執法人員可根據新訂的程序，採取適時的執法行動。</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二</w:t>
      </w:r>
      <w:r>
        <w:rPr>
          <w:i w:val="false"/>
        </w:rPr>
        <w:t>)</w:t>
        <w:tab/>
      </w:r>
      <w:r>
        <w:rPr>
          <w:i w:val="false"/>
        </w:rPr>
        <w:t>新程序要求所有擁有人給予書面許可，能夠更有效地保障土地擁有人的利益。</w:t>
      </w:r>
    </w:p>
    <w:p>
      <w:pPr>
        <w:pStyle w:val="Style14"/>
        <w:spacing w:lineRule="atLeast" w:line="370"/>
        <w:rPr>
          <w:i w:val="false"/>
          <w:i w:val="false"/>
        </w:rPr>
      </w:pPr>
      <w:r>
        <w:rPr>
          <w:i w:val="false"/>
        </w:rPr>
      </w:r>
    </w:p>
    <w:p>
      <w:pPr>
        <w:pStyle w:val="Style14"/>
        <w:spacing w:lineRule="atLeast" w:line="370"/>
        <w:rPr>
          <w:i w:val="false"/>
          <w:i w:val="false"/>
        </w:rPr>
      </w:pPr>
      <w:r>
        <w:rPr>
          <w:i w:val="false"/>
        </w:rPr>
        <w:t>(</w:t>
      </w:r>
      <w:r>
        <w:rPr>
          <w:i w:val="false"/>
        </w:rPr>
        <w:t>三</w:t>
      </w:r>
      <w:r>
        <w:rPr>
          <w:i w:val="false"/>
        </w:rPr>
        <w:t>)</w:t>
        <w:tab/>
      </w:r>
      <w:r>
        <w:rPr>
          <w:i w:val="false"/>
        </w:rPr>
        <w:t>我們亦要求在土地上的顯眼位置展示有關資料，提高有關擺放活動的透明度，加強公眾監察。</w:t>
      </w:r>
    </w:p>
    <w:p>
      <w:pPr>
        <w:pStyle w:val="F21"/>
        <w:rPr>
          <w:szCs w:val="27"/>
        </w:rPr>
      </w:pPr>
      <w:r>
        <w:rPr>
          <w:szCs w:val="27"/>
        </w:rPr>
      </w:r>
    </w:p>
    <w:p>
      <w:pPr>
        <w:pStyle w:val="F21"/>
        <w:rPr>
          <w:szCs w:val="27"/>
        </w:rPr>
      </w:pPr>
      <w:r>
        <w:rPr>
          <w:szCs w:val="27"/>
        </w:rPr>
        <w:tab/>
      </w:r>
      <w:r>
        <w:rPr>
          <w:szCs w:val="27"/>
        </w:rPr>
        <w:t>有數位議員提到上水河上鄉的事件，在此我也作出回應。上水河上鄉出現大量傾倒建築廢物的事件，屬於標誌性的個案。我們參考了這個個案而制定條例草案的內容。其中，在《廢物處置條例》之下，擺放廢物須事先得到許可，但沒有具體規定所需程序，而且任何一名擁有人或合法佔用人均有資格給予許可，造成執法時遇到資料不全難以跟進的情況。如土地由多人共同擁有，即使擺放活動取得許可，個別沒有參與的土地擁有人亦有可能持不同意見而感到權益受損。為改善有關情況，根據條例草案，日後任何人如果要在私人土地上擺放建築廢物，除非符合相關豁免，必須事前向私人土地的所有擁有人取得有效的書面許可才可進行。</w:t>
      </w:r>
    </w:p>
    <w:p>
      <w:pPr>
        <w:pStyle w:val="F21"/>
        <w:rPr>
          <w:szCs w:val="27"/>
        </w:rPr>
      </w:pPr>
      <w:r>
        <w:rPr>
          <w:szCs w:val="27"/>
        </w:rPr>
      </w:r>
    </w:p>
    <w:p>
      <w:pPr>
        <w:pStyle w:val="F21"/>
        <w:rPr>
          <w:szCs w:val="27"/>
        </w:rPr>
      </w:pPr>
      <w:r>
        <w:rPr>
          <w:szCs w:val="27"/>
        </w:rPr>
        <w:tab/>
      </w:r>
      <w:r>
        <w:rPr>
          <w:szCs w:val="27"/>
        </w:rPr>
        <w:t>亦有議員關注在市區發生的非法擺放建築廢物活動。就此，我希望強調條例草案將適用於港九和新界的私人土地，雖然條例草案建議若干豁免，但現行《廢物處置條例》之下的規管仍然適用，故擺放者如未獲授權或未有合理辯解而在相關地方擺放任何廢物，即屬違法。我要強調，非法擺放建築廢物一經定罪，第一次的最高罰則可為罰款</w:t>
      </w:r>
      <w:r>
        <w:rPr>
          <w:szCs w:val="27"/>
        </w:rPr>
        <w:t>20</w:t>
      </w:r>
      <w:r>
        <w:rPr>
          <w:szCs w:val="27"/>
        </w:rPr>
        <w:t>萬元及監禁</w:t>
      </w:r>
      <w:r>
        <w:rPr>
          <w:szCs w:val="27"/>
        </w:rPr>
        <w:t>6</w:t>
      </w:r>
      <w:r>
        <w:rPr>
          <w:szCs w:val="27"/>
        </w:rPr>
        <w:t>個月，及後再次定罪的最高罰則亦會增加。我們亦會加強宣傳，以收阻嚇效果。</w:t>
      </w:r>
    </w:p>
    <w:p>
      <w:pPr>
        <w:pStyle w:val="F21"/>
        <w:rPr>
          <w:szCs w:val="27"/>
        </w:rPr>
      </w:pPr>
      <w:r>
        <w:rPr>
          <w:szCs w:val="27"/>
        </w:rPr>
      </w:r>
    </w:p>
    <w:p>
      <w:pPr>
        <w:pStyle w:val="F21"/>
        <w:rPr>
          <w:szCs w:val="27"/>
        </w:rPr>
      </w:pPr>
      <w:r>
        <w:rPr>
          <w:szCs w:val="27"/>
        </w:rPr>
        <w:tab/>
      </w:r>
      <w:r>
        <w:rPr>
          <w:szCs w:val="27"/>
        </w:rPr>
        <w:t>除環保署致力執行《廢物處置條例》的規定外，其他相關部門亦會按照實際情況及其獲賦予的權力引用合適的法例，就非法擺放建築廢物採取適當行動。各執法部門會繼續透過跨部門協調機制，定期監察傾倒廢物的黑點、交流情報及按情況需要加強進行巡邏及突擊行動，以打擊非法棄置或傾倒建築廢物活動。</w:t>
      </w:r>
    </w:p>
    <w:p>
      <w:pPr>
        <w:pStyle w:val="F21"/>
        <w:rPr>
          <w:szCs w:val="27"/>
        </w:rPr>
      </w:pPr>
      <w:r>
        <w:rPr>
          <w:szCs w:val="27"/>
        </w:rPr>
      </w:r>
    </w:p>
    <w:p>
      <w:pPr>
        <w:pStyle w:val="F21"/>
        <w:rPr>
          <w:szCs w:val="27"/>
        </w:rPr>
      </w:pPr>
      <w:r>
        <w:rPr>
          <w:szCs w:val="27"/>
        </w:rPr>
        <w:tab/>
      </w:r>
      <w:r>
        <w:rPr>
          <w:szCs w:val="27"/>
        </w:rPr>
        <w:t>至於有議員關注豁免的安排，這裏我也作出回應。條例草案因應現行規管在私人土地上非法擺放建築廢物時所遇到的執法問題，提出針對性的改善措施，從而加強執法效力及阻嚇性。鑒於擺放建築廢物可能有其正當用途，如某些小規模擺放或擺放活動為已審批建築工程的一部分，故此無須加強規管。因此，條例草案有兩方面的豁免，包括：</w:t>
      </w:r>
    </w:p>
    <w:p>
      <w:pPr>
        <w:pStyle w:val="F21"/>
        <w:rPr>
          <w:szCs w:val="27"/>
        </w:rPr>
      </w:pPr>
      <w:r>
        <w:rPr>
          <w:szCs w:val="27"/>
        </w:rPr>
      </w:r>
    </w:p>
    <w:p>
      <w:pPr>
        <w:pStyle w:val="Style14"/>
        <w:rPr>
          <w:i w:val="false"/>
          <w:i w:val="false"/>
        </w:rPr>
      </w:pPr>
      <w:r>
        <w:rPr>
          <w:i w:val="false"/>
        </w:rPr>
        <w:t>(</w:t>
      </w:r>
      <w:r>
        <w:rPr>
          <w:i w:val="false"/>
        </w:rPr>
        <w:t>一</w:t>
      </w:r>
      <w:r>
        <w:rPr>
          <w:i w:val="false"/>
        </w:rPr>
        <w:t>)</w:t>
        <w:tab/>
      </w:r>
      <w:r>
        <w:rPr>
          <w:i w:val="false"/>
        </w:rPr>
        <w:t>擺放建築廢物的總面積不足</w:t>
      </w:r>
      <w:r>
        <w:rPr>
          <w:i w:val="false"/>
        </w:rPr>
        <w:t>20</w:t>
      </w:r>
      <w:r>
        <w:rPr>
          <w:i w:val="false"/>
        </w:rPr>
        <w:t>平方米；或</w:t>
      </w:r>
    </w:p>
    <w:p>
      <w:pPr>
        <w:pStyle w:val="Style14"/>
        <w:rPr>
          <w:i w:val="false"/>
          <w:i w:val="false"/>
        </w:rPr>
      </w:pPr>
      <w:r>
        <w:rPr>
          <w:i w:val="false"/>
        </w:rPr>
      </w:r>
    </w:p>
    <w:p>
      <w:pPr>
        <w:pStyle w:val="Style14"/>
        <w:rPr>
          <w:i w:val="false"/>
          <w:i w:val="false"/>
        </w:rPr>
      </w:pPr>
      <w:r>
        <w:rPr>
          <w:i w:val="false"/>
        </w:rPr>
        <w:t>(</w:t>
      </w:r>
      <w:r>
        <w:rPr>
          <w:i w:val="false"/>
        </w:rPr>
        <w:t>二</w:t>
      </w:r>
      <w:r>
        <w:rPr>
          <w:i w:val="false"/>
        </w:rPr>
        <w:t>)</w:t>
        <w:tab/>
      </w:r>
      <w:r>
        <w:rPr>
          <w:i w:val="false"/>
        </w:rPr>
        <w:t>擺放活動是建築工程的一部分，而該建築工程是根據《建築物條例</w:t>
      </w:r>
      <w:r>
        <w:rPr>
          <w:i w:val="false"/>
        </w:rPr>
        <w:t>(</w:t>
      </w:r>
      <w:r>
        <w:rPr>
          <w:i w:val="false"/>
        </w:rPr>
        <w:t>新界適用</w:t>
      </w:r>
      <w:r>
        <w:rPr>
          <w:i w:val="false"/>
        </w:rPr>
        <w:t>)</w:t>
      </w:r>
      <w:r>
        <w:rPr>
          <w:i w:val="false"/>
        </w:rPr>
        <w:t>條例》或《建築物條例》在該地段展開。</w:t>
      </w:r>
    </w:p>
    <w:p>
      <w:pPr>
        <w:pStyle w:val="F21"/>
        <w:spacing w:lineRule="atLeast" w:line="380"/>
        <w:rPr>
          <w:szCs w:val="27"/>
        </w:rPr>
      </w:pPr>
      <w:r>
        <w:rPr>
          <w:szCs w:val="27"/>
        </w:rPr>
      </w:r>
    </w:p>
    <w:p>
      <w:pPr>
        <w:pStyle w:val="F21"/>
        <w:spacing w:lineRule="atLeast" w:line="340"/>
        <w:rPr>
          <w:szCs w:val="27"/>
        </w:rPr>
      </w:pPr>
      <w:r>
        <w:rPr>
          <w:szCs w:val="27"/>
        </w:rPr>
        <w:tab/>
      </w:r>
      <w:r>
        <w:rPr>
          <w:szCs w:val="27"/>
        </w:rPr>
        <w:t>在法案委員會的審議階段，曾經探討上述豁免安排會否存有漏洞，例如條文不設高度或深度限制，亦曾經討論豁免面積是否適當。整體而言，我們相信現時的建議已經平衡有關的實際考慮，屬於適當的做法。</w:t>
      </w:r>
    </w:p>
    <w:p>
      <w:pPr>
        <w:pStyle w:val="F21"/>
        <w:spacing w:lineRule="atLeast" w:line="340"/>
        <w:rPr>
          <w:szCs w:val="27"/>
        </w:rPr>
      </w:pPr>
      <w:r>
        <w:rPr>
          <w:szCs w:val="27"/>
        </w:rPr>
      </w:r>
    </w:p>
    <w:p>
      <w:pPr>
        <w:pStyle w:val="F21"/>
        <w:spacing w:lineRule="atLeast" w:line="340"/>
        <w:rPr>
          <w:szCs w:val="27"/>
        </w:rPr>
      </w:pPr>
      <w:r>
        <w:rPr>
          <w:szCs w:val="27"/>
        </w:rPr>
        <w:tab/>
      </w:r>
      <w:r>
        <w:rPr>
          <w:szCs w:val="27"/>
        </w:rPr>
        <w:t>代理主席，我稍後會動議一項全體委員會審議階段修正案</w:t>
      </w:r>
      <w:r>
        <w:rPr>
          <w:szCs w:val="27"/>
        </w:rPr>
        <w:t>(“</w:t>
      </w:r>
      <w:r>
        <w:rPr>
          <w:szCs w:val="27"/>
        </w:rPr>
        <w:t>修正案”</w:t>
      </w:r>
      <w:r>
        <w:rPr>
          <w:szCs w:val="27"/>
        </w:rPr>
        <w:t>)</w:t>
      </w:r>
      <w:r>
        <w:rPr>
          <w:szCs w:val="27"/>
        </w:rPr>
        <w:t>。這項修正案已獲得法案委員會支持，我會在稍後的全體委員會</w:t>
      </w:r>
      <w:r>
        <w:rPr>
          <w:szCs w:val="27"/>
          <w:lang w:eastAsia="zh-CN"/>
        </w:rPr>
        <w:t>審議</w:t>
      </w:r>
      <w:r>
        <w:rPr>
          <w:szCs w:val="27"/>
        </w:rPr>
        <w:t>階段再作介紹。我謹此陳辭，希望各位議員支持條例草案，以便有關加強規管的建議在我們的宣傳計劃後，可以盡快開始實施。</w:t>
      </w:r>
    </w:p>
    <w:p>
      <w:pPr>
        <w:pStyle w:val="F21"/>
        <w:spacing w:lineRule="atLeast" w:line="340"/>
        <w:rPr>
          <w:szCs w:val="27"/>
        </w:rPr>
      </w:pPr>
      <w:r>
        <w:rPr>
          <w:szCs w:val="27"/>
        </w:rPr>
      </w:r>
    </w:p>
    <w:p>
      <w:pPr>
        <w:pStyle w:val="F21"/>
        <w:spacing w:lineRule="atLeast" w:line="340"/>
        <w:rPr>
          <w:szCs w:val="27"/>
        </w:rPr>
      </w:pPr>
      <w:r>
        <w:rPr>
          <w:szCs w:val="27"/>
        </w:rPr>
        <w:tab/>
      </w:r>
      <w:r>
        <w:rPr>
          <w:szCs w:val="27"/>
        </w:rPr>
        <w:t>多謝代理主席。</w:t>
      </w:r>
    </w:p>
    <w:p>
      <w:pPr>
        <w:pStyle w:val="F21"/>
        <w:spacing w:lineRule="atLeast" w:line="340"/>
        <w:rPr>
          <w:szCs w:val="27"/>
        </w:rPr>
      </w:pPr>
      <w:r>
        <w:rPr>
          <w:szCs w:val="27"/>
        </w:rPr>
      </w:r>
    </w:p>
    <w:p>
      <w:pPr>
        <w:pStyle w:val="F21"/>
        <w:spacing w:lineRule="atLeast" w:line="340"/>
        <w:rPr>
          <w:rFonts w:cs="Times New Roman"/>
        </w:rPr>
      </w:pPr>
      <w:r>
        <w:rPr>
          <w:rFonts w:cs="Times New Roman"/>
        </w:rPr>
      </w:r>
    </w:p>
    <w:p>
      <w:pPr>
        <w:pStyle w:val="F21"/>
        <w:snapToGrid w:val="false"/>
        <w:spacing w:lineRule="atLeast" w:line="340"/>
        <w:rPr/>
      </w:pPr>
      <w:r>
        <w:rPr>
          <w:rFonts w:ascii="華康中黑體" w:hAnsi="華康中黑體" w:eastAsia="華康中黑體"/>
          <w:b/>
        </w:rPr>
        <w:t>代理主席</w:t>
      </w:r>
      <w:r>
        <w:rPr>
          <w:rFonts w:ascii="華康中黑體" w:hAnsi="華康中黑體"/>
        </w:rPr>
        <w:t>：</w:t>
      </w:r>
      <w:r>
        <w:rPr/>
        <w:t>我現在向各位提出的待決議題是：《</w:t>
      </w:r>
      <w:r>
        <w:rPr/>
        <w:t>2013</w:t>
      </w:r>
      <w:r>
        <w:rPr/>
        <w:t>年廢物處置</w:t>
      </w:r>
      <w:r>
        <w:rPr/>
        <w:t>(</w:t>
      </w:r>
      <w:r>
        <w:rPr/>
        <w:t>修訂</w:t>
      </w:r>
      <w:r>
        <w:rPr/>
        <w:t>)</w:t>
      </w:r>
      <w:r>
        <w:rPr/>
        <w:t>條‍例草案》，予‍以‍二讀。現在付諸表決，贊成的請舉手。</w:t>
      </w:r>
    </w:p>
    <w:p>
      <w:pPr>
        <w:pStyle w:val="F21"/>
        <w:tabs>
          <w:tab w:val="left" w:pos="567" w:leader="none"/>
          <w:tab w:val="left" w:pos="851" w:leader="none"/>
        </w:tabs>
        <w:spacing w:lineRule="atLeast" w:line="340"/>
        <w:rPr/>
      </w:pPr>
      <w:r>
        <w:rPr/>
      </w:r>
    </w:p>
    <w:p>
      <w:pPr>
        <w:pStyle w:val="F21"/>
        <w:snapToGrid w:val="false"/>
        <w:spacing w:lineRule="atLeast" w:line="340"/>
        <w:rPr/>
      </w:pPr>
      <w:r>
        <w:rPr/>
        <w:t>(</w:t>
      </w:r>
      <w:r>
        <w:rPr/>
        <w:t>議員舉手</w:t>
      </w:r>
      <w:r>
        <w:rPr/>
        <w:t>)</w:t>
      </w:r>
    </w:p>
    <w:p>
      <w:pPr>
        <w:pStyle w:val="F21"/>
        <w:spacing w:lineRule="atLeast" w:line="340"/>
        <w:rPr>
          <w:rFonts w:ascii="華康中黑體" w:hAnsi="華康中黑體" w:eastAsia="華康中黑體"/>
          <w:b/>
          <w:b/>
        </w:rPr>
      </w:pPr>
      <w:r>
        <w:rPr>
          <w:rFonts w:eastAsia="華康中黑體" w:ascii="華康中黑體" w:hAnsi="華康中黑體"/>
          <w:b/>
        </w:rPr>
      </w:r>
    </w:p>
    <w:p>
      <w:pPr>
        <w:pStyle w:val="F21"/>
        <w:spacing w:lineRule="atLeast" w:line="340"/>
        <w:rPr>
          <w:rFonts w:ascii="華康中黑體" w:hAnsi="華康中黑體" w:eastAsia="華康中黑體"/>
          <w:b/>
          <w:b/>
        </w:rPr>
      </w:pPr>
      <w:r>
        <w:rPr>
          <w:rFonts w:eastAsia="華康中黑體" w:ascii="華康中黑體" w:hAnsi="華康中黑體"/>
          <w:b/>
        </w:rPr>
      </w:r>
    </w:p>
    <w:p>
      <w:pPr>
        <w:pStyle w:val="F21"/>
        <w:snapToGrid w:val="false"/>
        <w:spacing w:lineRule="atLeast" w:line="340"/>
        <w:rPr/>
      </w:pPr>
      <w:r>
        <w:rPr>
          <w:rFonts w:ascii="華康中黑體" w:hAnsi="華康中黑體" w:eastAsia="華康中黑體"/>
          <w:b/>
        </w:rPr>
        <w:t>代理主席</w:t>
      </w:r>
      <w:r>
        <w:rPr>
          <w:rFonts w:ascii="華康中黑體" w:hAnsi="華康中黑體"/>
        </w:rPr>
        <w:t>：</w:t>
      </w:r>
      <w:r>
        <w:rPr/>
        <w:t>反對的請舉手。</w:t>
      </w:r>
    </w:p>
    <w:p>
      <w:pPr>
        <w:pStyle w:val="F21"/>
        <w:spacing w:lineRule="atLeast" w:line="340"/>
        <w:rPr/>
      </w:pPr>
      <w:r>
        <w:rPr/>
      </w:r>
    </w:p>
    <w:p>
      <w:pPr>
        <w:pStyle w:val="F21"/>
        <w:snapToGrid w:val="false"/>
        <w:spacing w:lineRule="atLeast" w:line="340"/>
        <w:rPr/>
      </w:pPr>
      <w:r>
        <w:rPr/>
        <w:t>(</w:t>
      </w:r>
      <w:r>
        <w:rPr/>
        <w:t>沒有議員舉手</w:t>
      </w:r>
      <w:r>
        <w:rPr/>
        <w:t>)</w:t>
      </w:r>
    </w:p>
    <w:p>
      <w:pPr>
        <w:pStyle w:val="F21"/>
        <w:spacing w:lineRule="atLeast" w:line="340"/>
        <w:rPr/>
      </w:pPr>
      <w:r>
        <w:rPr/>
      </w:r>
    </w:p>
    <w:p>
      <w:pPr>
        <w:pStyle w:val="F21"/>
        <w:spacing w:lineRule="atLeast" w:line="340"/>
        <w:rPr/>
      </w:pPr>
      <w:r>
        <w:rPr/>
      </w:r>
    </w:p>
    <w:p>
      <w:pPr>
        <w:pStyle w:val="F21"/>
        <w:snapToGrid w:val="false"/>
        <w:spacing w:lineRule="atLeast" w:line="340"/>
        <w:rPr>
          <w:rFonts w:ascii="華康中黑體" w:hAnsi="華康中黑體" w:eastAsia="華康中黑體"/>
          <w:b/>
          <w:b/>
        </w:rPr>
      </w:pPr>
      <w:r>
        <w:rPr>
          <w:rFonts w:ascii="華康中黑體" w:hAnsi="華康中黑體" w:eastAsia="華康中黑體"/>
          <w:b/>
        </w:rPr>
        <w:t>代理主席</w:t>
      </w:r>
      <w:r>
        <w:rPr>
          <w:rFonts w:ascii="華康中黑體" w:hAnsi="華康中黑體"/>
        </w:rPr>
        <w:t>：</w:t>
      </w:r>
      <w:r>
        <w:rPr/>
        <w:t>我認為議題獲得在席議員以過半數贊成。我宣布議案獲得通過。</w:t>
      </w:r>
    </w:p>
    <w:p>
      <w:pPr>
        <w:pStyle w:val="F21"/>
        <w:spacing w:lineRule="atLeast" w:line="340"/>
        <w:rPr>
          <w:rFonts w:eastAsia="華康中黑體" w:cs="Times New Roman"/>
          <w:b/>
          <w:b/>
        </w:rPr>
      </w:pPr>
      <w:r>
        <w:rPr>
          <w:rFonts w:eastAsia="華康中黑體" w:cs="Times New Roman"/>
          <w:b/>
        </w:rPr>
      </w:r>
    </w:p>
    <w:p>
      <w:pPr>
        <w:pStyle w:val="F21"/>
        <w:spacing w:lineRule="atLeast" w:line="340"/>
        <w:rPr>
          <w:rFonts w:ascii="華康中黑體" w:hAnsi="華康中黑體" w:eastAsia="華康中黑體"/>
          <w:b/>
          <w:b/>
        </w:rPr>
      </w:pPr>
      <w:r>
        <w:rPr>
          <w:rFonts w:eastAsia="華康中黑體" w:ascii="華康中黑體" w:hAnsi="華康中黑體"/>
          <w:b/>
        </w:rPr>
      </w:r>
    </w:p>
    <w:p>
      <w:pPr>
        <w:pStyle w:val="F21"/>
        <w:spacing w:lineRule="atLeast" w:line="340"/>
        <w:rPr/>
      </w:pPr>
      <w:r>
        <w:rPr>
          <w:rFonts w:eastAsia="華康中黑體"/>
          <w:b/>
        </w:rPr>
        <w:t>秘書</w:t>
      </w:r>
      <w:r>
        <w:rPr/>
        <w:t>：《</w:t>
      </w:r>
      <w:r>
        <w:rPr/>
        <w:t>2013</w:t>
      </w:r>
      <w:r>
        <w:rPr/>
        <w:t>年廢物處置</w:t>
      </w:r>
      <w:r>
        <w:rPr/>
        <w:t>(</w:t>
      </w:r>
      <w:r>
        <w:rPr/>
        <w:t>修訂</w:t>
      </w:r>
      <w:r>
        <w:rPr/>
        <w:t>)</w:t>
      </w:r>
      <w:r>
        <w:rPr/>
        <w:t>條例草案》。</w:t>
      </w:r>
    </w:p>
    <w:p>
      <w:pPr>
        <w:pStyle w:val="F21"/>
        <w:spacing w:lineRule="atLeast" w:line="340"/>
        <w:rPr/>
      </w:pPr>
      <w:r>
        <w:rPr/>
      </w:r>
    </w:p>
    <w:p>
      <w:pPr>
        <w:pStyle w:val="F21"/>
        <w:spacing w:lineRule="atLeast" w:line="340"/>
        <w:rPr/>
      </w:pPr>
      <w:r>
        <w:rPr/>
      </w:r>
    </w:p>
    <w:p>
      <w:pPr>
        <w:pStyle w:val="F21"/>
        <w:spacing w:lineRule="atLeast" w:line="340"/>
        <w:rPr/>
      </w:pPr>
      <w:r>
        <w:rPr/>
        <w:t>立法會進入全體委員會審議階段。</w:t>
      </w:r>
    </w:p>
    <w:p>
      <w:pPr>
        <w:pStyle w:val="Normal"/>
        <w:spacing w:lineRule="atLeast" w:line="340"/>
        <w:rPr/>
      </w:pPr>
      <w:r>
        <w:rPr/>
        <w:t>Council went into Committee.</w:t>
      </w:r>
    </w:p>
    <w:p>
      <w:pPr>
        <w:pStyle w:val="F21"/>
        <w:spacing w:lineRule="atLeast" w:line="340"/>
        <w:rPr/>
      </w:pPr>
      <w:r>
        <w:rPr/>
      </w:r>
    </w:p>
    <w:p>
      <w:pPr>
        <w:pStyle w:val="F21"/>
        <w:spacing w:lineRule="atLeast" w:line="340"/>
        <w:rPr/>
      </w:pPr>
      <w:r>
        <w:rPr/>
      </w:r>
    </w:p>
    <w:p>
      <w:pPr>
        <w:pStyle w:val="F21"/>
        <w:spacing w:lineRule="atLeast" w:line="340"/>
        <w:rPr>
          <w:rFonts w:ascii="華康中黑體" w:hAnsi="華康中黑體" w:eastAsia="華康中黑體"/>
          <w:b/>
          <w:b/>
        </w:rPr>
      </w:pPr>
      <w:bookmarkStart w:id="78" w:name="cos02"/>
      <w:r>
        <w:rPr>
          <w:rFonts w:ascii="華康中黑體" w:hAnsi="華康中黑體" w:eastAsia="華康中黑體"/>
          <w:b/>
        </w:rPr>
        <w:t>全體委員會審議階段</w:t>
      </w:r>
    </w:p>
    <w:p>
      <w:pPr>
        <w:pStyle w:val="Normal"/>
        <w:spacing w:lineRule="atLeast" w:line="340"/>
        <w:rPr>
          <w:b/>
          <w:b/>
        </w:rPr>
      </w:pPr>
      <w:bookmarkStart w:id="79" w:name="cos02"/>
      <w:r>
        <w:rPr>
          <w:b/>
        </w:rPr>
        <w:t>Committee Stage</w:t>
      </w:r>
      <w:bookmarkEnd w:id="79"/>
    </w:p>
    <w:p>
      <w:pPr>
        <w:pStyle w:val="F21"/>
        <w:spacing w:lineRule="atLeast" w:line="340"/>
        <w:rPr/>
      </w:pPr>
      <w:r>
        <w:rPr/>
      </w:r>
    </w:p>
    <w:p>
      <w:pPr>
        <w:pStyle w:val="F21"/>
        <w:spacing w:lineRule="atLeast" w:line="340"/>
        <w:rPr/>
      </w:pPr>
      <w:r>
        <w:rPr>
          <w:rFonts w:eastAsia="華康中黑體"/>
          <w:b/>
        </w:rPr>
        <w:t>代理全委會主席</w:t>
      </w:r>
      <w:r>
        <w:rPr/>
        <w:t>：全體委員會審議階段。本會現在成為全體委員會。</w:t>
      </w:r>
    </w:p>
    <w:p>
      <w:pPr>
        <w:pStyle w:val="F21"/>
        <w:spacing w:lineRule="exact" w:line="60"/>
        <w:rPr/>
      </w:pPr>
      <w:r>
        <w:rPr/>
      </w:r>
    </w:p>
    <w:p>
      <w:pPr>
        <w:pStyle w:val="F21"/>
        <w:spacing w:lineRule="atLeast" w:line="420"/>
        <w:rPr>
          <w:rFonts w:ascii="華康中黑體" w:hAnsi="華康中黑體" w:eastAsia="華康中黑體"/>
          <w:b/>
          <w:b/>
        </w:rPr>
      </w:pPr>
      <w:bookmarkStart w:id="80" w:name="cos02a"/>
      <w:r>
        <w:rPr>
          <w:rFonts w:cs="Times New Roman" w:eastAsia="華康中黑體"/>
          <w:b/>
        </w:rPr>
        <w:t>《</w:t>
      </w:r>
      <w:r>
        <w:rPr>
          <w:rFonts w:eastAsia="華康中黑體" w:cs="Times New Roman"/>
          <w:b/>
        </w:rPr>
        <w:t>2013</w:t>
      </w:r>
      <w:r>
        <w:rPr>
          <w:rFonts w:cs="Times New Roman" w:eastAsia="華康中黑體"/>
          <w:b/>
        </w:rPr>
        <w:t>年廢物處置</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r>
        <w:br w:type="page"/>
      </w:r>
    </w:p>
    <w:p>
      <w:pPr>
        <w:pStyle w:val="F21"/>
        <w:spacing w:lineRule="atLeast" w:line="420"/>
        <w:rPr>
          <w:rFonts w:cs="Times New Roman"/>
          <w:b/>
          <w:b/>
          <w:spacing w:val="0"/>
          <w:sz w:val="28"/>
          <w:lang w:val="en-GB"/>
        </w:rPr>
      </w:pPr>
      <w:bookmarkStart w:id="81" w:name="cos02a"/>
      <w:r>
        <w:rPr>
          <w:rFonts w:cs="Times New Roman"/>
          <w:b/>
          <w:spacing w:val="0"/>
          <w:sz w:val="28"/>
          <w:lang w:val="en-GB"/>
        </w:rPr>
        <w:t>WASTE DISPOSAL (AMENDMENT) BILL 2013</w:t>
      </w:r>
      <w:bookmarkEnd w:id="81"/>
    </w:p>
    <w:p>
      <w:pPr>
        <w:pStyle w:val="F21"/>
        <w:spacing w:lineRule="atLeast" w:line="420"/>
        <w:rPr/>
      </w:pPr>
      <w:r>
        <w:rPr/>
      </w:r>
    </w:p>
    <w:p>
      <w:pPr>
        <w:pStyle w:val="F21"/>
        <w:spacing w:lineRule="atLeast" w:line="420"/>
        <w:rPr/>
      </w:pPr>
      <w:r>
        <w:rPr>
          <w:rFonts w:eastAsia="華康中黑體"/>
          <w:b/>
        </w:rPr>
        <w:t>代理</w:t>
      </w:r>
      <w:r>
        <w:rPr>
          <w:rFonts w:ascii="華康中黑體" w:hAnsi="華康中黑體" w:eastAsia="華康中黑體"/>
          <w:b/>
        </w:rPr>
        <w:t>全委會主席</w:t>
      </w:r>
      <w:r>
        <w:rPr>
          <w:rFonts w:ascii="華康中黑體" w:hAnsi="華康中黑體"/>
        </w:rPr>
        <w:t>：</w:t>
      </w:r>
      <w:r>
        <w:rPr/>
        <w:t>我現在向各位提出的待議議題是：以下條文納入《</w:t>
      </w:r>
      <w:r>
        <w:rPr/>
        <w:t>2013</w:t>
      </w:r>
      <w:r>
        <w:rPr/>
        <w:t>年廢物處置</w:t>
      </w:r>
      <w:r>
        <w:rPr/>
        <w:t>(</w:t>
      </w:r>
      <w:r>
        <w:rPr/>
        <w:t>修訂</w:t>
      </w:r>
      <w:r>
        <w:rPr/>
        <w:t>)</w:t>
      </w:r>
      <w:r>
        <w:rPr/>
        <w:t>條例草案》。</w:t>
      </w:r>
    </w:p>
    <w:p>
      <w:pPr>
        <w:pStyle w:val="F21"/>
        <w:spacing w:lineRule="atLeast" w:line="420"/>
        <w:rPr/>
      </w:pPr>
      <w:r>
        <w:rPr/>
      </w:r>
    </w:p>
    <w:p>
      <w:pPr>
        <w:pStyle w:val="F21"/>
        <w:spacing w:lineRule="atLeast" w:line="420"/>
        <w:rPr/>
      </w:pPr>
      <w:r>
        <w:rPr/>
      </w:r>
    </w:p>
    <w:p>
      <w:pPr>
        <w:pStyle w:val="F21"/>
        <w:spacing w:lineRule="atLeast" w:line="420"/>
        <w:rPr/>
      </w:pPr>
      <w:r>
        <w:rPr>
          <w:rFonts w:ascii="華康中黑體" w:hAnsi="華康中黑體" w:eastAsia="華康中黑體"/>
          <w:b/>
        </w:rPr>
        <w:t>秘書</w:t>
      </w:r>
      <w:r>
        <w:rPr/>
        <w:t>：第</w:t>
      </w:r>
      <w:r>
        <w:rPr/>
        <w:t>1</w:t>
      </w:r>
      <w:r>
        <w:rPr/>
        <w:t>至</w:t>
      </w:r>
      <w:r>
        <w:rPr/>
        <w:t>7</w:t>
      </w:r>
      <w:r>
        <w:rPr/>
        <w:t>、</w:t>
      </w:r>
      <w:r>
        <w:rPr/>
        <w:t>9</w:t>
      </w:r>
      <w:r>
        <w:rPr/>
        <w:t>及</w:t>
      </w:r>
      <w:r>
        <w:rPr/>
        <w:t>10</w:t>
      </w:r>
      <w:r>
        <w:rPr/>
        <w:t>條。</w:t>
      </w:r>
    </w:p>
    <w:p>
      <w:pPr>
        <w:pStyle w:val="F21"/>
        <w:spacing w:lineRule="atLeast" w:line="420"/>
        <w:rPr/>
      </w:pPr>
      <w:r>
        <w:rPr/>
      </w:r>
    </w:p>
    <w:p>
      <w:pPr>
        <w:pStyle w:val="F21"/>
        <w:spacing w:lineRule="atLeast" w:line="420"/>
        <w:rPr/>
      </w:pPr>
      <w:r>
        <w:rPr/>
      </w:r>
    </w:p>
    <w:p>
      <w:pPr>
        <w:pStyle w:val="F21"/>
        <w:spacing w:lineRule="atLeast" w:line="420"/>
        <w:rPr/>
      </w:pPr>
      <w:r>
        <w:rPr>
          <w:rFonts w:ascii="華康中黑體" w:hAnsi="華康中黑體" w:eastAsia="華康中黑體"/>
          <w:b/>
        </w:rPr>
        <w:t>代理全委會主席</w:t>
      </w:r>
      <w:r>
        <w:rPr>
          <w:rFonts w:ascii="華康中黑體" w:hAnsi="華康中黑體"/>
        </w:rPr>
        <w:t>：</w:t>
      </w:r>
      <w:r>
        <w:rPr/>
        <w:t>是否有委員想發言？</w:t>
      </w:r>
    </w:p>
    <w:p>
      <w:pPr>
        <w:pStyle w:val="F21"/>
        <w:spacing w:lineRule="atLeast" w:line="420"/>
        <w:rPr/>
      </w:pPr>
      <w:r>
        <w:rPr/>
      </w:r>
    </w:p>
    <w:p>
      <w:pPr>
        <w:pStyle w:val="F21"/>
        <w:spacing w:lineRule="atLeast" w:line="420"/>
        <w:rPr/>
      </w:pPr>
      <w:r>
        <w:rPr/>
        <w:t>(</w:t>
      </w:r>
      <w:r>
        <w:rPr/>
        <w:t>沒有委員表示想發言</w:t>
      </w:r>
      <w:r>
        <w:rPr/>
        <w:t>)</w:t>
      </w:r>
    </w:p>
    <w:p>
      <w:pPr>
        <w:pStyle w:val="F21"/>
        <w:spacing w:lineRule="atLeast" w:line="420"/>
        <w:rPr/>
      </w:pPr>
      <w:r>
        <w:rPr/>
      </w:r>
    </w:p>
    <w:p>
      <w:pPr>
        <w:pStyle w:val="F21"/>
        <w:spacing w:lineRule="atLeast" w:line="420"/>
        <w:rPr/>
      </w:pPr>
      <w:r>
        <w:rPr/>
      </w:r>
    </w:p>
    <w:p>
      <w:pPr>
        <w:pStyle w:val="Normal"/>
        <w:tabs>
          <w:tab w:val="clear" w:pos="720"/>
          <w:tab w:val="left" w:pos="567" w:leader="none"/>
        </w:tabs>
        <w:snapToGrid w:val="false"/>
        <w:spacing w:lineRule="atLeast" w:line="420"/>
        <w:rPr>
          <w:spacing w:val="20"/>
          <w:sz w:val="27"/>
        </w:rPr>
      </w:pPr>
      <w:r>
        <w:rPr>
          <w:rFonts w:eastAsia="華康中黑體"/>
          <w:b/>
          <w:color w:val="000000"/>
          <w:spacing w:val="20"/>
          <w:sz w:val="27"/>
          <w:szCs w:val="27"/>
        </w:rPr>
        <w:t>代理全委會主席</w:t>
      </w:r>
      <w:r>
        <w:rPr>
          <w:color w:val="000000"/>
          <w:spacing w:val="20"/>
          <w:sz w:val="27"/>
          <w:szCs w:val="27"/>
        </w:rPr>
        <w:t>：</w:t>
      </w:r>
      <w:r>
        <w:rPr>
          <w:spacing w:val="20"/>
          <w:sz w:val="27"/>
        </w:rPr>
        <w:t>我現在向各位提出的待決議題是：第</w:t>
      </w:r>
      <w:r>
        <w:rPr>
          <w:spacing w:val="20"/>
          <w:sz w:val="27"/>
        </w:rPr>
        <w:t>1</w:t>
      </w:r>
      <w:r>
        <w:rPr>
          <w:spacing w:val="20"/>
          <w:sz w:val="27"/>
        </w:rPr>
        <w:t>至</w:t>
      </w:r>
      <w:r>
        <w:rPr>
          <w:spacing w:val="20"/>
          <w:sz w:val="27"/>
        </w:rPr>
        <w:t>7</w:t>
      </w:r>
      <w:r>
        <w:rPr>
          <w:spacing w:val="20"/>
          <w:sz w:val="27"/>
        </w:rPr>
        <w:t>、</w:t>
      </w:r>
      <w:r>
        <w:rPr>
          <w:spacing w:val="20"/>
          <w:sz w:val="27"/>
        </w:rPr>
        <w:t>9</w:t>
      </w:r>
      <w:r>
        <w:rPr>
          <w:spacing w:val="20"/>
          <w:sz w:val="27"/>
        </w:rPr>
        <w:t>及</w:t>
      </w:r>
      <w:r>
        <w:rPr>
          <w:spacing w:val="20"/>
          <w:sz w:val="27"/>
        </w:rPr>
        <w:t>10</w:t>
      </w:r>
      <w:r>
        <w:rPr>
          <w:spacing w:val="20"/>
          <w:sz w:val="27"/>
        </w:rPr>
        <w:t>條納‍入本條例草‍案。現在付諸表決，贊成的請舉手。</w:t>
      </w:r>
    </w:p>
    <w:p>
      <w:pPr>
        <w:pStyle w:val="F21"/>
        <w:snapToGrid w:val="false"/>
        <w:spacing w:lineRule="atLeast" w:line="420"/>
        <w:rPr/>
      </w:pPr>
      <w:r>
        <w:rPr/>
      </w:r>
    </w:p>
    <w:p>
      <w:pPr>
        <w:pStyle w:val="F21"/>
        <w:snapToGrid w:val="false"/>
        <w:spacing w:lineRule="atLeast" w:line="420"/>
        <w:rPr/>
      </w:pPr>
      <w:r>
        <w:rPr/>
        <w:t>(</w:t>
      </w:r>
      <w:r>
        <w:rPr/>
        <w:t>委員舉手</w:t>
      </w:r>
      <w:r>
        <w:rPr/>
        <w:t>)</w:t>
      </w:r>
    </w:p>
    <w:p>
      <w:pPr>
        <w:pStyle w:val="F21"/>
        <w:snapToGrid w:val="false"/>
        <w:spacing w:lineRule="atLeast" w:line="420"/>
        <w:rPr>
          <w:rFonts w:ascii="華康中黑體" w:hAnsi="華康中黑體" w:eastAsia="華康中黑體"/>
          <w:b/>
          <w:b/>
        </w:rPr>
      </w:pPr>
      <w:r>
        <w:rPr>
          <w:rFonts w:eastAsia="華康中黑體" w:ascii="華康中黑體" w:hAnsi="華康中黑體"/>
          <w:b/>
        </w:rPr>
      </w:r>
    </w:p>
    <w:p>
      <w:pPr>
        <w:pStyle w:val="F21"/>
        <w:snapToGrid w:val="false"/>
        <w:spacing w:lineRule="atLeast" w:line="420"/>
        <w:rPr>
          <w:rFonts w:ascii="華康中黑體" w:hAnsi="華康中黑體" w:eastAsia="華康中黑體"/>
          <w:b/>
          <w:b/>
        </w:rPr>
      </w:pPr>
      <w:r>
        <w:rPr>
          <w:rFonts w:eastAsia="華康中黑體" w:ascii="華康中黑體" w:hAnsi="華康中黑體"/>
          <w:b/>
        </w:rPr>
      </w:r>
    </w:p>
    <w:p>
      <w:pPr>
        <w:pStyle w:val="F21"/>
        <w:widowControl/>
        <w:snapToGrid w:val="false"/>
        <w:spacing w:lineRule="atLeast" w:line="420"/>
        <w:ind w:left="2520" w:hanging="2520"/>
        <w:rPr>
          <w:color w:val="000000"/>
          <w:szCs w:val="27"/>
        </w:rPr>
      </w:pPr>
      <w:r>
        <w:rPr>
          <w:rFonts w:eastAsia="華康中黑體"/>
          <w:b/>
          <w:color w:val="000000"/>
          <w:szCs w:val="27"/>
        </w:rPr>
        <w:t>代理全委會主席</w:t>
      </w:r>
      <w:r>
        <w:rPr>
          <w:color w:val="000000"/>
          <w:szCs w:val="27"/>
        </w:rPr>
        <w:t>：</w:t>
      </w:r>
      <w:r>
        <w:rPr/>
        <w:t>反對的請舉手</w:t>
      </w:r>
      <w:r>
        <w:rPr>
          <w:color w:val="000000"/>
          <w:szCs w:val="27"/>
        </w:rPr>
        <w:t>。</w:t>
      </w:r>
    </w:p>
    <w:p>
      <w:pPr>
        <w:pStyle w:val="F21"/>
        <w:snapToGrid w:val="false"/>
        <w:spacing w:lineRule="atLeast" w:line="420"/>
        <w:rPr/>
      </w:pPr>
      <w:r>
        <w:rPr/>
      </w:r>
    </w:p>
    <w:p>
      <w:pPr>
        <w:pStyle w:val="F21"/>
        <w:snapToGrid w:val="false"/>
        <w:spacing w:lineRule="atLeast" w:line="420"/>
        <w:rPr/>
      </w:pPr>
      <w:r>
        <w:rPr/>
        <w:t>(</w:t>
      </w:r>
      <w:r>
        <w:rPr/>
        <w:t>沒有委員舉手</w:t>
      </w:r>
      <w:r>
        <w:rPr/>
        <w:t>)</w:t>
      </w:r>
    </w:p>
    <w:p>
      <w:pPr>
        <w:pStyle w:val="F21"/>
        <w:snapToGrid w:val="false"/>
        <w:spacing w:lineRule="atLeast" w:line="420"/>
        <w:rPr/>
      </w:pPr>
      <w:r>
        <w:rPr/>
      </w:r>
    </w:p>
    <w:p>
      <w:pPr>
        <w:pStyle w:val="Normal"/>
        <w:spacing w:lineRule="atLeast" w:line="420"/>
        <w:ind w:left="2482" w:hanging="2482"/>
        <w:rPr>
          <w:rFonts w:eastAsia="華康中黑體"/>
          <w:b/>
          <w:b/>
          <w:color w:val="000000"/>
          <w:spacing w:val="20"/>
          <w:sz w:val="27"/>
          <w:szCs w:val="27"/>
        </w:rPr>
      </w:pPr>
      <w:r>
        <w:rPr>
          <w:rFonts w:eastAsia="華康中黑體"/>
          <w:b/>
          <w:color w:val="000000"/>
          <w:spacing w:val="20"/>
          <w:sz w:val="27"/>
          <w:szCs w:val="27"/>
        </w:rPr>
      </w:r>
    </w:p>
    <w:p>
      <w:pPr>
        <w:pStyle w:val="Normal"/>
        <w:tabs>
          <w:tab w:val="clear" w:pos="720"/>
          <w:tab w:val="left" w:pos="567" w:leader="none"/>
        </w:tabs>
        <w:snapToGrid w:val="false"/>
        <w:spacing w:lineRule="atLeast" w:line="420"/>
        <w:rPr>
          <w:spacing w:val="20"/>
          <w:sz w:val="27"/>
          <w:szCs w:val="27"/>
        </w:rPr>
      </w:pPr>
      <w:r>
        <w:rPr>
          <w:rFonts w:eastAsia="華康中黑體"/>
          <w:b/>
          <w:color w:val="000000"/>
          <w:spacing w:val="20"/>
          <w:sz w:val="27"/>
          <w:szCs w:val="27"/>
        </w:rPr>
        <w:t>代理全委會主席</w:t>
      </w:r>
      <w:r>
        <w:rPr>
          <w:color w:val="000000"/>
          <w:spacing w:val="20"/>
          <w:sz w:val="27"/>
          <w:szCs w:val="27"/>
        </w:rPr>
        <w:t>：</w:t>
      </w:r>
      <w:r>
        <w:rPr>
          <w:spacing w:val="20"/>
          <w:sz w:val="27"/>
          <w:szCs w:val="27"/>
        </w:rPr>
        <w:t>我認為議題獲得在席委員以‍過半數贊成。我宣布議案獲得通過。</w:t>
      </w:r>
    </w:p>
    <w:p>
      <w:pPr>
        <w:pStyle w:val="Normal"/>
        <w:tabs>
          <w:tab w:val="clear" w:pos="720"/>
          <w:tab w:val="left" w:pos="567" w:leader="none"/>
        </w:tabs>
        <w:snapToGrid w:val="false"/>
        <w:spacing w:lineRule="atLeast" w:line="420"/>
        <w:rPr>
          <w:spacing w:val="20"/>
          <w:sz w:val="27"/>
          <w:szCs w:val="27"/>
        </w:rPr>
      </w:pPr>
      <w:r>
        <w:rPr>
          <w:spacing w:val="20"/>
          <w:sz w:val="27"/>
          <w:szCs w:val="27"/>
        </w:rPr>
      </w:r>
    </w:p>
    <w:p>
      <w:pPr>
        <w:pStyle w:val="Normal"/>
        <w:tabs>
          <w:tab w:val="clear" w:pos="720"/>
          <w:tab w:val="left" w:pos="567" w:leader="none"/>
        </w:tabs>
        <w:snapToGrid w:val="false"/>
        <w:spacing w:lineRule="atLeast" w:line="420"/>
        <w:rPr>
          <w:spacing w:val="20"/>
          <w:sz w:val="27"/>
          <w:szCs w:val="27"/>
        </w:rPr>
      </w:pPr>
      <w:r>
        <w:rPr>
          <w:spacing w:val="20"/>
          <w:sz w:val="27"/>
          <w:szCs w:val="27"/>
        </w:rPr>
      </w:r>
    </w:p>
    <w:p>
      <w:pPr>
        <w:pStyle w:val="Normal"/>
        <w:tabs>
          <w:tab w:val="clear" w:pos="720"/>
          <w:tab w:val="left" w:pos="567" w:leader="none"/>
        </w:tabs>
        <w:snapToGrid w:val="false"/>
        <w:spacing w:lineRule="atLeast" w:line="420"/>
        <w:rPr>
          <w:spacing w:val="20"/>
          <w:sz w:val="27"/>
          <w:szCs w:val="27"/>
        </w:rPr>
      </w:pPr>
      <w:r>
        <w:rPr>
          <w:rFonts w:eastAsia="華康中黑體"/>
          <w:b/>
          <w:spacing w:val="20"/>
          <w:sz w:val="27"/>
          <w:szCs w:val="27"/>
        </w:rPr>
        <w:t>秘書</w:t>
      </w:r>
      <w:r>
        <w:rPr>
          <w:spacing w:val="20"/>
          <w:sz w:val="27"/>
          <w:szCs w:val="27"/>
        </w:rPr>
        <w:t>：第</w:t>
      </w:r>
      <w:r>
        <w:rPr>
          <w:spacing w:val="20"/>
          <w:sz w:val="27"/>
          <w:szCs w:val="27"/>
        </w:rPr>
        <w:t>8</w:t>
      </w:r>
      <w:r>
        <w:rPr>
          <w:spacing w:val="20"/>
          <w:sz w:val="27"/>
          <w:szCs w:val="27"/>
        </w:rPr>
        <w:t>條。</w:t>
      </w:r>
    </w:p>
    <w:p>
      <w:pPr>
        <w:pStyle w:val="F21"/>
        <w:spacing w:lineRule="atLeast" w:line="370"/>
        <w:rPr>
          <w:szCs w:val="27"/>
        </w:rPr>
      </w:pPr>
      <w:r>
        <w:rPr>
          <w:rFonts w:eastAsia="華康中黑體"/>
          <w:b/>
          <w:szCs w:val="27"/>
        </w:rPr>
        <w:t>環境局局長</w:t>
      </w:r>
      <w:r>
        <w:rPr>
          <w:szCs w:val="27"/>
        </w:rPr>
        <w:t>：代理主席，我動議修訂《</w:t>
      </w:r>
      <w:r>
        <w:rPr>
          <w:szCs w:val="27"/>
        </w:rPr>
        <w:t>2013</w:t>
      </w:r>
      <w:r>
        <w:rPr>
          <w:szCs w:val="27"/>
        </w:rPr>
        <w:t>年廢物處置</w:t>
      </w:r>
      <w:r>
        <w:rPr>
          <w:szCs w:val="27"/>
        </w:rPr>
        <w:t>(</w:t>
      </w:r>
      <w:r>
        <w:rPr>
          <w:szCs w:val="27"/>
        </w:rPr>
        <w:t>修訂</w:t>
      </w:r>
      <w:r>
        <w:rPr>
          <w:szCs w:val="27"/>
        </w:rPr>
        <w:t>)</w:t>
      </w:r>
      <w:r>
        <w:rPr>
          <w:szCs w:val="27"/>
        </w:rPr>
        <w:t>條例草案》第</w:t>
      </w:r>
      <w:r>
        <w:rPr>
          <w:szCs w:val="27"/>
        </w:rPr>
        <w:t>8</w:t>
      </w:r>
      <w:r>
        <w:rPr>
          <w:szCs w:val="27"/>
        </w:rPr>
        <w:t>條。修正案的內容已載於發送給各位委員的文件中。</w:t>
      </w:r>
      <w:r>
        <w:br w:type="page"/>
      </w:r>
    </w:p>
    <w:p>
      <w:pPr>
        <w:pStyle w:val="F21"/>
        <w:spacing w:lineRule="atLeast" w:line="370"/>
        <w:rPr>
          <w:szCs w:val="27"/>
        </w:rPr>
      </w:pPr>
      <w:r>
        <w:rPr>
          <w:szCs w:val="27"/>
        </w:rPr>
      </w:r>
    </w:p>
    <w:p>
      <w:pPr>
        <w:pStyle w:val="F21"/>
        <w:spacing w:lineRule="atLeast" w:line="370"/>
        <w:rPr>
          <w:szCs w:val="27"/>
        </w:rPr>
      </w:pPr>
      <w:r>
        <w:rPr>
          <w:szCs w:val="27"/>
        </w:rPr>
        <w:tab/>
      </w:r>
      <w:r>
        <w:rPr>
          <w:szCs w:val="27"/>
        </w:rPr>
        <w:t>這項修訂的目的，是明確表明擬議新訂的第</w:t>
      </w:r>
      <w:r>
        <w:rPr>
          <w:szCs w:val="27"/>
        </w:rPr>
        <w:t>16C(7)</w:t>
      </w:r>
      <w:r>
        <w:rPr>
          <w:szCs w:val="27"/>
        </w:rPr>
        <w:t>條，所涉罪行亦屬嚴格法律責任。有關規定是指，在私人土地地段擺放建築廢物，期間須時刻在該地段的一個顯眼位置，展示關於該擺放活動的經認收表格的複本。這做法可方便辨識已經按照規定取得許可的建築廢物擺放活動，從而有助舉報和相關執法工作。</w:t>
      </w:r>
    </w:p>
    <w:p>
      <w:pPr>
        <w:pStyle w:val="F21"/>
        <w:spacing w:lineRule="atLeast" w:line="370"/>
        <w:rPr>
          <w:szCs w:val="27"/>
        </w:rPr>
      </w:pPr>
      <w:r>
        <w:rPr>
          <w:szCs w:val="27"/>
        </w:rPr>
      </w:r>
    </w:p>
    <w:p>
      <w:pPr>
        <w:pStyle w:val="F21"/>
        <w:spacing w:lineRule="atLeast" w:line="370"/>
        <w:rPr>
          <w:szCs w:val="27"/>
        </w:rPr>
      </w:pPr>
      <w:r>
        <w:rPr>
          <w:szCs w:val="27"/>
        </w:rPr>
        <w:tab/>
      </w:r>
      <w:r>
        <w:rPr>
          <w:szCs w:val="27"/>
        </w:rPr>
        <w:t>一般而言，規管性質的罪行屬嚴格法律責任罪行，而我們的政策意向亦是將第</w:t>
      </w:r>
      <w:r>
        <w:rPr>
          <w:szCs w:val="27"/>
        </w:rPr>
        <w:t>16C(7)</w:t>
      </w:r>
      <w:r>
        <w:rPr>
          <w:szCs w:val="27"/>
        </w:rPr>
        <w:t>條所涉罪行定為嚴格法律責任。透過修正案，我們可以把有關的政策意向表明，令條文更為清晰。</w:t>
      </w:r>
    </w:p>
    <w:p>
      <w:pPr>
        <w:pStyle w:val="F21"/>
        <w:spacing w:lineRule="atLeast" w:line="370"/>
        <w:rPr>
          <w:szCs w:val="27"/>
        </w:rPr>
      </w:pPr>
      <w:r>
        <w:rPr>
          <w:szCs w:val="27"/>
        </w:rPr>
      </w:r>
    </w:p>
    <w:p>
      <w:pPr>
        <w:pStyle w:val="F21"/>
        <w:spacing w:lineRule="atLeast" w:line="370"/>
        <w:rPr>
          <w:szCs w:val="27"/>
        </w:rPr>
      </w:pPr>
      <w:r>
        <w:rPr>
          <w:szCs w:val="27"/>
        </w:rPr>
        <w:tab/>
      </w:r>
      <w:r>
        <w:rPr>
          <w:szCs w:val="27"/>
        </w:rPr>
        <w:t>這項修正案得到法案委員會的支持，我希望獲全體委員會通過。</w:t>
      </w:r>
    </w:p>
    <w:p>
      <w:pPr>
        <w:pStyle w:val="F21"/>
        <w:spacing w:lineRule="atLeast" w:line="370"/>
        <w:rPr>
          <w:szCs w:val="27"/>
        </w:rPr>
      </w:pPr>
      <w:r>
        <w:rPr>
          <w:szCs w:val="27"/>
        </w:rPr>
      </w:r>
    </w:p>
    <w:p>
      <w:pPr>
        <w:pStyle w:val="F21"/>
        <w:spacing w:lineRule="atLeast" w:line="370"/>
        <w:rPr>
          <w:szCs w:val="27"/>
        </w:rPr>
      </w:pPr>
      <w:r>
        <w:rPr>
          <w:szCs w:val="27"/>
        </w:rPr>
        <w:tab/>
      </w:r>
      <w:r>
        <w:rPr>
          <w:szCs w:val="27"/>
        </w:rPr>
        <w:t>多謝代理主席。</w:t>
      </w:r>
    </w:p>
    <w:p>
      <w:pPr>
        <w:pStyle w:val="F21"/>
        <w:spacing w:lineRule="atLeast" w:line="370"/>
        <w:rPr/>
      </w:pPr>
      <w:r>
        <w:rPr/>
      </w:r>
    </w:p>
    <w:p>
      <w:pPr>
        <w:pStyle w:val="F21"/>
        <w:spacing w:lineRule="atLeast" w:line="370"/>
        <w:rPr>
          <w:i/>
          <w:i/>
        </w:rPr>
      </w:pPr>
      <w:r>
        <w:rPr>
          <w:i/>
        </w:rPr>
        <w:t>擬議修正案內容</w:t>
      </w:r>
    </w:p>
    <w:p>
      <w:pPr>
        <w:pStyle w:val="F21"/>
        <w:spacing w:lineRule="atLeast" w:line="370"/>
        <w:rPr/>
      </w:pPr>
      <w:r>
        <w:rPr/>
      </w:r>
    </w:p>
    <w:p>
      <w:pPr>
        <w:pStyle w:val="F21"/>
        <w:spacing w:lineRule="atLeast" w:line="370"/>
        <w:rPr>
          <w:rFonts w:eastAsia="華康中黑體" w:cs="Times New Roman"/>
          <w:b/>
          <w:b/>
        </w:rPr>
      </w:pPr>
      <w:r>
        <w:rPr>
          <w:rFonts w:cs="Times New Roman" w:eastAsia="華康中黑體"/>
          <w:b/>
        </w:rPr>
        <w:t>第</w:t>
      </w:r>
      <w:r>
        <w:rPr>
          <w:rFonts w:eastAsia="華康中黑體" w:cs="Times New Roman"/>
          <w:b/>
        </w:rPr>
        <w:t>8</w:t>
      </w:r>
      <w:r>
        <w:rPr>
          <w:rFonts w:cs="Times New Roman" w:eastAsia="華康中黑體"/>
          <w:b/>
        </w:rPr>
        <w:t>條</w:t>
      </w:r>
      <w:r>
        <w:rPr>
          <w:rFonts w:eastAsia="華康中黑體" w:cs="Times New Roman"/>
          <w:b/>
        </w:rPr>
        <w:t>(</w:t>
      </w:r>
      <w:hyperlink w:anchor="anx02">
        <w:r>
          <w:rPr>
            <w:rFonts w:cs="Times New Roman" w:eastAsia="華康中黑體"/>
            <w:b/>
          </w:rPr>
          <w:t>見附件</w:t>
        </w:r>
        <w:r>
          <w:rPr>
            <w:rFonts w:eastAsia="華康中黑體" w:cs="Times New Roman"/>
            <w:b/>
          </w:rPr>
          <w:t>II</w:t>
        </w:r>
      </w:hyperlink>
      <w:r>
        <w:rPr>
          <w:rFonts w:eastAsia="華康中黑體" w:cs="Times New Roman"/>
          <w:b/>
        </w:rPr>
        <w:t>)</w:t>
      </w:r>
    </w:p>
    <w:p>
      <w:pPr>
        <w:pStyle w:val="F21"/>
        <w:spacing w:lineRule="atLeast" w:line="370"/>
        <w:rPr/>
      </w:pPr>
      <w:r>
        <w:rPr/>
      </w:r>
    </w:p>
    <w:p>
      <w:pPr>
        <w:pStyle w:val="F21"/>
        <w:spacing w:lineRule="atLeast" w:line="370"/>
        <w:rPr/>
      </w:pPr>
      <w:r>
        <w:rPr/>
      </w:r>
    </w:p>
    <w:p>
      <w:pPr>
        <w:pStyle w:val="F21"/>
        <w:spacing w:lineRule="atLeast" w:line="370"/>
        <w:rPr/>
      </w:pPr>
      <w:r>
        <w:rPr>
          <w:rFonts w:ascii="華康中黑體" w:hAnsi="華康中黑體" w:eastAsia="華康中黑體"/>
          <w:b/>
        </w:rPr>
        <w:t>代理全委會主席</w:t>
      </w:r>
      <w:r>
        <w:rPr>
          <w:rFonts w:ascii="華康中黑體" w:hAnsi="華康中黑體"/>
        </w:rPr>
        <w:t>：</w:t>
      </w:r>
      <w:r>
        <w:rPr/>
        <w:t>是否有委員想發言？</w:t>
      </w:r>
    </w:p>
    <w:p>
      <w:pPr>
        <w:pStyle w:val="F21"/>
        <w:spacing w:lineRule="atLeast" w:line="370"/>
        <w:rPr/>
      </w:pPr>
      <w:r>
        <w:rPr/>
      </w:r>
    </w:p>
    <w:p>
      <w:pPr>
        <w:pStyle w:val="F21"/>
        <w:spacing w:lineRule="atLeast" w:line="370"/>
        <w:rPr/>
      </w:pPr>
      <w:r>
        <w:rPr/>
        <w:t>(</w:t>
      </w:r>
      <w:r>
        <w:rPr/>
        <w:t>沒有委員表示想發言</w:t>
      </w:r>
      <w:r>
        <w:rPr/>
        <w:t>)</w:t>
      </w:r>
    </w:p>
    <w:p>
      <w:pPr>
        <w:pStyle w:val="F21"/>
        <w:spacing w:lineRule="atLeast" w:line="370"/>
        <w:rPr/>
      </w:pPr>
      <w:r>
        <w:rPr/>
      </w:r>
    </w:p>
    <w:p>
      <w:pPr>
        <w:pStyle w:val="F21"/>
        <w:spacing w:lineRule="atLeast" w:line="370"/>
        <w:rPr/>
      </w:pPr>
      <w:r>
        <w:rPr/>
      </w:r>
    </w:p>
    <w:p>
      <w:pPr>
        <w:pStyle w:val="Normal"/>
        <w:tabs>
          <w:tab w:val="clear" w:pos="720"/>
          <w:tab w:val="left" w:pos="567" w:leader="none"/>
        </w:tabs>
        <w:snapToGrid w:val="false"/>
        <w:spacing w:lineRule="atLeast" w:line="370"/>
        <w:rPr>
          <w:spacing w:val="20"/>
          <w:sz w:val="27"/>
        </w:rPr>
      </w:pPr>
      <w:r>
        <w:rPr>
          <w:rFonts w:eastAsia="華康中黑體"/>
          <w:b/>
          <w:color w:val="000000"/>
          <w:spacing w:val="20"/>
          <w:sz w:val="27"/>
          <w:szCs w:val="27"/>
        </w:rPr>
        <w:t>代理全委會主席</w:t>
      </w:r>
      <w:r>
        <w:rPr>
          <w:color w:val="000000"/>
          <w:spacing w:val="20"/>
          <w:sz w:val="27"/>
          <w:szCs w:val="27"/>
        </w:rPr>
        <w:t>：</w:t>
      </w:r>
      <w:r>
        <w:rPr>
          <w:spacing w:val="20"/>
          <w:sz w:val="27"/>
        </w:rPr>
        <w:t>我現在向各位提出的待決議題是：環境局局長動議的修‍正‍案，予‍以‍通‍過。現在付諸表決，贊成的請舉手。</w:t>
      </w:r>
    </w:p>
    <w:p>
      <w:pPr>
        <w:pStyle w:val="Normal"/>
        <w:spacing w:lineRule="atLeast" w:line="370"/>
        <w:rPr>
          <w:spacing w:val="20"/>
          <w:sz w:val="27"/>
          <w:szCs w:val="27"/>
        </w:rPr>
      </w:pPr>
      <w:r>
        <w:rPr>
          <w:spacing w:val="20"/>
          <w:sz w:val="27"/>
          <w:szCs w:val="27"/>
        </w:rPr>
      </w:r>
    </w:p>
    <w:p>
      <w:pPr>
        <w:pStyle w:val="F21"/>
        <w:snapToGrid w:val="false"/>
        <w:spacing w:lineRule="atLeast" w:line="370"/>
        <w:rPr/>
      </w:pPr>
      <w:r>
        <w:rPr/>
        <w:t>(</w:t>
      </w:r>
      <w:r>
        <w:rPr/>
        <w:t>委員舉手</w:t>
      </w:r>
      <w:r>
        <w:rPr/>
        <w:t>)</w:t>
      </w:r>
    </w:p>
    <w:p>
      <w:pPr>
        <w:pStyle w:val="F21"/>
        <w:snapToGrid w:val="false"/>
        <w:spacing w:lineRule="atLeast" w:line="370"/>
        <w:rPr>
          <w:rFonts w:eastAsia="華康中黑體"/>
          <w:b/>
          <w:b/>
          <w:color w:val="000000"/>
          <w:szCs w:val="27"/>
        </w:rPr>
      </w:pPr>
      <w:r>
        <w:rPr>
          <w:rFonts w:eastAsia="華康中黑體"/>
          <w:b/>
          <w:color w:val="000000"/>
          <w:szCs w:val="27"/>
        </w:rPr>
      </w:r>
    </w:p>
    <w:p>
      <w:pPr>
        <w:pStyle w:val="F21"/>
        <w:snapToGrid w:val="false"/>
        <w:spacing w:lineRule="atLeast" w:line="370"/>
        <w:rPr>
          <w:rFonts w:eastAsia="華康中黑體"/>
          <w:b/>
          <w:b/>
          <w:color w:val="000000"/>
          <w:szCs w:val="27"/>
        </w:rPr>
      </w:pPr>
      <w:r>
        <w:rPr>
          <w:rFonts w:eastAsia="華康中黑體"/>
          <w:b/>
          <w:color w:val="000000"/>
          <w:szCs w:val="27"/>
        </w:rPr>
      </w:r>
    </w:p>
    <w:p>
      <w:pPr>
        <w:pStyle w:val="F21"/>
        <w:snapToGrid w:val="false"/>
        <w:spacing w:lineRule="atLeast" w:line="370"/>
        <w:rPr/>
      </w:pPr>
      <w:r>
        <w:rPr>
          <w:rFonts w:eastAsia="華康中黑體"/>
          <w:b/>
          <w:color w:val="000000"/>
          <w:szCs w:val="27"/>
        </w:rPr>
        <w:t>代理全委會主席</w:t>
      </w:r>
      <w:r>
        <w:rPr>
          <w:color w:val="000000"/>
          <w:szCs w:val="27"/>
        </w:rPr>
        <w:t>：</w:t>
      </w:r>
      <w:r>
        <w:rPr/>
        <w:t>反對的請舉手</w:t>
      </w:r>
      <w:r>
        <w:rPr>
          <w:color w:val="000000"/>
          <w:szCs w:val="27"/>
        </w:rPr>
        <w:t>。</w:t>
      </w:r>
    </w:p>
    <w:p>
      <w:pPr>
        <w:pStyle w:val="F21"/>
        <w:snapToGrid w:val="false"/>
        <w:spacing w:lineRule="atLeast" w:line="370"/>
        <w:rPr/>
      </w:pPr>
      <w:r>
        <w:rPr/>
      </w:r>
    </w:p>
    <w:p>
      <w:pPr>
        <w:pStyle w:val="F21"/>
        <w:snapToGrid w:val="false"/>
        <w:spacing w:lineRule="atLeast" w:line="370"/>
        <w:rPr/>
      </w:pPr>
      <w:r>
        <w:rPr/>
        <w:t>(</w:t>
      </w:r>
      <w:r>
        <w:rPr/>
        <w:t>沒有委員舉手</w:t>
      </w:r>
      <w:r>
        <w:rPr/>
        <w:t>)</w:t>
      </w:r>
    </w:p>
    <w:p>
      <w:pPr>
        <w:pStyle w:val="F21"/>
        <w:snapToGrid w:val="false"/>
        <w:spacing w:lineRule="atLeast" w:line="400"/>
        <w:rPr>
          <w:szCs w:val="27"/>
        </w:rPr>
      </w:pPr>
      <w:r>
        <w:rPr>
          <w:rFonts w:eastAsia="華康中黑體"/>
          <w:b/>
          <w:color w:val="000000"/>
          <w:szCs w:val="27"/>
        </w:rPr>
        <w:t>代理全委會主席</w:t>
      </w:r>
      <w:r>
        <w:rPr>
          <w:color w:val="000000"/>
          <w:szCs w:val="27"/>
        </w:rPr>
        <w:t>：</w:t>
      </w:r>
      <w:r>
        <w:rPr>
          <w:szCs w:val="27"/>
        </w:rPr>
        <w:t>我認為議題獲得在席委員以‍過半數贊成。我宣布修正案獲得通過。</w:t>
      </w:r>
      <w:r>
        <w:br w:type="page"/>
      </w:r>
    </w:p>
    <w:p>
      <w:pPr>
        <w:pStyle w:val="F21"/>
        <w:snapToGrid w:val="false"/>
        <w:spacing w:lineRule="atLeast" w:line="400"/>
        <w:rPr>
          <w:rFonts w:eastAsia="華康中黑體"/>
          <w:b/>
          <w:b/>
          <w:color w:val="000000"/>
          <w:szCs w:val="27"/>
        </w:rPr>
      </w:pPr>
      <w:r>
        <w:rPr>
          <w:rFonts w:eastAsia="華康中黑體"/>
          <w:b/>
          <w:color w:val="000000"/>
          <w:szCs w:val="27"/>
        </w:rPr>
      </w:r>
    </w:p>
    <w:p>
      <w:pPr>
        <w:pStyle w:val="F21"/>
        <w:snapToGrid w:val="false"/>
        <w:spacing w:lineRule="atLeast" w:line="400"/>
        <w:rPr>
          <w:rFonts w:eastAsia="華康中黑體"/>
          <w:b/>
          <w:b/>
          <w:color w:val="000000"/>
          <w:szCs w:val="27"/>
        </w:rPr>
      </w:pPr>
      <w:r>
        <w:rPr>
          <w:rFonts w:eastAsia="華康中黑體"/>
          <w:b/>
          <w:color w:val="000000"/>
          <w:szCs w:val="27"/>
        </w:rPr>
      </w:r>
    </w:p>
    <w:p>
      <w:pPr>
        <w:pStyle w:val="F21"/>
        <w:snapToGrid w:val="false"/>
        <w:spacing w:lineRule="atLeast" w:line="400"/>
        <w:rPr>
          <w:color w:val="000000"/>
          <w:szCs w:val="27"/>
        </w:rPr>
      </w:pPr>
      <w:r>
        <w:rPr>
          <w:rFonts w:eastAsia="華康中黑體"/>
          <w:b/>
          <w:color w:val="000000"/>
          <w:szCs w:val="27"/>
        </w:rPr>
        <w:t>秘書</w:t>
      </w:r>
      <w:r>
        <w:rPr>
          <w:color w:val="000000"/>
          <w:szCs w:val="27"/>
        </w:rPr>
        <w:t>：經修正的第</w:t>
      </w:r>
      <w:r>
        <w:rPr>
          <w:color w:val="000000"/>
          <w:szCs w:val="27"/>
        </w:rPr>
        <w:t>8</w:t>
      </w:r>
      <w:r>
        <w:rPr>
          <w:color w:val="000000"/>
          <w:szCs w:val="27"/>
        </w:rPr>
        <w:t>條。</w:t>
      </w:r>
    </w:p>
    <w:p>
      <w:pPr>
        <w:pStyle w:val="F21"/>
        <w:snapToGrid w:val="false"/>
        <w:spacing w:lineRule="atLeast" w:line="400"/>
        <w:rPr>
          <w:color w:val="000000"/>
          <w:szCs w:val="27"/>
        </w:rPr>
      </w:pPr>
      <w:r>
        <w:rPr>
          <w:color w:val="000000"/>
          <w:szCs w:val="27"/>
        </w:rPr>
      </w:r>
    </w:p>
    <w:p>
      <w:pPr>
        <w:pStyle w:val="F21"/>
        <w:snapToGrid w:val="false"/>
        <w:spacing w:lineRule="atLeast" w:line="400"/>
        <w:rPr>
          <w:color w:val="000000"/>
          <w:szCs w:val="27"/>
        </w:rPr>
      </w:pPr>
      <w:r>
        <w:rPr>
          <w:color w:val="000000"/>
          <w:szCs w:val="27"/>
        </w:rPr>
      </w:r>
    </w:p>
    <w:p>
      <w:pPr>
        <w:pStyle w:val="F21"/>
        <w:snapToGrid w:val="false"/>
        <w:spacing w:lineRule="atLeast" w:line="400"/>
        <w:rPr>
          <w:color w:val="000000"/>
          <w:szCs w:val="27"/>
        </w:rPr>
      </w:pPr>
      <w:r>
        <w:rPr>
          <w:rFonts w:eastAsia="華康中黑體"/>
          <w:b/>
          <w:color w:val="000000"/>
          <w:szCs w:val="27"/>
        </w:rPr>
        <w:t>代理全委會主席</w:t>
      </w:r>
      <w:r>
        <w:rPr>
          <w:color w:val="000000"/>
          <w:szCs w:val="27"/>
        </w:rPr>
        <w:t>：我現在向各位提出的待決議題是：經修正的第</w:t>
      </w:r>
      <w:r>
        <w:rPr>
          <w:color w:val="000000"/>
          <w:szCs w:val="27"/>
        </w:rPr>
        <w:t>8</w:t>
      </w:r>
      <w:r>
        <w:rPr>
          <w:color w:val="000000"/>
          <w:szCs w:val="27"/>
        </w:rPr>
        <w:t>條納入本條例草案。現在付諸表決，贊成的請舉手。</w:t>
      </w:r>
    </w:p>
    <w:p>
      <w:pPr>
        <w:pStyle w:val="Normal"/>
        <w:spacing w:lineRule="atLeast" w:line="400"/>
        <w:rPr>
          <w:spacing w:val="20"/>
          <w:sz w:val="27"/>
          <w:szCs w:val="27"/>
        </w:rPr>
      </w:pPr>
      <w:r>
        <w:rPr>
          <w:spacing w:val="20"/>
          <w:sz w:val="27"/>
          <w:szCs w:val="27"/>
        </w:rPr>
      </w:r>
    </w:p>
    <w:p>
      <w:pPr>
        <w:pStyle w:val="F21"/>
        <w:snapToGrid w:val="false"/>
        <w:spacing w:lineRule="atLeast" w:line="400"/>
        <w:rPr/>
      </w:pPr>
      <w:r>
        <w:rPr/>
        <w:t>(</w:t>
      </w:r>
      <w:r>
        <w:rPr/>
        <w:t>委員舉手</w:t>
      </w:r>
      <w:r>
        <w:rPr/>
        <w:t>)</w:t>
      </w:r>
    </w:p>
    <w:p>
      <w:pPr>
        <w:pStyle w:val="F21"/>
        <w:snapToGrid w:val="false"/>
        <w:spacing w:lineRule="atLeast" w:line="400"/>
        <w:rPr>
          <w:rFonts w:ascii="華康中黑體" w:hAnsi="華康中黑體" w:eastAsia="華康中黑體"/>
          <w:b/>
          <w:b/>
        </w:rPr>
      </w:pPr>
      <w:r>
        <w:rPr>
          <w:rFonts w:eastAsia="華康中黑體" w:ascii="華康中黑體" w:hAnsi="華康中黑體"/>
          <w:b/>
        </w:rPr>
      </w:r>
    </w:p>
    <w:p>
      <w:pPr>
        <w:pStyle w:val="F21"/>
        <w:snapToGrid w:val="false"/>
        <w:spacing w:lineRule="atLeast" w:line="400"/>
        <w:rPr>
          <w:rFonts w:ascii="華康中黑體" w:hAnsi="華康中黑體" w:eastAsia="華康中黑體"/>
          <w:b/>
          <w:b/>
        </w:rPr>
      </w:pPr>
      <w:r>
        <w:rPr>
          <w:rFonts w:eastAsia="華康中黑體" w:ascii="華康中黑體" w:hAnsi="華康中黑體"/>
          <w:b/>
        </w:rPr>
      </w:r>
    </w:p>
    <w:p>
      <w:pPr>
        <w:pStyle w:val="F21"/>
        <w:widowControl/>
        <w:snapToGrid w:val="false"/>
        <w:spacing w:lineRule="atLeast" w:line="400"/>
        <w:ind w:left="2520" w:hanging="2520"/>
        <w:rPr>
          <w:color w:val="000000"/>
          <w:szCs w:val="27"/>
        </w:rPr>
      </w:pPr>
      <w:r>
        <w:rPr>
          <w:rFonts w:eastAsia="華康中黑體"/>
          <w:b/>
          <w:color w:val="000000"/>
          <w:szCs w:val="27"/>
        </w:rPr>
        <w:t>代理全委會主席</w:t>
      </w:r>
      <w:r>
        <w:rPr>
          <w:color w:val="000000"/>
          <w:szCs w:val="27"/>
        </w:rPr>
        <w:t>：</w:t>
      </w:r>
      <w:r>
        <w:rPr/>
        <w:t>反對的請舉手</w:t>
      </w:r>
      <w:r>
        <w:rPr>
          <w:color w:val="000000"/>
          <w:szCs w:val="27"/>
        </w:rPr>
        <w:t>。</w:t>
      </w:r>
    </w:p>
    <w:p>
      <w:pPr>
        <w:pStyle w:val="F21"/>
        <w:snapToGrid w:val="false"/>
        <w:spacing w:lineRule="atLeast" w:line="400"/>
        <w:rPr/>
      </w:pPr>
      <w:r>
        <w:rPr/>
      </w:r>
    </w:p>
    <w:p>
      <w:pPr>
        <w:pStyle w:val="F21"/>
        <w:snapToGrid w:val="false"/>
        <w:spacing w:lineRule="atLeast" w:line="400"/>
        <w:rPr/>
      </w:pPr>
      <w:r>
        <w:rPr/>
        <w:t>(</w:t>
      </w:r>
      <w:r>
        <w:rPr/>
        <w:t>沒有委員舉手</w:t>
      </w:r>
      <w:r>
        <w:rPr/>
        <w:t>)</w:t>
      </w:r>
    </w:p>
    <w:p>
      <w:pPr>
        <w:pStyle w:val="Normal"/>
        <w:spacing w:lineRule="atLeast" w:line="400"/>
        <w:rPr>
          <w:spacing w:val="20"/>
          <w:sz w:val="27"/>
          <w:szCs w:val="27"/>
        </w:rPr>
      </w:pPr>
      <w:r>
        <w:rPr>
          <w:spacing w:val="20"/>
          <w:sz w:val="27"/>
          <w:szCs w:val="27"/>
        </w:rPr>
      </w:r>
    </w:p>
    <w:p>
      <w:pPr>
        <w:pStyle w:val="Normal"/>
        <w:spacing w:lineRule="atLeast" w:line="400"/>
        <w:rPr>
          <w:spacing w:val="20"/>
          <w:sz w:val="27"/>
          <w:szCs w:val="27"/>
        </w:rPr>
      </w:pPr>
      <w:r>
        <w:rPr>
          <w:spacing w:val="20"/>
          <w:sz w:val="27"/>
          <w:szCs w:val="27"/>
        </w:rPr>
      </w:r>
    </w:p>
    <w:p>
      <w:pPr>
        <w:pStyle w:val="F21"/>
        <w:snapToGrid w:val="false"/>
        <w:spacing w:lineRule="atLeast" w:line="400"/>
        <w:rPr>
          <w:color w:val="000000"/>
          <w:szCs w:val="27"/>
        </w:rPr>
      </w:pPr>
      <w:r>
        <w:rPr>
          <w:rFonts w:eastAsia="華康中黑體"/>
          <w:b/>
          <w:color w:val="000000"/>
          <w:szCs w:val="27"/>
        </w:rPr>
        <w:t>代理全委會主席</w:t>
      </w:r>
      <w:r>
        <w:rPr>
          <w:color w:val="000000"/>
          <w:szCs w:val="27"/>
        </w:rPr>
        <w:t>：</w:t>
      </w:r>
      <w:r>
        <w:rPr>
          <w:szCs w:val="27"/>
        </w:rPr>
        <w:t>我認為議題獲得在席委員以‍過半數贊成。我宣布議案獲得通過。</w:t>
      </w:r>
    </w:p>
    <w:p>
      <w:pPr>
        <w:pStyle w:val="F21"/>
        <w:snapToGrid w:val="false"/>
        <w:spacing w:lineRule="atLeast" w:line="400"/>
        <w:rPr>
          <w:color w:val="000000"/>
          <w:szCs w:val="27"/>
        </w:rPr>
      </w:pPr>
      <w:r>
        <w:rPr>
          <w:color w:val="000000"/>
          <w:szCs w:val="27"/>
        </w:rPr>
      </w:r>
    </w:p>
    <w:p>
      <w:pPr>
        <w:pStyle w:val="F21"/>
        <w:snapToGrid w:val="false"/>
        <w:spacing w:lineRule="atLeast" w:line="400"/>
        <w:rPr>
          <w:color w:val="000000"/>
          <w:szCs w:val="27"/>
        </w:rPr>
      </w:pPr>
      <w:r>
        <w:rPr>
          <w:color w:val="000000"/>
          <w:szCs w:val="27"/>
        </w:rPr>
      </w:r>
    </w:p>
    <w:p>
      <w:pPr>
        <w:pStyle w:val="F21"/>
        <w:spacing w:lineRule="atLeast" w:line="400"/>
        <w:rPr/>
      </w:pPr>
      <w:r>
        <w:rPr>
          <w:rFonts w:ascii="華康中黑體" w:hAnsi="華康中黑體" w:eastAsia="華康中黑體"/>
          <w:b/>
        </w:rPr>
        <w:t>代理全委會主席</w:t>
      </w:r>
      <w:r>
        <w:rPr>
          <w:rFonts w:ascii="華康中黑體" w:hAnsi="華康中黑體"/>
        </w:rPr>
        <w:t>：</w:t>
      </w:r>
      <w:r>
        <w:rPr/>
        <w:t>全體委員會現在回復為立法會。</w:t>
      </w:r>
    </w:p>
    <w:p>
      <w:pPr>
        <w:pStyle w:val="F21"/>
        <w:spacing w:lineRule="atLeast" w:line="400"/>
        <w:rPr/>
      </w:pPr>
      <w:r>
        <w:rPr/>
      </w:r>
    </w:p>
    <w:p>
      <w:pPr>
        <w:pStyle w:val="F21"/>
        <w:spacing w:lineRule="atLeast" w:line="400"/>
        <w:rPr/>
      </w:pPr>
      <w:r>
        <w:rPr/>
      </w:r>
    </w:p>
    <w:p>
      <w:pPr>
        <w:pStyle w:val="F21"/>
        <w:spacing w:lineRule="atLeast" w:line="400"/>
        <w:rPr/>
      </w:pPr>
      <w:r>
        <w:rPr/>
        <w:t>全體委員會隨而回復為立法會。</w:t>
      </w:r>
    </w:p>
    <w:p>
      <w:pPr>
        <w:pStyle w:val="Normal"/>
        <w:spacing w:lineRule="atLeast" w:line="400"/>
        <w:rPr/>
      </w:pPr>
      <w:r>
        <w:rPr/>
        <w:t>Council then resumed.</w:t>
      </w:r>
    </w:p>
    <w:p>
      <w:pPr>
        <w:pStyle w:val="F21"/>
        <w:spacing w:lineRule="atLeast" w:line="400"/>
        <w:rPr>
          <w:rFonts w:ascii="華康中黑體" w:hAnsi="華康中黑體" w:eastAsia="華康中黑體"/>
          <w:b/>
          <w:b/>
        </w:rPr>
      </w:pPr>
      <w:r>
        <w:rPr>
          <w:rFonts w:eastAsia="華康中黑體" w:ascii="華康中黑體" w:hAnsi="華康中黑體"/>
          <w:b/>
        </w:rPr>
      </w:r>
    </w:p>
    <w:p>
      <w:pPr>
        <w:pStyle w:val="F21"/>
        <w:spacing w:lineRule="atLeast" w:line="400"/>
        <w:rPr>
          <w:rFonts w:ascii="華康中黑體" w:hAnsi="華康中黑體" w:eastAsia="華康中黑體"/>
          <w:b/>
          <w:b/>
        </w:rPr>
      </w:pPr>
      <w:r>
        <w:rPr>
          <w:rFonts w:eastAsia="華康中黑體" w:ascii="華康中黑體" w:hAnsi="華康中黑體"/>
          <w:b/>
        </w:rPr>
      </w:r>
    </w:p>
    <w:p>
      <w:pPr>
        <w:pStyle w:val="F21"/>
        <w:spacing w:lineRule="atLeast" w:line="400"/>
        <w:rPr>
          <w:rFonts w:ascii="華康中黑體" w:hAnsi="華康中黑體" w:eastAsia="華康中黑體"/>
          <w:b/>
          <w:b/>
        </w:rPr>
      </w:pPr>
      <w:bookmarkStart w:id="82" w:name="b3r02"/>
      <w:r>
        <w:rPr>
          <w:rFonts w:ascii="華康中黑體" w:hAnsi="華康中黑體" w:eastAsia="華康中黑體"/>
          <w:b/>
        </w:rPr>
        <w:t>法案三讀</w:t>
      </w:r>
    </w:p>
    <w:p>
      <w:pPr>
        <w:pStyle w:val="Normal"/>
        <w:spacing w:lineRule="atLeast" w:line="400"/>
        <w:rPr>
          <w:b/>
          <w:b/>
        </w:rPr>
      </w:pPr>
      <w:bookmarkStart w:id="83" w:name="b3r02"/>
      <w:r>
        <w:rPr>
          <w:b/>
        </w:rPr>
        <w:t>Third Reading of Bills</w:t>
      </w:r>
      <w:bookmarkEnd w:id="83"/>
    </w:p>
    <w:p>
      <w:pPr>
        <w:pStyle w:val="F21"/>
        <w:snapToGrid w:val="false"/>
        <w:spacing w:lineRule="atLeast" w:line="400"/>
        <w:ind w:left="1531" w:hanging="1531"/>
        <w:rPr/>
      </w:pPr>
      <w:r>
        <w:rPr/>
      </w:r>
    </w:p>
    <w:p>
      <w:pPr>
        <w:pStyle w:val="F21"/>
        <w:spacing w:lineRule="atLeast" w:line="400"/>
        <w:rPr/>
      </w:pPr>
      <w:r>
        <w:rPr>
          <w:rFonts w:ascii="華康中黑體" w:hAnsi="華康中黑體" w:eastAsia="華康中黑體"/>
          <w:b/>
        </w:rPr>
        <w:t>代理主席</w:t>
      </w:r>
      <w:r>
        <w:rPr>
          <w:rFonts w:ascii="華康中黑體" w:hAnsi="華康中黑體"/>
        </w:rPr>
        <w:t>：</w:t>
      </w:r>
      <w:r>
        <w:rPr/>
        <w:t>法案：三讀。</w:t>
      </w:r>
    </w:p>
    <w:p>
      <w:pPr>
        <w:pStyle w:val="F21"/>
        <w:snapToGrid w:val="false"/>
        <w:spacing w:lineRule="auto" w:line="240"/>
        <w:ind w:left="1531" w:hanging="1531"/>
        <w:rPr/>
      </w:pPr>
      <w:r>
        <w:rPr/>
      </w:r>
    </w:p>
    <w:p>
      <w:pPr>
        <w:pStyle w:val="F21"/>
        <w:spacing w:lineRule="atLeast" w:line="380"/>
        <w:rPr>
          <w:rFonts w:ascii="華康中黑體" w:hAnsi="華康中黑體" w:eastAsia="華康中黑體"/>
          <w:b/>
          <w:b/>
        </w:rPr>
      </w:pPr>
      <w:bookmarkStart w:id="84" w:name="b3r02a"/>
      <w:r>
        <w:rPr>
          <w:rFonts w:cs="Times New Roman" w:eastAsia="華康中黑體"/>
          <w:b/>
        </w:rPr>
        <w:t>《</w:t>
      </w:r>
      <w:r>
        <w:rPr>
          <w:rFonts w:eastAsia="華康中黑體" w:cs="Times New Roman"/>
          <w:b/>
        </w:rPr>
        <w:t>2013</w:t>
      </w:r>
      <w:r>
        <w:rPr>
          <w:rFonts w:cs="Times New Roman" w:eastAsia="華康中黑體"/>
          <w:b/>
        </w:rPr>
        <w:t>年廢物處置</w:t>
      </w:r>
      <w:r>
        <w:rPr>
          <w:rFonts w:eastAsia="華康中黑體" w:cs="Times New Roman"/>
          <w:b/>
        </w:rPr>
        <w:t>(</w:t>
      </w:r>
      <w:r>
        <w:rPr>
          <w:rFonts w:cs="Times New Roman" w:eastAsia="華康中黑體"/>
          <w:b/>
        </w:rPr>
        <w:t>修訂</w:t>
      </w:r>
      <w:r>
        <w:rPr>
          <w:rFonts w:eastAsia="華康中黑體" w:cs="Times New Roman"/>
          <w:b/>
        </w:rPr>
        <w:t>)</w:t>
      </w:r>
      <w:r>
        <w:rPr>
          <w:rFonts w:cs="Times New Roman" w:eastAsia="華康中黑體"/>
          <w:b/>
        </w:rPr>
        <w:t>條例草案》</w:t>
      </w:r>
      <w:r>
        <w:br w:type="page"/>
      </w:r>
    </w:p>
    <w:p>
      <w:pPr>
        <w:pStyle w:val="F21"/>
        <w:spacing w:lineRule="atLeast" w:line="380"/>
        <w:rPr>
          <w:rFonts w:cs="Times New Roman"/>
          <w:b/>
          <w:b/>
          <w:spacing w:val="0"/>
          <w:sz w:val="28"/>
          <w:lang w:val="en-GB"/>
        </w:rPr>
      </w:pPr>
      <w:bookmarkStart w:id="85" w:name="b3r02a"/>
      <w:r>
        <w:rPr>
          <w:rFonts w:cs="Times New Roman"/>
          <w:b/>
          <w:spacing w:val="0"/>
          <w:sz w:val="28"/>
          <w:lang w:val="en-GB"/>
        </w:rPr>
        <w:t>WASTE DISPOSAL (AMENDMENT) BILL 2013</w:t>
      </w:r>
      <w:bookmarkEnd w:id="85"/>
    </w:p>
    <w:p>
      <w:pPr>
        <w:pStyle w:val="F21"/>
        <w:snapToGrid w:val="false"/>
        <w:spacing w:lineRule="atLeast" w:line="380"/>
        <w:ind w:left="1531" w:hanging="1531"/>
        <w:rPr/>
      </w:pPr>
      <w:r>
        <w:rPr/>
      </w:r>
    </w:p>
    <w:p>
      <w:pPr>
        <w:pStyle w:val="F21"/>
        <w:spacing w:lineRule="atLeast" w:line="380"/>
        <w:rPr/>
      </w:pPr>
      <w:r>
        <w:rPr>
          <w:rFonts w:ascii="華康中黑體" w:hAnsi="華康中黑體" w:eastAsia="華康中黑體"/>
          <w:b/>
        </w:rPr>
        <w:t>環境局局長</w:t>
      </w:r>
      <w:r>
        <w:rPr/>
        <w:t>：代理主席，</w:t>
      </w:r>
    </w:p>
    <w:p>
      <w:pPr>
        <w:pStyle w:val="F21"/>
        <w:snapToGrid w:val="false"/>
        <w:spacing w:lineRule="atLeast" w:line="380"/>
        <w:ind w:left="1531" w:hanging="1531"/>
        <w:rPr/>
      </w:pPr>
      <w:r>
        <w:rPr/>
      </w:r>
    </w:p>
    <w:p>
      <w:pPr>
        <w:pStyle w:val="F21"/>
        <w:spacing w:lineRule="atLeast" w:line="380"/>
        <w:rPr/>
      </w:pPr>
      <w:r>
        <w:rPr/>
        <w:t>《</w:t>
      </w:r>
      <w:r>
        <w:rPr/>
        <w:t>2013</w:t>
      </w:r>
      <w:r>
        <w:rPr/>
        <w:t>年廢物處置</w:t>
      </w:r>
      <w:r>
        <w:rPr/>
        <w:t>(</w:t>
      </w:r>
      <w:r>
        <w:rPr/>
        <w:t>修訂</w:t>
      </w:r>
      <w:r>
        <w:rPr/>
        <w:t>)</w:t>
      </w:r>
      <w:r>
        <w:rPr/>
        <w:t>條例草案》</w:t>
      </w:r>
    </w:p>
    <w:p>
      <w:pPr>
        <w:pStyle w:val="F21"/>
        <w:snapToGrid w:val="false"/>
        <w:spacing w:lineRule="atLeast" w:line="380"/>
        <w:ind w:left="1531" w:hanging="1531"/>
        <w:rPr/>
      </w:pPr>
      <w:r>
        <w:rPr/>
      </w:r>
    </w:p>
    <w:p>
      <w:pPr>
        <w:pStyle w:val="F21"/>
        <w:spacing w:lineRule="atLeast" w:line="380"/>
        <w:rPr/>
      </w:pPr>
      <w:r>
        <w:rPr/>
        <w:t>經修正後已通過全體委員會審議階段。我動議此條例草案予以三讀並通過。</w:t>
      </w:r>
    </w:p>
    <w:p>
      <w:pPr>
        <w:pStyle w:val="F21"/>
        <w:snapToGrid w:val="false"/>
        <w:spacing w:lineRule="atLeast" w:line="380"/>
        <w:ind w:left="1531" w:hanging="1531"/>
        <w:rPr/>
      </w:pPr>
      <w:r>
        <w:rPr/>
      </w:r>
    </w:p>
    <w:p>
      <w:pPr>
        <w:pStyle w:val="F21"/>
        <w:snapToGrid w:val="false"/>
        <w:spacing w:lineRule="atLeast" w:line="380"/>
        <w:ind w:left="1531" w:hanging="1531"/>
        <w:rPr/>
      </w:pPr>
      <w:r>
        <w:rPr/>
      </w:r>
    </w:p>
    <w:p>
      <w:pPr>
        <w:pStyle w:val="F21"/>
        <w:spacing w:lineRule="atLeast" w:line="380"/>
        <w:rPr/>
      </w:pPr>
      <w:r>
        <w:rPr>
          <w:rFonts w:eastAsia="華康中黑體"/>
          <w:b/>
        </w:rPr>
        <w:t>代理主席</w:t>
      </w:r>
      <w:r>
        <w:rPr/>
        <w:t>：我現在向各位提出的待議議題是：《</w:t>
      </w:r>
      <w:r>
        <w:rPr/>
        <w:t>2013</w:t>
      </w:r>
      <w:r>
        <w:rPr/>
        <w:t>年廢物處置</w:t>
      </w:r>
      <w:r>
        <w:rPr/>
        <w:t>(</w:t>
      </w:r>
      <w:r>
        <w:rPr/>
        <w:t>修訂</w:t>
      </w:r>
      <w:r>
        <w:rPr/>
        <w:t>)</w:t>
      </w:r>
      <w:r>
        <w:rPr/>
        <w:t>條例草案》予以三讀並通過。</w:t>
      </w:r>
    </w:p>
    <w:p>
      <w:pPr>
        <w:pStyle w:val="F21"/>
        <w:snapToGrid w:val="false"/>
        <w:spacing w:lineRule="atLeast" w:line="380"/>
        <w:ind w:left="1531" w:hanging="1531"/>
        <w:rPr/>
      </w:pPr>
      <w:r>
        <w:rPr/>
      </w:r>
    </w:p>
    <w:p>
      <w:pPr>
        <w:pStyle w:val="F21"/>
        <w:spacing w:lineRule="atLeast" w:line="380"/>
        <w:rPr/>
      </w:pPr>
      <w:r>
        <w:rPr/>
        <w:tab/>
      </w:r>
      <w:r>
        <w:rPr/>
        <w:t>是否有議員想發言？</w:t>
      </w:r>
    </w:p>
    <w:p>
      <w:pPr>
        <w:pStyle w:val="F21"/>
        <w:snapToGrid w:val="false"/>
        <w:spacing w:lineRule="atLeast" w:line="380"/>
        <w:ind w:left="1531" w:hanging="1531"/>
        <w:rPr/>
      </w:pPr>
      <w:r>
        <w:rPr/>
      </w:r>
    </w:p>
    <w:p>
      <w:pPr>
        <w:pStyle w:val="F21"/>
        <w:spacing w:lineRule="atLeast" w:line="380"/>
        <w:rPr/>
      </w:pPr>
      <w:r>
        <w:rPr/>
        <w:t>(</w:t>
      </w:r>
      <w:r>
        <w:rPr/>
        <w:t>沒有議員表示想發言</w:t>
      </w:r>
      <w:r>
        <w:rPr/>
        <w:t>)</w:t>
      </w:r>
    </w:p>
    <w:p>
      <w:pPr>
        <w:pStyle w:val="F21"/>
        <w:snapToGrid w:val="false"/>
        <w:spacing w:lineRule="atLeast" w:line="380"/>
        <w:ind w:left="1531" w:hanging="1531"/>
        <w:rPr/>
      </w:pPr>
      <w:r>
        <w:rPr/>
      </w:r>
    </w:p>
    <w:p>
      <w:pPr>
        <w:pStyle w:val="F21"/>
        <w:snapToGrid w:val="false"/>
        <w:spacing w:lineRule="atLeast" w:line="380"/>
        <w:ind w:left="1531" w:hanging="1531"/>
        <w:rPr/>
      </w:pPr>
      <w:r>
        <w:rPr/>
      </w:r>
    </w:p>
    <w:p>
      <w:pPr>
        <w:pStyle w:val="F21"/>
        <w:snapToGrid w:val="false"/>
        <w:spacing w:lineRule="atLeast" w:line="380"/>
        <w:rPr>
          <w:rFonts w:ascii="細明體" w:hAnsi="細明體"/>
          <w:spacing w:val="24"/>
        </w:rPr>
      </w:pPr>
      <w:r>
        <w:rPr>
          <w:rFonts w:ascii="華康中黑體" w:hAnsi="華康中黑體" w:eastAsia="華康中黑體"/>
          <w:b/>
          <w:spacing w:val="24"/>
        </w:rPr>
        <w:t>代理主席</w:t>
      </w:r>
      <w:r>
        <w:rPr>
          <w:rFonts w:ascii="華康中黑體" w:hAnsi="華康中黑體"/>
          <w:spacing w:val="24"/>
        </w:rPr>
        <w:t>：</w:t>
      </w:r>
      <w:r>
        <w:rPr>
          <w:spacing w:val="24"/>
          <w:szCs w:val="27"/>
        </w:rPr>
        <w:t>我現在向各位提出上述待決議題，付諸表決。贊成的請舉手。</w:t>
      </w:r>
    </w:p>
    <w:p>
      <w:pPr>
        <w:pStyle w:val="F21"/>
        <w:snapToGrid w:val="false"/>
        <w:spacing w:lineRule="atLeast" w:line="380"/>
        <w:ind w:left="1531" w:hanging="1531"/>
        <w:rPr/>
      </w:pPr>
      <w:r>
        <w:rPr/>
      </w:r>
    </w:p>
    <w:p>
      <w:pPr>
        <w:pStyle w:val="F21"/>
        <w:snapToGrid w:val="false"/>
        <w:spacing w:lineRule="atLeast" w:line="380"/>
        <w:rPr/>
      </w:pPr>
      <w:r>
        <w:rPr/>
        <w:t>(</w:t>
      </w:r>
      <w:r>
        <w:rPr/>
        <w:t>議員舉手</w:t>
      </w:r>
      <w:r>
        <w:rPr/>
        <w:t>)</w:t>
      </w:r>
    </w:p>
    <w:p>
      <w:pPr>
        <w:pStyle w:val="F21"/>
        <w:snapToGrid w:val="false"/>
        <w:spacing w:lineRule="atLeast" w:line="380"/>
        <w:ind w:left="1531" w:hanging="1531"/>
        <w:rPr/>
      </w:pPr>
      <w:r>
        <w:rPr/>
      </w:r>
    </w:p>
    <w:p>
      <w:pPr>
        <w:pStyle w:val="F21"/>
        <w:snapToGrid w:val="false"/>
        <w:spacing w:lineRule="atLeast" w:line="380"/>
        <w:ind w:left="1531" w:hanging="1531"/>
        <w:rPr/>
      </w:pPr>
      <w:r>
        <w:rPr/>
      </w:r>
    </w:p>
    <w:p>
      <w:pPr>
        <w:pStyle w:val="F21"/>
        <w:snapToGrid w:val="false"/>
        <w:spacing w:lineRule="atLeast" w:line="380"/>
        <w:rPr/>
      </w:pPr>
      <w:r>
        <w:rPr>
          <w:rFonts w:ascii="華康中黑體" w:hAnsi="華康中黑體" w:eastAsia="華康中黑體"/>
          <w:b/>
        </w:rPr>
        <w:t>代理主席</w:t>
      </w:r>
      <w:r>
        <w:rPr>
          <w:rFonts w:ascii="華康中黑體" w:hAnsi="華康中黑體"/>
        </w:rPr>
        <w:t>：</w:t>
      </w:r>
      <w:r>
        <w:rPr/>
        <w:t>反對的請舉手。</w:t>
      </w:r>
    </w:p>
    <w:p>
      <w:pPr>
        <w:pStyle w:val="F21"/>
        <w:snapToGrid w:val="false"/>
        <w:spacing w:lineRule="atLeast" w:line="380"/>
        <w:ind w:left="1531" w:hanging="1531"/>
        <w:rPr/>
      </w:pPr>
      <w:r>
        <w:rPr/>
      </w:r>
    </w:p>
    <w:p>
      <w:pPr>
        <w:pStyle w:val="F21"/>
        <w:snapToGrid w:val="false"/>
        <w:spacing w:lineRule="atLeast" w:line="380"/>
        <w:rPr/>
      </w:pPr>
      <w:r>
        <w:rPr/>
        <w:t>(</w:t>
      </w:r>
      <w:r>
        <w:rPr/>
        <w:t>沒有議員舉手</w:t>
      </w:r>
      <w:r>
        <w:rPr/>
        <w:t>)</w:t>
      </w:r>
    </w:p>
    <w:p>
      <w:pPr>
        <w:pStyle w:val="F21"/>
        <w:snapToGrid w:val="false"/>
        <w:spacing w:lineRule="atLeast" w:line="380"/>
        <w:ind w:left="1531" w:hanging="1531"/>
        <w:rPr>
          <w:rFonts w:ascii="華康中黑體" w:hAnsi="華康中黑體" w:eastAsia="華康中黑體"/>
          <w:b/>
          <w:b/>
        </w:rPr>
      </w:pPr>
      <w:r>
        <w:rPr>
          <w:rFonts w:eastAsia="華康中黑體" w:ascii="華康中黑體" w:hAnsi="華康中黑體"/>
          <w:b/>
        </w:rPr>
      </w:r>
    </w:p>
    <w:p>
      <w:pPr>
        <w:pStyle w:val="F21"/>
        <w:snapToGrid w:val="false"/>
        <w:spacing w:lineRule="atLeast" w:line="380"/>
        <w:ind w:left="1531" w:hanging="1531"/>
        <w:rPr>
          <w:rFonts w:ascii="華康中黑體" w:hAnsi="華康中黑體" w:eastAsia="華康中黑體"/>
          <w:b/>
          <w:b/>
        </w:rPr>
      </w:pPr>
      <w:r>
        <w:rPr>
          <w:rFonts w:eastAsia="華康中黑體" w:ascii="華康中黑體" w:hAnsi="華康中黑體"/>
          <w:b/>
        </w:rPr>
      </w:r>
    </w:p>
    <w:p>
      <w:pPr>
        <w:pStyle w:val="F21"/>
        <w:snapToGrid w:val="false"/>
        <w:spacing w:lineRule="atLeast" w:line="380"/>
        <w:rPr>
          <w:rFonts w:ascii="華康中黑體" w:hAnsi="華康中黑體" w:eastAsia="華康中黑體"/>
          <w:b/>
          <w:b/>
        </w:rPr>
      </w:pPr>
      <w:r>
        <w:rPr>
          <w:rFonts w:ascii="華康中黑體" w:hAnsi="華康中黑體" w:eastAsia="華康中黑體"/>
          <w:b/>
        </w:rPr>
        <w:t>代理主席</w:t>
      </w:r>
      <w:r>
        <w:rPr>
          <w:rFonts w:ascii="華康中黑體" w:hAnsi="華康中黑體"/>
        </w:rPr>
        <w:t>：</w:t>
      </w:r>
      <w:r>
        <w:rPr/>
        <w:t>我認為議題獲得在席議員以過半數贊成。我宣布議案獲得通過。</w:t>
      </w:r>
    </w:p>
    <w:p>
      <w:pPr>
        <w:pStyle w:val="F21"/>
        <w:snapToGrid w:val="false"/>
        <w:spacing w:lineRule="atLeast" w:line="380"/>
        <w:ind w:left="1531" w:hanging="1531"/>
        <w:rPr>
          <w:rFonts w:ascii="華康中黑體" w:hAnsi="華康中黑體" w:eastAsia="華康中黑體"/>
          <w:b/>
          <w:b/>
        </w:rPr>
      </w:pPr>
      <w:r>
        <w:rPr>
          <w:rFonts w:eastAsia="華康中黑體" w:ascii="華康中黑體" w:hAnsi="華康中黑體"/>
          <w:b/>
        </w:rPr>
      </w:r>
    </w:p>
    <w:p>
      <w:pPr>
        <w:pStyle w:val="F21"/>
        <w:snapToGrid w:val="false"/>
        <w:spacing w:lineRule="atLeast" w:line="380"/>
        <w:ind w:left="1531" w:hanging="1531"/>
        <w:rPr>
          <w:rFonts w:ascii="華康中黑體" w:hAnsi="華康中黑體" w:eastAsia="華康中黑體"/>
          <w:b/>
          <w:b/>
        </w:rPr>
      </w:pPr>
      <w:r>
        <w:rPr>
          <w:rFonts w:eastAsia="華康中黑體" w:ascii="華康中黑體" w:hAnsi="華康中黑體"/>
          <w:b/>
        </w:rPr>
      </w:r>
    </w:p>
    <w:p>
      <w:pPr>
        <w:pStyle w:val="F21"/>
        <w:spacing w:lineRule="atLeast" w:line="380"/>
        <w:rPr/>
      </w:pPr>
      <w:r>
        <w:rPr>
          <w:rFonts w:ascii="華康中黑體" w:hAnsi="華康中黑體" w:eastAsia="華康中黑體"/>
          <w:b/>
        </w:rPr>
        <w:t>秘書</w:t>
      </w:r>
      <w:r>
        <w:rPr/>
        <w:t>：《</w:t>
      </w:r>
      <w:r>
        <w:rPr/>
        <w:t>2013</w:t>
      </w:r>
      <w:r>
        <w:rPr/>
        <w:t>年廢物處置</w:t>
      </w:r>
      <w:r>
        <w:rPr/>
        <w:t>(</w:t>
      </w:r>
      <w:r>
        <w:rPr/>
        <w:t>修訂</w:t>
      </w:r>
      <w:r>
        <w:rPr/>
        <w:t>)</w:t>
      </w:r>
      <w:r>
        <w:rPr/>
        <w:t>條例草案》。</w:t>
      </w:r>
    </w:p>
    <w:p>
      <w:pPr>
        <w:pStyle w:val="F21"/>
        <w:spacing w:lineRule="exact" w:line="200"/>
        <w:rPr/>
      </w:pPr>
      <w:r>
        <w:rPr/>
      </w:r>
    </w:p>
    <w:p>
      <w:pPr>
        <w:pStyle w:val="F21"/>
        <w:rPr>
          <w:rFonts w:ascii="華康中黑體" w:hAnsi="華康中黑體" w:eastAsia="華康中黑體"/>
          <w:b/>
          <w:b/>
          <w:sz w:val="28"/>
          <w:szCs w:val="28"/>
        </w:rPr>
      </w:pPr>
      <w:bookmarkStart w:id="86" w:name="mot"/>
      <w:r>
        <w:rPr>
          <w:rFonts w:ascii="華康中黑體" w:hAnsi="華康中黑體" w:eastAsia="華康中黑體"/>
          <w:b/>
          <w:sz w:val="28"/>
          <w:szCs w:val="28"/>
        </w:rPr>
        <w:t>議案</w:t>
      </w:r>
      <w:r>
        <w:br w:type="page"/>
      </w:r>
    </w:p>
    <w:p>
      <w:pPr>
        <w:pStyle w:val="Normal"/>
        <w:rPr>
          <w:b/>
          <w:b/>
        </w:rPr>
      </w:pPr>
      <w:bookmarkStart w:id="87" w:name="mot"/>
      <w:r>
        <w:rPr>
          <w:b/>
        </w:rPr>
        <w:t>MOTIONS</w:t>
      </w:r>
      <w:bookmarkEnd w:id="87"/>
    </w:p>
    <w:p>
      <w:pPr>
        <w:pStyle w:val="F21"/>
        <w:rPr/>
      </w:pPr>
      <w:r>
        <w:rPr/>
      </w:r>
    </w:p>
    <w:p>
      <w:pPr>
        <w:pStyle w:val="F21"/>
        <w:rPr/>
      </w:pPr>
      <w:r>
        <w:rPr>
          <w:rFonts w:ascii="華康中黑體" w:hAnsi="華康中黑體" w:eastAsia="華康中黑體"/>
          <w:b/>
        </w:rPr>
        <w:t>代理主席</w:t>
      </w:r>
      <w:r>
        <w:rPr>
          <w:rFonts w:ascii="華康中黑體" w:hAnsi="華康中黑體"/>
        </w:rPr>
        <w:t>：</w:t>
      </w:r>
      <w:r>
        <w:rPr/>
        <w:t>議案。根據《釋義及通則條例》就修訂《空氣污染管制</w:t>
      </w:r>
      <w:r>
        <w:rPr/>
        <w:t>(</w:t>
      </w:r>
      <w:r>
        <w:rPr/>
        <w:t>空氣污染物排放</w:t>
      </w:r>
      <w:r>
        <w:rPr/>
        <w:t>)(</w:t>
      </w:r>
      <w:r>
        <w:rPr/>
        <w:t>受管制車輛</w:t>
      </w:r>
      <w:r>
        <w:rPr/>
        <w:t>)</w:t>
      </w:r>
      <w:r>
        <w:rPr/>
        <w:t>規例》而動議的擬議決議案。</w:t>
      </w:r>
    </w:p>
    <w:p>
      <w:pPr>
        <w:pStyle w:val="F21"/>
        <w:rPr/>
      </w:pPr>
      <w:r>
        <w:rPr/>
      </w:r>
    </w:p>
    <w:p>
      <w:pPr>
        <w:pStyle w:val="F21"/>
        <w:rPr>
          <w:rFonts w:cs="Times New Roman"/>
        </w:rPr>
      </w:pPr>
      <w:r>
        <w:rPr>
          <w:rFonts w:cs="Times New Roman"/>
        </w:rPr>
        <w:tab/>
      </w:r>
      <w:r>
        <w:rPr>
          <w:rFonts w:cs="Times New Roman"/>
        </w:rPr>
        <w:t>有意就議案發言的議員請按下“要求發言”按鈕。</w:t>
      </w:r>
    </w:p>
    <w:p>
      <w:pPr>
        <w:pStyle w:val="F21"/>
        <w:rPr/>
      </w:pPr>
      <w:r>
        <w:rPr/>
      </w:r>
    </w:p>
    <w:p>
      <w:pPr>
        <w:pStyle w:val="F21"/>
        <w:rPr/>
      </w:pPr>
      <w:r>
        <w:rPr/>
        <w:tab/>
      </w:r>
      <w:r>
        <w:rPr/>
        <w:t>我現在請環境局局長發言及動議議案。</w:t>
      </w:r>
    </w:p>
    <w:p>
      <w:pPr>
        <w:pStyle w:val="F21"/>
        <w:rPr/>
      </w:pPr>
      <w:r>
        <w:rPr/>
      </w:r>
    </w:p>
    <w:p>
      <w:pPr>
        <w:pStyle w:val="F21"/>
        <w:rPr/>
      </w:pPr>
      <w:r>
        <w:rPr/>
      </w:r>
    </w:p>
    <w:p>
      <w:pPr>
        <w:pStyle w:val="F21"/>
        <w:rPr>
          <w:rFonts w:eastAsia="華康中黑體" w:cs="Times New Roman"/>
          <w:b/>
          <w:b/>
        </w:rPr>
      </w:pPr>
      <w:bookmarkStart w:id="88" w:name="mot01"/>
      <w:r>
        <w:rPr>
          <w:rFonts w:cs="Times New Roman" w:eastAsia="華康中黑體"/>
          <w:b/>
        </w:rPr>
        <w:t>根據《釋義及通則條例》第</w:t>
      </w:r>
      <w:r>
        <w:rPr>
          <w:rFonts w:eastAsia="華康中黑體" w:cs="Times New Roman"/>
          <w:b/>
        </w:rPr>
        <w:t>34(2)</w:t>
      </w:r>
      <w:r>
        <w:rPr>
          <w:rFonts w:cs="Times New Roman" w:eastAsia="華康中黑體"/>
          <w:b/>
        </w:rPr>
        <w:t>條動議的擬議決議案</w:t>
      </w:r>
    </w:p>
    <w:p>
      <w:pPr>
        <w:pStyle w:val="Normal"/>
        <w:rPr>
          <w:b/>
          <w:b/>
        </w:rPr>
      </w:pPr>
      <w:bookmarkStart w:id="89" w:name="mot01"/>
      <w:r>
        <w:rPr>
          <w:b/>
        </w:rPr>
        <w:t>PROPOSED RESOLUTION UNDER SECTION 34(2) OF THE INTERPRETATION AND GENERAL CLAUSES ORDINANCE</w:t>
      </w:r>
      <w:bookmarkEnd w:id="89"/>
    </w:p>
    <w:p>
      <w:pPr>
        <w:pStyle w:val="F21"/>
        <w:rPr/>
      </w:pPr>
      <w:r>
        <w:rPr/>
      </w:r>
    </w:p>
    <w:p>
      <w:pPr>
        <w:pStyle w:val="F21"/>
        <w:rPr/>
      </w:pPr>
      <w:r>
        <w:rPr>
          <w:rFonts w:ascii="華康中黑體" w:hAnsi="華康中黑體" w:cs="華康中黑體" w:eastAsia="華康中黑體"/>
          <w:b/>
        </w:rPr>
        <w:t>環境局局長</w:t>
      </w:r>
      <w:r>
        <w:rPr/>
        <w:t>：代理主席，我動議修訂《空氣污染管制</w:t>
      </w:r>
      <w:r>
        <w:rPr/>
        <w:t>(</w:t>
      </w:r>
      <w:r>
        <w:rPr/>
        <w:t>空氣污染物排放</w:t>
      </w:r>
      <w:r>
        <w:rPr/>
        <w:t>)(</w:t>
      </w:r>
      <w:r>
        <w:rPr/>
        <w:t>受管制車輛</w:t>
      </w:r>
      <w:r>
        <w:rPr/>
        <w:t>)</w:t>
      </w:r>
      <w:r>
        <w:rPr/>
        <w:t>規例》</w:t>
      </w:r>
      <w:r>
        <w:rPr/>
        <w:t>(“</w:t>
      </w:r>
      <w:r>
        <w:rPr/>
        <w:t>《規例》”</w:t>
      </w:r>
      <w:r>
        <w:rPr/>
        <w:t>)</w:t>
      </w:r>
      <w:r>
        <w:rPr/>
        <w:t>，以規管柴油商業車輛的退役安排，為改善路邊空氣質素踏出重要一步，修訂內容一如議程所載。</w:t>
      </w:r>
    </w:p>
    <w:p>
      <w:pPr>
        <w:pStyle w:val="F21"/>
        <w:rPr/>
      </w:pPr>
      <w:r>
        <w:rPr/>
      </w:r>
    </w:p>
    <w:p>
      <w:pPr>
        <w:pStyle w:val="F21"/>
        <w:rPr/>
      </w:pPr>
      <w:r>
        <w:rPr/>
        <w:tab/>
      </w:r>
      <w:r>
        <w:rPr/>
        <w:t>首先，我衷心感謝小組委員會在審議《規例》期間的努力和提出的寶貴意見，特別是小組委員會主席何秀蘭議員的領導。我們已因應小組委員會的意見提出修訂，並得到小組委員會對修訂的支持。</w:t>
      </w:r>
    </w:p>
    <w:p>
      <w:pPr>
        <w:pStyle w:val="F21"/>
        <w:rPr/>
      </w:pPr>
      <w:r>
        <w:rPr/>
      </w:r>
    </w:p>
    <w:p>
      <w:pPr>
        <w:pStyle w:val="F21"/>
        <w:rPr/>
      </w:pPr>
      <w:r>
        <w:rPr/>
        <w:tab/>
      </w:r>
      <w:r>
        <w:rPr/>
        <w:t>為改善路邊空氣質素，進一步保障市民健康，行政長官在</w:t>
      </w:r>
      <w:r>
        <w:rPr/>
        <w:t>2013</w:t>
      </w:r>
      <w:r>
        <w:rPr/>
        <w:t>年的施政報告建議以鼓勵與管制並行策略，淘汰約</w:t>
      </w:r>
      <w:r>
        <w:rPr/>
        <w:t>8</w:t>
      </w:r>
      <w:r>
        <w:rPr/>
        <w:t>萬輛歐盟</w:t>
      </w:r>
      <w:r>
        <w:rPr/>
        <w:t>IV</w:t>
      </w:r>
      <w:r>
        <w:rPr/>
        <w:t>期以前的柴油商業車輛，以及為新登記的柴油商業車輛設定</w:t>
      </w:r>
      <w:r>
        <w:rPr/>
        <w:t>15</w:t>
      </w:r>
      <w:r>
        <w:rPr/>
        <w:t>年的退役期限。落實這項建議，可減少車輛排放的可吸入懸浮粒子及氮氧化物分別達</w:t>
      </w:r>
      <w:r>
        <w:rPr/>
        <w:t>80%</w:t>
      </w:r>
      <w:r>
        <w:rPr/>
        <w:t>及</w:t>
      </w:r>
      <w:r>
        <w:rPr/>
        <w:t>30%</w:t>
      </w:r>
      <w:r>
        <w:rPr/>
        <w:t>，有助在</w:t>
      </w:r>
      <w:r>
        <w:rPr/>
        <w:t>2020</w:t>
      </w:r>
      <w:r>
        <w:rPr/>
        <w:t>年達致即將生效的新空氣質素指標。由於世界衞生組織在去年年中已確定柴油車輛廢氣會致癌，淘汰這些車輛也可降低因接觸柴油車輛廢氣而患癌的風險。此外，為新登記的柴油商業車輛設定</w:t>
      </w:r>
      <w:r>
        <w:rPr/>
        <w:t>15</w:t>
      </w:r>
      <w:r>
        <w:rPr/>
        <w:t>年的退役期限，長遠有助適時更換柴油商業車輛，持續改善香港的路邊空氣質素。</w:t>
      </w:r>
    </w:p>
    <w:p>
      <w:pPr>
        <w:pStyle w:val="F21"/>
        <w:rPr/>
      </w:pPr>
      <w:r>
        <w:rPr/>
      </w:r>
    </w:p>
    <w:p>
      <w:pPr>
        <w:pStyle w:val="F21"/>
        <w:rPr/>
      </w:pPr>
      <w:r>
        <w:rPr/>
        <w:tab/>
      </w:r>
      <w:r>
        <w:rPr/>
        <w:t>經諮詢運輸業界相關持份者及立法會環境事務委員會後，我們會以鼓勵與管制並行的策略落實這政策，政府將會：</w:t>
      </w:r>
    </w:p>
    <w:p>
      <w:pPr>
        <w:pStyle w:val="F21"/>
        <w:rPr/>
      </w:pPr>
      <w:r>
        <w:rPr/>
      </w:r>
    </w:p>
    <w:p>
      <w:pPr>
        <w:pStyle w:val="F21"/>
        <w:ind w:left="1134" w:hanging="567"/>
        <w:rPr/>
      </w:pPr>
      <w:r>
        <w:rPr/>
        <w:t>(i)</w:t>
        <w:tab/>
      </w:r>
      <w:r>
        <w:rPr/>
        <w:t>向合資格車主提供新車平均應課稅值的</w:t>
      </w:r>
      <w:r>
        <w:rPr/>
        <w:t>27%</w:t>
      </w:r>
      <w:r>
        <w:rPr/>
        <w:t>至</w:t>
      </w:r>
      <w:r>
        <w:rPr/>
        <w:t>33%</w:t>
      </w:r>
      <w:r>
        <w:rPr/>
        <w:t>的特惠補償，以淘汰歐盟</w:t>
      </w:r>
      <w:r>
        <w:rPr/>
        <w:t>IV</w:t>
      </w:r>
      <w:r>
        <w:rPr/>
        <w:t>期以前的柴油商業車輛。這些車輛包括貨車、非專利巴士和小巴。被淘汰車輛的車齡越高，補償金額會越低。補償金額在整項計劃期內會維持不變，這安排將提供額外推動力，促使車主盡早採取行動。特惠補償只與被淘汰車輛的車齡掛鈎，不會與車主會否更換新車有影響；</w:t>
      </w:r>
    </w:p>
    <w:p>
      <w:pPr>
        <w:pStyle w:val="F21"/>
        <w:ind w:left="1134" w:hanging="567"/>
        <w:rPr/>
      </w:pPr>
      <w:r>
        <w:rPr/>
      </w:r>
    </w:p>
    <w:p>
      <w:pPr>
        <w:pStyle w:val="F21"/>
        <w:ind w:left="1134" w:hanging="567"/>
        <w:rPr/>
      </w:pPr>
      <w:r>
        <w:rPr/>
        <w:t>(ii)</w:t>
        <w:tab/>
      </w:r>
      <w:r>
        <w:rPr/>
        <w:t>按車輛首次登記日期，分期淘汰歐盟</w:t>
      </w:r>
      <w:r>
        <w:rPr/>
        <w:t>IV</w:t>
      </w:r>
      <w:r>
        <w:rPr/>
        <w:t>期以前的柴油商業車輛。大致上，歐盟前期柴油商業車輛的退役期限為</w:t>
      </w:r>
      <w:r>
        <w:rPr/>
        <w:t>2016</w:t>
      </w:r>
      <w:r>
        <w:rPr/>
        <w:t>年</w:t>
      </w:r>
      <w:r>
        <w:rPr/>
        <w:t>1</w:t>
      </w:r>
      <w:r>
        <w:rPr/>
        <w:t>月</w:t>
      </w:r>
      <w:r>
        <w:rPr/>
        <w:t>1</w:t>
      </w:r>
      <w:r>
        <w:rPr/>
        <w:t>日，歐盟</w:t>
      </w:r>
      <w:r>
        <w:rPr/>
        <w:t>I</w:t>
      </w:r>
      <w:r>
        <w:rPr/>
        <w:t>期車輛為</w:t>
      </w:r>
      <w:r>
        <w:rPr/>
        <w:t>2017</w:t>
      </w:r>
      <w:r>
        <w:rPr/>
        <w:t>年</w:t>
      </w:r>
      <w:r>
        <w:rPr/>
        <w:t>1</w:t>
      </w:r>
      <w:r>
        <w:rPr/>
        <w:t>月</w:t>
      </w:r>
      <w:r>
        <w:rPr/>
        <w:t>1</w:t>
      </w:r>
      <w:r>
        <w:rPr/>
        <w:t>日、歐盟</w:t>
      </w:r>
      <w:r>
        <w:rPr/>
        <w:t>II</w:t>
      </w:r>
      <w:r>
        <w:rPr/>
        <w:t>期車輛為</w:t>
      </w:r>
      <w:r>
        <w:rPr/>
        <w:t>2018</w:t>
      </w:r>
      <w:r>
        <w:rPr/>
        <w:t>年</w:t>
      </w:r>
      <w:r>
        <w:rPr/>
        <w:t>1</w:t>
      </w:r>
      <w:r>
        <w:rPr/>
        <w:t>月</w:t>
      </w:r>
      <w:r>
        <w:rPr/>
        <w:t>1</w:t>
      </w:r>
      <w:r>
        <w:rPr/>
        <w:t>日，而歐盟</w:t>
      </w:r>
      <w:r>
        <w:rPr/>
        <w:t>III</w:t>
      </w:r>
      <w:r>
        <w:rPr/>
        <w:t>期車輛則為</w:t>
      </w:r>
      <w:r>
        <w:rPr/>
        <w:t>2020</w:t>
      </w:r>
      <w:r>
        <w:rPr/>
        <w:t>年</w:t>
      </w:r>
      <w:r>
        <w:rPr/>
        <w:t>1</w:t>
      </w:r>
      <w:r>
        <w:rPr/>
        <w:t>月</w:t>
      </w:r>
      <w:r>
        <w:rPr/>
        <w:t>1</w:t>
      </w:r>
      <w:r>
        <w:rPr/>
        <w:t>日；及</w:t>
      </w:r>
    </w:p>
    <w:p>
      <w:pPr>
        <w:pStyle w:val="F21"/>
        <w:ind w:left="1134" w:hanging="567"/>
        <w:rPr/>
      </w:pPr>
      <w:r>
        <w:rPr/>
      </w:r>
    </w:p>
    <w:p>
      <w:pPr>
        <w:pStyle w:val="F21"/>
        <w:ind w:left="1134" w:hanging="567"/>
        <w:rPr/>
      </w:pPr>
      <w:r>
        <w:rPr/>
        <w:t>(iii)</w:t>
        <w:tab/>
      </w:r>
      <w:r>
        <w:rPr/>
        <w:t>為新登記的柴油商業車輛設定</w:t>
      </w:r>
      <w:r>
        <w:rPr/>
        <w:t>15</w:t>
      </w:r>
      <w:r>
        <w:rPr/>
        <w:t>年的退役期限。</w:t>
      </w:r>
    </w:p>
    <w:p>
      <w:pPr>
        <w:pStyle w:val="F21"/>
        <w:rPr/>
      </w:pPr>
      <w:r>
        <w:rPr/>
      </w:r>
    </w:p>
    <w:p>
      <w:pPr>
        <w:pStyle w:val="F21"/>
        <w:rPr/>
      </w:pPr>
      <w:r>
        <w:rPr/>
        <w:tab/>
      </w:r>
      <w:r>
        <w:rPr/>
        <w:t>為了落實上述的管制措施，我根據《空氣污染管制條例》</w:t>
      </w:r>
      <w:r>
        <w:rPr/>
        <w:t>(</w:t>
      </w:r>
      <w:r>
        <w:rPr/>
        <w:t>第</w:t>
      </w:r>
      <w:r>
        <w:rPr/>
        <w:t>311</w:t>
      </w:r>
      <w:r>
        <w:rPr/>
        <w:t>章</w:t>
      </w:r>
      <w:r>
        <w:rPr/>
        <w:t>)</w:t>
      </w:r>
      <w:r>
        <w:rPr/>
        <w:t>第</w:t>
      </w:r>
      <w:r>
        <w:rPr/>
        <w:t>43</w:t>
      </w:r>
      <w:r>
        <w:rPr/>
        <w:t>條制定《規例》。《規例》訂明受管制車輛包括貨車、小型巴士和非專利巴士，並按車輛首次登記日期為歐盟</w:t>
      </w:r>
      <w:r>
        <w:rPr/>
        <w:t>IV</w:t>
      </w:r>
      <w:r>
        <w:rPr/>
        <w:t>期以前的柴油商業車輛訂定退役期限，以及為在</w:t>
      </w:r>
      <w:r>
        <w:rPr/>
        <w:t>2014</w:t>
      </w:r>
      <w:r>
        <w:rPr/>
        <w:t>年</w:t>
      </w:r>
      <w:r>
        <w:rPr/>
        <w:t>2</w:t>
      </w:r>
      <w:r>
        <w:rPr/>
        <w:t>月</w:t>
      </w:r>
      <w:r>
        <w:rPr/>
        <w:t>1</w:t>
      </w:r>
      <w:r>
        <w:rPr/>
        <w:t>日《規例》生效後，首次登記的柴油商業車輛設定</w:t>
      </w:r>
      <w:r>
        <w:rPr/>
        <w:t>15</w:t>
      </w:r>
      <w:r>
        <w:rPr/>
        <w:t>年的退役期限。受管制的車輛在退役期限後申請車輛牌照時，須符合猶如該車輛在申請牌照當天作首次登記的情況下，適用於該車輛的排放標準，否則運輸署署長可根據《道路交通條例》</w:t>
      </w:r>
      <w:r>
        <w:rPr/>
        <w:t>(</w:t>
      </w:r>
      <w:r>
        <w:rPr/>
        <w:t>第</w:t>
      </w:r>
      <w:r>
        <w:rPr/>
        <w:t>374</w:t>
      </w:r>
      <w:r>
        <w:rPr/>
        <w:t>章</w:t>
      </w:r>
      <w:r>
        <w:rPr/>
        <w:t>)</w:t>
      </w:r>
      <w:r>
        <w:rPr/>
        <w:t>第</w:t>
      </w:r>
      <w:r>
        <w:rPr/>
        <w:t>25(1)(iic)</w:t>
      </w:r>
      <w:r>
        <w:rPr/>
        <w:t>條，以車輛未符合規定為理由，拒絕簽發牌照。</w:t>
      </w:r>
    </w:p>
    <w:p>
      <w:pPr>
        <w:pStyle w:val="F21"/>
        <w:rPr/>
      </w:pPr>
      <w:r>
        <w:rPr/>
      </w:r>
    </w:p>
    <w:p>
      <w:pPr>
        <w:pStyle w:val="F21"/>
        <w:rPr/>
      </w:pPr>
      <w:r>
        <w:rPr/>
        <w:tab/>
      </w:r>
      <w:r>
        <w:rPr/>
        <w:t>至於特惠補償方面，政府會在《規例》獲通過後，盡快向財務委員會提交撥款申請，務求在</w:t>
      </w:r>
      <w:r>
        <w:rPr/>
        <w:t>2014</w:t>
      </w:r>
      <w:r>
        <w:rPr/>
        <w:t>年第一季推出特惠補償計劃，並接受申請。</w:t>
      </w:r>
    </w:p>
    <w:p>
      <w:pPr>
        <w:pStyle w:val="F21"/>
        <w:rPr/>
      </w:pPr>
      <w:r>
        <w:rPr/>
      </w:r>
    </w:p>
    <w:p>
      <w:pPr>
        <w:pStyle w:val="F21"/>
        <w:rPr/>
      </w:pPr>
      <w:r>
        <w:rPr/>
        <w:tab/>
      </w:r>
      <w:r>
        <w:rPr/>
        <w:t>小組委員會經詳細討論後，整體支持《規例》，但建議修訂其第</w:t>
      </w:r>
      <w:r>
        <w:rPr/>
        <w:t>6</w:t>
      </w:r>
      <w:r>
        <w:rPr/>
        <w:t>條。《規例》第</w:t>
      </w:r>
      <w:r>
        <w:rPr/>
        <w:t>6</w:t>
      </w:r>
      <w:r>
        <w:rPr/>
        <w:t>條旨在為監督，即環境保護署</w:t>
      </w:r>
      <w:r>
        <w:rPr/>
        <w:t>(“</w:t>
      </w:r>
      <w:r>
        <w:rPr/>
        <w:t>環保署”</w:t>
      </w:r>
      <w:r>
        <w:rPr/>
        <w:t>)</w:t>
      </w:r>
      <w:r>
        <w:rPr/>
        <w:t>署長，提供豁免權力，在有極為特殊的情況令某輛或某類型受管制車輛符合《規例》屬不切實際或不合理時，豁免該車輛或該類型車輛，使《規例》對其不適用。環保署署長在發出特別豁免時，可加入合適的發出條件。環保署署長豁免個別受管制車輛時，須向該車輛的登記車主發出書面豁免通知；而豁免某類型受管制車輛時，環保署署長須在憲報刊登豁免公告。《規例》訂明此豁免公告並不屬附屬法例。</w:t>
      </w:r>
    </w:p>
    <w:p>
      <w:pPr>
        <w:pStyle w:val="F21"/>
        <w:rPr/>
      </w:pPr>
      <w:r>
        <w:rPr/>
      </w:r>
    </w:p>
    <w:p>
      <w:pPr>
        <w:pStyle w:val="F21"/>
        <w:rPr/>
      </w:pPr>
      <w:r>
        <w:rPr/>
        <w:tab/>
      </w:r>
      <w:r>
        <w:rPr/>
        <w:t>小組委員會認為，《規例》訂明環保署署長就某類型受管制車輛發出的豁免公告並非附屬法例，可能會削弱立法會審議該豁免公告的權力。《規例》第</w:t>
      </w:r>
      <w:r>
        <w:rPr/>
        <w:t>6</w:t>
      </w:r>
      <w:r>
        <w:rPr/>
        <w:t>條賦權環保署署長發出豁免，原意是照顧不可預見的情況，例如車輛供應在極為特殊的情況下中斷，以致車主無法如期將其舊車更換為新車，因而別無選擇地停止營運。</w:t>
      </w:r>
    </w:p>
    <w:p>
      <w:pPr>
        <w:pStyle w:val="F21"/>
        <w:rPr/>
      </w:pPr>
      <w:r>
        <w:rPr/>
      </w:r>
    </w:p>
    <w:p>
      <w:pPr>
        <w:pStyle w:val="F21"/>
        <w:rPr/>
      </w:pPr>
      <w:r>
        <w:rPr/>
        <w:tab/>
      </w:r>
      <w:r>
        <w:rPr/>
        <w:t>我們充分考慮小組委員會的意見後，認為需要就某類型受管制車輛發出豁免的機會甚微，因此建議就《規例》提出修訂，廢除《規例》中有關環保署署長豁免某類型受管制車輛的條文，但保留環保署署長豁免個別受管制車輛的權力。建議的修訂內容一如議程所載。</w:t>
      </w:r>
    </w:p>
    <w:p>
      <w:pPr>
        <w:pStyle w:val="F21"/>
        <w:rPr/>
      </w:pPr>
      <w:r>
        <w:rPr/>
      </w:r>
    </w:p>
    <w:p>
      <w:pPr>
        <w:pStyle w:val="F21"/>
        <w:rPr/>
      </w:pPr>
      <w:r>
        <w:rPr/>
        <w:tab/>
      </w:r>
      <w:r>
        <w:rPr/>
        <w:t>在修訂後的《規例》下，環保署署長會按個別車輛的情況，逐一考慮豁免的申請，並以行政方式向獲豁免車輛的登記車主發出書面豁免通知。每次批出的豁免期會以</w:t>
      </w:r>
      <w:r>
        <w:rPr/>
        <w:t>4</w:t>
      </w:r>
      <w:r>
        <w:rPr/>
        <w:t>個月為基準，不會超過</w:t>
      </w:r>
      <w:r>
        <w:rPr/>
        <w:t>1</w:t>
      </w:r>
      <w:r>
        <w:rPr/>
        <w:t>年。考慮到小組委員會關注公眾可能希望知悉環保署署長豁免有關車輛的數目和發出豁免的理據，我們會在不違反《個人資料</w:t>
      </w:r>
      <w:r>
        <w:rPr/>
        <w:t>(</w:t>
      </w:r>
      <w:r>
        <w:rPr/>
        <w:t>私隱</w:t>
      </w:r>
      <w:r>
        <w:rPr/>
        <w:t>)</w:t>
      </w:r>
      <w:r>
        <w:rPr/>
        <w:t>條例》</w:t>
      </w:r>
      <w:r>
        <w:rPr/>
        <w:t>(</w:t>
      </w:r>
      <w:r>
        <w:rPr/>
        <w:t>第</w:t>
      </w:r>
      <w:r>
        <w:rPr/>
        <w:t>486</w:t>
      </w:r>
      <w:r>
        <w:rPr/>
        <w:t>章</w:t>
      </w:r>
      <w:r>
        <w:rPr/>
        <w:t>)</w:t>
      </w:r>
      <w:r>
        <w:rPr/>
        <w:t>的情況下，將有關豁免資料定期上載於環保署網頁，並向立法會環境事務委員會匯報。有關的豁免只會在非常審慎考慮後，基於極為特殊的情況下才會批出。小組委員會支持有關修訂建議，我再謹此感謝小組委員會的努力和寶貴意見。</w:t>
      </w:r>
    </w:p>
    <w:p>
      <w:pPr>
        <w:pStyle w:val="F21"/>
        <w:rPr/>
      </w:pPr>
      <w:r>
        <w:rPr/>
      </w:r>
    </w:p>
    <w:p>
      <w:pPr>
        <w:pStyle w:val="F21"/>
        <w:rPr/>
      </w:pPr>
      <w:r>
        <w:rPr/>
        <w:tab/>
      </w:r>
      <w:r>
        <w:rPr/>
        <w:t>代理主席，有關修訂已得到小組委員會支持。我希望各位議員支持上述的修訂，使規管高污染柴油商業車輛的《規例》能盡早落實。多謝代理主席。</w:t>
      </w:r>
    </w:p>
    <w:p>
      <w:pPr>
        <w:pStyle w:val="F21"/>
        <w:rPr/>
      </w:pPr>
      <w:r>
        <w:rPr/>
      </w:r>
    </w:p>
    <w:p>
      <w:pPr>
        <w:pStyle w:val="F21"/>
        <w:rPr/>
      </w:pPr>
      <w:r>
        <w:rPr>
          <w:rFonts w:ascii="華康中黑體" w:hAnsi="華康中黑體" w:eastAsia="華康中黑體"/>
          <w:b/>
        </w:rPr>
        <w:t>環境局局長動議的議案如下</w:t>
      </w:r>
      <w:r>
        <w:rPr/>
        <w:t>：</w:t>
      </w:r>
    </w:p>
    <w:p>
      <w:pPr>
        <w:pStyle w:val="F21"/>
        <w:rPr/>
      </w:pPr>
      <w:r>
        <w:rPr/>
      </w:r>
    </w:p>
    <w:p>
      <w:pPr>
        <w:pStyle w:val="F21"/>
        <w:tabs>
          <w:tab w:val="clear" w:pos="567"/>
          <w:tab w:val="left" w:pos="851" w:leader="none"/>
        </w:tabs>
        <w:overflowPunct w:val="true"/>
        <w:snapToGrid w:val="false"/>
        <w:spacing w:lineRule="atLeast" w:line="350"/>
        <w:ind w:left="1276" w:hanging="709"/>
        <w:rPr>
          <w:rFonts w:cs="Times New Roman"/>
          <w:szCs w:val="27"/>
        </w:rPr>
      </w:pPr>
      <w:r>
        <w:rPr>
          <w:rFonts w:cs="Times New Roman"/>
          <w:szCs w:val="27"/>
        </w:rPr>
        <w:t>“</w:t>
      </w:r>
      <w:r>
        <w:rPr>
          <w:rFonts w:ascii="華康細明體" w:hAnsi="華康細明體" w:cs="Times New Roman"/>
          <w:szCs w:val="27"/>
        </w:rPr>
        <w:t>議決</w:t>
      </w:r>
      <w:r>
        <w:rPr>
          <w:rFonts w:cs="Times New Roman"/>
          <w:szCs w:val="27"/>
        </w:rPr>
        <w:t>修訂於</w:t>
      </w:r>
      <w:r>
        <w:rPr>
          <w:rFonts w:cs="Times New Roman"/>
          <w:szCs w:val="27"/>
        </w:rPr>
        <w:t>2013</w:t>
      </w:r>
      <w:r>
        <w:rPr>
          <w:rFonts w:cs="Times New Roman"/>
          <w:szCs w:val="27"/>
        </w:rPr>
        <w:t>年</w:t>
      </w:r>
      <w:r>
        <w:rPr>
          <w:rFonts w:cs="Times New Roman"/>
          <w:szCs w:val="27"/>
        </w:rPr>
        <w:t>10</w:t>
      </w:r>
      <w:r>
        <w:rPr>
          <w:rFonts w:cs="Times New Roman"/>
          <w:szCs w:val="27"/>
        </w:rPr>
        <w:t>月</w:t>
      </w:r>
      <w:r>
        <w:rPr>
          <w:rFonts w:cs="Times New Roman"/>
          <w:szCs w:val="27"/>
        </w:rPr>
        <w:t>30</w:t>
      </w:r>
      <w:r>
        <w:rPr>
          <w:rFonts w:cs="Times New Roman"/>
          <w:szCs w:val="27"/>
        </w:rPr>
        <w:t>日提交立法會會議省覽的《空氣污染管制</w:t>
      </w:r>
      <w:r>
        <w:rPr>
          <w:rFonts w:cs="Times New Roman"/>
          <w:szCs w:val="27"/>
        </w:rPr>
        <w:t>(</w:t>
      </w:r>
      <w:r>
        <w:rPr>
          <w:rFonts w:cs="Times New Roman"/>
          <w:szCs w:val="27"/>
        </w:rPr>
        <w:t>空氣污染物排放</w:t>
      </w:r>
      <w:r>
        <w:rPr>
          <w:rFonts w:cs="Times New Roman"/>
          <w:szCs w:val="27"/>
        </w:rPr>
        <w:t>)(</w:t>
      </w:r>
      <w:r>
        <w:rPr>
          <w:rFonts w:cs="Times New Roman"/>
          <w:szCs w:val="27"/>
        </w:rPr>
        <w:t>受管制車輛</w:t>
      </w:r>
      <w:r>
        <w:rPr>
          <w:rFonts w:cs="Times New Roman"/>
          <w:szCs w:val="27"/>
        </w:rPr>
        <w:t>)</w:t>
      </w:r>
      <w:r>
        <w:rPr>
          <w:rFonts w:cs="Times New Roman"/>
          <w:szCs w:val="27"/>
        </w:rPr>
        <w:t>規例》</w:t>
      </w:r>
      <w:r>
        <w:rPr>
          <w:rFonts w:cs="Times New Roman"/>
          <w:szCs w:val="27"/>
        </w:rPr>
        <w:t>(</w:t>
      </w:r>
      <w:r>
        <w:rPr>
          <w:rFonts w:cs="Times New Roman"/>
          <w:szCs w:val="27"/>
        </w:rPr>
        <w:t>即刊登於憲報的</w:t>
      </w:r>
      <w:r>
        <w:rPr>
          <w:rFonts w:cs="Times New Roman"/>
          <w:szCs w:val="27"/>
        </w:rPr>
        <w:t>2013</w:t>
      </w:r>
      <w:r>
        <w:rPr>
          <w:rFonts w:cs="Times New Roman"/>
          <w:szCs w:val="27"/>
        </w:rPr>
        <w:t>年第</w:t>
      </w:r>
      <w:r>
        <w:rPr>
          <w:rFonts w:cs="Times New Roman"/>
          <w:szCs w:val="27"/>
        </w:rPr>
        <w:t>160</w:t>
      </w:r>
      <w:r>
        <w:rPr>
          <w:rFonts w:cs="Times New Roman"/>
          <w:szCs w:val="27"/>
        </w:rPr>
        <w:t>號法律公告</w:t>
      </w:r>
      <w:r>
        <w:rPr>
          <w:rFonts w:cs="Times New Roman"/>
          <w:szCs w:val="27"/>
        </w:rPr>
        <w:t>)</w:t>
      </w:r>
      <w:r>
        <w:rPr>
          <w:rFonts w:cs="Times New Roman"/>
          <w:szCs w:val="27"/>
        </w:rPr>
        <w:t>，修訂方式列於附表。</w:t>
      </w:r>
    </w:p>
    <w:p>
      <w:pPr>
        <w:pStyle w:val="Normal"/>
        <w:spacing w:lineRule="atLeast" w:line="350"/>
        <w:ind w:left="960" w:right="-449" w:hanging="447"/>
        <w:rPr>
          <w:spacing w:val="20"/>
          <w:sz w:val="27"/>
          <w:szCs w:val="27"/>
        </w:rPr>
      </w:pPr>
      <w:r>
        <w:rPr>
          <w:spacing w:val="20"/>
          <w:sz w:val="27"/>
          <w:szCs w:val="27"/>
        </w:rPr>
      </w:r>
    </w:p>
    <w:p>
      <w:pPr>
        <w:pStyle w:val="F21"/>
        <w:ind w:left="1276" w:hanging="0"/>
        <w:jc w:val="center"/>
        <w:rPr>
          <w:rFonts w:eastAsia="華康中黑體"/>
          <w:b/>
          <w:b/>
          <w:szCs w:val="27"/>
        </w:rPr>
      </w:pPr>
      <w:r>
        <w:rPr>
          <w:rFonts w:eastAsia="華康中黑體"/>
          <w:b/>
          <w:szCs w:val="27"/>
        </w:rPr>
        <w:t>附表</w:t>
      </w:r>
    </w:p>
    <w:p>
      <w:pPr>
        <w:pStyle w:val="F21"/>
        <w:ind w:left="1276" w:hanging="0"/>
        <w:rPr>
          <w:b/>
          <w:b/>
          <w:szCs w:val="27"/>
        </w:rPr>
      </w:pPr>
      <w:r>
        <w:rPr>
          <w:b/>
          <w:szCs w:val="27"/>
        </w:rPr>
      </w:r>
    </w:p>
    <w:p>
      <w:pPr>
        <w:pStyle w:val="F21"/>
        <w:ind w:left="1276" w:hanging="0"/>
        <w:jc w:val="center"/>
        <w:rPr>
          <w:rFonts w:eastAsia="華康中黑體"/>
          <w:b/>
          <w:b/>
          <w:szCs w:val="27"/>
        </w:rPr>
      </w:pPr>
      <w:r>
        <w:rPr>
          <w:rFonts w:eastAsia="華康中黑體"/>
          <w:b/>
          <w:spacing w:val="26"/>
          <w:szCs w:val="27"/>
        </w:rPr>
        <w:t>對《空氣污染管制</w:t>
      </w:r>
      <w:r>
        <w:rPr>
          <w:rFonts w:eastAsia="華康中黑體"/>
          <w:b/>
          <w:spacing w:val="26"/>
          <w:szCs w:val="27"/>
        </w:rPr>
        <w:t>(</w:t>
      </w:r>
      <w:r>
        <w:rPr>
          <w:rFonts w:eastAsia="華康中黑體"/>
          <w:b/>
          <w:spacing w:val="26"/>
          <w:szCs w:val="27"/>
        </w:rPr>
        <w:t>空氣污染物排放</w:t>
      </w:r>
      <w:r>
        <w:rPr>
          <w:rFonts w:eastAsia="華康中黑體"/>
          <w:b/>
          <w:spacing w:val="26"/>
          <w:szCs w:val="27"/>
        </w:rPr>
        <w:t>)(</w:t>
      </w:r>
      <w:r>
        <w:rPr>
          <w:rFonts w:eastAsia="華康中黑體"/>
          <w:b/>
          <w:spacing w:val="26"/>
          <w:szCs w:val="27"/>
        </w:rPr>
        <w:t>受管制車輛</w:t>
      </w:r>
      <w:r>
        <w:rPr>
          <w:rFonts w:eastAsia="華康中黑體"/>
          <w:b/>
          <w:spacing w:val="26"/>
          <w:szCs w:val="27"/>
        </w:rPr>
        <w:t>)</w:t>
      </w:r>
      <w:r>
        <w:rPr>
          <w:rFonts w:eastAsia="華康中黑體"/>
          <w:b/>
          <w:spacing w:val="26"/>
          <w:szCs w:val="27"/>
        </w:rPr>
        <w:t>規例》</w:t>
      </w:r>
      <w:r>
        <w:rPr>
          <w:rFonts w:eastAsia="華康中黑體"/>
          <w:b/>
          <w:szCs w:val="27"/>
        </w:rPr>
        <w:t>的修訂</w:t>
      </w:r>
    </w:p>
    <w:p>
      <w:pPr>
        <w:pStyle w:val="F21"/>
        <w:ind w:left="1276" w:hanging="0"/>
        <w:rPr>
          <w:szCs w:val="27"/>
        </w:rPr>
      </w:pPr>
      <w:r>
        <w:rPr>
          <w:szCs w:val="27"/>
        </w:rPr>
      </w:r>
    </w:p>
    <w:p>
      <w:pPr>
        <w:pStyle w:val="F21"/>
        <w:ind w:left="1843" w:hanging="567"/>
        <w:rPr>
          <w:szCs w:val="27"/>
        </w:rPr>
      </w:pPr>
      <w:r>
        <w:rPr>
          <w:szCs w:val="27"/>
        </w:rPr>
        <w:t>1.</w:t>
        <w:tab/>
      </w:r>
      <w:r>
        <w:rPr>
          <w:rFonts w:eastAsia="華康中黑體"/>
          <w:b/>
          <w:szCs w:val="27"/>
        </w:rPr>
        <w:t>修訂第</w:t>
      </w:r>
      <w:r>
        <w:rPr>
          <w:rFonts w:eastAsia="華康中黑體"/>
          <w:b/>
          <w:szCs w:val="27"/>
        </w:rPr>
        <w:t>6</w:t>
      </w:r>
      <w:r>
        <w:rPr>
          <w:rFonts w:eastAsia="華康中黑體"/>
          <w:b/>
          <w:szCs w:val="27"/>
        </w:rPr>
        <w:t>條</w:t>
      </w:r>
      <w:r>
        <w:rPr>
          <w:rFonts w:eastAsia="華康中黑體"/>
          <w:b/>
          <w:szCs w:val="27"/>
        </w:rPr>
        <w:t>(</w:t>
      </w:r>
      <w:r>
        <w:rPr>
          <w:rFonts w:eastAsia="華康中黑體"/>
          <w:b/>
          <w:szCs w:val="27"/>
        </w:rPr>
        <w:t>監督授予的豁免</w:t>
      </w:r>
      <w:r>
        <w:rPr>
          <w:rFonts w:eastAsia="華康中黑體"/>
          <w:b/>
          <w:szCs w:val="27"/>
        </w:rPr>
        <w:t>)</w:t>
      </w:r>
    </w:p>
    <w:p>
      <w:pPr>
        <w:pStyle w:val="F21"/>
        <w:ind w:left="2410" w:hanging="567"/>
        <w:rPr>
          <w:szCs w:val="27"/>
        </w:rPr>
      </w:pPr>
      <w:r>
        <w:rPr>
          <w:szCs w:val="27"/>
        </w:rPr>
        <w:t>(1)</w:t>
        <w:tab/>
      </w:r>
      <w:r>
        <w:rPr>
          <w:szCs w:val="27"/>
        </w:rPr>
        <w:t>第</w:t>
      </w:r>
      <w:r>
        <w:rPr>
          <w:szCs w:val="27"/>
        </w:rPr>
        <w:t>6(1)</w:t>
      </w:r>
      <w:r>
        <w:rPr>
          <w:szCs w:val="27"/>
        </w:rPr>
        <w:t>條 —</w:t>
      </w:r>
    </w:p>
    <w:p>
      <w:pPr>
        <w:pStyle w:val="F21"/>
        <w:ind w:left="2410" w:hanging="567"/>
        <w:rPr>
          <w:rFonts w:eastAsia="華康中黑體"/>
          <w:b/>
          <w:b/>
          <w:szCs w:val="27"/>
        </w:rPr>
      </w:pPr>
      <w:r>
        <w:rPr>
          <w:rFonts w:eastAsia="華康中黑體"/>
          <w:b/>
          <w:szCs w:val="27"/>
        </w:rPr>
        <w:tab/>
      </w:r>
      <w:r>
        <w:rPr>
          <w:rFonts w:eastAsia="華康中黑體"/>
          <w:b/>
          <w:szCs w:val="27"/>
        </w:rPr>
        <w:t>廢除</w:t>
      </w:r>
    </w:p>
    <w:p>
      <w:pPr>
        <w:pStyle w:val="F21"/>
        <w:ind w:left="2410" w:hanging="567"/>
        <w:rPr>
          <w:rFonts w:cs="Times New Roman"/>
          <w:szCs w:val="27"/>
        </w:rPr>
      </w:pPr>
      <w:r>
        <w:rPr>
          <w:rFonts w:eastAsia="華康中黑體"/>
          <w:b/>
          <w:szCs w:val="27"/>
        </w:rPr>
        <w:tab/>
      </w:r>
      <w:r>
        <w:rPr>
          <w:szCs w:val="27"/>
        </w:rPr>
        <w:t>在</w:t>
      </w:r>
      <w:r>
        <w:rPr>
          <w:rFonts w:cs="Times New Roman"/>
          <w:szCs w:val="27"/>
        </w:rPr>
        <w:t>“要求”之後的所有字句</w:t>
      </w:r>
    </w:p>
    <w:p>
      <w:pPr>
        <w:pStyle w:val="F21"/>
        <w:ind w:left="2410" w:hanging="567"/>
        <w:rPr>
          <w:rFonts w:cs="Times New Roman"/>
          <w:szCs w:val="27"/>
        </w:rPr>
      </w:pPr>
      <w:r>
        <w:rPr>
          <w:rFonts w:cs="Times New Roman"/>
          <w:szCs w:val="27"/>
        </w:rPr>
      </w:r>
    </w:p>
    <w:p>
      <w:pPr>
        <w:pStyle w:val="F21"/>
        <w:ind w:left="2410" w:hanging="567"/>
        <w:rPr>
          <w:rFonts w:eastAsia="華康中黑體"/>
          <w:b/>
          <w:b/>
          <w:szCs w:val="27"/>
        </w:rPr>
      </w:pPr>
      <w:r>
        <w:rPr>
          <w:rFonts w:eastAsia="華康中黑體"/>
          <w:b/>
          <w:szCs w:val="27"/>
        </w:rPr>
        <w:tab/>
      </w:r>
      <w:r>
        <w:rPr>
          <w:rFonts w:eastAsia="華康中黑體"/>
          <w:b/>
          <w:szCs w:val="27"/>
        </w:rPr>
        <w:t>代以</w:t>
      </w:r>
    </w:p>
    <w:p>
      <w:pPr>
        <w:pStyle w:val="F21"/>
        <w:ind w:left="2410" w:hanging="567"/>
        <w:rPr>
          <w:rFonts w:cs="Times New Roman"/>
          <w:szCs w:val="27"/>
        </w:rPr>
      </w:pPr>
      <w:r>
        <w:rPr>
          <w:rFonts w:eastAsia="華康中黑體"/>
          <w:b/>
          <w:szCs w:val="27"/>
        </w:rPr>
        <w:tab/>
      </w:r>
      <w:r>
        <w:rPr>
          <w:rFonts w:cs="Times New Roman"/>
          <w:szCs w:val="27"/>
        </w:rPr>
        <w:t>“</w:t>
      </w:r>
      <w:r>
        <w:rPr>
          <w:rFonts w:cs="Times New Roman"/>
          <w:szCs w:val="27"/>
        </w:rPr>
        <w:t>某受管制車輛符合本規例屬不切實際或不合理，監督可豁免該車輛，使本規例不適用於該車輛，但豁免期不得超過</w:t>
      </w:r>
      <w:r>
        <w:rPr>
          <w:rFonts w:cs="Times New Roman"/>
          <w:szCs w:val="27"/>
        </w:rPr>
        <w:t>1</w:t>
      </w:r>
      <w:r>
        <w:rPr>
          <w:rFonts w:cs="Times New Roman"/>
          <w:szCs w:val="27"/>
        </w:rPr>
        <w:t>年。”。</w:t>
      </w:r>
    </w:p>
    <w:p>
      <w:pPr>
        <w:pStyle w:val="F21"/>
        <w:ind w:left="2410" w:hanging="567"/>
        <w:rPr>
          <w:szCs w:val="27"/>
        </w:rPr>
      </w:pPr>
      <w:r>
        <w:rPr>
          <w:szCs w:val="27"/>
        </w:rPr>
        <w:t>(2)</w:t>
        <w:tab/>
      </w:r>
      <w:r>
        <w:rPr>
          <w:szCs w:val="27"/>
        </w:rPr>
        <w:t>第</w:t>
      </w:r>
      <w:r>
        <w:rPr>
          <w:szCs w:val="27"/>
        </w:rPr>
        <w:t>6(3)</w:t>
      </w:r>
      <w:r>
        <w:rPr>
          <w:szCs w:val="27"/>
        </w:rPr>
        <w:t>條 —</w:t>
      </w:r>
    </w:p>
    <w:p>
      <w:pPr>
        <w:pStyle w:val="F21"/>
        <w:ind w:left="2410" w:hanging="567"/>
        <w:rPr>
          <w:rFonts w:eastAsia="華康中黑體"/>
          <w:b/>
          <w:b/>
          <w:szCs w:val="27"/>
        </w:rPr>
      </w:pPr>
      <w:r>
        <w:rPr>
          <w:rFonts w:eastAsia="華康中黑體"/>
          <w:b/>
          <w:szCs w:val="27"/>
        </w:rPr>
        <w:tab/>
      </w:r>
      <w:r>
        <w:rPr>
          <w:rFonts w:eastAsia="華康中黑體"/>
          <w:b/>
          <w:szCs w:val="27"/>
        </w:rPr>
        <w:t>廢除</w:t>
      </w:r>
    </w:p>
    <w:p>
      <w:pPr>
        <w:pStyle w:val="F21"/>
        <w:ind w:left="2410" w:hanging="567"/>
        <w:rPr>
          <w:rFonts w:cs="Times New Roman"/>
          <w:szCs w:val="27"/>
        </w:rPr>
      </w:pPr>
      <w:r>
        <w:rPr>
          <w:rFonts w:eastAsia="華康中黑體"/>
          <w:b/>
          <w:szCs w:val="27"/>
        </w:rPr>
        <w:tab/>
      </w:r>
      <w:r>
        <w:rPr>
          <w:szCs w:val="27"/>
        </w:rPr>
        <w:t>在</w:t>
      </w:r>
      <w:r>
        <w:rPr>
          <w:rFonts w:cs="Times New Roman"/>
          <w:szCs w:val="27"/>
        </w:rPr>
        <w:t>“須向”之前的所有字句</w:t>
      </w:r>
    </w:p>
    <w:p>
      <w:pPr>
        <w:pStyle w:val="F21"/>
        <w:ind w:left="2410" w:hanging="567"/>
        <w:rPr>
          <w:rFonts w:eastAsia="華康中黑體"/>
          <w:b/>
          <w:b/>
          <w:szCs w:val="27"/>
        </w:rPr>
      </w:pPr>
      <w:r>
        <w:rPr>
          <w:rFonts w:eastAsia="華康中黑體"/>
          <w:b/>
          <w:szCs w:val="27"/>
        </w:rPr>
        <w:tab/>
      </w:r>
      <w:r>
        <w:rPr>
          <w:rFonts w:eastAsia="華康中黑體"/>
          <w:b/>
          <w:szCs w:val="27"/>
        </w:rPr>
        <w:t>代以</w:t>
      </w:r>
    </w:p>
    <w:p>
      <w:pPr>
        <w:pStyle w:val="F21"/>
        <w:ind w:left="3261" w:hanging="851"/>
        <w:rPr>
          <w:rFonts w:cs="Times New Roman"/>
          <w:szCs w:val="27"/>
        </w:rPr>
      </w:pPr>
      <w:r>
        <w:rPr>
          <w:rFonts w:cs="Times New Roman"/>
          <w:szCs w:val="27"/>
        </w:rPr>
        <w:t>“</w:t>
      </w:r>
      <w:r>
        <w:rPr>
          <w:rFonts w:cs="Times New Roman"/>
          <w:szCs w:val="27"/>
        </w:rPr>
        <w:t>(3)</w:t>
        <w:tab/>
      </w:r>
      <w:r>
        <w:rPr>
          <w:rFonts w:cs="Times New Roman"/>
          <w:szCs w:val="27"/>
        </w:rPr>
        <w:t>如某受管制車輛獲豁免，監督”。</w:t>
      </w:r>
    </w:p>
    <w:p>
      <w:pPr>
        <w:pStyle w:val="F21"/>
        <w:ind w:left="2410" w:hanging="567"/>
        <w:rPr>
          <w:szCs w:val="27"/>
        </w:rPr>
      </w:pPr>
      <w:r>
        <w:rPr>
          <w:szCs w:val="27"/>
        </w:rPr>
        <w:t>(3)</w:t>
        <w:tab/>
      </w:r>
      <w:r>
        <w:rPr>
          <w:szCs w:val="27"/>
        </w:rPr>
        <w:t>第</w:t>
      </w:r>
      <w:r>
        <w:rPr>
          <w:szCs w:val="27"/>
        </w:rPr>
        <w:t>6</w:t>
      </w:r>
      <w:r>
        <w:rPr>
          <w:szCs w:val="27"/>
        </w:rPr>
        <w:t>條 —</w:t>
      </w:r>
    </w:p>
    <w:p>
      <w:pPr>
        <w:pStyle w:val="F21"/>
        <w:ind w:left="2410" w:hanging="567"/>
        <w:rPr>
          <w:rFonts w:eastAsia="華康中黑體"/>
          <w:b/>
          <w:b/>
          <w:szCs w:val="27"/>
        </w:rPr>
      </w:pPr>
      <w:r>
        <w:rPr>
          <w:rFonts w:eastAsia="華康中黑體"/>
          <w:b/>
          <w:szCs w:val="27"/>
        </w:rPr>
        <w:tab/>
      </w:r>
      <w:r>
        <w:rPr>
          <w:rFonts w:eastAsia="華康中黑體"/>
          <w:b/>
          <w:szCs w:val="27"/>
        </w:rPr>
        <w:t>廢除第</w:t>
      </w:r>
      <w:r>
        <w:rPr>
          <w:rFonts w:eastAsia="華康中黑體"/>
          <w:b/>
          <w:szCs w:val="27"/>
        </w:rPr>
        <w:t>(4)</w:t>
      </w:r>
      <w:r>
        <w:rPr>
          <w:rFonts w:eastAsia="華康中黑體"/>
          <w:b/>
          <w:szCs w:val="27"/>
        </w:rPr>
        <w:t>及</w:t>
      </w:r>
      <w:r>
        <w:rPr>
          <w:rFonts w:eastAsia="華康中黑體"/>
          <w:b/>
          <w:szCs w:val="27"/>
        </w:rPr>
        <w:t>(5)</w:t>
      </w:r>
      <w:r>
        <w:rPr>
          <w:rFonts w:eastAsia="華康中黑體"/>
          <w:b/>
          <w:szCs w:val="27"/>
        </w:rPr>
        <w:t>款。</w:t>
      </w:r>
      <w:r>
        <w:rPr>
          <w:rFonts w:cs="Times New Roman"/>
          <w:szCs w:val="27"/>
        </w:rPr>
        <w:t>”</w:t>
      </w:r>
    </w:p>
    <w:p>
      <w:pPr>
        <w:pStyle w:val="F21"/>
        <w:rPr/>
      </w:pPr>
      <w:r>
        <w:rPr/>
      </w:r>
    </w:p>
    <w:p>
      <w:pPr>
        <w:pStyle w:val="F21"/>
        <w:rPr/>
      </w:pPr>
      <w:r>
        <w:rPr/>
      </w:r>
    </w:p>
    <w:p>
      <w:pPr>
        <w:pStyle w:val="F21"/>
        <w:rPr/>
      </w:pPr>
      <w:r>
        <w:rPr>
          <w:rFonts w:eastAsia="華康中黑體"/>
          <w:b/>
        </w:rPr>
        <w:t>代理主席</w:t>
      </w:r>
      <w:r>
        <w:rPr/>
        <w:t>：我現在向各位提出的待議議題是：環境局局長動議的議案，予以通過。</w:t>
      </w:r>
    </w:p>
    <w:p>
      <w:pPr>
        <w:pStyle w:val="F21"/>
        <w:rPr/>
      </w:pPr>
      <w:r>
        <w:rPr/>
      </w:r>
    </w:p>
    <w:p>
      <w:pPr>
        <w:pStyle w:val="F21"/>
        <w:rPr/>
      </w:pPr>
      <w:r>
        <w:rPr/>
      </w:r>
    </w:p>
    <w:p>
      <w:pPr>
        <w:pStyle w:val="F21"/>
        <w:rPr>
          <w:szCs w:val="27"/>
        </w:rPr>
      </w:pPr>
      <w:r>
        <w:rPr>
          <w:rFonts w:cs="華康中黑體" w:eastAsia="華康中黑體"/>
          <w:b/>
          <w:szCs w:val="27"/>
        </w:rPr>
        <w:t>何秀蘭議員</w:t>
      </w:r>
      <w:r>
        <w:rPr>
          <w:szCs w:val="27"/>
        </w:rPr>
        <w:t>：代理主席，我謹以《空氣污染管制</w:t>
      </w:r>
      <w:r>
        <w:rPr>
          <w:szCs w:val="27"/>
        </w:rPr>
        <w:t>(</w:t>
      </w:r>
      <w:r>
        <w:rPr>
          <w:szCs w:val="27"/>
        </w:rPr>
        <w:t>空氣污染物排放</w:t>
      </w:r>
      <w:r>
        <w:rPr>
          <w:szCs w:val="27"/>
        </w:rPr>
        <w:t>)(</w:t>
      </w:r>
      <w:r>
        <w:rPr>
          <w:szCs w:val="27"/>
        </w:rPr>
        <w:t>受管制車輛</w:t>
      </w:r>
      <w:r>
        <w:rPr>
          <w:szCs w:val="27"/>
        </w:rPr>
        <w:t>)</w:t>
      </w:r>
      <w:r>
        <w:rPr>
          <w:szCs w:val="27"/>
        </w:rPr>
        <w:t>規例》</w:t>
      </w:r>
      <w:r>
        <w:rPr>
          <w:szCs w:val="27"/>
        </w:rPr>
        <w:t>(“</w:t>
      </w:r>
      <w:r>
        <w:rPr>
          <w:szCs w:val="27"/>
        </w:rPr>
        <w:t>《規例》”</w:t>
      </w:r>
      <w:r>
        <w:rPr>
          <w:szCs w:val="27"/>
        </w:rPr>
        <w:t>)</w:t>
      </w:r>
      <w:r>
        <w:rPr>
          <w:szCs w:val="27"/>
        </w:rPr>
        <w:t>小組委員會主席的身份，就小組委員會的審議工作，向立法會作出報告。小組委員會共舉行了</w:t>
      </w:r>
      <w:r>
        <w:rPr>
          <w:szCs w:val="27"/>
        </w:rPr>
        <w:t>4</w:t>
      </w:r>
      <w:r>
        <w:rPr>
          <w:szCs w:val="27"/>
        </w:rPr>
        <w:t>次會議，審議《規例》，並且聽取了團體代表的意見。為了達到改善路邊空氣質素、保障市民健康及照顧業界需要的目的，小組委員會普遍支持《規例》的訂立。</w:t>
      </w:r>
    </w:p>
    <w:p>
      <w:pPr>
        <w:pStyle w:val="F21"/>
        <w:rPr>
          <w:szCs w:val="27"/>
        </w:rPr>
      </w:pPr>
      <w:r>
        <w:rPr>
          <w:szCs w:val="27"/>
        </w:rPr>
      </w:r>
    </w:p>
    <w:p>
      <w:pPr>
        <w:pStyle w:val="F21"/>
        <w:rPr>
          <w:szCs w:val="27"/>
        </w:rPr>
      </w:pPr>
      <w:r>
        <w:rPr>
          <w:szCs w:val="27"/>
        </w:rPr>
        <w:tab/>
      </w:r>
      <w:r>
        <w:rPr>
          <w:szCs w:val="27"/>
        </w:rPr>
        <w:t>《規例》的目的是為淘汰約</w:t>
      </w:r>
      <w:r>
        <w:rPr>
          <w:szCs w:val="27"/>
        </w:rPr>
        <w:t>8</w:t>
      </w:r>
      <w:r>
        <w:rPr>
          <w:szCs w:val="27"/>
        </w:rPr>
        <w:t>萬多輛現有歐盟</w:t>
      </w:r>
      <w:r>
        <w:rPr>
          <w:szCs w:val="27"/>
        </w:rPr>
        <w:t>IV</w:t>
      </w:r>
      <w:r>
        <w:rPr>
          <w:szCs w:val="27"/>
        </w:rPr>
        <w:t>期以前的柴油商業車輛，包括貨車、小巴和非專利巴士，並訂立車輛的退役期限。有委員關注到，與政府當局在</w:t>
      </w:r>
      <w:r>
        <w:rPr>
          <w:szCs w:val="27"/>
        </w:rPr>
        <w:t>2013</w:t>
      </w:r>
      <w:r>
        <w:rPr>
          <w:szCs w:val="27"/>
        </w:rPr>
        <w:t>年</w:t>
      </w:r>
      <w:r>
        <w:rPr>
          <w:szCs w:val="27"/>
        </w:rPr>
        <w:t>5</w:t>
      </w:r>
      <w:r>
        <w:rPr>
          <w:szCs w:val="27"/>
        </w:rPr>
        <w:t>月所提出的原本建議比較，當局在現行建議中，把歐盟</w:t>
      </w:r>
      <w:r>
        <w:rPr>
          <w:szCs w:val="27"/>
        </w:rPr>
        <w:t>I</w:t>
      </w:r>
      <w:r>
        <w:rPr>
          <w:szCs w:val="27"/>
        </w:rPr>
        <w:t>期、歐盟</w:t>
      </w:r>
      <w:r>
        <w:rPr>
          <w:szCs w:val="27"/>
        </w:rPr>
        <w:t>II</w:t>
      </w:r>
      <w:r>
        <w:rPr>
          <w:szCs w:val="27"/>
        </w:rPr>
        <w:t>期及歐盟</w:t>
      </w:r>
      <w:r>
        <w:rPr>
          <w:szCs w:val="27"/>
        </w:rPr>
        <w:t>III</w:t>
      </w:r>
      <w:r>
        <w:rPr>
          <w:szCs w:val="27"/>
        </w:rPr>
        <w:t>期柴油車輛的退役期限各推遲</w:t>
      </w:r>
      <w:r>
        <w:rPr>
          <w:szCs w:val="27"/>
        </w:rPr>
        <w:t>1</w:t>
      </w:r>
      <w:r>
        <w:rPr>
          <w:szCs w:val="27"/>
        </w:rPr>
        <w:t>年。雖然此舉可紓解現有車主在經濟及營運方面的困難，但也延長了公眾接觸這些舊車所排放的空氣污染物的時間，危害市民健康。就此，小組委員會曾研究可否保留當局原本建議的退役期限。</w:t>
      </w:r>
    </w:p>
    <w:p>
      <w:pPr>
        <w:pStyle w:val="F21"/>
        <w:rPr>
          <w:szCs w:val="27"/>
        </w:rPr>
      </w:pPr>
      <w:r>
        <w:rPr>
          <w:szCs w:val="27"/>
        </w:rPr>
      </w:r>
    </w:p>
    <w:p>
      <w:pPr>
        <w:pStyle w:val="F21"/>
        <w:rPr>
          <w:szCs w:val="27"/>
        </w:rPr>
      </w:pPr>
      <w:r>
        <w:rPr>
          <w:szCs w:val="27"/>
        </w:rPr>
        <w:tab/>
      </w:r>
      <w:r>
        <w:rPr>
          <w:szCs w:val="27"/>
        </w:rPr>
        <w:t>政府當局表示，歐盟</w:t>
      </w:r>
      <w:r>
        <w:rPr>
          <w:szCs w:val="27"/>
        </w:rPr>
        <w:t>I</w:t>
      </w:r>
      <w:r>
        <w:rPr>
          <w:szCs w:val="27"/>
        </w:rPr>
        <w:t>期、歐盟</w:t>
      </w:r>
      <w:r>
        <w:rPr>
          <w:szCs w:val="27"/>
        </w:rPr>
        <w:t>II</w:t>
      </w:r>
      <w:r>
        <w:rPr>
          <w:szCs w:val="27"/>
        </w:rPr>
        <w:t>期及歐盟</w:t>
      </w:r>
      <w:r>
        <w:rPr>
          <w:szCs w:val="27"/>
        </w:rPr>
        <w:t>III</w:t>
      </w:r>
      <w:r>
        <w:rPr>
          <w:szCs w:val="27"/>
        </w:rPr>
        <w:t>期柴油車輛的現行建議退役期限，可讓“劏車”業及車身裝嵌業有更多時間，應付因實施淘汰計劃而激增的服務需求，有助釋除運輸業界的疑慮，但不會對在</w:t>
      </w:r>
      <w:r>
        <w:rPr>
          <w:szCs w:val="27"/>
        </w:rPr>
        <w:t>2020</w:t>
      </w:r>
      <w:r>
        <w:rPr>
          <w:szCs w:val="27"/>
        </w:rPr>
        <w:t>年或之前達致新空氣質素指標，以及符合政府訂立的</w:t>
      </w:r>
      <w:r>
        <w:rPr>
          <w:szCs w:val="27"/>
        </w:rPr>
        <w:t>2015</w:t>
      </w:r>
      <w:r>
        <w:rPr>
          <w:szCs w:val="27"/>
        </w:rPr>
        <w:t>年及</w:t>
      </w:r>
      <w:r>
        <w:rPr>
          <w:szCs w:val="27"/>
        </w:rPr>
        <w:t>2020</w:t>
      </w:r>
      <w:r>
        <w:rPr>
          <w:szCs w:val="27"/>
        </w:rPr>
        <w:t>年的減排目標有所影響。政府當局強調，污染最嚴重的歐盟前期柴油車輛的退役期限</w:t>
      </w:r>
      <w:r>
        <w:rPr>
          <w:szCs w:val="27"/>
        </w:rPr>
        <w:t>(</w:t>
      </w:r>
      <w:r>
        <w:rPr>
          <w:szCs w:val="27"/>
        </w:rPr>
        <w:t>即</w:t>
      </w:r>
      <w:r>
        <w:rPr>
          <w:szCs w:val="27"/>
        </w:rPr>
        <w:t>2016</w:t>
      </w:r>
      <w:r>
        <w:rPr>
          <w:szCs w:val="27"/>
        </w:rPr>
        <w:t>年</w:t>
      </w:r>
      <w:r>
        <w:rPr>
          <w:szCs w:val="27"/>
        </w:rPr>
        <w:t>1</w:t>
      </w:r>
      <w:r>
        <w:rPr>
          <w:szCs w:val="27"/>
        </w:rPr>
        <w:t>月</w:t>
      </w:r>
      <w:r>
        <w:rPr>
          <w:szCs w:val="27"/>
        </w:rPr>
        <w:t>1</w:t>
      </w:r>
      <w:r>
        <w:rPr>
          <w:szCs w:val="27"/>
        </w:rPr>
        <w:t>日</w:t>
      </w:r>
      <w:r>
        <w:rPr>
          <w:szCs w:val="27"/>
        </w:rPr>
        <w:t>)</w:t>
      </w:r>
      <w:r>
        <w:rPr>
          <w:szCs w:val="27"/>
        </w:rPr>
        <w:t>仍然維持不變。</w:t>
      </w:r>
    </w:p>
    <w:p>
      <w:pPr>
        <w:pStyle w:val="F21"/>
        <w:spacing w:lineRule="atLeast" w:line="370"/>
        <w:rPr>
          <w:szCs w:val="27"/>
        </w:rPr>
      </w:pPr>
      <w:r>
        <w:rPr>
          <w:szCs w:val="27"/>
        </w:rPr>
        <w:tab/>
      </w:r>
      <w:r>
        <w:rPr>
          <w:szCs w:val="27"/>
        </w:rPr>
        <w:t>我們在公聽會上，有業界代表帶動小組委員會留意到，將歐盟前期、歐盟</w:t>
      </w:r>
      <w:r>
        <w:rPr>
          <w:szCs w:val="27"/>
        </w:rPr>
        <w:t>I</w:t>
      </w:r>
      <w:r>
        <w:rPr>
          <w:szCs w:val="27"/>
        </w:rPr>
        <w:t>期、歐盟</w:t>
      </w:r>
      <w:r>
        <w:rPr>
          <w:szCs w:val="27"/>
        </w:rPr>
        <w:t>II</w:t>
      </w:r>
      <w:r>
        <w:rPr>
          <w:szCs w:val="27"/>
        </w:rPr>
        <w:t>期和歐盟</w:t>
      </w:r>
      <w:r>
        <w:rPr>
          <w:szCs w:val="27"/>
        </w:rPr>
        <w:t>III</w:t>
      </w:r>
      <w:r>
        <w:rPr>
          <w:szCs w:val="27"/>
        </w:rPr>
        <w:t>期柴油車輛的退役期限分別定為</w:t>
      </w:r>
      <w:r>
        <w:rPr>
          <w:szCs w:val="27"/>
        </w:rPr>
        <w:t>2016</w:t>
      </w:r>
      <w:r>
        <w:rPr>
          <w:szCs w:val="27"/>
        </w:rPr>
        <w:t>年、</w:t>
      </w:r>
      <w:r>
        <w:rPr>
          <w:szCs w:val="27"/>
        </w:rPr>
        <w:t>2017</w:t>
      </w:r>
      <w:r>
        <w:rPr>
          <w:szCs w:val="27"/>
        </w:rPr>
        <w:t>年、</w:t>
      </w:r>
      <w:r>
        <w:rPr>
          <w:szCs w:val="27"/>
        </w:rPr>
        <w:t>2018</w:t>
      </w:r>
      <w:r>
        <w:rPr>
          <w:szCs w:val="27"/>
        </w:rPr>
        <w:t>年及</w:t>
      </w:r>
      <w:r>
        <w:rPr>
          <w:szCs w:val="27"/>
        </w:rPr>
        <w:t>2020</w:t>
      </w:r>
      <w:r>
        <w:rPr>
          <w:szCs w:val="27"/>
        </w:rPr>
        <w:t>年的</w:t>
      </w:r>
      <w:r>
        <w:rPr>
          <w:szCs w:val="27"/>
        </w:rPr>
        <w:t>1</w:t>
      </w:r>
      <w:r>
        <w:rPr>
          <w:szCs w:val="27"/>
        </w:rPr>
        <w:t>月</w:t>
      </w:r>
      <w:r>
        <w:rPr>
          <w:szCs w:val="27"/>
        </w:rPr>
        <w:t>1</w:t>
      </w:r>
      <w:r>
        <w:rPr>
          <w:szCs w:val="27"/>
        </w:rPr>
        <w:t>日，可能會令一些粗心大意的車主產生誤會，以為他們的車輛仍可分別在</w:t>
      </w:r>
      <w:r>
        <w:rPr>
          <w:szCs w:val="27"/>
        </w:rPr>
        <w:t>2016</w:t>
      </w:r>
      <w:r>
        <w:rPr>
          <w:szCs w:val="27"/>
        </w:rPr>
        <w:t>年、</w:t>
      </w:r>
      <w:r>
        <w:rPr>
          <w:szCs w:val="27"/>
        </w:rPr>
        <w:t>2017</w:t>
      </w:r>
      <w:r>
        <w:rPr>
          <w:szCs w:val="27"/>
        </w:rPr>
        <w:t>年、</w:t>
      </w:r>
      <w:r>
        <w:rPr>
          <w:szCs w:val="27"/>
        </w:rPr>
        <w:t>2018</w:t>
      </w:r>
      <w:r>
        <w:rPr>
          <w:szCs w:val="27"/>
        </w:rPr>
        <w:t>年及</w:t>
      </w:r>
      <w:r>
        <w:rPr>
          <w:szCs w:val="27"/>
        </w:rPr>
        <w:t>2020</w:t>
      </w:r>
      <w:r>
        <w:rPr>
          <w:szCs w:val="27"/>
        </w:rPr>
        <w:t>年全年在道路上行駛。</w:t>
      </w:r>
      <w:r>
        <w:br w:type="page"/>
      </w:r>
    </w:p>
    <w:p>
      <w:pPr>
        <w:pStyle w:val="F21"/>
        <w:spacing w:lineRule="atLeast" w:line="370"/>
        <w:rPr>
          <w:szCs w:val="27"/>
        </w:rPr>
      </w:pPr>
      <w:r>
        <w:rPr>
          <w:szCs w:val="27"/>
        </w:rPr>
      </w:r>
    </w:p>
    <w:p>
      <w:pPr>
        <w:pStyle w:val="F21"/>
        <w:spacing w:lineRule="atLeast" w:line="370"/>
        <w:rPr>
          <w:szCs w:val="27"/>
        </w:rPr>
      </w:pPr>
      <w:r>
        <w:rPr>
          <w:szCs w:val="27"/>
        </w:rPr>
        <w:tab/>
      </w:r>
      <w:r>
        <w:rPr>
          <w:szCs w:val="27"/>
        </w:rPr>
        <w:t>就此，當局承諾日後在進行宣傳時，會重點說明這些汽車其實必須在緊接退役期限上一年“不遲於</w:t>
      </w:r>
      <w:r>
        <w:rPr>
          <w:szCs w:val="27"/>
        </w:rPr>
        <w:t>12</w:t>
      </w:r>
      <w:r>
        <w:rPr>
          <w:szCs w:val="27"/>
        </w:rPr>
        <w:t>月</w:t>
      </w:r>
      <w:r>
        <w:rPr>
          <w:szCs w:val="27"/>
        </w:rPr>
        <w:t>31</w:t>
      </w:r>
      <w:r>
        <w:rPr>
          <w:szCs w:val="27"/>
        </w:rPr>
        <w:t>日”被淘汰，以免大家誤會，以為這些排放量高的車輛，在該年度的</w:t>
      </w:r>
      <w:r>
        <w:rPr>
          <w:szCs w:val="27"/>
        </w:rPr>
        <w:t>1</w:t>
      </w:r>
      <w:r>
        <w:rPr>
          <w:szCs w:val="27"/>
        </w:rPr>
        <w:t>月</w:t>
      </w:r>
      <w:r>
        <w:rPr>
          <w:szCs w:val="27"/>
        </w:rPr>
        <w:t>1</w:t>
      </w:r>
      <w:r>
        <w:rPr>
          <w:szCs w:val="27"/>
        </w:rPr>
        <w:t>日後仍可獲得發牌。所以，代理主席，有時我們舉行公聽會留心聆聽業界的意見，都是很有裨益的。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在商議過程中，小組委員會討論了《規例》對運輸業界及車主的影響，包括車輛淘汰計劃會否導致新車的車價急升、業界應付大量換車需求的能力，以及當局為受影響車主所提供的支援是否足夠。</w:t>
      </w:r>
    </w:p>
    <w:p>
      <w:pPr>
        <w:pStyle w:val="F21"/>
        <w:spacing w:lineRule="atLeast" w:line="370"/>
        <w:rPr>
          <w:szCs w:val="27"/>
        </w:rPr>
      </w:pPr>
      <w:r>
        <w:rPr>
          <w:szCs w:val="27"/>
        </w:rPr>
      </w:r>
    </w:p>
    <w:p>
      <w:pPr>
        <w:pStyle w:val="F21"/>
        <w:spacing w:lineRule="atLeast" w:line="370"/>
        <w:rPr>
          <w:szCs w:val="27"/>
        </w:rPr>
      </w:pPr>
      <w:r>
        <w:rPr>
          <w:szCs w:val="27"/>
        </w:rPr>
        <w:tab/>
      </w:r>
      <w:r>
        <w:rPr>
          <w:szCs w:val="27"/>
        </w:rPr>
        <w:t>為了遵從柴油車輛的強制退役期限，運輸業界面對不少困難，尤其在更換須被淘汰的車輛時，購買車輛而招致一大筆開支。小組委員會得悉，運輸業界有不少中小型企業</w:t>
      </w:r>
      <w:r>
        <w:rPr>
          <w:szCs w:val="27"/>
        </w:rPr>
        <w:t>(“</w:t>
      </w:r>
      <w:r>
        <w:rPr>
          <w:szCs w:val="27"/>
        </w:rPr>
        <w:t>中小企”</w:t>
      </w:r>
      <w:r>
        <w:rPr>
          <w:szCs w:val="27"/>
        </w:rPr>
        <w:t>)</w:t>
      </w:r>
      <w:r>
        <w:rPr>
          <w:szCs w:val="27"/>
        </w:rPr>
        <w:t>因無法承擔這筆支出而被迫結業。就此，小組委員會曾研究當局有否考慮藉措施協助業界更換車輛。</w:t>
      </w:r>
    </w:p>
    <w:p>
      <w:pPr>
        <w:pStyle w:val="F21"/>
        <w:spacing w:lineRule="atLeast" w:line="370"/>
        <w:rPr>
          <w:szCs w:val="27"/>
        </w:rPr>
      </w:pPr>
      <w:r>
        <w:rPr>
          <w:szCs w:val="27"/>
        </w:rPr>
      </w:r>
    </w:p>
    <w:p>
      <w:pPr>
        <w:pStyle w:val="F21"/>
        <w:spacing w:lineRule="atLeast" w:line="370"/>
        <w:rPr>
          <w:szCs w:val="27"/>
        </w:rPr>
      </w:pPr>
      <w:r>
        <w:rPr>
          <w:szCs w:val="27"/>
        </w:rPr>
        <w:tab/>
      </w:r>
      <w:r>
        <w:rPr>
          <w:szCs w:val="27"/>
        </w:rPr>
        <w:t>政府當局指出，當局已接納運輸業界的意見，只要歐盟</w:t>
      </w:r>
      <w:r>
        <w:rPr>
          <w:szCs w:val="27"/>
        </w:rPr>
        <w:t>IV</w:t>
      </w:r>
      <w:r>
        <w:rPr>
          <w:szCs w:val="27"/>
        </w:rPr>
        <w:t>期以前柴油商業車輛的車主，在指定退役期限前註銷他們的車輛，不論他們會否購置新車，均可獲發特惠補償，金額是新車平均應課稅值</w:t>
      </w:r>
      <w:r>
        <w:rPr>
          <w:szCs w:val="27"/>
        </w:rPr>
        <w:t>27%</w:t>
      </w:r>
      <w:r>
        <w:rPr>
          <w:szCs w:val="27"/>
        </w:rPr>
        <w:t>至</w:t>
      </w:r>
      <w:r>
        <w:rPr>
          <w:szCs w:val="27"/>
        </w:rPr>
        <w:t>33%</w:t>
      </w:r>
      <w:r>
        <w:rPr>
          <w:szCs w:val="27"/>
        </w:rPr>
        <w:t>。政府當局進一步表示，更換車輛的中小企可考慮申請中小企業信貸保證計劃的貸款購置車輛。</w:t>
      </w:r>
    </w:p>
    <w:p>
      <w:pPr>
        <w:pStyle w:val="F21"/>
        <w:spacing w:lineRule="atLeast" w:line="370"/>
        <w:rPr>
          <w:szCs w:val="27"/>
        </w:rPr>
      </w:pPr>
      <w:r>
        <w:rPr>
          <w:szCs w:val="27"/>
        </w:rPr>
      </w:r>
    </w:p>
    <w:p>
      <w:pPr>
        <w:pStyle w:val="F21"/>
        <w:spacing w:lineRule="atLeast" w:line="370"/>
        <w:rPr>
          <w:szCs w:val="27"/>
        </w:rPr>
      </w:pPr>
      <w:r>
        <w:rPr>
          <w:szCs w:val="27"/>
        </w:rPr>
        <w:tab/>
      </w:r>
      <w:r>
        <w:rPr>
          <w:szCs w:val="27"/>
        </w:rPr>
        <w:t>小組委員會關注到《規例》的第</w:t>
      </w:r>
      <w:r>
        <w:rPr>
          <w:szCs w:val="27"/>
        </w:rPr>
        <w:t>6</w:t>
      </w:r>
      <w:r>
        <w:rPr>
          <w:szCs w:val="27"/>
        </w:rPr>
        <w:t>條訂明，監督</w:t>
      </w:r>
      <w:r>
        <w:rPr>
          <w:szCs w:val="27"/>
        </w:rPr>
        <w:t>(</w:t>
      </w:r>
      <w:r>
        <w:rPr>
          <w:szCs w:val="27"/>
        </w:rPr>
        <w:t>即環境保護署署長</w:t>
      </w:r>
      <w:r>
        <w:rPr>
          <w:szCs w:val="27"/>
        </w:rPr>
        <w:t>)</w:t>
      </w:r>
      <w:r>
        <w:rPr>
          <w:szCs w:val="27"/>
        </w:rPr>
        <w:t>在極為特殊的情況下，可豁免某輛或某類型柴油商業車輛須符合《規例》的要求，並訂明豁免某類車輛時刊憲的公告並非附屬法例，因而不必經立法會審議。鑒於該項豁免將會影響公眾，小組委員會認為立法會應該有權審議該項經刊憲的豁免決定，故此要求當局考慮作出適當修訂。</w:t>
      </w:r>
    </w:p>
    <w:p>
      <w:pPr>
        <w:pStyle w:val="F21"/>
        <w:spacing w:lineRule="atLeast" w:line="370"/>
        <w:rPr>
          <w:szCs w:val="27"/>
        </w:rPr>
      </w:pPr>
      <w:r>
        <w:rPr>
          <w:szCs w:val="27"/>
        </w:rPr>
      </w:r>
    </w:p>
    <w:p>
      <w:pPr>
        <w:pStyle w:val="F21"/>
        <w:spacing w:lineRule="atLeast" w:line="380"/>
        <w:rPr>
          <w:szCs w:val="27"/>
        </w:rPr>
      </w:pPr>
      <w:r>
        <w:rPr>
          <w:szCs w:val="27"/>
        </w:rPr>
        <w:tab/>
      </w:r>
      <w:r>
        <w:rPr>
          <w:szCs w:val="27"/>
        </w:rPr>
        <w:t>因應小組委員會的意見，當局建議修訂第</w:t>
      </w:r>
      <w:r>
        <w:rPr>
          <w:szCs w:val="27"/>
        </w:rPr>
        <w:t>6</w:t>
      </w:r>
      <w:r>
        <w:rPr>
          <w:szCs w:val="27"/>
        </w:rPr>
        <w:t>條，以刪除當局可就某類型柴油商業車輛作出豁免的條款。換言之，當局只可透過行政安排就個別車輛予以豁免。日後，若有極為特殊的情況，個別車主可向當局申請豁免，豁免期不得超過</w:t>
      </w:r>
      <w:r>
        <w:rPr>
          <w:szCs w:val="27"/>
        </w:rPr>
        <w:t>1</w:t>
      </w:r>
      <w:r>
        <w:rPr>
          <w:szCs w:val="27"/>
        </w:rPr>
        <w:t>年。</w:t>
      </w:r>
    </w:p>
    <w:p>
      <w:pPr>
        <w:pStyle w:val="F21"/>
        <w:spacing w:lineRule="atLeast" w:line="380"/>
        <w:rPr>
          <w:szCs w:val="27"/>
        </w:rPr>
      </w:pPr>
      <w:r>
        <w:rPr>
          <w:szCs w:val="27"/>
        </w:rPr>
      </w:r>
    </w:p>
    <w:p>
      <w:pPr>
        <w:pStyle w:val="F21"/>
        <w:spacing w:lineRule="atLeast" w:line="380"/>
        <w:rPr>
          <w:szCs w:val="27"/>
        </w:rPr>
      </w:pPr>
      <w:r>
        <w:rPr>
          <w:szCs w:val="27"/>
        </w:rPr>
        <w:tab/>
      </w:r>
      <w:r>
        <w:rPr>
          <w:szCs w:val="27"/>
        </w:rPr>
        <w:t>小組委員會認為當局的修訂建議可以接受，因此不會對《規例》提出任何修訂建議。</w:t>
      </w:r>
    </w:p>
    <w:p>
      <w:pPr>
        <w:pStyle w:val="F21"/>
        <w:spacing w:lineRule="atLeast" w:line="380"/>
        <w:rPr>
          <w:szCs w:val="27"/>
        </w:rPr>
      </w:pPr>
      <w:r>
        <w:rPr>
          <w:szCs w:val="27"/>
        </w:rPr>
      </w:r>
    </w:p>
    <w:p>
      <w:pPr>
        <w:pStyle w:val="F21"/>
        <w:spacing w:lineRule="atLeast" w:line="380"/>
        <w:rPr>
          <w:szCs w:val="27"/>
        </w:rPr>
      </w:pPr>
      <w:r>
        <w:rPr>
          <w:szCs w:val="27"/>
        </w:rPr>
        <w:tab/>
      </w:r>
      <w:r>
        <w:rPr>
          <w:szCs w:val="27"/>
        </w:rPr>
        <w:t>代理主席，以下是我個人對《規例》的意見。</w:t>
      </w:r>
    </w:p>
    <w:p>
      <w:pPr>
        <w:pStyle w:val="F21"/>
        <w:spacing w:lineRule="atLeast" w:line="380"/>
        <w:rPr>
          <w:szCs w:val="27"/>
        </w:rPr>
      </w:pPr>
      <w:r>
        <w:rPr>
          <w:szCs w:val="27"/>
        </w:rPr>
      </w:r>
    </w:p>
    <w:p>
      <w:pPr>
        <w:pStyle w:val="F21"/>
        <w:spacing w:lineRule="atLeast" w:line="380"/>
        <w:rPr>
          <w:szCs w:val="27"/>
        </w:rPr>
      </w:pPr>
      <w:r>
        <w:rPr>
          <w:szCs w:val="27"/>
        </w:rPr>
      </w:r>
    </w:p>
    <w:p>
      <w:pPr>
        <w:pStyle w:val="F21"/>
        <w:snapToGrid w:val="false"/>
        <w:spacing w:lineRule="atLeast" w:line="380"/>
        <w:rPr>
          <w:szCs w:val="27"/>
        </w:rPr>
      </w:pPr>
      <w:r>
        <w:rPr>
          <w:szCs w:val="27"/>
        </w:rPr>
        <w:t>(</w:t>
      </w:r>
      <w:r>
        <w:rPr>
          <w:szCs w:val="27"/>
        </w:rPr>
        <w:t>主席恢復主持會議</w:t>
      </w:r>
      <w:r>
        <w:rPr>
          <w:szCs w:val="27"/>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szCs w:val="27"/>
        </w:rPr>
        <w:tab/>
      </w:r>
      <w:r>
        <w:rPr>
          <w:szCs w:val="27"/>
        </w:rPr>
        <w:t>首先，我說回剛才以小組委員會主席身份的發言中所提及有關第</w:t>
      </w:r>
      <w:r>
        <w:rPr>
          <w:szCs w:val="27"/>
        </w:rPr>
        <w:t>6</w:t>
      </w:r>
      <w:r>
        <w:rPr>
          <w:szCs w:val="27"/>
        </w:rPr>
        <w:t>條的修訂建議。當局在修訂法例時，總是很喜歡保留一點權力，留一個空位讓自己行使酌情權。我們對這些酌情權十分擔心，尤其是那種酌情權在法例草擬時是十分概括的，只是說“在極為特殊的情況下”，令這項《規例》不切實際，不可執行。究竟為甚麼呢？一般其他的酌情權條文都會列出一系列的考慮因素，對當局行使酌情權是有所規範的，但這次則完全沒有。</w:t>
      </w:r>
    </w:p>
    <w:p>
      <w:pPr>
        <w:pStyle w:val="F21"/>
        <w:spacing w:lineRule="atLeast" w:line="380"/>
        <w:rPr>
          <w:szCs w:val="27"/>
        </w:rPr>
      </w:pPr>
      <w:r>
        <w:rPr>
          <w:szCs w:val="27"/>
        </w:rPr>
      </w:r>
    </w:p>
    <w:p>
      <w:pPr>
        <w:pStyle w:val="F21"/>
        <w:tabs>
          <w:tab w:val="clear" w:pos="567"/>
        </w:tabs>
        <w:spacing w:lineRule="atLeast" w:line="380"/>
        <w:rPr>
          <w:szCs w:val="27"/>
        </w:rPr>
      </w:pPr>
      <w:r>
        <w:rPr>
          <w:szCs w:val="27"/>
        </w:rPr>
        <w:tab/>
      </w:r>
      <w:r>
        <w:rPr>
          <w:szCs w:val="27"/>
        </w:rPr>
        <w:t>我們就此詢問當局，它則表示這好像停車熄匙一樣，有先例可循。但是，停車熄匙的情況是十分明顯的，因為要求某些車輛關掉冷氣，而車上的一些精密電子儀器便會損壞，那麼大家都會明白為何這類車輛要獲得豁免。然而，就這次《規例》涉及的車輛排放，為甚麼某輛車或某類型的車輛可獲得豁免呢？其實政府不太能回答，反而有委員替政府想出一個例子，便是萬一發生地震或海嘯，整條生產線也停頓或不能付運時，本來這輛車已經到期，但由於這些特殊情況而更換不到，於是便要申請豁免。</w:t>
      </w:r>
    </w:p>
    <w:p>
      <w:pPr>
        <w:pStyle w:val="F21"/>
        <w:tabs>
          <w:tab w:val="clear" w:pos="567"/>
        </w:tabs>
        <w:spacing w:lineRule="atLeast" w:line="380"/>
        <w:rPr>
          <w:szCs w:val="27"/>
        </w:rPr>
      </w:pPr>
      <w:r>
        <w:rPr>
          <w:szCs w:val="27"/>
        </w:rPr>
      </w:r>
    </w:p>
    <w:p>
      <w:pPr>
        <w:pStyle w:val="F21"/>
        <w:tabs>
          <w:tab w:val="clear" w:pos="567"/>
        </w:tabs>
        <w:spacing w:lineRule="atLeast" w:line="380"/>
        <w:ind w:firstLine="567"/>
        <w:rPr>
          <w:szCs w:val="27"/>
        </w:rPr>
      </w:pPr>
      <w:r>
        <w:rPr>
          <w:szCs w:val="27"/>
        </w:rPr>
        <w:t>其實委員大體上接納《規例》可以有豁免的情況，但我們要求在條文中寫清楚。但是，當局的做法是不要讓議員進行審議，屆時有關公告將不是附屬法例，議員是無權修改的。可是，當局在草擬法例時所提及的刊憲公告，並沒有說明這究竟是事務公告，還是具法律效力的公告。所以，我們十分擔心立法會會否要在某個時候，交出立法、審議及修訂法例的權力，我們就此曾出現過一輪爭議。</w:t>
      </w:r>
    </w:p>
    <w:p>
      <w:pPr>
        <w:pStyle w:val="F21"/>
        <w:rPr>
          <w:szCs w:val="27"/>
        </w:rPr>
      </w:pPr>
      <w:r>
        <w:rPr>
          <w:szCs w:val="27"/>
        </w:rPr>
      </w:r>
    </w:p>
    <w:p>
      <w:pPr>
        <w:pStyle w:val="F21"/>
        <w:spacing w:lineRule="atLeast" w:line="370"/>
        <w:rPr>
          <w:szCs w:val="27"/>
        </w:rPr>
      </w:pPr>
      <w:r>
        <w:rPr>
          <w:szCs w:val="27"/>
        </w:rPr>
        <w:tab/>
      </w:r>
      <w:r>
        <w:rPr>
          <w:szCs w:val="27"/>
        </w:rPr>
        <w:t>當局其後提出的解決方法更是可笑。它指出律政司的意見表示，署長都沒有行使豁免的權力，而是要由局長指令署長行使豁免權力。</w:t>
      </w:r>
    </w:p>
    <w:p>
      <w:pPr>
        <w:pStyle w:val="F21"/>
        <w:spacing w:lineRule="atLeast" w:line="370"/>
        <w:rPr>
          <w:szCs w:val="27"/>
        </w:rPr>
      </w:pPr>
      <w:r>
        <w:rPr>
          <w:szCs w:val="27"/>
        </w:rPr>
        <w:t xml:space="preserve">這便真是更豈有此理，因為在推行問責制的時候，大家已清楚說明局署的權力應該分家，政策局 </w:t>
      </w:r>
      <w:r>
        <w:rPr>
          <w:rFonts w:eastAsia="Symbol" w:cs="Symbol" w:ascii="Symbol" w:hAnsi="Symbol"/>
          <w:szCs w:val="27"/>
        </w:rPr>
        <w:t>¾¾</w:t>
      </w:r>
      <w:r>
        <w:rPr>
          <w:szCs w:val="27"/>
        </w:rPr>
        <w:t xml:space="preserve"> </w:t>
      </w:r>
      <w:r>
        <w:rPr>
          <w:szCs w:val="27"/>
        </w:rPr>
        <w:t xml:space="preserve">尤其政治任命官員 </w:t>
      </w:r>
      <w:r>
        <w:rPr>
          <w:rFonts w:eastAsia="Symbol" w:cs="Symbol" w:ascii="Symbol" w:hAnsi="Symbol"/>
          <w:szCs w:val="27"/>
        </w:rPr>
        <w:t>¾¾</w:t>
      </w:r>
      <w:r>
        <w:rPr>
          <w:szCs w:val="27"/>
        </w:rPr>
        <w:t xml:space="preserve"> </w:t>
      </w:r>
      <w:r>
        <w:rPr>
          <w:szCs w:val="27"/>
        </w:rPr>
        <w:t>的責任是制訂、解釋和推銷政策及負上政治責任，而署長則負責日常運作，包括在既有的政策下酌情行使豁免的權力。如果律政司告訴我們署方行使的酌情權力是來自局方，這真是毫不顧及我們當初就問責制進行的討論，昧於當時的事實，亦忽略了公務員隊伍應該保持政治中立，應與局方制訂政策的權力分開，大家應該分工合作，互相制衡，這是政治制度上的需要。</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我歡迎局方聽取我們的意見，大家經過很快的磋商後便可以達成共識，既然我們接受這種酌情權，倒不如寫清楚該酌情權可以行使到甚麼程度。現在清楚列出來了，即延期</w:t>
      </w:r>
      <w:r>
        <w:rPr>
          <w:szCs w:val="27"/>
        </w:rPr>
        <w:t>1</w:t>
      </w:r>
      <w:r>
        <w:rPr>
          <w:szCs w:val="27"/>
        </w:rPr>
        <w:t>年，並且不限於某一類車輛，而是就逐部車輛考慮行使，這便真的是按情況來酌情了。萬一有一種概括的情況發生，要求豁免一類車輛的時候，又怎麼辦呢？那便要就逐部車輛考慮行使，沒有辦法了。主席，這便是第</w:t>
      </w:r>
      <w:r>
        <w:rPr>
          <w:szCs w:val="27"/>
        </w:rPr>
        <w:t>6</w:t>
      </w:r>
      <w:r>
        <w:rPr>
          <w:szCs w:val="27"/>
        </w:rPr>
        <w:t>條中有關立法會審議修訂法例的權力的一種較詳盡說法。</w:t>
      </w:r>
    </w:p>
    <w:p>
      <w:pPr>
        <w:pStyle w:val="F21"/>
        <w:spacing w:lineRule="atLeast" w:line="370"/>
        <w:rPr>
          <w:szCs w:val="27"/>
        </w:rPr>
      </w:pPr>
      <w:r>
        <w:rPr>
          <w:szCs w:val="27"/>
        </w:rPr>
      </w:r>
    </w:p>
    <w:p>
      <w:pPr>
        <w:pStyle w:val="F21"/>
        <w:spacing w:lineRule="atLeast" w:line="370"/>
        <w:rPr>
          <w:szCs w:val="27"/>
        </w:rPr>
      </w:pPr>
      <w:r>
        <w:rPr>
          <w:szCs w:val="27"/>
        </w:rPr>
        <w:tab/>
      </w:r>
      <w:r>
        <w:rPr>
          <w:szCs w:val="27"/>
        </w:rPr>
        <w:t>對於整項《規例》的內容，我們當然很贊成，因為我們看到內地最近陰霾密罩，無論貧富，大家均呼吸相同的有害空氣，逃避不了，所以趁香港還未發展到如此惡劣的情況，我們便應該多做一點工作，而今次的規例修訂，其實真的是誘因和規禁雙管齊下。</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主席，所謂“有錢好辦事”，因為政府曾承諾撥款</w:t>
      </w:r>
      <w:r>
        <w:rPr>
          <w:szCs w:val="27"/>
        </w:rPr>
        <w:t>100</w:t>
      </w:r>
      <w:r>
        <w:rPr>
          <w:szCs w:val="27"/>
        </w:rPr>
        <w:t>億元資助更換柴油汽車，所以當局方與業界商討時便容易得多。局方當初的看法，是越舊的汽車便補償越多，因為其目標是盡快清除排放最嚴重的汽車，使它們離開路面，但當局忽略了業界的關注，業界反過來會認為如果新車這樣便被規限要淘汰，而車輛的壽命還未盡用，可見新車對業界的損失是較大一點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因此，經過磋商之後，較新的車輛，即歐盟</w:t>
      </w:r>
      <w:r>
        <w:rPr>
          <w:szCs w:val="27"/>
        </w:rPr>
        <w:t>II</w:t>
      </w:r>
      <w:r>
        <w:rPr>
          <w:szCs w:val="27"/>
        </w:rPr>
        <w:t>期和</w:t>
      </w:r>
      <w:r>
        <w:rPr>
          <w:szCs w:val="27"/>
        </w:rPr>
        <w:t>III</w:t>
      </w:r>
      <w:r>
        <w:rPr>
          <w:szCs w:val="27"/>
        </w:rPr>
        <w:t>期的車輛，可以得到的特惠補償亦會提高。今次其實要稱讚一下局方，當然它掌握有一大筆金錢，辦事容易很多，但亦要在規例提交立法會之前，盡力與業界和各黨派磋商，聽取大家的關注，然後在可行的情況下盡量作出妥協。當然，這又是金錢的問題，因為由</w:t>
      </w:r>
      <w:r>
        <w:rPr>
          <w:szCs w:val="27"/>
        </w:rPr>
        <w:t>100</w:t>
      </w:r>
      <w:r>
        <w:rPr>
          <w:szCs w:val="27"/>
        </w:rPr>
        <w:t>億元加碼至</w:t>
      </w:r>
      <w:r>
        <w:rPr>
          <w:szCs w:val="27"/>
        </w:rPr>
        <w:t>117</w:t>
      </w:r>
      <w:r>
        <w:rPr>
          <w:szCs w:val="27"/>
        </w:rPr>
        <w:t>億元，便可以令歐盟</w:t>
      </w:r>
      <w:r>
        <w:rPr>
          <w:szCs w:val="27"/>
        </w:rPr>
        <w:t>III</w:t>
      </w:r>
      <w:r>
        <w:rPr>
          <w:szCs w:val="27"/>
        </w:rPr>
        <w:t>期車輛的車主感到較滿意。另一種妥協便是車主無須換車，即是如果車主取得了特惠補償後仍無力更換新車的話，他們便可能選擇提早退休。對這一類車主而言，要求同樣獲得特惠補償，其實都是合理的要求，而局方亦聽取了這意見。</w:t>
      </w:r>
    </w:p>
    <w:p>
      <w:pPr>
        <w:pStyle w:val="F21"/>
        <w:spacing w:lineRule="atLeast" w:line="380"/>
        <w:rPr>
          <w:szCs w:val="27"/>
        </w:rPr>
      </w:pPr>
      <w:r>
        <w:rPr>
          <w:szCs w:val="27"/>
        </w:rPr>
      </w:r>
    </w:p>
    <w:p>
      <w:pPr>
        <w:pStyle w:val="F21"/>
        <w:spacing w:lineRule="atLeast" w:line="380"/>
        <w:rPr>
          <w:szCs w:val="27"/>
        </w:rPr>
      </w:pPr>
      <w:r>
        <w:rPr>
          <w:szCs w:val="27"/>
        </w:rPr>
        <w:tab/>
      </w:r>
      <w:r>
        <w:rPr>
          <w:szCs w:val="27"/>
        </w:rPr>
        <w:t>就局方今次可以與業界和政黨透過磋商來減少爭拗，令這項如此具爭議性的《規例》可以在</w:t>
      </w:r>
      <w:r>
        <w:rPr>
          <w:szCs w:val="27"/>
        </w:rPr>
        <w:t>4</w:t>
      </w:r>
      <w:r>
        <w:rPr>
          <w:szCs w:val="27"/>
        </w:rPr>
        <w:t>次會議後完成審議，我推介其他政策局也應該參考這種行事的模式，早些與大家商討，而並非把規例提交立法會，接着又盡量“箍票”，導致政黨不給予支持又不是，給予支持又不甘心，這便很糟糕了。</w:t>
      </w:r>
    </w:p>
    <w:p>
      <w:pPr>
        <w:pStyle w:val="F21"/>
        <w:spacing w:lineRule="atLeast" w:line="380"/>
        <w:rPr>
          <w:szCs w:val="27"/>
        </w:rPr>
      </w:pPr>
      <w:r>
        <w:rPr>
          <w:szCs w:val="27"/>
        </w:rPr>
      </w:r>
    </w:p>
    <w:p>
      <w:pPr>
        <w:pStyle w:val="F21"/>
        <w:spacing w:lineRule="atLeast" w:line="380"/>
        <w:rPr>
          <w:szCs w:val="27"/>
        </w:rPr>
      </w:pPr>
      <w:r>
        <w:rPr>
          <w:szCs w:val="27"/>
        </w:rPr>
        <w:tab/>
      </w:r>
      <w:r>
        <w:rPr>
          <w:szCs w:val="27"/>
        </w:rPr>
        <w:t>《規例》中有一個連局方也承認的漏洞，因為這項《規例》規定在</w:t>
      </w:r>
      <w:r>
        <w:rPr>
          <w:szCs w:val="27"/>
        </w:rPr>
        <w:t>2014</w:t>
      </w:r>
      <w:r>
        <w:rPr>
          <w:szCs w:val="27"/>
        </w:rPr>
        <w:t>年</w:t>
      </w:r>
      <w:r>
        <w:rPr>
          <w:szCs w:val="27"/>
        </w:rPr>
        <w:t>2</w:t>
      </w:r>
      <w:r>
        <w:rPr>
          <w:szCs w:val="27"/>
        </w:rPr>
        <w:t>月</w:t>
      </w:r>
      <w:r>
        <w:rPr>
          <w:szCs w:val="27"/>
        </w:rPr>
        <w:t>1</w:t>
      </w:r>
      <w:r>
        <w:rPr>
          <w:szCs w:val="27"/>
        </w:rPr>
        <w:t>日或之後登記的新車設有</w:t>
      </w:r>
      <w:r>
        <w:rPr>
          <w:szCs w:val="27"/>
        </w:rPr>
        <w:t>15</w:t>
      </w:r>
      <w:r>
        <w:rPr>
          <w:szCs w:val="27"/>
        </w:rPr>
        <w:t>年退役期限，而換車的規限則只及至歐盟</w:t>
      </w:r>
      <w:r>
        <w:rPr>
          <w:szCs w:val="27"/>
        </w:rPr>
        <w:t>III</w:t>
      </w:r>
      <w:r>
        <w:rPr>
          <w:szCs w:val="27"/>
        </w:rPr>
        <w:t>期，即是說在</w:t>
      </w:r>
      <w:r>
        <w:rPr>
          <w:szCs w:val="27"/>
        </w:rPr>
        <w:t>2014</w:t>
      </w:r>
      <w:r>
        <w:rPr>
          <w:szCs w:val="27"/>
        </w:rPr>
        <w:t>年</w:t>
      </w:r>
      <w:r>
        <w:rPr>
          <w:szCs w:val="27"/>
        </w:rPr>
        <w:t>2</w:t>
      </w:r>
      <w:r>
        <w:rPr>
          <w:szCs w:val="27"/>
        </w:rPr>
        <w:t>月</w:t>
      </w:r>
      <w:r>
        <w:rPr>
          <w:szCs w:val="27"/>
        </w:rPr>
        <w:t>1</w:t>
      </w:r>
      <w:r>
        <w:rPr>
          <w:szCs w:val="27"/>
        </w:rPr>
        <w:t>日前登記的歐盟</w:t>
      </w:r>
      <w:r>
        <w:rPr>
          <w:szCs w:val="27"/>
        </w:rPr>
        <w:t>IV</w:t>
      </w:r>
      <w:r>
        <w:rPr>
          <w:szCs w:val="27"/>
        </w:rPr>
        <w:t>期或</w:t>
      </w:r>
      <w:r>
        <w:rPr>
          <w:szCs w:val="27"/>
        </w:rPr>
        <w:t>V</w:t>
      </w:r>
      <w:r>
        <w:rPr>
          <w:szCs w:val="27"/>
        </w:rPr>
        <w:t>期車輛，便無須受到這項</w:t>
      </w:r>
      <w:r>
        <w:rPr>
          <w:szCs w:val="27"/>
        </w:rPr>
        <w:t>15</w:t>
      </w:r>
      <w:r>
        <w:rPr>
          <w:szCs w:val="27"/>
        </w:rPr>
        <w:t>年退役期限的限制。所以，業界的疑問是，在</w:t>
      </w:r>
      <w:r>
        <w:rPr>
          <w:szCs w:val="27"/>
        </w:rPr>
        <w:t>2014</w:t>
      </w:r>
      <w:r>
        <w:rPr>
          <w:szCs w:val="27"/>
        </w:rPr>
        <w:t>年</w:t>
      </w:r>
      <w:r>
        <w:rPr>
          <w:szCs w:val="27"/>
        </w:rPr>
        <w:t>2</w:t>
      </w:r>
      <w:r>
        <w:rPr>
          <w:szCs w:val="27"/>
        </w:rPr>
        <w:t>月</w:t>
      </w:r>
      <w:r>
        <w:rPr>
          <w:szCs w:val="27"/>
        </w:rPr>
        <w:t>1</w:t>
      </w:r>
      <w:r>
        <w:rPr>
          <w:szCs w:val="27"/>
        </w:rPr>
        <w:t>日之前登記的歐盟</w:t>
      </w:r>
      <w:r>
        <w:rPr>
          <w:szCs w:val="27"/>
        </w:rPr>
        <w:t>IV</w:t>
      </w:r>
      <w:r>
        <w:rPr>
          <w:szCs w:val="27"/>
        </w:rPr>
        <w:t>期和</w:t>
      </w:r>
      <w:r>
        <w:rPr>
          <w:szCs w:val="27"/>
        </w:rPr>
        <w:t>V</w:t>
      </w:r>
      <w:r>
        <w:rPr>
          <w:szCs w:val="27"/>
        </w:rPr>
        <w:t>期車輛，是否便會永久保用，永遠可以駕駛？對於這個問題，局方感到很尷尬，不好意思回答，因為當我們設有</w:t>
      </w:r>
      <w:r>
        <w:rPr>
          <w:szCs w:val="27"/>
        </w:rPr>
        <w:t>15</w:t>
      </w:r>
      <w:r>
        <w:rPr>
          <w:szCs w:val="27"/>
        </w:rPr>
        <w:t>年退役期限時，理論上所有車輛均應受到同樣的規管。局方惟有指出到了</w:t>
      </w:r>
      <w:r>
        <w:rPr>
          <w:szCs w:val="27"/>
        </w:rPr>
        <w:t>15</w:t>
      </w:r>
      <w:r>
        <w:rPr>
          <w:szCs w:val="27"/>
        </w:rPr>
        <w:t>年的時候，要看看汽車的排放是否達到當時的標準，達到的話便可以繼續駕駛。其實這類車共有</w:t>
      </w:r>
      <w:r>
        <w:rPr>
          <w:szCs w:val="27"/>
        </w:rPr>
        <w:t>46 600</w:t>
      </w:r>
      <w:r>
        <w:rPr>
          <w:szCs w:val="27"/>
        </w:rPr>
        <w:t>輛之多。官員與我們溝通時表示，這類車遲早都要處理，不過要一併處理所有</w:t>
      </w:r>
      <w:r>
        <w:rPr>
          <w:szCs w:val="27"/>
        </w:rPr>
        <w:t>13</w:t>
      </w:r>
      <w:r>
        <w:rPr>
          <w:szCs w:val="27"/>
        </w:rPr>
        <w:t>萬輛已登記的柴油商業車輛，尤其有些是新車，這個“政治炸彈”便難以拆解，所以便延遲了少許。我覺得這都是一種可以接受的做法，但我在此提醒局方，我們以後還要適時地處理這批車輛，以免它們過了</w:t>
      </w:r>
      <w:r>
        <w:rPr>
          <w:szCs w:val="27"/>
        </w:rPr>
        <w:t>15</w:t>
      </w:r>
      <w:r>
        <w:rPr>
          <w:szCs w:val="27"/>
        </w:rPr>
        <w:t>年後仍然在道路上排放廢氣。多謝主席。</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cs="華康中黑體" w:eastAsia="華康中黑體"/>
          <w:b/>
          <w:szCs w:val="27"/>
        </w:rPr>
        <w:t>易志明議員</w:t>
      </w:r>
      <w:r>
        <w:rPr>
          <w:szCs w:val="27"/>
        </w:rPr>
        <w:t>：主席，就有關淘汰老舊歐盟柴油商業車輛的計劃，由去年</w:t>
      </w:r>
      <w:r>
        <w:rPr>
          <w:szCs w:val="27"/>
        </w:rPr>
        <w:t>10</w:t>
      </w:r>
      <w:r>
        <w:rPr>
          <w:szCs w:val="27"/>
        </w:rPr>
        <w:t>月環境局開始向運輸業界徵詢意見，到行政長官及財政司司長分別於年初的施政報告和財政預算案，宣布建議預留</w:t>
      </w:r>
      <w:r>
        <w:rPr>
          <w:szCs w:val="27"/>
        </w:rPr>
        <w:t>100</w:t>
      </w:r>
      <w:r>
        <w:rPr>
          <w:szCs w:val="27"/>
        </w:rPr>
        <w:t>億元分階段淘汰歐盟</w:t>
      </w:r>
      <w:r>
        <w:rPr>
          <w:szCs w:val="27"/>
        </w:rPr>
        <w:t>IV</w:t>
      </w:r>
      <w:r>
        <w:rPr>
          <w:szCs w:val="27"/>
        </w:rPr>
        <w:t>期前的老舊柴油車輛，其後因建議方案與業界的期望出現嚴重落差，我先後與業界多次開會討論如何優化政府提出的方案，並適時向政府當局反映業界的意見。我相信議會內的其他同事和政黨，亦有作出相同努力。今天，有關建議最終落實並提出相關修訂立法條文，歷時超過</w:t>
      </w:r>
      <w:r>
        <w:rPr>
          <w:szCs w:val="27"/>
        </w:rPr>
        <w:t>1</w:t>
      </w:r>
      <w:r>
        <w:rPr>
          <w:szCs w:val="27"/>
        </w:rPr>
        <w:t>年。雖然花費了不少時間，但能夠令政府及業界原先的鴻溝，最終演變成今天的共識，確實有賴政府及運輸業界雙方坦誠的溝通與諒解。我完全同意何秀蘭議員剛才所說，希望其他局也會採效環境局的處事方法，即多進行討論，了解業界情況，然後才進行立法。</w:t>
      </w:r>
    </w:p>
    <w:p>
      <w:pPr>
        <w:pStyle w:val="F21"/>
        <w:spacing w:lineRule="atLeast" w:line="380"/>
        <w:rPr>
          <w:szCs w:val="27"/>
        </w:rPr>
      </w:pPr>
      <w:r>
        <w:rPr>
          <w:szCs w:val="27"/>
        </w:rPr>
      </w:r>
    </w:p>
    <w:p>
      <w:pPr>
        <w:pStyle w:val="F21"/>
        <w:spacing w:lineRule="atLeast" w:line="380"/>
        <w:rPr>
          <w:szCs w:val="27"/>
        </w:rPr>
      </w:pPr>
      <w:r>
        <w:rPr>
          <w:szCs w:val="27"/>
        </w:rPr>
        <w:tab/>
      </w:r>
      <w:r>
        <w:rPr>
          <w:szCs w:val="27"/>
        </w:rPr>
        <w:t>前環境局局長曾經說過，環保是有代價的，這一點我絕對認同，但代價並不應該只由運輸業界單方面承擔，何況運輸業是因應社會發展的需要，支持各式各樣的經濟活動。我們每天所需的糧油食品及日常用品，均是有賴運輸業界把貨物運送到不同的地方分銷給我們。隨着社會經濟的發展，運輸需求自然不斷增加，但今天因空氣污染問題而把矛頭直指他們，對運輸業界亦有欠公平。再者，車主和司機與普羅市民生活在同一天空下，亦清楚知道車輛產生的廢氣對健康造成的影響。因此，業界對淘汰老舊柴油車的計劃基本上是支持的，何況新車肯定較舊車省油、性能好及行駛更暢順，他們只是希望盡量在配合經營情況下逐步進行，不能夠只顧環保而不顧他們的生計。在平衡環保及業界生存的情況下，業界亦理性地提出一些合情合理的優化方案，促成整個更換老舊柴油車輛的計劃，以改善路邊空氣的質素。</w:t>
      </w:r>
    </w:p>
    <w:p>
      <w:pPr>
        <w:pStyle w:val="F21"/>
        <w:spacing w:lineRule="atLeast" w:line="380"/>
        <w:rPr>
          <w:szCs w:val="27"/>
        </w:rPr>
      </w:pPr>
      <w:r>
        <w:rPr>
          <w:szCs w:val="27"/>
        </w:rPr>
      </w:r>
    </w:p>
    <w:p>
      <w:pPr>
        <w:pStyle w:val="F21"/>
        <w:spacing w:lineRule="atLeast" w:line="380"/>
        <w:rPr>
          <w:szCs w:val="27"/>
        </w:rPr>
      </w:pPr>
      <w:r>
        <w:rPr>
          <w:szCs w:val="27"/>
        </w:rPr>
        <w:tab/>
      </w:r>
      <w:r>
        <w:rPr>
          <w:szCs w:val="27"/>
        </w:rPr>
        <w:t>由於淘汰歐盟</w:t>
      </w:r>
      <w:r>
        <w:rPr>
          <w:szCs w:val="27"/>
        </w:rPr>
        <w:t>IV</w:t>
      </w:r>
      <w:r>
        <w:rPr>
          <w:szCs w:val="27"/>
        </w:rPr>
        <w:t>期以前柴油商業車輛計劃涉及</w:t>
      </w:r>
      <w:r>
        <w:rPr>
          <w:szCs w:val="27"/>
        </w:rPr>
        <w:t>8</w:t>
      </w:r>
      <w:r>
        <w:rPr>
          <w:szCs w:val="27"/>
        </w:rPr>
        <w:t>萬多輛車，若根據運輸署的資料，每年新登記的商業車輛只有</w:t>
      </w:r>
      <w:r>
        <w:rPr>
          <w:szCs w:val="27"/>
        </w:rPr>
        <w:t>5 000</w:t>
      </w:r>
      <w:r>
        <w:rPr>
          <w:szCs w:val="27"/>
        </w:rPr>
        <w:t>多輛，基本上要花</w:t>
      </w:r>
      <w:r>
        <w:rPr>
          <w:szCs w:val="27"/>
        </w:rPr>
        <w:t>10</w:t>
      </w:r>
      <w:r>
        <w:rPr>
          <w:szCs w:val="27"/>
        </w:rPr>
        <w:t>年以上的時間才能把這批舊車淘汰。但是，若要在短短數年內淘汰</w:t>
      </w:r>
      <w:r>
        <w:rPr>
          <w:szCs w:val="27"/>
        </w:rPr>
        <w:t>8</w:t>
      </w:r>
      <w:r>
        <w:rPr>
          <w:szCs w:val="27"/>
        </w:rPr>
        <w:t>萬多輛老舊車輛，因供求問題，有可能因此而導致車輛供應及配套裝置嚴重不足而引起車價上升。但現時當局採納業界意見，把歐盟</w:t>
      </w:r>
      <w:r>
        <w:rPr>
          <w:szCs w:val="27"/>
        </w:rPr>
        <w:t>IV</w:t>
      </w:r>
      <w:r>
        <w:rPr>
          <w:szCs w:val="27"/>
        </w:rPr>
        <w:t>期前各類車輛的退役期順延</w:t>
      </w:r>
      <w:r>
        <w:rPr>
          <w:szCs w:val="27"/>
        </w:rPr>
        <w:t>1</w:t>
      </w:r>
      <w:r>
        <w:rPr>
          <w:szCs w:val="27"/>
        </w:rPr>
        <w:t>年，特惠補償津貼又和更換車輛脫鈎，這樣既可給予車主有更充裕的時間安排購置新車，而在購買車輛的自主性亦更大、更靈活，可避免因短時間對車輛供應及配套裝置的大幅需求而令車主擔心車價會因此被提高。</w:t>
      </w:r>
    </w:p>
    <w:p>
      <w:pPr>
        <w:pStyle w:val="F21"/>
        <w:spacing w:lineRule="atLeast" w:line="380"/>
        <w:rPr>
          <w:szCs w:val="27"/>
        </w:rPr>
      </w:pPr>
      <w:r>
        <w:rPr>
          <w:szCs w:val="27"/>
        </w:rPr>
      </w:r>
    </w:p>
    <w:p>
      <w:pPr>
        <w:pStyle w:val="F21"/>
        <w:spacing w:lineRule="atLeast" w:line="380"/>
        <w:rPr>
          <w:szCs w:val="27"/>
        </w:rPr>
      </w:pPr>
      <w:r>
        <w:rPr>
          <w:szCs w:val="27"/>
        </w:rPr>
        <w:tab/>
      </w:r>
      <w:r>
        <w:rPr>
          <w:szCs w:val="27"/>
        </w:rPr>
        <w:t>整個換車計劃，可以形容為“政府出豉油，業界出雞”，而基於運輸業界有相當部分是單頭車主，未必有足夠資金更換新車，若根據當局原先提出的資助金額，用來更換新車，只會為車主帶來沉重的經濟負擔；用來退休，更是微不足道。為免影響他們的生計，當局把特惠補償金額由先前的新車平均應課稅值的</w:t>
      </w:r>
      <w:r>
        <w:rPr>
          <w:szCs w:val="27"/>
        </w:rPr>
        <w:t>10%</w:t>
      </w:r>
      <w:r>
        <w:rPr>
          <w:szCs w:val="27"/>
        </w:rPr>
        <w:t>至</w:t>
      </w:r>
      <w:r>
        <w:rPr>
          <w:szCs w:val="27"/>
        </w:rPr>
        <w:t>30%</w:t>
      </w:r>
      <w:r>
        <w:rPr>
          <w:szCs w:val="27"/>
        </w:rPr>
        <w:t>增至</w:t>
      </w:r>
      <w:r>
        <w:rPr>
          <w:szCs w:val="27"/>
        </w:rPr>
        <w:t>27%</w:t>
      </w:r>
      <w:r>
        <w:rPr>
          <w:szCs w:val="27"/>
        </w:rPr>
        <w:t>至</w:t>
      </w:r>
      <w:r>
        <w:rPr>
          <w:szCs w:val="27"/>
        </w:rPr>
        <w:t>33%</w:t>
      </w:r>
      <w:r>
        <w:rPr>
          <w:szCs w:val="27"/>
        </w:rPr>
        <w:t>，補償金額加碼後，既可減輕這些單頭車主的經濟負擔，相信亦可增加更換舊車的誘因。</w:t>
      </w:r>
    </w:p>
    <w:p>
      <w:pPr>
        <w:pStyle w:val="F21"/>
        <w:spacing w:lineRule="atLeast" w:line="380"/>
        <w:rPr>
          <w:szCs w:val="27"/>
        </w:rPr>
      </w:pPr>
      <w:r>
        <w:rPr>
          <w:szCs w:val="27"/>
        </w:rPr>
      </w:r>
    </w:p>
    <w:p>
      <w:pPr>
        <w:pStyle w:val="F21"/>
        <w:spacing w:lineRule="atLeast" w:line="380"/>
        <w:rPr>
          <w:szCs w:val="27"/>
        </w:rPr>
      </w:pPr>
      <w:r>
        <w:rPr>
          <w:szCs w:val="27"/>
        </w:rPr>
        <w:tab/>
      </w:r>
      <w:r>
        <w:rPr>
          <w:szCs w:val="27"/>
        </w:rPr>
        <w:t>增加特惠補償後所增加的撥款，亦只不過是由原先的</w:t>
      </w:r>
      <w:r>
        <w:rPr>
          <w:szCs w:val="27"/>
        </w:rPr>
        <w:t>87</w:t>
      </w:r>
      <w:r>
        <w:rPr>
          <w:szCs w:val="27"/>
        </w:rPr>
        <w:t>億元增加</w:t>
      </w:r>
      <w:r>
        <w:rPr>
          <w:szCs w:val="27"/>
        </w:rPr>
        <w:t>30</w:t>
      </w:r>
      <w:r>
        <w:rPr>
          <w:szCs w:val="27"/>
        </w:rPr>
        <w:t>億元至</w:t>
      </w:r>
      <w:r>
        <w:rPr>
          <w:szCs w:val="27"/>
        </w:rPr>
        <w:t>117</w:t>
      </w:r>
      <w:r>
        <w:rPr>
          <w:szCs w:val="27"/>
        </w:rPr>
        <w:t>億元。數字聽來很大，但根據今年年初香港大學公共衞生學院及社會醫學系黎克勤博士，向立法會有關空氣、噪音及光污染事宜小組委員會提交的意見書，單在</w:t>
      </w:r>
      <w:r>
        <w:rPr>
          <w:szCs w:val="27"/>
        </w:rPr>
        <w:t>2012</w:t>
      </w:r>
      <w:r>
        <w:rPr>
          <w:szCs w:val="27"/>
        </w:rPr>
        <w:t>年，估計空氣污染導致香港</w:t>
      </w:r>
      <w:r>
        <w:rPr>
          <w:szCs w:val="27"/>
        </w:rPr>
        <w:t>3 069</w:t>
      </w:r>
      <w:r>
        <w:rPr>
          <w:szCs w:val="27"/>
        </w:rPr>
        <w:t>人死亡，超過</w:t>
      </w:r>
      <w:r>
        <w:rPr>
          <w:szCs w:val="27"/>
        </w:rPr>
        <w:t>15</w:t>
      </w:r>
      <w:r>
        <w:rPr>
          <w:szCs w:val="27"/>
        </w:rPr>
        <w:t>萬人入院，</w:t>
      </w:r>
      <w:r>
        <w:rPr>
          <w:szCs w:val="27"/>
        </w:rPr>
        <w:t>700</w:t>
      </w:r>
      <w:r>
        <w:rPr>
          <w:szCs w:val="27"/>
        </w:rPr>
        <w:t>多萬人求診，經濟損失接近</w:t>
      </w:r>
      <w:r>
        <w:rPr>
          <w:szCs w:val="27"/>
        </w:rPr>
        <w:t>400</w:t>
      </w:r>
      <w:r>
        <w:rPr>
          <w:szCs w:val="27"/>
        </w:rPr>
        <w:t>億元。在今次加碼後，額外的</w:t>
      </w:r>
      <w:r>
        <w:rPr>
          <w:szCs w:val="27"/>
        </w:rPr>
        <w:t>30</w:t>
      </w:r>
      <w:r>
        <w:rPr>
          <w:szCs w:val="27"/>
        </w:rPr>
        <w:t>億元能為我們每年省卻上述因空氣污染導致的</w:t>
      </w:r>
      <w:r>
        <w:rPr>
          <w:szCs w:val="27"/>
        </w:rPr>
        <w:t>400</w:t>
      </w:r>
      <w:r>
        <w:rPr>
          <w:szCs w:val="27"/>
        </w:rPr>
        <w:t>億元經濟損失，絕對是物有所值，值得支持。</w:t>
      </w:r>
    </w:p>
    <w:p>
      <w:pPr>
        <w:pStyle w:val="F21"/>
        <w:spacing w:lineRule="atLeast" w:line="380"/>
        <w:rPr>
          <w:szCs w:val="27"/>
        </w:rPr>
      </w:pPr>
      <w:r>
        <w:rPr>
          <w:szCs w:val="27"/>
        </w:rPr>
      </w:r>
    </w:p>
    <w:p>
      <w:pPr>
        <w:pStyle w:val="F21"/>
        <w:spacing w:lineRule="atLeast" w:line="380"/>
        <w:rPr>
          <w:szCs w:val="27"/>
        </w:rPr>
      </w:pPr>
      <w:r>
        <w:rPr>
          <w:szCs w:val="27"/>
        </w:rPr>
        <w:tab/>
      </w:r>
      <w:r>
        <w:rPr>
          <w:szCs w:val="27"/>
        </w:rPr>
        <w:t>對於為新登記柴油商用車輛設定</w:t>
      </w:r>
      <w:r>
        <w:rPr>
          <w:szCs w:val="27"/>
        </w:rPr>
        <w:t>15</w:t>
      </w:r>
      <w:r>
        <w:rPr>
          <w:szCs w:val="27"/>
        </w:rPr>
        <w:t>年的退役期限，有些業界表示，以現時新車種的性能及他們妥善的維修保養，若以</w:t>
      </w:r>
      <w:r>
        <w:rPr>
          <w:szCs w:val="27"/>
        </w:rPr>
        <w:t>15</w:t>
      </w:r>
      <w:r>
        <w:rPr>
          <w:szCs w:val="27"/>
        </w:rPr>
        <w:t>年為限確實太短，將增加中小企的經營成本。此外，亦有經營保姆車及後期提出意見的蔬菜水果運輸業營運者表示，他們每天行走的里數其實不多，因此若</w:t>
      </w:r>
      <w:r>
        <w:rPr>
          <w:szCs w:val="27"/>
        </w:rPr>
        <w:t>15</w:t>
      </w:r>
      <w:r>
        <w:rPr>
          <w:szCs w:val="27"/>
        </w:rPr>
        <w:t>年就要求他們換車，反而更不環保。事實上，科技日新月異，我們不能排除於立法後新登記的車輛，在</w:t>
      </w:r>
      <w:r>
        <w:rPr>
          <w:szCs w:val="27"/>
        </w:rPr>
        <w:t>15</w:t>
      </w:r>
      <w:r>
        <w:rPr>
          <w:szCs w:val="27"/>
        </w:rPr>
        <w:t>年後仍有可能透過更換某些機件或後加裝置後，能夠達到當時指定的排放標準的可能性。若符合當時的新排放標準，當局理應給予有關車輛續牌。最終，當局亦接納業界意見，如車輛達</w:t>
      </w:r>
      <w:r>
        <w:rPr>
          <w:szCs w:val="27"/>
        </w:rPr>
        <w:t>15</w:t>
      </w:r>
      <w:r>
        <w:rPr>
          <w:szCs w:val="27"/>
        </w:rPr>
        <w:t>年後仍能通過當時最新的排放標準，有關部門將予以續牌。</w:t>
      </w:r>
    </w:p>
    <w:p>
      <w:pPr>
        <w:pStyle w:val="F21"/>
        <w:spacing w:lineRule="atLeast" w:line="380"/>
        <w:rPr>
          <w:szCs w:val="27"/>
        </w:rPr>
      </w:pPr>
      <w:r>
        <w:rPr>
          <w:szCs w:val="27"/>
        </w:rPr>
      </w:r>
    </w:p>
    <w:p>
      <w:pPr>
        <w:pStyle w:val="F21"/>
        <w:spacing w:lineRule="atLeast" w:line="380"/>
        <w:rPr>
          <w:szCs w:val="27"/>
        </w:rPr>
      </w:pPr>
      <w:r>
        <w:rPr>
          <w:szCs w:val="27"/>
        </w:rPr>
        <w:tab/>
      </w:r>
      <w:r>
        <w:rPr>
          <w:szCs w:val="27"/>
        </w:rPr>
        <w:t>自政府公布新的淘汰歐盟</w:t>
      </w:r>
      <w:r>
        <w:rPr>
          <w:szCs w:val="27"/>
        </w:rPr>
        <w:t>IV</w:t>
      </w:r>
      <w:r>
        <w:rPr>
          <w:szCs w:val="27"/>
        </w:rPr>
        <w:t>期以前柴油車輛計劃後，出現的情況是運輸業界把自身換車計劃延後，特別是非專營巴士。根據運輸署有關條例，有關車輛須在年屆</w:t>
      </w:r>
      <w:r>
        <w:rPr>
          <w:szCs w:val="27"/>
        </w:rPr>
        <w:t>13</w:t>
      </w:r>
      <w:r>
        <w:rPr>
          <w:szCs w:val="27"/>
        </w:rPr>
        <w:t>年時進行“拆皮”大驗，即拆走車殼檢驗內部骨架，但車主卻因計劃未能落實或延遲，而把換車計劃一拖再拖，相關行業巴士車身製造商亦因此而停產，影響生計。因此，業界希望當局能盡快落實有關計劃。不過，業界擔心，如果當局設定</w:t>
      </w:r>
      <w:r>
        <w:rPr>
          <w:szCs w:val="27"/>
        </w:rPr>
        <w:t>15</w:t>
      </w:r>
      <w:r>
        <w:rPr>
          <w:szCs w:val="27"/>
        </w:rPr>
        <w:t>年為新登記柴油商用車輛的退役期限，對於現時要求</w:t>
      </w:r>
      <w:r>
        <w:rPr>
          <w:szCs w:val="27"/>
        </w:rPr>
        <w:t>13</w:t>
      </w:r>
      <w:r>
        <w:rPr>
          <w:szCs w:val="27"/>
        </w:rPr>
        <w:t>年進行大驗的規定，確實有勞民傷財之嫌。幸好，當局已落實優化</w:t>
      </w:r>
      <w:r>
        <w:rPr>
          <w:szCs w:val="27"/>
        </w:rPr>
        <w:t>13</w:t>
      </w:r>
      <w:r>
        <w:rPr>
          <w:szCs w:val="27"/>
        </w:rPr>
        <w:t>年大驗的要求，以減低對業界造成的不便。</w:t>
      </w:r>
    </w:p>
    <w:p>
      <w:pPr>
        <w:pStyle w:val="F21"/>
        <w:spacing w:lineRule="atLeast" w:line="380"/>
        <w:rPr>
          <w:szCs w:val="27"/>
        </w:rPr>
      </w:pPr>
      <w:r>
        <w:rPr>
          <w:szCs w:val="27"/>
        </w:rPr>
      </w:r>
    </w:p>
    <w:p>
      <w:pPr>
        <w:pStyle w:val="F21"/>
        <w:spacing w:lineRule="atLeast" w:line="380"/>
        <w:rPr>
          <w:szCs w:val="27"/>
        </w:rPr>
      </w:pPr>
      <w:r>
        <w:rPr>
          <w:szCs w:val="27"/>
        </w:rPr>
        <w:tab/>
      </w:r>
      <w:r>
        <w:rPr>
          <w:szCs w:val="27"/>
        </w:rPr>
        <w:t>最後，我想就當局提</w:t>
      </w:r>
      <w:r>
        <w:rPr>
          <w:szCs w:val="27"/>
          <w:lang w:eastAsia="zh-CN"/>
        </w:rPr>
        <w:t>出</w:t>
      </w:r>
      <w:r>
        <w:rPr>
          <w:szCs w:val="27"/>
        </w:rPr>
        <w:t>的豁免修訂表達意見。在審議期間，委員對有關豁免的情況及準則表示關注。我們認為給予一定的豁免是有需要的，因為在某些情況下，車主未必能夠於指定車輛退役期限前成功更換新車。在這情況下，車主便須繼續沿用本身已應退役的車輛。但是，當局日後在行使法定的豁免權時，應註明有關豁免的理據，並公布豁免原因及指定的豁免期限。</w:t>
      </w:r>
    </w:p>
    <w:p>
      <w:pPr>
        <w:pStyle w:val="F21"/>
        <w:spacing w:lineRule="atLeast" w:line="380"/>
        <w:rPr>
          <w:szCs w:val="27"/>
        </w:rPr>
      </w:pPr>
      <w:r>
        <w:rPr>
          <w:szCs w:val="27"/>
        </w:rPr>
      </w:r>
    </w:p>
    <w:p>
      <w:pPr>
        <w:pStyle w:val="F21"/>
        <w:spacing w:lineRule="atLeast" w:line="380"/>
        <w:rPr>
          <w:szCs w:val="27"/>
        </w:rPr>
      </w:pPr>
      <w:r>
        <w:rPr>
          <w:szCs w:val="27"/>
        </w:rPr>
        <w:tab/>
      </w:r>
      <w:r>
        <w:rPr>
          <w:szCs w:val="27"/>
        </w:rPr>
        <w:t>主席，我謹此陳辭，支持《空氣污染管制</w:t>
      </w:r>
      <w:r>
        <w:rPr>
          <w:szCs w:val="27"/>
        </w:rPr>
        <w:t>(</w:t>
      </w:r>
      <w:r>
        <w:rPr>
          <w:szCs w:val="27"/>
        </w:rPr>
        <w:t>空氣污染物排放</w:t>
      </w:r>
      <w:r>
        <w:rPr>
          <w:szCs w:val="27"/>
        </w:rPr>
        <w:t>)(</w:t>
      </w:r>
      <w:r>
        <w:rPr>
          <w:szCs w:val="27"/>
        </w:rPr>
        <w:t>受管制車輛</w:t>
      </w:r>
      <w:r>
        <w:rPr>
          <w:szCs w:val="27"/>
        </w:rPr>
        <w:t>)</w:t>
      </w:r>
      <w:r>
        <w:rPr>
          <w:szCs w:val="27"/>
        </w:rPr>
        <w:t xml:space="preserve">規例》及相關修訂。 </w:t>
      </w:r>
    </w:p>
    <w:p>
      <w:pPr>
        <w:pStyle w:val="F21"/>
        <w:spacing w:lineRule="atLeast" w:line="380"/>
        <w:rPr>
          <w:szCs w:val="27"/>
        </w:rPr>
      </w:pPr>
      <w:r>
        <w:rPr>
          <w:rFonts w:cs="華康中黑體" w:eastAsia="華康中黑體"/>
          <w:b/>
          <w:szCs w:val="27"/>
        </w:rPr>
        <w:t>陳家洛議員</w:t>
      </w:r>
      <w:r>
        <w:rPr>
          <w:szCs w:val="27"/>
        </w:rPr>
        <w:t>：公民黨一直認為要改善香港的空氣質素，我們要針對路邊的空氣污染問題作出處理。我們當然關注到柴油車所發放出的污染物，對市民健康和空氣質素的影響。有朋友可能會覺得環保和生計是兩個對立的價值觀，但好的環境對於“打工仔女”的身體健康，也有很正面和積極的幫助作用。</w:t>
      </w:r>
      <w:r>
        <w:br w:type="page"/>
      </w:r>
    </w:p>
    <w:p>
      <w:pPr>
        <w:pStyle w:val="F21"/>
        <w:spacing w:lineRule="atLeast" w:line="380"/>
        <w:rPr>
          <w:szCs w:val="27"/>
        </w:rPr>
      </w:pPr>
      <w:r>
        <w:rPr>
          <w:szCs w:val="27"/>
        </w:rPr>
      </w:r>
    </w:p>
    <w:p>
      <w:pPr>
        <w:pStyle w:val="F21"/>
        <w:spacing w:lineRule="atLeast" w:line="380"/>
        <w:rPr>
          <w:szCs w:val="27"/>
        </w:rPr>
      </w:pPr>
      <w:r>
        <w:rPr>
          <w:szCs w:val="27"/>
        </w:rPr>
        <w:tab/>
      </w:r>
      <w:r>
        <w:rPr>
          <w:szCs w:val="27"/>
        </w:rPr>
        <w:t>我小時候，我的母親駕駛保姆車，當然是柴油車，我也一直有幫忙，差不多每天也會幫助她。但是，我本身也有哮喘或鼻敏感的問題。所以，不要說我不是業界的代表，最低限度我的家庭曾經屬於這個界別。我們很清楚明白，不論是從事職業司機的“打工仔女”或他們的家人，都受到老舊柴油車影響。所以，我希望大家要明白，我們不是想用環保來打擊生計，又或因為生計而不關注環保，其實兩者從來都應該相輔相成。</w:t>
      </w:r>
    </w:p>
    <w:p>
      <w:pPr>
        <w:pStyle w:val="F21"/>
        <w:spacing w:lineRule="atLeast" w:line="380"/>
        <w:rPr>
          <w:szCs w:val="27"/>
        </w:rPr>
      </w:pPr>
      <w:r>
        <w:rPr>
          <w:szCs w:val="27"/>
        </w:rPr>
      </w:r>
    </w:p>
    <w:p>
      <w:pPr>
        <w:pStyle w:val="F21"/>
        <w:spacing w:lineRule="atLeast" w:line="380"/>
        <w:rPr>
          <w:szCs w:val="27"/>
        </w:rPr>
      </w:pPr>
      <w:r>
        <w:rPr>
          <w:szCs w:val="27"/>
        </w:rPr>
        <w:tab/>
      </w:r>
      <w:r>
        <w:rPr>
          <w:szCs w:val="27"/>
        </w:rPr>
        <w:t>不過，可惜香港這社會可能物質主義太重，大家看待事情時比較短視，所以有些長遠的健康考慮，很多時候在政策的辯論、立法或撥款的過程中，並非完全可以看得很清楚、很突出。剛才有議員提到公共健康或醫療開支方面，這也是近年的發展，公民黨一直認為空氣質素、公共健康和醫療代價的成本開支，是有很清楚的關聯。事實上，本屆政府逐漸接受這種觀念，改變或改善了其空氣質素的指標，與公共健康掛鈎，我們認為這是很大的進步。</w:t>
      </w:r>
    </w:p>
    <w:p>
      <w:pPr>
        <w:pStyle w:val="F21"/>
        <w:spacing w:lineRule="atLeast" w:line="380"/>
        <w:rPr>
          <w:szCs w:val="27"/>
        </w:rPr>
      </w:pPr>
      <w:r>
        <w:rPr>
          <w:szCs w:val="27"/>
        </w:rPr>
      </w:r>
    </w:p>
    <w:p>
      <w:pPr>
        <w:pStyle w:val="F21"/>
        <w:spacing w:lineRule="atLeast" w:line="380"/>
        <w:rPr>
          <w:szCs w:val="27"/>
        </w:rPr>
      </w:pPr>
      <w:r>
        <w:rPr>
          <w:szCs w:val="27"/>
        </w:rPr>
        <w:tab/>
      </w:r>
      <w:r>
        <w:rPr>
          <w:szCs w:val="27"/>
        </w:rPr>
        <w:t>至於更換柴油車方面，過往政府的做法是提供經濟上的誘因，而沒有很清楚的退役期或換車的法例要求。其實，公民黨一直要求政府兩者都要做，相輔相成地去做。所以，大家看到較早期的經濟誘因，鼓勵業界換車或提早“劏車”，即使津貼增加，但事實上效果並非想像中那麼理想。所以，今次當局提出這項法例時，在大方向和原則上，公民黨是同意的，因為這是公民黨一直以來的訴求。</w:t>
      </w:r>
    </w:p>
    <w:p>
      <w:pPr>
        <w:pStyle w:val="F21"/>
        <w:spacing w:lineRule="atLeast" w:line="380"/>
        <w:rPr>
          <w:szCs w:val="27"/>
        </w:rPr>
      </w:pPr>
      <w:r>
        <w:rPr>
          <w:szCs w:val="27"/>
        </w:rPr>
      </w:r>
    </w:p>
    <w:p>
      <w:pPr>
        <w:pStyle w:val="F21"/>
        <w:spacing w:lineRule="atLeast" w:line="371"/>
        <w:rPr>
          <w:szCs w:val="27"/>
        </w:rPr>
      </w:pPr>
      <w:r>
        <w:rPr>
          <w:szCs w:val="27"/>
        </w:rPr>
        <w:tab/>
      </w:r>
      <w:r>
        <w:rPr>
          <w:szCs w:val="27"/>
        </w:rPr>
        <w:t>但是，主席，談環保和生計，也要談生命才對。正如政府現時也接受空氣質素與市民健康、醫療開支，以及保障“打工仔女”和其他市民的健康免受柴油車發放出來的污染物影響，已經有很清楚的關聯。在</w:t>
      </w:r>
      <w:r>
        <w:rPr>
          <w:szCs w:val="27"/>
        </w:rPr>
        <w:t>2013</w:t>
      </w:r>
      <w:r>
        <w:rPr>
          <w:szCs w:val="27"/>
        </w:rPr>
        <w:t>年</w:t>
      </w:r>
      <w:r>
        <w:rPr>
          <w:szCs w:val="27"/>
        </w:rPr>
        <w:t>10</w:t>
      </w:r>
      <w:r>
        <w:rPr>
          <w:szCs w:val="27"/>
        </w:rPr>
        <w:t>月</w:t>
      </w:r>
      <w:r>
        <w:rPr>
          <w:szCs w:val="27"/>
        </w:rPr>
        <w:t>(</w:t>
      </w:r>
      <w:r>
        <w:rPr>
          <w:szCs w:val="27"/>
        </w:rPr>
        <w:t>即在不多久之前</w:t>
      </w:r>
      <w:r>
        <w:rPr>
          <w:szCs w:val="27"/>
        </w:rPr>
        <w:t>)</w:t>
      </w:r>
      <w:r>
        <w:rPr>
          <w:szCs w:val="27"/>
        </w:rPr>
        <w:t>，世界衞生組織</w:t>
      </w:r>
      <w:r>
        <w:rPr>
          <w:szCs w:val="27"/>
        </w:rPr>
        <w:t>(“</w:t>
      </w:r>
      <w:r>
        <w:rPr>
          <w:szCs w:val="27"/>
        </w:rPr>
        <w:t>世衞”</w:t>
      </w:r>
      <w:r>
        <w:rPr>
          <w:szCs w:val="27"/>
        </w:rPr>
        <w:t>)</w:t>
      </w:r>
      <w:r>
        <w:rPr>
          <w:szCs w:val="27"/>
        </w:rPr>
        <w:t>下的國際癌症研究機構</w:t>
      </w:r>
      <w:r>
        <w:rPr>
          <w:szCs w:val="27"/>
        </w:rPr>
        <w:t>(IARC)</w:t>
      </w:r>
      <w:r>
        <w:rPr>
          <w:szCs w:val="27"/>
        </w:rPr>
        <w:t>，已公布將室外的空氣污染列為最高級別的第一類致癌物。這是很清楚的，癌症與空氣污染之間的關聯在科學上已經證實，建立起來，亦是世衞剛在</w:t>
      </w:r>
      <w:r>
        <w:rPr>
          <w:szCs w:val="27"/>
        </w:rPr>
        <w:t>10</w:t>
      </w:r>
      <w:r>
        <w:rPr>
          <w:szCs w:val="27"/>
        </w:rPr>
        <w:t>月公布的。而較早前在</w:t>
      </w:r>
      <w:r>
        <w:rPr>
          <w:szCs w:val="27"/>
        </w:rPr>
        <w:t>2012</w:t>
      </w:r>
      <w:r>
        <w:rPr>
          <w:szCs w:val="27"/>
        </w:rPr>
        <w:t>年</w:t>
      </w:r>
      <w:r>
        <w:rPr>
          <w:szCs w:val="27"/>
        </w:rPr>
        <w:t>6</w:t>
      </w:r>
      <w:r>
        <w:rPr>
          <w:szCs w:val="27"/>
        </w:rPr>
        <w:t>月，國際癌症研究機構亦公布將柴油引擎的排放列為最高級別的第一類致癌物。所以，科學證據很清楚。</w:t>
      </w:r>
    </w:p>
    <w:p>
      <w:pPr>
        <w:pStyle w:val="F21"/>
        <w:spacing w:lineRule="atLeast" w:line="371"/>
        <w:rPr>
          <w:szCs w:val="27"/>
        </w:rPr>
      </w:pPr>
      <w:r>
        <w:rPr>
          <w:szCs w:val="27"/>
        </w:rPr>
      </w:r>
    </w:p>
    <w:p>
      <w:pPr>
        <w:pStyle w:val="F21"/>
        <w:spacing w:lineRule="atLeast" w:line="371"/>
        <w:rPr>
          <w:szCs w:val="27"/>
        </w:rPr>
      </w:pPr>
      <w:r>
        <w:rPr>
          <w:szCs w:val="27"/>
        </w:rPr>
        <w:tab/>
      </w:r>
      <w:r>
        <w:rPr>
          <w:szCs w:val="27"/>
        </w:rPr>
        <w:t>我當然明白，業界在生計上有很多顧慮，但這不是為了環境和改善一般市民健康或路邊空氣質素而要犧牲他們，這絕對不是“零和”，“只有你、沒有我”的關係。事實上，這些科學證據一直以來在學界也有一個很強烈的信息。在今次的審議過程中，我看到特別是來自中文大學、香港大學和科技大學的同事，一而再，再而三地提醒我們這個如此重要的關聯，也希望透過這提醒，看到業界盡量配合這項規例的修訂，以及其他種種的配合措施。</w:t>
      </w:r>
    </w:p>
    <w:p>
      <w:pPr>
        <w:pStyle w:val="F21"/>
        <w:spacing w:lineRule="atLeast" w:line="371"/>
        <w:rPr>
          <w:szCs w:val="27"/>
        </w:rPr>
      </w:pPr>
      <w:r>
        <w:rPr>
          <w:szCs w:val="27"/>
        </w:rPr>
      </w:r>
    </w:p>
    <w:p>
      <w:pPr>
        <w:pStyle w:val="F21"/>
        <w:spacing w:lineRule="atLeast" w:line="371"/>
        <w:rPr>
          <w:szCs w:val="27"/>
        </w:rPr>
      </w:pPr>
      <w:r>
        <w:rPr>
          <w:szCs w:val="27"/>
        </w:rPr>
        <w:tab/>
      </w:r>
      <w:r>
        <w:rPr>
          <w:szCs w:val="27"/>
        </w:rPr>
        <w:t>主席，公民黨當然歡迎政府如俗語所說的“用錢買健康”，因為事實上，政府有足夠的資源鼓勵、協助和推動運輸業界盡快更換老舊柴油車。但是，我們同時必須留意，錢是用來買健康，可否用更多錢或用現時的錢盡早改善或改變空氣質素呢？黃錦星局長在開場發言，以及在委員會的討論過程中，當然有提及他的空氣質素藍圖，提出目標和指引，希望到</w:t>
      </w:r>
      <w:r>
        <w:rPr>
          <w:szCs w:val="27"/>
        </w:rPr>
        <w:t>2020</w:t>
      </w:r>
      <w:r>
        <w:rPr>
          <w:szCs w:val="27"/>
        </w:rPr>
        <w:t>年達到某個水平，他便覺得心滿意足。但是，其實黃錦星局長作為環保界人士出身，應該更果斷，更有野心。雖然藍圖訂於此，但可否再早一步，再多花一些錢，盡快促請業界配合更好的時間表，以落實本來由政府推出的規範時間表呢？</w:t>
      </w:r>
    </w:p>
    <w:p>
      <w:pPr>
        <w:pStyle w:val="F21"/>
        <w:spacing w:lineRule="atLeast" w:line="371"/>
        <w:rPr>
          <w:szCs w:val="27"/>
        </w:rPr>
      </w:pPr>
      <w:r>
        <w:rPr>
          <w:szCs w:val="27"/>
        </w:rPr>
      </w:r>
    </w:p>
    <w:p>
      <w:pPr>
        <w:pStyle w:val="F21"/>
        <w:spacing w:lineRule="atLeast" w:line="371"/>
        <w:rPr>
          <w:szCs w:val="27"/>
        </w:rPr>
      </w:pPr>
      <w:r>
        <w:rPr>
          <w:szCs w:val="27"/>
        </w:rPr>
        <w:tab/>
      </w:r>
      <w:r>
        <w:rPr>
          <w:szCs w:val="27"/>
        </w:rPr>
        <w:t>可是，在討價還價的過程中，我們看到錢事實上是用多了，用多了</w:t>
      </w:r>
      <w:r>
        <w:rPr>
          <w:szCs w:val="27"/>
        </w:rPr>
        <w:t>10</w:t>
      </w:r>
      <w:r>
        <w:rPr>
          <w:szCs w:val="27"/>
        </w:rPr>
        <w:t>多億元，對嗎？局長會來財務委員會申請多撥款</w:t>
      </w:r>
      <w:r>
        <w:rPr>
          <w:szCs w:val="27"/>
        </w:rPr>
        <w:t>10</w:t>
      </w:r>
      <w:r>
        <w:rPr>
          <w:szCs w:val="27"/>
        </w:rPr>
        <w:t>多億元。但是在增加撥款的同時，退役時間表竟然向後延遲</w:t>
      </w:r>
      <w:r>
        <w:rPr>
          <w:szCs w:val="27"/>
        </w:rPr>
        <w:t>1</w:t>
      </w:r>
      <w:r>
        <w:rPr>
          <w:szCs w:val="27"/>
        </w:rPr>
        <w:t xml:space="preserve">年。局長可以說這是從善如流，考慮方方面面 </w:t>
      </w:r>
      <w:r>
        <w:rPr>
          <w:rFonts w:ascii="Symbol" w:hAnsi="Symbol" w:cs="Symbol" w:eastAsia="Symbol"/>
          <w:szCs w:val="27"/>
        </w:rPr>
        <w:t></w:t>
      </w:r>
      <w:r>
        <w:rPr>
          <w:szCs w:val="27"/>
        </w:rPr>
        <w:t xml:space="preserve"> 政府的術語 </w:t>
      </w:r>
      <w:r>
        <w:rPr>
          <w:rFonts w:ascii="Symbol" w:hAnsi="Symbol" w:cs="Symbol" w:eastAsia="Symbol"/>
          <w:szCs w:val="27"/>
        </w:rPr>
        <w:t></w:t>
      </w:r>
      <w:r>
        <w:rPr>
          <w:szCs w:val="27"/>
        </w:rPr>
        <w:t xml:space="preserve"> 的情況下做這件事，又或可以說實際上有此局限，更換或買車的時間趕不及本來政府的時間表，因而推遲。理由當然有很多，憑我一己之力無法證實所有這些理由，但我聽過便會嘗試了解和明白。</w:t>
      </w:r>
    </w:p>
    <w:p>
      <w:pPr>
        <w:pStyle w:val="F21"/>
        <w:spacing w:lineRule="atLeast" w:line="371"/>
        <w:rPr>
          <w:szCs w:val="27"/>
        </w:rPr>
      </w:pPr>
      <w:r>
        <w:rPr>
          <w:szCs w:val="27"/>
        </w:rPr>
      </w:r>
    </w:p>
    <w:p>
      <w:pPr>
        <w:pStyle w:val="F21"/>
        <w:spacing w:lineRule="atLeast" w:line="371"/>
        <w:rPr>
          <w:szCs w:val="27"/>
        </w:rPr>
      </w:pPr>
      <w:r>
        <w:rPr>
          <w:szCs w:val="27"/>
        </w:rPr>
        <w:tab/>
      </w:r>
      <w:r>
        <w:rPr>
          <w:szCs w:val="27"/>
        </w:rPr>
        <w:t>與此同時，我也希望業界、政府和公眾都明白，錢多了，但就退役時間表，除了歐盟前期車輛在</w:t>
      </w:r>
      <w:r>
        <w:rPr>
          <w:szCs w:val="27"/>
        </w:rPr>
        <w:t>2016</w:t>
      </w:r>
      <w:r>
        <w:rPr>
          <w:szCs w:val="27"/>
        </w:rPr>
        <w:t>年</w:t>
      </w:r>
      <w:r>
        <w:rPr>
          <w:szCs w:val="27"/>
        </w:rPr>
        <w:t>1</w:t>
      </w:r>
      <w:r>
        <w:rPr>
          <w:szCs w:val="27"/>
        </w:rPr>
        <w:t>月</w:t>
      </w:r>
      <w:r>
        <w:rPr>
          <w:szCs w:val="27"/>
        </w:rPr>
        <w:t>1</w:t>
      </w:r>
      <w:r>
        <w:rPr>
          <w:szCs w:val="27"/>
        </w:rPr>
        <w:t>日前退役沒有改變外，歐盟</w:t>
      </w:r>
      <w:r>
        <w:rPr>
          <w:szCs w:val="27"/>
        </w:rPr>
        <w:t>I</w:t>
      </w:r>
      <w:r>
        <w:rPr>
          <w:szCs w:val="27"/>
        </w:rPr>
        <w:t>期車輛的退役期由原本的</w:t>
      </w:r>
      <w:r>
        <w:rPr>
          <w:szCs w:val="27"/>
        </w:rPr>
        <w:t>2016</w:t>
      </w:r>
      <w:r>
        <w:rPr>
          <w:szCs w:val="27"/>
        </w:rPr>
        <w:t>月</w:t>
      </w:r>
      <w:r>
        <w:rPr>
          <w:szCs w:val="27"/>
        </w:rPr>
        <w:t>1</w:t>
      </w:r>
      <w:r>
        <w:rPr>
          <w:szCs w:val="27"/>
        </w:rPr>
        <w:t>月</w:t>
      </w:r>
      <w:r>
        <w:rPr>
          <w:szCs w:val="27"/>
        </w:rPr>
        <w:t>1</w:t>
      </w:r>
      <w:r>
        <w:rPr>
          <w:szCs w:val="27"/>
        </w:rPr>
        <w:t>日推遲至</w:t>
      </w:r>
      <w:r>
        <w:rPr>
          <w:szCs w:val="27"/>
        </w:rPr>
        <w:t>2017</w:t>
      </w:r>
      <w:r>
        <w:rPr>
          <w:szCs w:val="27"/>
        </w:rPr>
        <w:t>年</w:t>
      </w:r>
      <w:r>
        <w:rPr>
          <w:szCs w:val="27"/>
        </w:rPr>
        <w:t>1</w:t>
      </w:r>
      <w:r>
        <w:rPr>
          <w:szCs w:val="27"/>
        </w:rPr>
        <w:t>月</w:t>
      </w:r>
      <w:r>
        <w:rPr>
          <w:szCs w:val="27"/>
        </w:rPr>
        <w:t>1</w:t>
      </w:r>
      <w:r>
        <w:rPr>
          <w:szCs w:val="27"/>
        </w:rPr>
        <w:t>日；歐盟</w:t>
      </w:r>
      <w:r>
        <w:rPr>
          <w:szCs w:val="27"/>
        </w:rPr>
        <w:t>II</w:t>
      </w:r>
      <w:r>
        <w:rPr>
          <w:szCs w:val="27"/>
        </w:rPr>
        <w:t>期車輛的退役期由原本的</w:t>
      </w:r>
      <w:r>
        <w:rPr>
          <w:szCs w:val="27"/>
        </w:rPr>
        <w:t>2017</w:t>
      </w:r>
      <w:r>
        <w:rPr>
          <w:szCs w:val="27"/>
        </w:rPr>
        <w:t>月</w:t>
      </w:r>
      <w:r>
        <w:rPr>
          <w:szCs w:val="27"/>
        </w:rPr>
        <w:t>1</w:t>
      </w:r>
      <w:r>
        <w:rPr>
          <w:szCs w:val="27"/>
        </w:rPr>
        <w:t>月</w:t>
      </w:r>
      <w:r>
        <w:rPr>
          <w:szCs w:val="27"/>
        </w:rPr>
        <w:t>1</w:t>
      </w:r>
      <w:r>
        <w:rPr>
          <w:szCs w:val="27"/>
        </w:rPr>
        <w:t>日推遲至</w:t>
      </w:r>
      <w:r>
        <w:rPr>
          <w:szCs w:val="27"/>
        </w:rPr>
        <w:t>2018</w:t>
      </w:r>
      <w:r>
        <w:rPr>
          <w:szCs w:val="27"/>
        </w:rPr>
        <w:t>年</w:t>
      </w:r>
      <w:r>
        <w:rPr>
          <w:szCs w:val="27"/>
        </w:rPr>
        <w:t>1</w:t>
      </w:r>
      <w:r>
        <w:rPr>
          <w:szCs w:val="27"/>
        </w:rPr>
        <w:t>月</w:t>
      </w:r>
      <w:r>
        <w:rPr>
          <w:szCs w:val="27"/>
        </w:rPr>
        <w:t>1</w:t>
      </w:r>
      <w:r>
        <w:rPr>
          <w:szCs w:val="27"/>
        </w:rPr>
        <w:t>日；而歐盟</w:t>
      </w:r>
      <w:r>
        <w:rPr>
          <w:szCs w:val="27"/>
        </w:rPr>
        <w:t>III</w:t>
      </w:r>
      <w:r>
        <w:rPr>
          <w:szCs w:val="27"/>
        </w:rPr>
        <w:t>期車輛的退役期由原本建議的</w:t>
      </w:r>
      <w:r>
        <w:rPr>
          <w:szCs w:val="27"/>
        </w:rPr>
        <w:t>2019</w:t>
      </w:r>
      <w:r>
        <w:rPr>
          <w:szCs w:val="27"/>
        </w:rPr>
        <w:t>月</w:t>
      </w:r>
      <w:r>
        <w:rPr>
          <w:szCs w:val="27"/>
        </w:rPr>
        <w:t>1</w:t>
      </w:r>
      <w:r>
        <w:rPr>
          <w:szCs w:val="27"/>
        </w:rPr>
        <w:t>月</w:t>
      </w:r>
      <w:r>
        <w:rPr>
          <w:szCs w:val="27"/>
        </w:rPr>
        <w:t>1</w:t>
      </w:r>
      <w:r>
        <w:rPr>
          <w:szCs w:val="27"/>
        </w:rPr>
        <w:t>日推遲至</w:t>
      </w:r>
      <w:r>
        <w:rPr>
          <w:szCs w:val="27"/>
        </w:rPr>
        <w:t>2020</w:t>
      </w:r>
      <w:r>
        <w:rPr>
          <w:szCs w:val="27"/>
        </w:rPr>
        <w:t>年</w:t>
      </w:r>
      <w:r>
        <w:rPr>
          <w:szCs w:val="27"/>
        </w:rPr>
        <w:t>1</w:t>
      </w:r>
      <w:r>
        <w:rPr>
          <w:szCs w:val="27"/>
        </w:rPr>
        <w:t>月</w:t>
      </w:r>
      <w:r>
        <w:rPr>
          <w:szCs w:val="27"/>
        </w:rPr>
        <w:t>1</w:t>
      </w:r>
      <w:r>
        <w:rPr>
          <w:szCs w:val="27"/>
        </w:rPr>
        <w:t>日。黃錦星局長當然表示不用擔心，這是由他決定，或大家參考他的空氣質素藍圖，也應該趕得及，可達標的。</w:t>
      </w:r>
    </w:p>
    <w:p>
      <w:pPr>
        <w:pStyle w:val="F21"/>
        <w:rPr>
          <w:szCs w:val="27"/>
        </w:rPr>
      </w:pPr>
      <w:r>
        <w:rPr>
          <w:szCs w:val="27"/>
        </w:rPr>
      </w:r>
    </w:p>
    <w:p>
      <w:pPr>
        <w:pStyle w:val="F21"/>
        <w:spacing w:lineRule="atLeast" w:line="371"/>
        <w:rPr>
          <w:szCs w:val="27"/>
        </w:rPr>
      </w:pPr>
      <w:r>
        <w:rPr>
          <w:szCs w:val="27"/>
        </w:rPr>
        <w:tab/>
      </w:r>
      <w:r>
        <w:rPr>
          <w:szCs w:val="27"/>
        </w:rPr>
        <w:t xml:space="preserve">但是，代價是甚麼呢？主席，根據香港大學的達理指數 </w:t>
      </w:r>
      <w:r>
        <w:rPr>
          <w:rFonts w:ascii="Symbol" w:hAnsi="Symbol" w:cs="Symbol" w:eastAsia="Symbol"/>
          <w:szCs w:val="27"/>
        </w:rPr>
        <w:t></w:t>
      </w:r>
      <w:r>
        <w:rPr>
          <w:szCs w:val="27"/>
        </w:rPr>
        <w:t xml:space="preserve"> 易志明議員雖然是代表運輸業界，但他也有參考，我是表示欣賞和讚賞。但是，用這指數時也要留意，原來空氣污染在今年即</w:t>
      </w:r>
      <w:r>
        <w:rPr>
          <w:szCs w:val="27"/>
        </w:rPr>
        <w:t>2013</w:t>
      </w:r>
      <w:r>
        <w:rPr>
          <w:szCs w:val="27"/>
        </w:rPr>
        <w:t>年首</w:t>
      </w:r>
      <w:r>
        <w:rPr>
          <w:szCs w:val="27"/>
        </w:rPr>
        <w:t>6</w:t>
      </w:r>
      <w:r>
        <w:rPr>
          <w:szCs w:val="27"/>
        </w:rPr>
        <w:t>個月，對本港社會造成高昂的社會成本，包括</w:t>
      </w:r>
      <w:r>
        <w:rPr>
          <w:szCs w:val="27"/>
        </w:rPr>
        <w:t>1 606</w:t>
      </w:r>
      <w:r>
        <w:rPr>
          <w:szCs w:val="27"/>
        </w:rPr>
        <w:t>宗提早死亡個案，</w:t>
      </w:r>
      <w:r>
        <w:rPr>
          <w:szCs w:val="27"/>
        </w:rPr>
        <w:t>76 000</w:t>
      </w:r>
      <w:r>
        <w:rPr>
          <w:szCs w:val="27"/>
        </w:rPr>
        <w:t>多宗住院床位日數，數以億元計的港元經濟損失等。這些經濟考慮是否政府也會記錄在案呢？透過這次辯論，我也希望不要說是站在業界還是站在環保的角度，而是站在香港的大範圍、公共健康和利益的角度來看，是否也應該清清楚楚呢？</w:t>
      </w:r>
    </w:p>
    <w:p>
      <w:pPr>
        <w:pStyle w:val="F21"/>
        <w:spacing w:lineRule="atLeast" w:line="371"/>
        <w:rPr>
          <w:szCs w:val="27"/>
        </w:rPr>
      </w:pPr>
      <w:r>
        <w:rPr>
          <w:szCs w:val="27"/>
        </w:rPr>
      </w:r>
    </w:p>
    <w:p>
      <w:pPr>
        <w:pStyle w:val="F21"/>
        <w:spacing w:lineRule="atLeast" w:line="371"/>
        <w:rPr>
          <w:szCs w:val="27"/>
        </w:rPr>
      </w:pPr>
      <w:r>
        <w:rPr>
          <w:szCs w:val="27"/>
        </w:rPr>
        <w:tab/>
      </w:r>
      <w:r>
        <w:rPr>
          <w:szCs w:val="27"/>
        </w:rPr>
        <w:t>因此，大家可以想像，在增加撥款後，如果將車輛退役期限再推遲</w:t>
      </w:r>
      <w:r>
        <w:rPr>
          <w:szCs w:val="27"/>
        </w:rPr>
        <w:t>1</w:t>
      </w:r>
      <w:r>
        <w:rPr>
          <w:szCs w:val="27"/>
        </w:rPr>
        <w:t>年，我們討論的是生命、醫療成本、床位住院日數或其他經濟上的損失，所以，看看這些數據，我希望大家今天儘管會支持政府的做法，或稍後贊成由局長所提出修正，訂明豁免的具體操作做法，但將退役時期的死線延遲</w:t>
      </w:r>
      <w:r>
        <w:rPr>
          <w:szCs w:val="27"/>
        </w:rPr>
        <w:t>1</w:t>
      </w:r>
      <w:r>
        <w:rPr>
          <w:szCs w:val="27"/>
        </w:rPr>
        <w:t>年，其實所面對的代價和損失，必須清楚說明。這不是值得我們今天要額手稱慶、“拍爛手掌”、多謝大家一起找到出路，然後以此作為“示範單位”，希望其他政府部門也要用此方法，因為我們更希望看到的是錢可以多撥，沒有問題，但健康同樣重要，我們同樣着緊，死線最好不要改變。所以，就着退役期的死線，因為新安排和在討價還價的過程而要改變，從而犧牲性命和經濟上的損失，公民黨是表示極之不滿和憤怒的。</w:t>
      </w:r>
    </w:p>
    <w:p>
      <w:pPr>
        <w:pStyle w:val="F21"/>
        <w:spacing w:lineRule="atLeast" w:line="371"/>
        <w:rPr>
          <w:szCs w:val="27"/>
        </w:rPr>
      </w:pPr>
      <w:r>
        <w:rPr>
          <w:szCs w:val="27"/>
        </w:rPr>
      </w:r>
    </w:p>
    <w:p>
      <w:pPr>
        <w:pStyle w:val="F21"/>
        <w:spacing w:lineRule="atLeast" w:line="371"/>
        <w:rPr>
          <w:szCs w:val="27"/>
        </w:rPr>
      </w:pPr>
      <w:r>
        <w:rPr>
          <w:szCs w:val="27"/>
        </w:rPr>
        <w:tab/>
      </w:r>
      <w:r>
        <w:rPr>
          <w:szCs w:val="27"/>
        </w:rPr>
        <w:t>主席，我謹此陳辭。</w:t>
      </w:r>
    </w:p>
    <w:p>
      <w:pPr>
        <w:pStyle w:val="F21"/>
        <w:spacing w:lineRule="atLeast" w:line="371"/>
        <w:rPr/>
      </w:pPr>
      <w:r>
        <w:rPr/>
      </w:r>
    </w:p>
    <w:p>
      <w:pPr>
        <w:pStyle w:val="F21"/>
        <w:spacing w:lineRule="atLeast" w:line="371"/>
        <w:rPr/>
      </w:pPr>
      <w:r>
        <w:rPr/>
      </w:r>
    </w:p>
    <w:p>
      <w:pPr>
        <w:pStyle w:val="F21"/>
        <w:spacing w:lineRule="atLeast" w:line="371"/>
        <w:rPr/>
      </w:pPr>
      <w:r>
        <w:rPr>
          <w:rFonts w:eastAsia="華康中黑體"/>
          <w:b/>
        </w:rPr>
        <w:t>主席</w:t>
      </w:r>
      <w:r>
        <w:rPr/>
        <w:t>：是否有其他議員想發言？</w:t>
      </w:r>
    </w:p>
    <w:p>
      <w:pPr>
        <w:pStyle w:val="F21"/>
        <w:spacing w:lineRule="atLeast" w:line="371"/>
        <w:rPr/>
      </w:pPr>
      <w:r>
        <w:rPr/>
      </w:r>
    </w:p>
    <w:p>
      <w:pPr>
        <w:pStyle w:val="F21"/>
        <w:spacing w:lineRule="atLeast" w:line="371"/>
        <w:rPr/>
      </w:pPr>
      <w:r>
        <w:rPr/>
        <w:t>(</w:t>
      </w:r>
      <w:r>
        <w:rPr/>
        <w:t>沒有其他議員表示想發言</w:t>
      </w:r>
      <w:r>
        <w:rPr/>
        <w:t>)</w:t>
      </w:r>
    </w:p>
    <w:p>
      <w:pPr>
        <w:pStyle w:val="F21"/>
        <w:spacing w:lineRule="atLeast" w:line="371"/>
        <w:rPr/>
      </w:pPr>
      <w:r>
        <w:rPr/>
      </w:r>
    </w:p>
    <w:p>
      <w:pPr>
        <w:pStyle w:val="F21"/>
        <w:spacing w:lineRule="atLeast" w:line="371"/>
        <w:rPr/>
      </w:pPr>
      <w:r>
        <w:rPr/>
      </w:r>
    </w:p>
    <w:p>
      <w:pPr>
        <w:pStyle w:val="F21"/>
        <w:spacing w:lineRule="atLeast" w:line="371"/>
        <w:rPr/>
      </w:pPr>
      <w:r>
        <w:rPr>
          <w:rFonts w:eastAsia="華康中黑體"/>
          <w:b/>
        </w:rPr>
        <w:t>主席</w:t>
      </w:r>
      <w:r>
        <w:rPr/>
        <w:t>：如果沒有，我現在請環境局局長發言答辯。在局長答辯後，辯論即告結束。</w:t>
      </w:r>
    </w:p>
    <w:p>
      <w:pPr>
        <w:pStyle w:val="F21"/>
        <w:spacing w:lineRule="atLeast" w:line="371"/>
        <w:rPr/>
      </w:pPr>
      <w:r>
        <w:rPr/>
      </w:r>
    </w:p>
    <w:p>
      <w:pPr>
        <w:pStyle w:val="F21"/>
        <w:spacing w:lineRule="atLeast" w:line="371"/>
        <w:rPr/>
      </w:pPr>
      <w:r>
        <w:rPr/>
      </w:r>
    </w:p>
    <w:p>
      <w:pPr>
        <w:pStyle w:val="F21"/>
        <w:spacing w:lineRule="atLeast" w:line="371"/>
        <w:rPr>
          <w:szCs w:val="27"/>
        </w:rPr>
      </w:pPr>
      <w:r>
        <w:rPr>
          <w:rFonts w:ascii="華康中黑體" w:hAnsi="華康中黑體" w:cs="華康中黑體" w:eastAsia="華康中黑體"/>
          <w:b/>
          <w:szCs w:val="27"/>
        </w:rPr>
        <w:t>環境局局長</w:t>
      </w:r>
      <w:r>
        <w:rPr>
          <w:szCs w:val="27"/>
        </w:rPr>
        <w:t>：主席，多謝議員和相關業界的理解和支持這項議案。整體而言，這項議案是實事求是的，為了大眾的健康，改善路邊空氣質素，是需要大家共同努力的。主席，我沒有甚麼補充。多謝主席。</w:t>
      </w:r>
    </w:p>
    <w:p>
      <w:pPr>
        <w:pStyle w:val="F21"/>
        <w:snapToGrid w:val="false"/>
        <w:spacing w:lineRule="atLeast" w:line="350"/>
        <w:rPr>
          <w:rFonts w:ascii="華康中黑體" w:hAnsi="華康中黑體" w:eastAsia="華康中黑體"/>
          <w:b/>
          <w:b/>
        </w:rPr>
      </w:pPr>
      <w:r>
        <w:rPr>
          <w:rFonts w:ascii="華康中黑體" w:hAnsi="華康中黑體" w:eastAsia="華康中黑體"/>
          <w:b/>
        </w:rPr>
        <w:t>主席</w:t>
      </w:r>
      <w:r>
        <w:rPr>
          <w:rFonts w:ascii="華康中黑體" w:hAnsi="華康中黑體"/>
        </w:rPr>
        <w:t>：</w:t>
      </w:r>
      <w:r>
        <w:rPr/>
        <w:t>我現在向各位提出的待決議題是：環境局局長動議的議案，予以通過。現在付諸表決，贊成的請舉手。</w:t>
      </w:r>
      <w:r>
        <w:br w:type="page"/>
      </w:r>
    </w:p>
    <w:p>
      <w:pPr>
        <w:pStyle w:val="Normal"/>
        <w:spacing w:lineRule="atLeast" w:line="350"/>
        <w:rPr>
          <w:spacing w:val="20"/>
          <w:sz w:val="27"/>
          <w:szCs w:val="27"/>
        </w:rPr>
      </w:pPr>
      <w:r>
        <w:rPr>
          <w:spacing w:val="20"/>
          <w:sz w:val="27"/>
          <w:szCs w:val="27"/>
        </w:rPr>
      </w:r>
    </w:p>
    <w:p>
      <w:pPr>
        <w:pStyle w:val="F21"/>
        <w:spacing w:lineRule="atLeast" w:line="350"/>
        <w:rPr>
          <w:szCs w:val="27"/>
        </w:rPr>
      </w:pPr>
      <w:r>
        <w:rPr>
          <w:szCs w:val="27"/>
        </w:rPr>
        <w:t>(</w:t>
      </w:r>
      <w:r>
        <w:rPr>
          <w:szCs w:val="27"/>
        </w:rPr>
        <w:t>議員舉手</w:t>
      </w:r>
      <w:r>
        <w:rPr>
          <w:szCs w:val="27"/>
        </w:rPr>
        <w:t>)</w:t>
      </w:r>
    </w:p>
    <w:p>
      <w:pPr>
        <w:pStyle w:val="F21"/>
        <w:spacing w:lineRule="atLeast" w:line="35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50"/>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50"/>
        <w:rPr>
          <w:szCs w:val="27"/>
        </w:rPr>
      </w:pPr>
      <w:r>
        <w:rPr>
          <w:rFonts w:ascii="華康中黑體" w:hAnsi="華康中黑體" w:eastAsia="華康中黑體"/>
          <w:b/>
          <w:szCs w:val="27"/>
        </w:rPr>
        <w:t>主席</w:t>
      </w:r>
      <w:r>
        <w:rPr>
          <w:rFonts w:ascii="華康中黑體" w:hAnsi="華康中黑體"/>
          <w:szCs w:val="27"/>
        </w:rPr>
        <w:t>：</w:t>
      </w:r>
      <w:r>
        <w:rPr>
          <w:szCs w:val="27"/>
        </w:rPr>
        <w:t>反對的請舉手。</w:t>
      </w:r>
    </w:p>
    <w:p>
      <w:pPr>
        <w:pStyle w:val="F21"/>
        <w:snapToGrid w:val="false"/>
        <w:spacing w:lineRule="atLeast" w:line="350"/>
        <w:ind w:left="907" w:hanging="907"/>
        <w:rPr>
          <w:szCs w:val="27"/>
        </w:rPr>
      </w:pPr>
      <w:r>
        <w:rPr>
          <w:szCs w:val="27"/>
        </w:rPr>
      </w:r>
    </w:p>
    <w:p>
      <w:pPr>
        <w:pStyle w:val="F21"/>
        <w:spacing w:lineRule="atLeast" w:line="350"/>
        <w:ind w:left="907" w:hanging="907"/>
        <w:rPr>
          <w:szCs w:val="27"/>
        </w:rPr>
      </w:pPr>
      <w:r>
        <w:rPr>
          <w:szCs w:val="27"/>
        </w:rPr>
        <w:t>(</w:t>
      </w:r>
      <w:r>
        <w:rPr>
          <w:szCs w:val="27"/>
        </w:rPr>
        <w:t>沒有議員舉手</w:t>
      </w:r>
      <w:r>
        <w:rPr>
          <w:szCs w:val="27"/>
        </w:rPr>
        <w:t>)</w:t>
      </w:r>
    </w:p>
    <w:p>
      <w:pPr>
        <w:pStyle w:val="F21"/>
        <w:spacing w:lineRule="atLeast" w:line="350"/>
        <w:ind w:left="964" w:hanging="964"/>
        <w:rPr>
          <w:rFonts w:ascii="華康中黑體" w:hAnsi="華康中黑體" w:eastAsia="華康中黑體"/>
          <w:b/>
          <w:b/>
          <w:szCs w:val="27"/>
        </w:rPr>
      </w:pPr>
      <w:r>
        <w:rPr>
          <w:rFonts w:eastAsia="華康中黑體" w:ascii="華康中黑體" w:hAnsi="華康中黑體"/>
          <w:b/>
          <w:szCs w:val="27"/>
        </w:rPr>
      </w:r>
    </w:p>
    <w:p>
      <w:pPr>
        <w:pStyle w:val="F21"/>
        <w:spacing w:lineRule="atLeast" w:line="350"/>
        <w:ind w:left="964" w:hanging="964"/>
        <w:rPr>
          <w:rFonts w:ascii="華康中黑體" w:hAnsi="華康中黑體" w:eastAsia="華康中黑體"/>
          <w:b/>
          <w:b/>
          <w:szCs w:val="27"/>
        </w:rPr>
      </w:pPr>
      <w:r>
        <w:rPr>
          <w:rFonts w:eastAsia="華康中黑體" w:ascii="華康中黑體" w:hAnsi="華康中黑體"/>
          <w:b/>
          <w:szCs w:val="27"/>
        </w:rPr>
      </w:r>
    </w:p>
    <w:p>
      <w:pPr>
        <w:pStyle w:val="F21"/>
        <w:snapToGrid w:val="false"/>
        <w:spacing w:lineRule="atLeast" w:line="350"/>
        <w:ind w:left="907" w:hanging="907"/>
        <w:rPr>
          <w:szCs w:val="27"/>
        </w:rPr>
      </w:pPr>
      <w:r>
        <w:rPr>
          <w:rFonts w:ascii="華康中黑體" w:hAnsi="華康中黑體" w:eastAsia="華康中黑體"/>
          <w:b/>
        </w:rPr>
        <w:t>主席</w:t>
      </w:r>
      <w:r>
        <w:rPr>
          <w:rFonts w:ascii="華康中黑體" w:hAnsi="華康中黑體"/>
        </w:rPr>
        <w:t>：</w:t>
      </w:r>
      <w:r>
        <w:rPr>
          <w:szCs w:val="27"/>
        </w:rPr>
        <w:t>我認為議題獲得在席議員以過半數贊成。我宣布議案獲得通過。</w:t>
      </w:r>
    </w:p>
    <w:p>
      <w:pPr>
        <w:pStyle w:val="F21"/>
        <w:overflowPunct w:val="true"/>
        <w:snapToGrid w:val="false"/>
        <w:spacing w:lineRule="atLeast" w:line="350"/>
        <w:rPr>
          <w:rFonts w:ascii="華康中黑體" w:hAnsi="華康中黑體" w:eastAsia="華康中黑體"/>
          <w:b/>
          <w:b/>
          <w:sz w:val="28"/>
        </w:rPr>
      </w:pPr>
      <w:r>
        <w:rPr>
          <w:rFonts w:eastAsia="華康中黑體" w:ascii="華康中黑體" w:hAnsi="華康中黑體"/>
          <w:b/>
          <w:sz w:val="28"/>
        </w:rPr>
      </w:r>
    </w:p>
    <w:p>
      <w:pPr>
        <w:pStyle w:val="F21"/>
        <w:spacing w:lineRule="atLeast" w:line="350"/>
        <w:rPr/>
      </w:pPr>
      <w:r>
        <w:rPr/>
      </w:r>
    </w:p>
    <w:p>
      <w:pPr>
        <w:pStyle w:val="F21"/>
        <w:spacing w:lineRule="atLeast" w:line="350"/>
        <w:rPr>
          <w:rFonts w:ascii="華康中黑體" w:hAnsi="華康中黑體" w:eastAsia="華康中黑體"/>
          <w:b/>
          <w:b/>
          <w:sz w:val="28"/>
          <w:szCs w:val="28"/>
        </w:rPr>
      </w:pPr>
      <w:bookmarkStart w:id="90" w:name="mbm"/>
      <w:r>
        <w:rPr>
          <w:rFonts w:ascii="華康中黑體" w:hAnsi="華康中黑體" w:eastAsia="華康中黑體"/>
          <w:b/>
          <w:sz w:val="28"/>
          <w:szCs w:val="28"/>
        </w:rPr>
        <w:t>議員議案</w:t>
      </w:r>
    </w:p>
    <w:p>
      <w:pPr>
        <w:pStyle w:val="Normal"/>
        <w:spacing w:lineRule="atLeast" w:line="350"/>
        <w:rPr>
          <w:b/>
          <w:b/>
        </w:rPr>
      </w:pPr>
      <w:bookmarkStart w:id="91" w:name="mbm"/>
      <w:r>
        <w:rPr>
          <w:b/>
        </w:rPr>
        <w:t>MEMBERS' MOTIONS</w:t>
      </w:r>
      <w:bookmarkEnd w:id="91"/>
    </w:p>
    <w:p>
      <w:pPr>
        <w:pStyle w:val="F21"/>
        <w:spacing w:lineRule="atLeast" w:line="350"/>
        <w:rPr/>
      </w:pPr>
      <w:r>
        <w:rPr/>
      </w:r>
    </w:p>
    <w:p>
      <w:pPr>
        <w:pStyle w:val="F21"/>
        <w:spacing w:lineRule="atLeast" w:line="350"/>
        <w:rPr/>
      </w:pPr>
      <w:r>
        <w:rPr>
          <w:rFonts w:ascii="華康中黑體" w:hAnsi="華康中黑體" w:eastAsia="華康中黑體"/>
          <w:b/>
        </w:rPr>
        <w:t>主席</w:t>
      </w:r>
      <w:r>
        <w:rPr>
          <w:rFonts w:ascii="華康中黑體" w:hAnsi="華康中黑體"/>
        </w:rPr>
        <w:t>：</w:t>
      </w:r>
      <w:r>
        <w:rPr/>
        <w:t>議員議案。今次會議共有</w:t>
      </w:r>
      <w:r>
        <w:rPr/>
        <w:t>4</w:t>
      </w:r>
      <w:r>
        <w:rPr/>
        <w:t>項議員議案。</w:t>
      </w:r>
    </w:p>
    <w:p>
      <w:pPr>
        <w:pStyle w:val="F21"/>
        <w:spacing w:lineRule="atLeast" w:line="350"/>
        <w:rPr/>
      </w:pPr>
      <w:r>
        <w:rPr/>
      </w:r>
    </w:p>
    <w:p>
      <w:pPr>
        <w:pStyle w:val="F21"/>
        <w:spacing w:lineRule="atLeast" w:line="350"/>
        <w:rPr/>
      </w:pPr>
      <w:r>
        <w:rPr/>
        <w:tab/>
      </w:r>
      <w:r>
        <w:rPr/>
        <w:t>第一及第二項是根據《釋義及通則條例》動議，有關延展附屬法例修訂期限的擬議決議案。</w:t>
      </w:r>
    </w:p>
    <w:p>
      <w:pPr>
        <w:pStyle w:val="F21"/>
        <w:spacing w:lineRule="atLeast" w:line="350"/>
        <w:rPr/>
      </w:pPr>
      <w:r>
        <w:rPr/>
      </w:r>
    </w:p>
    <w:p>
      <w:pPr>
        <w:pStyle w:val="F21"/>
        <w:spacing w:lineRule="atLeast" w:line="350"/>
        <w:rPr/>
      </w:pPr>
      <w:r>
        <w:rPr/>
        <w:tab/>
      </w:r>
      <w:r>
        <w:rPr/>
        <w:t>第一項議案：延展於</w:t>
      </w:r>
      <w:r>
        <w:rPr/>
        <w:t>2013</w:t>
      </w:r>
      <w:r>
        <w:rPr/>
        <w:t>年</w:t>
      </w:r>
      <w:r>
        <w:rPr/>
        <w:t>11</w:t>
      </w:r>
      <w:r>
        <w:rPr/>
        <w:t>月</w:t>
      </w:r>
      <w:r>
        <w:rPr/>
        <w:t>20</w:t>
      </w:r>
      <w:r>
        <w:rPr/>
        <w:t>日提交本會省覽的《</w:t>
      </w:r>
      <w:r>
        <w:rPr/>
        <w:t>2013</w:t>
      </w:r>
      <w:r>
        <w:rPr/>
        <w:t>年〈</w:t>
      </w:r>
      <w:r>
        <w:rPr/>
        <w:t>1995</w:t>
      </w:r>
      <w:r>
        <w:rPr/>
        <w:t>年飛航</w:t>
      </w:r>
      <w:r>
        <w:rPr/>
        <w:t>(</w:t>
      </w:r>
      <w:r>
        <w:rPr/>
        <w:t>香港</w:t>
      </w:r>
      <w:r>
        <w:rPr/>
        <w:t>)</w:t>
      </w:r>
      <w:r>
        <w:rPr/>
        <w:t>令〉</w:t>
      </w:r>
      <w:r>
        <w:rPr/>
        <w:t>(</w:t>
      </w:r>
      <w:r>
        <w:rPr/>
        <w:t>修訂附表</w:t>
      </w:r>
      <w:r>
        <w:rPr/>
        <w:t>16)</w:t>
      </w:r>
      <w:r>
        <w:rPr/>
        <w:t>令》及《</w:t>
      </w:r>
      <w:r>
        <w:rPr/>
        <w:t>2013</w:t>
      </w:r>
      <w:r>
        <w:rPr/>
        <w:t>年危險品</w:t>
      </w:r>
      <w:r>
        <w:rPr/>
        <w:t>(</w:t>
      </w:r>
      <w:r>
        <w:rPr/>
        <w:t>航空托運</w:t>
      </w:r>
      <w:r>
        <w:rPr/>
        <w:t>)(</w:t>
      </w:r>
      <w:r>
        <w:rPr/>
        <w:t>安全</w:t>
      </w:r>
      <w:r>
        <w:rPr/>
        <w:t>)</w:t>
      </w:r>
      <w:r>
        <w:rPr/>
        <w:t>規例</w:t>
      </w:r>
      <w:r>
        <w:rPr/>
        <w:t>(</w:t>
      </w:r>
      <w:r>
        <w:rPr/>
        <w:t>修訂附表</w:t>
      </w:r>
      <w:r>
        <w:rPr/>
        <w:t>)</w:t>
      </w:r>
      <w:r>
        <w:rPr/>
        <w:t>令》的修訂期限。</w:t>
      </w:r>
    </w:p>
    <w:p>
      <w:pPr>
        <w:pStyle w:val="F21"/>
        <w:spacing w:lineRule="atLeast" w:line="350"/>
        <w:rPr/>
      </w:pPr>
      <w:r>
        <w:rPr/>
      </w:r>
    </w:p>
    <w:p>
      <w:pPr>
        <w:pStyle w:val="F21"/>
        <w:spacing w:lineRule="atLeast" w:line="350"/>
        <w:rPr/>
      </w:pPr>
      <w:r>
        <w:rPr/>
        <w:tab/>
      </w:r>
      <w:r>
        <w:rPr/>
        <w:t>我現在請陳鑑林議員發言及動議議案。</w:t>
      </w:r>
    </w:p>
    <w:p>
      <w:pPr>
        <w:pStyle w:val="F21"/>
        <w:spacing w:lineRule="atLeast" w:line="350"/>
        <w:rPr/>
      </w:pPr>
      <w:r>
        <w:rPr/>
      </w:r>
    </w:p>
    <w:p>
      <w:pPr>
        <w:pStyle w:val="F21"/>
        <w:spacing w:lineRule="atLeast" w:line="350"/>
        <w:rPr/>
      </w:pPr>
      <w:r>
        <w:rPr/>
      </w:r>
    </w:p>
    <w:p>
      <w:pPr>
        <w:pStyle w:val="F21"/>
        <w:spacing w:lineRule="atLeast" w:line="350"/>
        <w:rPr>
          <w:rFonts w:eastAsia="華康中黑體" w:cs="Times New Roman"/>
          <w:b/>
          <w:b/>
        </w:rPr>
      </w:pPr>
      <w:bookmarkStart w:id="92" w:name="mbm01"/>
      <w:r>
        <w:rPr>
          <w:rFonts w:cs="Times New Roman" w:eastAsia="華康中黑體"/>
          <w:b/>
        </w:rPr>
        <w:t>根據《釋義及通則條例》第</w:t>
      </w:r>
      <w:r>
        <w:rPr>
          <w:rFonts w:eastAsia="華康中黑體" w:cs="Times New Roman"/>
          <w:b/>
        </w:rPr>
        <w:t>34(4)</w:t>
      </w:r>
      <w:r>
        <w:rPr>
          <w:rFonts w:cs="Times New Roman" w:eastAsia="華康中黑體"/>
          <w:b/>
        </w:rPr>
        <w:t>條動議的擬議決議案</w:t>
      </w:r>
    </w:p>
    <w:p>
      <w:pPr>
        <w:pStyle w:val="Normal"/>
        <w:spacing w:lineRule="atLeast" w:line="350"/>
        <w:rPr>
          <w:b/>
          <w:b/>
        </w:rPr>
      </w:pPr>
      <w:bookmarkStart w:id="93" w:name="mbm01"/>
      <w:r>
        <w:rPr>
          <w:b/>
        </w:rPr>
        <w:t>PROPOSED RESOLUTION UNDER SECTION 34(4) OF THE INTERPRETATION AND GENERAL CLAUSES ORDINANCE</w:t>
      </w:r>
      <w:bookmarkEnd w:id="93"/>
    </w:p>
    <w:p>
      <w:pPr>
        <w:pStyle w:val="F21"/>
        <w:spacing w:lineRule="atLeast" w:line="350"/>
        <w:rPr/>
      </w:pPr>
      <w:r>
        <w:rPr/>
      </w:r>
    </w:p>
    <w:p>
      <w:pPr>
        <w:pStyle w:val="F21"/>
        <w:rPr>
          <w:szCs w:val="27"/>
        </w:rPr>
      </w:pPr>
      <w:r>
        <w:rPr>
          <w:rFonts w:ascii="華康中黑體" w:hAnsi="華康中黑體" w:cs="華康中黑體" w:eastAsia="華康中黑體"/>
          <w:b/>
          <w:szCs w:val="27"/>
        </w:rPr>
        <w:t>陳鑑林議員</w:t>
      </w:r>
      <w:r>
        <w:rPr>
          <w:szCs w:val="27"/>
        </w:rPr>
        <w:t>：主席，我動議通過以我名義提出的議案，議案內容已載列於議程內。</w:t>
      </w:r>
    </w:p>
    <w:p>
      <w:pPr>
        <w:pStyle w:val="F21"/>
        <w:rPr>
          <w:szCs w:val="27"/>
        </w:rPr>
      </w:pPr>
      <w:r>
        <w:rPr>
          <w:szCs w:val="27"/>
        </w:rPr>
      </w:r>
    </w:p>
    <w:p>
      <w:pPr>
        <w:pStyle w:val="F21"/>
        <w:spacing w:lineRule="atLeast" w:line="380"/>
        <w:rPr>
          <w:szCs w:val="27"/>
        </w:rPr>
      </w:pPr>
      <w:r>
        <w:rPr>
          <w:szCs w:val="27"/>
        </w:rPr>
        <w:tab/>
      </w:r>
      <w:r>
        <w:rPr>
          <w:szCs w:val="27"/>
        </w:rPr>
        <w:t>在</w:t>
      </w:r>
      <w:r>
        <w:rPr>
          <w:szCs w:val="27"/>
        </w:rPr>
        <w:t>2013</w:t>
      </w:r>
      <w:r>
        <w:rPr>
          <w:szCs w:val="27"/>
        </w:rPr>
        <w:t>年</w:t>
      </w:r>
      <w:r>
        <w:rPr>
          <w:szCs w:val="27"/>
        </w:rPr>
        <w:t>11</w:t>
      </w:r>
      <w:r>
        <w:rPr>
          <w:szCs w:val="27"/>
        </w:rPr>
        <w:t>月</w:t>
      </w:r>
      <w:r>
        <w:rPr>
          <w:szCs w:val="27"/>
        </w:rPr>
        <w:t>22</w:t>
      </w:r>
      <w:r>
        <w:rPr>
          <w:szCs w:val="27"/>
        </w:rPr>
        <w:t>日的內務委員會會議上，議員同意成立小組委員會，研究在</w:t>
      </w:r>
      <w:r>
        <w:rPr>
          <w:szCs w:val="27"/>
        </w:rPr>
        <w:t>2013</w:t>
      </w:r>
      <w:r>
        <w:rPr>
          <w:szCs w:val="27"/>
        </w:rPr>
        <w:t>年</w:t>
      </w:r>
      <w:r>
        <w:rPr>
          <w:szCs w:val="27"/>
        </w:rPr>
        <w:t>11</w:t>
      </w:r>
      <w:r>
        <w:rPr>
          <w:szCs w:val="27"/>
        </w:rPr>
        <w:t>月</w:t>
      </w:r>
      <w:r>
        <w:rPr>
          <w:szCs w:val="27"/>
        </w:rPr>
        <w:t>20</w:t>
      </w:r>
      <w:r>
        <w:rPr>
          <w:szCs w:val="27"/>
        </w:rPr>
        <w:t>日提交立法會省覽的《</w:t>
      </w:r>
      <w:r>
        <w:rPr>
          <w:szCs w:val="27"/>
        </w:rPr>
        <w:t>2013</w:t>
      </w:r>
      <w:r>
        <w:rPr>
          <w:szCs w:val="27"/>
        </w:rPr>
        <w:t>年〈</w:t>
      </w:r>
      <w:r>
        <w:rPr>
          <w:szCs w:val="27"/>
        </w:rPr>
        <w:t>1995</w:t>
      </w:r>
      <w:r>
        <w:rPr>
          <w:szCs w:val="27"/>
        </w:rPr>
        <w:t>年飛航</w:t>
      </w:r>
      <w:r>
        <w:rPr>
          <w:szCs w:val="27"/>
        </w:rPr>
        <w:t>(</w:t>
      </w:r>
      <w:r>
        <w:rPr>
          <w:szCs w:val="27"/>
        </w:rPr>
        <w:t>香港</w:t>
      </w:r>
      <w:r>
        <w:rPr>
          <w:szCs w:val="27"/>
        </w:rPr>
        <w:t>)</w:t>
      </w:r>
      <w:r>
        <w:rPr>
          <w:szCs w:val="27"/>
        </w:rPr>
        <w:t>令〉</w:t>
      </w:r>
      <w:r>
        <w:rPr>
          <w:szCs w:val="27"/>
        </w:rPr>
        <w:t>(</w:t>
      </w:r>
      <w:r>
        <w:rPr>
          <w:szCs w:val="27"/>
        </w:rPr>
        <w:t>修訂附表</w:t>
      </w:r>
      <w:r>
        <w:rPr>
          <w:szCs w:val="27"/>
        </w:rPr>
        <w:t>16)</w:t>
      </w:r>
      <w:r>
        <w:rPr>
          <w:szCs w:val="27"/>
        </w:rPr>
        <w:t>令》及《</w:t>
      </w:r>
      <w:r>
        <w:rPr>
          <w:szCs w:val="27"/>
        </w:rPr>
        <w:t>2013</w:t>
      </w:r>
      <w:r>
        <w:rPr>
          <w:szCs w:val="27"/>
        </w:rPr>
        <w:t>年危險品</w:t>
      </w:r>
      <w:r>
        <w:rPr>
          <w:szCs w:val="27"/>
        </w:rPr>
        <w:t>(</w:t>
      </w:r>
      <w:r>
        <w:rPr>
          <w:szCs w:val="27"/>
        </w:rPr>
        <w:t>航空托運</w:t>
      </w:r>
      <w:r>
        <w:rPr>
          <w:szCs w:val="27"/>
        </w:rPr>
        <w:t>)(</w:t>
      </w:r>
      <w:r>
        <w:rPr>
          <w:szCs w:val="27"/>
        </w:rPr>
        <w:t>安全</w:t>
      </w:r>
      <w:r>
        <w:rPr>
          <w:szCs w:val="27"/>
        </w:rPr>
        <w:t>)</w:t>
      </w:r>
      <w:r>
        <w:rPr>
          <w:szCs w:val="27"/>
        </w:rPr>
        <w:t>規例</w:t>
      </w:r>
      <w:r>
        <w:rPr>
          <w:szCs w:val="27"/>
        </w:rPr>
        <w:t>(</w:t>
      </w:r>
      <w:r>
        <w:rPr>
          <w:szCs w:val="27"/>
        </w:rPr>
        <w:t>修訂附表</w:t>
      </w:r>
      <w:r>
        <w:rPr>
          <w:szCs w:val="27"/>
        </w:rPr>
        <w:t>)</w:t>
      </w:r>
      <w:r>
        <w:rPr>
          <w:szCs w:val="27"/>
        </w:rPr>
        <w:t>令》。為使小組委員會有足夠時間向內務委員會報告其審議結果及讓議員考慮相關的附屬法例，我謹以小組委員會主席的身份，動議將該項附屬法例的審議期，延展至</w:t>
      </w:r>
      <w:r>
        <w:rPr>
          <w:szCs w:val="27"/>
        </w:rPr>
        <w:t>2014</w:t>
      </w:r>
      <w:r>
        <w:rPr>
          <w:szCs w:val="27"/>
        </w:rPr>
        <w:t>年</w:t>
      </w:r>
      <w:r>
        <w:rPr>
          <w:szCs w:val="27"/>
        </w:rPr>
        <w:t>1</w:t>
      </w:r>
      <w:r>
        <w:rPr>
          <w:szCs w:val="27"/>
        </w:rPr>
        <w:t>月</w:t>
      </w:r>
      <w:r>
        <w:rPr>
          <w:szCs w:val="27"/>
        </w:rPr>
        <w:t>8</w:t>
      </w:r>
      <w:r>
        <w:rPr>
          <w:szCs w:val="27"/>
        </w:rPr>
        <w:t>日。</w:t>
      </w:r>
    </w:p>
    <w:p>
      <w:pPr>
        <w:pStyle w:val="F21"/>
        <w:spacing w:lineRule="atLeast" w:line="380"/>
        <w:rPr>
          <w:szCs w:val="27"/>
        </w:rPr>
      </w:pPr>
      <w:r>
        <w:rPr>
          <w:szCs w:val="27"/>
        </w:rPr>
      </w:r>
    </w:p>
    <w:p>
      <w:pPr>
        <w:pStyle w:val="F21"/>
        <w:spacing w:lineRule="atLeast" w:line="380"/>
        <w:rPr>
          <w:szCs w:val="27"/>
        </w:rPr>
      </w:pPr>
      <w:r>
        <w:rPr>
          <w:szCs w:val="27"/>
        </w:rPr>
        <w:tab/>
      </w:r>
      <w:r>
        <w:rPr>
          <w:szCs w:val="27"/>
        </w:rPr>
        <w:t>主席，我謹請議員支持議案。</w:t>
      </w:r>
    </w:p>
    <w:p>
      <w:pPr>
        <w:pStyle w:val="F21"/>
        <w:spacing w:lineRule="atLeast" w:line="380"/>
        <w:rPr/>
      </w:pPr>
      <w:r>
        <w:rPr/>
      </w:r>
    </w:p>
    <w:p>
      <w:pPr>
        <w:pStyle w:val="F21"/>
        <w:spacing w:lineRule="atLeast" w:line="380"/>
        <w:rPr/>
      </w:pPr>
      <w:r>
        <w:rPr>
          <w:rFonts w:cs="Times New Roman" w:eastAsia="華康中黑體"/>
          <w:b/>
        </w:rPr>
        <w:t>陳鑑林議員動議的議案如下</w:t>
      </w:r>
      <w:r>
        <w:rPr/>
        <w:t>：</w:t>
      </w:r>
    </w:p>
    <w:p>
      <w:pPr>
        <w:pStyle w:val="F21"/>
        <w:spacing w:lineRule="atLeast" w:line="380"/>
        <w:rPr/>
      </w:pPr>
      <w:r>
        <w:rPr/>
      </w:r>
    </w:p>
    <w:p>
      <w:pPr>
        <w:pStyle w:val="F21"/>
        <w:spacing w:lineRule="atLeast" w:line="380"/>
        <w:ind w:left="709" w:hanging="142"/>
        <w:rPr>
          <w:rFonts w:cs="Times New Roman"/>
        </w:rPr>
      </w:pPr>
      <w:r>
        <w:rPr>
          <w:rFonts w:cs="Times New Roman"/>
        </w:rPr>
        <w:t>“</w:t>
      </w:r>
      <w:r>
        <w:rPr>
          <w:rFonts w:cs="Times New Roman"/>
        </w:rPr>
        <w:t>議決就</w:t>
      </w:r>
      <w:r>
        <w:rPr>
          <w:rFonts w:cs="Times New Roman"/>
        </w:rPr>
        <w:t>2013</w:t>
      </w:r>
      <w:r>
        <w:rPr>
          <w:rFonts w:cs="Times New Roman"/>
        </w:rPr>
        <w:t>年</w:t>
      </w:r>
      <w:r>
        <w:rPr>
          <w:rFonts w:cs="Times New Roman"/>
        </w:rPr>
        <w:t>11</w:t>
      </w:r>
      <w:r>
        <w:rPr>
          <w:rFonts w:cs="Times New Roman"/>
        </w:rPr>
        <w:t>月</w:t>
      </w:r>
      <w:r>
        <w:rPr>
          <w:rFonts w:cs="Times New Roman"/>
        </w:rPr>
        <w:t>20</w:t>
      </w:r>
      <w:r>
        <w:rPr>
          <w:rFonts w:cs="Times New Roman"/>
        </w:rPr>
        <w:t xml:space="preserve">日提交立法會會議省覽的 </w:t>
      </w:r>
      <w:r>
        <w:rPr/>
        <w:t>─</w:t>
      </w:r>
    </w:p>
    <w:p>
      <w:pPr>
        <w:pStyle w:val="F21"/>
        <w:spacing w:lineRule="atLeast" w:line="380"/>
        <w:ind w:left="709" w:hanging="142"/>
        <w:rPr>
          <w:rFonts w:cs="Times New Roman"/>
        </w:rPr>
      </w:pPr>
      <w:r>
        <w:rPr>
          <w:rFonts w:cs="Times New Roman"/>
        </w:rPr>
      </w:r>
    </w:p>
    <w:p>
      <w:pPr>
        <w:pStyle w:val="F21"/>
        <w:spacing w:lineRule="atLeast" w:line="380"/>
        <w:ind w:left="1843" w:hanging="567"/>
        <w:rPr>
          <w:rFonts w:cs="Times New Roman"/>
        </w:rPr>
      </w:pPr>
      <w:r>
        <w:rPr>
          <w:rFonts w:cs="Times New Roman"/>
        </w:rPr>
        <w:t>(a)</w:t>
        <w:tab/>
      </w:r>
      <w:r>
        <w:rPr>
          <w:rFonts w:cs="Times New Roman"/>
        </w:rPr>
        <w:t>《</w:t>
      </w:r>
      <w:r>
        <w:rPr>
          <w:rFonts w:cs="Times New Roman"/>
        </w:rPr>
        <w:t>2013</w:t>
      </w:r>
      <w:r>
        <w:rPr>
          <w:rFonts w:cs="Times New Roman"/>
        </w:rPr>
        <w:t>年〈</w:t>
      </w:r>
      <w:r>
        <w:rPr>
          <w:rFonts w:cs="Times New Roman"/>
        </w:rPr>
        <w:t>1995</w:t>
      </w:r>
      <w:r>
        <w:rPr>
          <w:rFonts w:cs="Times New Roman"/>
        </w:rPr>
        <w:t>年飛航</w:t>
      </w:r>
      <w:r>
        <w:rPr>
          <w:rFonts w:cs="Times New Roman"/>
        </w:rPr>
        <w:t>(</w:t>
      </w:r>
      <w:r>
        <w:rPr>
          <w:rFonts w:cs="Times New Roman"/>
        </w:rPr>
        <w:t>香港</w:t>
      </w:r>
      <w:r>
        <w:rPr>
          <w:rFonts w:cs="Times New Roman"/>
        </w:rPr>
        <w:t>)</w:t>
      </w:r>
      <w:r>
        <w:rPr>
          <w:rFonts w:cs="Times New Roman"/>
        </w:rPr>
        <w:t>令〉</w:t>
      </w:r>
      <w:r>
        <w:rPr>
          <w:rFonts w:cs="Times New Roman"/>
        </w:rPr>
        <w:t>(</w:t>
      </w:r>
      <w:r>
        <w:rPr>
          <w:rFonts w:cs="Times New Roman"/>
        </w:rPr>
        <w:t>修訂附表</w:t>
      </w:r>
      <w:r>
        <w:rPr>
          <w:rFonts w:cs="Times New Roman"/>
        </w:rPr>
        <w:t>16)</w:t>
      </w:r>
      <w:r>
        <w:rPr>
          <w:rFonts w:cs="Times New Roman"/>
        </w:rPr>
        <w:t>令》</w:t>
      </w:r>
      <w:r>
        <w:rPr>
          <w:rFonts w:cs="Times New Roman"/>
        </w:rPr>
        <w:t>(</w:t>
      </w:r>
      <w:r>
        <w:rPr>
          <w:rFonts w:cs="Times New Roman"/>
        </w:rPr>
        <w:t>即刊登於憲報的</w:t>
      </w:r>
      <w:r>
        <w:rPr>
          <w:rFonts w:cs="Times New Roman"/>
        </w:rPr>
        <w:t>2013</w:t>
      </w:r>
      <w:r>
        <w:rPr>
          <w:rFonts w:cs="Times New Roman"/>
        </w:rPr>
        <w:t>年第</w:t>
      </w:r>
      <w:r>
        <w:rPr>
          <w:rFonts w:cs="Times New Roman"/>
        </w:rPr>
        <w:t>182</w:t>
      </w:r>
      <w:r>
        <w:rPr>
          <w:rFonts w:cs="Times New Roman"/>
        </w:rPr>
        <w:t>號法律公告</w:t>
      </w:r>
      <w:r>
        <w:rPr>
          <w:rFonts w:cs="Times New Roman"/>
        </w:rPr>
        <w:t>)</w:t>
      </w:r>
      <w:r>
        <w:rPr>
          <w:rFonts w:cs="Times New Roman"/>
        </w:rPr>
        <w:t>；及</w:t>
      </w:r>
    </w:p>
    <w:p>
      <w:pPr>
        <w:pStyle w:val="F21"/>
        <w:spacing w:lineRule="atLeast" w:line="380"/>
        <w:ind w:left="1843" w:hanging="567"/>
        <w:rPr>
          <w:rFonts w:cs="Times New Roman"/>
        </w:rPr>
      </w:pPr>
      <w:r>
        <w:rPr>
          <w:rFonts w:cs="Times New Roman"/>
        </w:rPr>
      </w:r>
    </w:p>
    <w:p>
      <w:pPr>
        <w:pStyle w:val="F21"/>
        <w:spacing w:lineRule="atLeast" w:line="380"/>
        <w:ind w:left="1843" w:hanging="567"/>
        <w:rPr>
          <w:rFonts w:cs="Times New Roman"/>
        </w:rPr>
      </w:pPr>
      <w:r>
        <w:rPr>
          <w:rFonts w:cs="Times New Roman"/>
        </w:rPr>
        <w:t>(b)</w:t>
        <w:tab/>
      </w:r>
      <w:r>
        <w:rPr>
          <w:rFonts w:cs="Times New Roman"/>
        </w:rPr>
        <w:t>《</w:t>
      </w:r>
      <w:r>
        <w:rPr>
          <w:rFonts w:cs="Times New Roman"/>
        </w:rPr>
        <w:t>2013</w:t>
      </w:r>
      <w:r>
        <w:rPr>
          <w:rFonts w:cs="Times New Roman"/>
        </w:rPr>
        <w:t>年危險品</w:t>
      </w:r>
      <w:r>
        <w:rPr>
          <w:rFonts w:cs="Times New Roman"/>
        </w:rPr>
        <w:t>(</w:t>
      </w:r>
      <w:r>
        <w:rPr>
          <w:rFonts w:cs="Times New Roman"/>
        </w:rPr>
        <w:t>航空托運</w:t>
      </w:r>
      <w:r>
        <w:rPr>
          <w:rFonts w:cs="Times New Roman"/>
        </w:rPr>
        <w:t>)(</w:t>
      </w:r>
      <w:r>
        <w:rPr>
          <w:rFonts w:cs="Times New Roman"/>
        </w:rPr>
        <w:t>安全</w:t>
      </w:r>
      <w:r>
        <w:rPr>
          <w:rFonts w:cs="Times New Roman"/>
        </w:rPr>
        <w:t>)</w:t>
      </w:r>
      <w:r>
        <w:rPr>
          <w:rFonts w:cs="Times New Roman"/>
        </w:rPr>
        <w:t>規例</w:t>
      </w:r>
      <w:r>
        <w:rPr>
          <w:rFonts w:cs="Times New Roman"/>
        </w:rPr>
        <w:t>(</w:t>
      </w:r>
      <w:r>
        <w:rPr>
          <w:rFonts w:cs="Times New Roman"/>
        </w:rPr>
        <w:t>修訂附表</w:t>
      </w:r>
      <w:r>
        <w:rPr>
          <w:rFonts w:cs="Times New Roman"/>
        </w:rPr>
        <w:t>)</w:t>
      </w:r>
      <w:r>
        <w:rPr>
          <w:rFonts w:cs="Times New Roman"/>
        </w:rPr>
        <w:t>令》</w:t>
      </w:r>
      <w:r>
        <w:rPr>
          <w:rFonts w:cs="Times New Roman"/>
        </w:rPr>
        <w:t>(</w:t>
      </w:r>
      <w:r>
        <w:rPr>
          <w:rFonts w:cs="Times New Roman"/>
        </w:rPr>
        <w:t>即刊登於憲報的</w:t>
      </w:r>
      <w:r>
        <w:rPr>
          <w:rFonts w:cs="Times New Roman"/>
        </w:rPr>
        <w:t>2013</w:t>
      </w:r>
      <w:r>
        <w:rPr>
          <w:rFonts w:cs="Times New Roman"/>
        </w:rPr>
        <w:t>年第</w:t>
      </w:r>
      <w:r>
        <w:rPr>
          <w:rFonts w:cs="Times New Roman"/>
        </w:rPr>
        <w:t>183</w:t>
      </w:r>
      <w:r>
        <w:rPr>
          <w:rFonts w:cs="Times New Roman"/>
        </w:rPr>
        <w:t>號法律公告</w:t>
      </w:r>
      <w:r>
        <w:rPr>
          <w:rFonts w:cs="Times New Roman"/>
        </w:rPr>
        <w:t>)</w:t>
      </w:r>
      <w:r>
        <w:rPr>
          <w:rFonts w:cs="Times New Roman"/>
        </w:rPr>
        <w:t>，</w:t>
      </w:r>
    </w:p>
    <w:p>
      <w:pPr>
        <w:pStyle w:val="F21"/>
        <w:spacing w:lineRule="atLeast" w:line="380"/>
        <w:ind w:left="1843" w:hanging="567"/>
        <w:rPr>
          <w:rFonts w:cs="Times New Roman"/>
        </w:rPr>
      </w:pPr>
      <w:r>
        <w:rPr>
          <w:rFonts w:cs="Times New Roman"/>
        </w:rPr>
      </w:r>
    </w:p>
    <w:p>
      <w:pPr>
        <w:pStyle w:val="F21"/>
        <w:spacing w:lineRule="atLeast" w:line="380"/>
        <w:ind w:left="1276" w:hanging="0"/>
        <w:rPr>
          <w:rFonts w:cs="Times New Roman"/>
        </w:rPr>
      </w:pPr>
      <w:r>
        <w:rPr>
          <w:rFonts w:cs="Times New Roman"/>
        </w:rPr>
        <w:t>將《釋義及通則條例》</w:t>
      </w:r>
      <w:r>
        <w:rPr>
          <w:rFonts w:cs="Times New Roman"/>
        </w:rPr>
        <w:t>(</w:t>
      </w:r>
      <w:r>
        <w:rPr>
          <w:rFonts w:cs="Times New Roman"/>
        </w:rPr>
        <w:t>第</w:t>
      </w:r>
      <w:r>
        <w:rPr>
          <w:rFonts w:cs="Times New Roman"/>
        </w:rPr>
        <w:t>1</w:t>
      </w:r>
      <w:r>
        <w:rPr>
          <w:rFonts w:cs="Times New Roman"/>
        </w:rPr>
        <w:t>章</w:t>
      </w:r>
      <w:r>
        <w:rPr>
          <w:rFonts w:cs="Times New Roman"/>
        </w:rPr>
        <w:t>)</w:t>
      </w:r>
      <w:r>
        <w:rPr>
          <w:rFonts w:cs="Times New Roman"/>
        </w:rPr>
        <w:t>第</w:t>
      </w:r>
      <w:r>
        <w:rPr>
          <w:rFonts w:cs="Times New Roman"/>
        </w:rPr>
        <w:t>34(2)</w:t>
      </w:r>
      <w:r>
        <w:rPr>
          <w:rFonts w:cs="Times New Roman"/>
        </w:rPr>
        <w:t>條所提述的附屬法例修訂期限根據該條例第</w:t>
      </w:r>
      <w:r>
        <w:rPr>
          <w:rFonts w:cs="Times New Roman"/>
        </w:rPr>
        <w:t>34(4)</w:t>
      </w:r>
      <w:r>
        <w:rPr>
          <w:rFonts w:cs="Times New Roman"/>
        </w:rPr>
        <w:t>條延展至</w:t>
      </w:r>
      <w:r>
        <w:rPr>
          <w:rFonts w:cs="Times New Roman"/>
        </w:rPr>
        <w:t>2014</w:t>
      </w:r>
      <w:r>
        <w:rPr>
          <w:rFonts w:cs="Times New Roman"/>
        </w:rPr>
        <w:t>年</w:t>
      </w:r>
      <w:r>
        <w:rPr>
          <w:rFonts w:cs="Times New Roman"/>
        </w:rPr>
        <w:t>1</w:t>
      </w:r>
      <w:r>
        <w:rPr>
          <w:rFonts w:cs="Times New Roman"/>
        </w:rPr>
        <w:t>月</w:t>
      </w:r>
      <w:r>
        <w:rPr>
          <w:rFonts w:cs="Times New Roman"/>
        </w:rPr>
        <w:t>8</w:t>
      </w:r>
      <w:r>
        <w:rPr>
          <w:rFonts w:cs="Times New Roman"/>
        </w:rPr>
        <w:t>日的會議。”</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主席</w:t>
      </w:r>
      <w:r>
        <w:rPr/>
        <w:t>：我現在向各位提出的待議議題是：陳鑑林議員動議的議案，予以通過。</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主席</w:t>
      </w:r>
      <w:r>
        <w:rPr/>
        <w:t>：是否有議員想發言？</w:t>
      </w:r>
    </w:p>
    <w:p>
      <w:pPr>
        <w:pStyle w:val="F21"/>
        <w:spacing w:lineRule="atLeast" w:line="380"/>
        <w:rPr/>
      </w:pPr>
      <w:r>
        <w:rPr/>
      </w:r>
    </w:p>
    <w:p>
      <w:pPr>
        <w:pStyle w:val="F21"/>
        <w:spacing w:lineRule="atLeast" w:line="380"/>
        <w:rPr/>
      </w:pPr>
      <w:r>
        <w:rPr/>
        <w:t>(</w:t>
      </w:r>
      <w:r>
        <w:rPr/>
        <w:t>沒有議員表示想發言</w:t>
      </w:r>
      <w:r>
        <w:rPr/>
        <w:t>)</w:t>
      </w:r>
    </w:p>
    <w:p>
      <w:pPr>
        <w:pStyle w:val="F21"/>
        <w:spacing w:lineRule="atLeast" w:line="380"/>
        <w:rPr/>
      </w:pPr>
      <w:r>
        <w:rPr/>
      </w:r>
    </w:p>
    <w:p>
      <w:pPr>
        <w:pStyle w:val="F21"/>
        <w:spacing w:lineRule="atLeast" w:line="380"/>
        <w:rPr/>
      </w:pPr>
      <w:r>
        <w:rPr/>
      </w:r>
    </w:p>
    <w:p>
      <w:pPr>
        <w:pStyle w:val="F21"/>
        <w:overflowPunct w:val="true"/>
        <w:snapToGrid w:val="false"/>
        <w:spacing w:lineRule="atLeast" w:line="380"/>
        <w:ind w:left="851" w:hanging="851"/>
        <w:rPr>
          <w:szCs w:val="27"/>
        </w:rPr>
      </w:pPr>
      <w:r>
        <w:rPr>
          <w:rFonts w:eastAsia="華康中黑體"/>
          <w:b/>
          <w:szCs w:val="27"/>
        </w:rPr>
        <w:t>主席</w:t>
      </w:r>
      <w:r>
        <w:rPr>
          <w:szCs w:val="27"/>
        </w:rPr>
        <w:t>：我現在向各位提出上述待決議題，付諸表決。贊成的請舉手。</w:t>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ind w:left="851" w:hanging="851"/>
        <w:rPr>
          <w:szCs w:val="27"/>
        </w:rPr>
      </w:pPr>
      <w:r>
        <w:rPr>
          <w:szCs w:val="27"/>
        </w:rPr>
        <w:t>(</w:t>
      </w:r>
      <w:r>
        <w:rPr>
          <w:szCs w:val="27"/>
        </w:rPr>
        <w:t>議員舉手</w:t>
      </w:r>
      <w:r>
        <w:rPr>
          <w:szCs w:val="27"/>
        </w:rPr>
        <w:t>)</w:t>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rPr>
          <w:szCs w:val="27"/>
        </w:rPr>
      </w:pPr>
      <w:r>
        <w:rPr>
          <w:szCs w:val="27"/>
        </w:rPr>
        <w:t>(</w:t>
      </w:r>
      <w:r>
        <w:rPr>
          <w:szCs w:val="27"/>
        </w:rPr>
        <w:t>沒有議員舉手</w:t>
      </w:r>
      <w:r>
        <w:rPr>
          <w:szCs w:val="27"/>
        </w:rPr>
        <w:t>)</w:t>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ind w:left="851" w:hanging="851"/>
        <w:rPr>
          <w:rFonts w:eastAsia="華康中黑體"/>
          <w:b/>
          <w:b/>
          <w:szCs w:val="27"/>
        </w:rPr>
      </w:pPr>
      <w:r>
        <w:rPr>
          <w:rFonts w:eastAsia="華康中黑體"/>
          <w:b/>
          <w:szCs w:val="27"/>
        </w:rPr>
      </w:r>
    </w:p>
    <w:p>
      <w:pPr>
        <w:pStyle w:val="F21"/>
        <w:snapToGrid w:val="false"/>
        <w:rPr>
          <w:szCs w:val="27"/>
        </w:rPr>
      </w:pPr>
      <w:r>
        <w:rPr>
          <w:rFonts w:eastAsia="華康中黑體"/>
          <w:b/>
          <w:szCs w:val="27"/>
        </w:rPr>
        <w:t>主席</w:t>
      </w:r>
      <w:r>
        <w:rPr>
          <w:szCs w:val="27"/>
        </w:rPr>
        <w:t>：我認為議題獲得經由功能團體選舉產生及分區直接選舉產生的兩部分在席議員，分別以過半數贊成。我宣布議案獲得通過。</w:t>
      </w:r>
    </w:p>
    <w:p>
      <w:pPr>
        <w:pStyle w:val="F21"/>
        <w:snapToGrid w:val="false"/>
        <w:rPr>
          <w:szCs w:val="27"/>
        </w:rPr>
      </w:pPr>
      <w:r>
        <w:rPr>
          <w:szCs w:val="27"/>
        </w:rPr>
      </w:r>
    </w:p>
    <w:p>
      <w:pPr>
        <w:pStyle w:val="F21"/>
        <w:snapToGrid w:val="false"/>
        <w:rPr>
          <w:szCs w:val="27"/>
        </w:rPr>
      </w:pPr>
      <w:r>
        <w:rPr>
          <w:szCs w:val="27"/>
        </w:rPr>
      </w:r>
    </w:p>
    <w:p>
      <w:pPr>
        <w:pStyle w:val="F21"/>
        <w:snapToGrid w:val="false"/>
        <w:rPr>
          <w:szCs w:val="27"/>
        </w:rPr>
      </w:pPr>
      <w:r>
        <w:rPr>
          <w:rFonts w:eastAsia="華康中黑體"/>
          <w:b/>
          <w:szCs w:val="27"/>
        </w:rPr>
        <w:t>主席</w:t>
      </w:r>
      <w:r>
        <w:rPr>
          <w:szCs w:val="27"/>
        </w:rPr>
        <w:t>：第二項議案：延展於</w:t>
      </w:r>
      <w:r>
        <w:rPr>
          <w:szCs w:val="27"/>
        </w:rPr>
        <w:t>2013</w:t>
      </w:r>
      <w:r>
        <w:rPr>
          <w:szCs w:val="27"/>
        </w:rPr>
        <w:t>年</w:t>
      </w:r>
      <w:r>
        <w:rPr>
          <w:szCs w:val="27"/>
        </w:rPr>
        <w:t>11</w:t>
      </w:r>
      <w:r>
        <w:rPr>
          <w:szCs w:val="27"/>
        </w:rPr>
        <w:t>月</w:t>
      </w:r>
      <w:r>
        <w:rPr>
          <w:szCs w:val="27"/>
        </w:rPr>
        <w:t>27</w:t>
      </w:r>
      <w:r>
        <w:rPr>
          <w:szCs w:val="27"/>
        </w:rPr>
        <w:t>日提交本會省覽的《</w:t>
      </w:r>
      <w:r>
        <w:rPr>
          <w:szCs w:val="27"/>
        </w:rPr>
        <w:t>2013</w:t>
      </w:r>
      <w:r>
        <w:rPr>
          <w:szCs w:val="27"/>
        </w:rPr>
        <w:t>年古物及古蹟</w:t>
      </w:r>
      <w:r>
        <w:rPr>
          <w:szCs w:val="27"/>
        </w:rPr>
        <w:t>(</w:t>
      </w:r>
      <w:r>
        <w:rPr>
          <w:szCs w:val="27"/>
        </w:rPr>
        <w:t>歷史建築物的宣布</w:t>
      </w:r>
      <w:r>
        <w:rPr>
          <w:szCs w:val="27"/>
        </w:rPr>
        <w:t>)</w:t>
      </w:r>
      <w:r>
        <w:rPr>
          <w:szCs w:val="27"/>
        </w:rPr>
        <w:t>公告》的修訂期限。</w:t>
      </w:r>
    </w:p>
    <w:p>
      <w:pPr>
        <w:pStyle w:val="F21"/>
        <w:snapToGrid w:val="false"/>
        <w:rPr>
          <w:szCs w:val="27"/>
        </w:rPr>
      </w:pPr>
      <w:r>
        <w:rPr>
          <w:szCs w:val="27"/>
        </w:rPr>
      </w:r>
    </w:p>
    <w:p>
      <w:pPr>
        <w:pStyle w:val="F21"/>
        <w:snapToGrid w:val="false"/>
        <w:rPr>
          <w:szCs w:val="27"/>
        </w:rPr>
      </w:pPr>
      <w:r>
        <w:rPr>
          <w:szCs w:val="27"/>
        </w:rPr>
        <w:tab/>
      </w:r>
      <w:r>
        <w:rPr>
          <w:szCs w:val="27"/>
        </w:rPr>
        <w:t>我現在請陳婉嫻議員發言及動議議案。</w:t>
      </w:r>
    </w:p>
    <w:p>
      <w:pPr>
        <w:pStyle w:val="F21"/>
        <w:snapToGrid w:val="false"/>
        <w:rPr>
          <w:szCs w:val="27"/>
        </w:rPr>
      </w:pPr>
      <w:r>
        <w:rPr>
          <w:szCs w:val="27"/>
        </w:rPr>
      </w:r>
    </w:p>
    <w:p>
      <w:pPr>
        <w:pStyle w:val="F21"/>
        <w:rPr>
          <w:rFonts w:ascii="華康中黑體" w:hAnsi="華康中黑體" w:eastAsia="華康中黑體"/>
          <w:b/>
          <w:b/>
          <w:sz w:val="28"/>
          <w:szCs w:val="28"/>
        </w:rPr>
      </w:pPr>
      <w:r>
        <w:rPr>
          <w:rFonts w:eastAsia="華康中黑體" w:ascii="華康中黑體" w:hAnsi="華康中黑體"/>
          <w:b/>
          <w:sz w:val="28"/>
          <w:szCs w:val="28"/>
        </w:rPr>
      </w:r>
    </w:p>
    <w:p>
      <w:pPr>
        <w:pStyle w:val="F21"/>
        <w:rPr>
          <w:rFonts w:eastAsia="華康中黑體" w:cs="Times New Roman"/>
          <w:b/>
          <w:b/>
        </w:rPr>
      </w:pPr>
      <w:bookmarkStart w:id="94" w:name="mbm02"/>
      <w:r>
        <w:rPr>
          <w:rFonts w:cs="Times New Roman" w:eastAsia="華康中黑體"/>
          <w:b/>
        </w:rPr>
        <w:t>根據《釋義及通則條例》第</w:t>
      </w:r>
      <w:r>
        <w:rPr>
          <w:rFonts w:eastAsia="華康中黑體" w:cs="Times New Roman"/>
          <w:b/>
        </w:rPr>
        <w:t>34(4)</w:t>
      </w:r>
      <w:r>
        <w:rPr>
          <w:rFonts w:cs="Times New Roman" w:eastAsia="華康中黑體"/>
          <w:b/>
        </w:rPr>
        <w:t>條動議的擬議決議案</w:t>
      </w:r>
    </w:p>
    <w:p>
      <w:pPr>
        <w:pStyle w:val="F21"/>
        <w:rPr/>
      </w:pPr>
      <w:bookmarkStart w:id="95" w:name="mbm02"/>
      <w:r>
        <w:rPr>
          <w:rFonts w:cs="Times New Roman"/>
          <w:b/>
          <w:spacing w:val="0"/>
          <w:sz w:val="28"/>
          <w:lang w:val="en-GB"/>
        </w:rPr>
        <w:t>PROPOSED RESOLUTION UNDER SECTION 34(4) OF THE INTERPRETATION AND GENERAL CLAUSES ORDINANCE</w:t>
      </w:r>
      <w:bookmarkEnd w:id="95"/>
    </w:p>
    <w:p>
      <w:pPr>
        <w:pStyle w:val="F21"/>
        <w:rPr/>
      </w:pPr>
      <w:r>
        <w:rPr/>
      </w:r>
    </w:p>
    <w:p>
      <w:pPr>
        <w:pStyle w:val="F21"/>
        <w:rPr>
          <w:szCs w:val="27"/>
        </w:rPr>
      </w:pPr>
      <w:r>
        <w:rPr>
          <w:rFonts w:cs="華康中黑體" w:eastAsia="華康中黑體"/>
          <w:b/>
          <w:szCs w:val="27"/>
        </w:rPr>
        <w:t>陳婉嫻議員</w:t>
      </w:r>
      <w:r>
        <w:rPr>
          <w:szCs w:val="27"/>
        </w:rPr>
        <w:t>：主席，我動議通過以我名義提出的議案，議案內容已載列於議程內。</w:t>
      </w:r>
    </w:p>
    <w:p>
      <w:pPr>
        <w:pStyle w:val="F21"/>
        <w:rPr>
          <w:szCs w:val="27"/>
        </w:rPr>
      </w:pPr>
      <w:r>
        <w:rPr>
          <w:szCs w:val="27"/>
        </w:rPr>
      </w:r>
    </w:p>
    <w:p>
      <w:pPr>
        <w:pStyle w:val="F21"/>
        <w:rPr>
          <w:szCs w:val="27"/>
        </w:rPr>
      </w:pPr>
      <w:r>
        <w:rPr>
          <w:szCs w:val="27"/>
        </w:rPr>
        <w:tab/>
      </w:r>
      <w:r>
        <w:rPr>
          <w:szCs w:val="27"/>
        </w:rPr>
        <w:t>在</w:t>
      </w:r>
      <w:r>
        <w:rPr>
          <w:szCs w:val="27"/>
        </w:rPr>
        <w:t>2013</w:t>
      </w:r>
      <w:r>
        <w:rPr>
          <w:szCs w:val="27"/>
        </w:rPr>
        <w:t>年</w:t>
      </w:r>
      <w:r>
        <w:rPr>
          <w:szCs w:val="27"/>
        </w:rPr>
        <w:t>11</w:t>
      </w:r>
      <w:r>
        <w:rPr>
          <w:szCs w:val="27"/>
        </w:rPr>
        <w:t>月</w:t>
      </w:r>
      <w:r>
        <w:rPr>
          <w:szCs w:val="27"/>
        </w:rPr>
        <w:t>29</w:t>
      </w:r>
      <w:r>
        <w:rPr>
          <w:szCs w:val="27"/>
        </w:rPr>
        <w:t>日的內務委員會會議上，議員同意成立小組委員會，研究在</w:t>
      </w:r>
      <w:r>
        <w:rPr>
          <w:szCs w:val="27"/>
        </w:rPr>
        <w:t>2013</w:t>
      </w:r>
      <w:r>
        <w:rPr>
          <w:szCs w:val="27"/>
        </w:rPr>
        <w:t>年</w:t>
      </w:r>
      <w:r>
        <w:rPr>
          <w:szCs w:val="27"/>
        </w:rPr>
        <w:t>11</w:t>
      </w:r>
      <w:r>
        <w:rPr>
          <w:szCs w:val="27"/>
        </w:rPr>
        <w:t>月</w:t>
      </w:r>
      <w:r>
        <w:rPr>
          <w:szCs w:val="27"/>
        </w:rPr>
        <w:t>27</w:t>
      </w:r>
      <w:r>
        <w:rPr>
          <w:szCs w:val="27"/>
        </w:rPr>
        <w:t>日提交立法會省覽的《</w:t>
      </w:r>
      <w:r>
        <w:rPr>
          <w:szCs w:val="27"/>
        </w:rPr>
        <w:t>2013</w:t>
      </w:r>
      <w:r>
        <w:rPr>
          <w:szCs w:val="27"/>
        </w:rPr>
        <w:t>年古物及古蹟</w:t>
      </w:r>
      <w:r>
        <w:rPr>
          <w:szCs w:val="27"/>
        </w:rPr>
        <w:t>(</w:t>
      </w:r>
      <w:r>
        <w:rPr>
          <w:szCs w:val="27"/>
        </w:rPr>
        <w:t>歷史建築物的宣布</w:t>
      </w:r>
      <w:r>
        <w:rPr>
          <w:szCs w:val="27"/>
        </w:rPr>
        <w:t>)</w:t>
      </w:r>
      <w:r>
        <w:rPr>
          <w:szCs w:val="27"/>
        </w:rPr>
        <w:t>公告》。為使小組委員會有足夠時間向內務委員會報告其審議結果及讓議員考慮相關的附屬法例，我謹以小組委員會主席的身份，動議將該項附屬法例的審議期，延展至</w:t>
      </w:r>
      <w:r>
        <w:rPr>
          <w:szCs w:val="27"/>
        </w:rPr>
        <w:t>2014</w:t>
      </w:r>
      <w:r>
        <w:rPr>
          <w:szCs w:val="27"/>
        </w:rPr>
        <w:t>年</w:t>
      </w:r>
      <w:r>
        <w:rPr>
          <w:szCs w:val="27"/>
        </w:rPr>
        <w:t>1</w:t>
      </w:r>
      <w:r>
        <w:rPr>
          <w:szCs w:val="27"/>
        </w:rPr>
        <w:t>月</w:t>
      </w:r>
      <w:r>
        <w:rPr>
          <w:szCs w:val="27"/>
        </w:rPr>
        <w:t>15</w:t>
      </w:r>
      <w:r>
        <w:rPr>
          <w:szCs w:val="27"/>
        </w:rPr>
        <w:t>日。</w:t>
      </w:r>
    </w:p>
    <w:p>
      <w:pPr>
        <w:pStyle w:val="F21"/>
        <w:rPr>
          <w:szCs w:val="27"/>
        </w:rPr>
      </w:pPr>
      <w:r>
        <w:rPr>
          <w:szCs w:val="27"/>
        </w:rPr>
      </w:r>
    </w:p>
    <w:p>
      <w:pPr>
        <w:pStyle w:val="F21"/>
        <w:rPr>
          <w:szCs w:val="27"/>
        </w:rPr>
      </w:pPr>
      <w:r>
        <w:rPr>
          <w:szCs w:val="27"/>
        </w:rPr>
        <w:tab/>
      </w:r>
      <w:r>
        <w:rPr>
          <w:szCs w:val="27"/>
        </w:rPr>
        <w:t>主席，我謹請議員支持議案。</w:t>
      </w:r>
    </w:p>
    <w:p>
      <w:pPr>
        <w:pStyle w:val="F21"/>
        <w:rPr/>
      </w:pPr>
      <w:r>
        <w:rPr/>
      </w:r>
    </w:p>
    <w:p>
      <w:pPr>
        <w:pStyle w:val="F21"/>
        <w:rPr/>
      </w:pPr>
      <w:r>
        <w:rPr>
          <w:rFonts w:cs="華康中黑體" w:eastAsia="華康中黑體"/>
          <w:b/>
          <w:szCs w:val="27"/>
        </w:rPr>
        <w:t>陳婉嫻議員</w:t>
      </w:r>
      <w:r>
        <w:rPr>
          <w:rFonts w:cs="Times New Roman" w:eastAsia="華康中黑體"/>
          <w:b/>
        </w:rPr>
        <w:t>動議的議案如下</w:t>
      </w:r>
      <w:r>
        <w:rPr/>
        <w:t>：</w:t>
      </w:r>
    </w:p>
    <w:p>
      <w:pPr>
        <w:pStyle w:val="F21"/>
        <w:rPr/>
      </w:pPr>
      <w:r>
        <w:rPr/>
      </w:r>
    </w:p>
    <w:p>
      <w:pPr>
        <w:pStyle w:val="F21"/>
        <w:ind w:left="1276" w:hanging="709"/>
        <w:rPr>
          <w:rFonts w:cs="Times New Roman"/>
        </w:rPr>
      </w:pPr>
      <w:r>
        <w:rPr>
          <w:rFonts w:cs="Times New Roman"/>
        </w:rPr>
        <w:t>“</w:t>
      </w:r>
      <w:r>
        <w:rPr>
          <w:rFonts w:cs="Times New Roman"/>
        </w:rPr>
        <w:t>議決就</w:t>
      </w:r>
      <w:r>
        <w:rPr>
          <w:rFonts w:cs="Times New Roman"/>
        </w:rPr>
        <w:t>2013</w:t>
      </w:r>
      <w:r>
        <w:rPr>
          <w:rFonts w:cs="Times New Roman"/>
        </w:rPr>
        <w:t>年</w:t>
      </w:r>
      <w:r>
        <w:rPr>
          <w:rFonts w:cs="Times New Roman"/>
        </w:rPr>
        <w:t>11</w:t>
      </w:r>
      <w:r>
        <w:rPr>
          <w:rFonts w:cs="Times New Roman"/>
        </w:rPr>
        <w:t>月</w:t>
      </w:r>
      <w:r>
        <w:rPr>
          <w:rFonts w:cs="Times New Roman"/>
        </w:rPr>
        <w:t>27</w:t>
      </w:r>
      <w:r>
        <w:rPr>
          <w:rFonts w:cs="Times New Roman"/>
        </w:rPr>
        <w:t>日提交立法會會議省覽的《</w:t>
      </w:r>
      <w:r>
        <w:rPr>
          <w:rFonts w:cs="Times New Roman"/>
        </w:rPr>
        <w:t>2013</w:t>
      </w:r>
      <w:r>
        <w:rPr>
          <w:rFonts w:cs="Times New Roman"/>
        </w:rPr>
        <w:t>年古物及古蹟</w:t>
      </w:r>
      <w:r>
        <w:rPr>
          <w:rFonts w:cs="Times New Roman"/>
        </w:rPr>
        <w:t>(</w:t>
      </w:r>
      <w:r>
        <w:rPr>
          <w:rFonts w:cs="Times New Roman"/>
        </w:rPr>
        <w:t>歷史建築物的宣布</w:t>
      </w:r>
      <w:r>
        <w:rPr>
          <w:rFonts w:cs="Times New Roman"/>
        </w:rPr>
        <w:t>)</w:t>
      </w:r>
      <w:r>
        <w:rPr>
          <w:rFonts w:cs="Times New Roman"/>
        </w:rPr>
        <w:t>公告》</w:t>
      </w:r>
      <w:r>
        <w:rPr>
          <w:rFonts w:cs="Times New Roman"/>
        </w:rPr>
        <w:t>(</w:t>
      </w:r>
      <w:r>
        <w:rPr>
          <w:rFonts w:cs="Times New Roman"/>
        </w:rPr>
        <w:t>即刊登於憲報的</w:t>
      </w:r>
      <w:r>
        <w:rPr>
          <w:rFonts w:cs="Times New Roman"/>
        </w:rPr>
        <w:t>2013</w:t>
      </w:r>
      <w:r>
        <w:rPr>
          <w:rFonts w:cs="Times New Roman"/>
        </w:rPr>
        <w:t>年第</w:t>
      </w:r>
      <w:r>
        <w:rPr>
          <w:rFonts w:cs="Times New Roman"/>
        </w:rPr>
        <w:t>186</w:t>
      </w:r>
      <w:r>
        <w:rPr>
          <w:rFonts w:cs="Times New Roman"/>
        </w:rPr>
        <w:t>號法律公告</w:t>
      </w:r>
      <w:r>
        <w:rPr>
          <w:rFonts w:cs="Times New Roman"/>
        </w:rPr>
        <w:t>)</w:t>
      </w:r>
      <w:r>
        <w:rPr>
          <w:rFonts w:cs="Times New Roman"/>
        </w:rPr>
        <w:t>，將《釋義及通則條例》</w:t>
      </w:r>
      <w:r>
        <w:rPr>
          <w:rFonts w:cs="Times New Roman"/>
        </w:rPr>
        <w:t>(</w:t>
      </w:r>
      <w:r>
        <w:rPr>
          <w:rFonts w:cs="Times New Roman"/>
        </w:rPr>
        <w:t>第</w:t>
      </w:r>
      <w:r>
        <w:rPr>
          <w:rFonts w:cs="Times New Roman"/>
        </w:rPr>
        <w:t>1</w:t>
      </w:r>
      <w:r>
        <w:rPr>
          <w:rFonts w:cs="Times New Roman"/>
        </w:rPr>
        <w:t>章</w:t>
      </w:r>
      <w:r>
        <w:rPr>
          <w:rFonts w:cs="Times New Roman"/>
        </w:rPr>
        <w:t>)</w:t>
      </w:r>
      <w:r>
        <w:rPr>
          <w:rFonts w:cs="Times New Roman"/>
        </w:rPr>
        <w:t>第</w:t>
      </w:r>
      <w:r>
        <w:rPr>
          <w:rFonts w:cs="Times New Roman"/>
        </w:rPr>
        <w:t>34(2)</w:t>
      </w:r>
      <w:r>
        <w:rPr>
          <w:rFonts w:cs="Times New Roman"/>
        </w:rPr>
        <w:t>條所提述的附屬法例修訂期限根據該條例第</w:t>
      </w:r>
      <w:r>
        <w:rPr>
          <w:rFonts w:cs="Times New Roman"/>
        </w:rPr>
        <w:t>34(4)</w:t>
      </w:r>
      <w:r>
        <w:rPr>
          <w:rFonts w:cs="Times New Roman"/>
        </w:rPr>
        <w:t>條延展至</w:t>
      </w:r>
      <w:r>
        <w:rPr>
          <w:rFonts w:cs="Times New Roman"/>
        </w:rPr>
        <w:t>2014</w:t>
      </w:r>
      <w:r>
        <w:rPr>
          <w:rFonts w:cs="Times New Roman"/>
        </w:rPr>
        <w:t>年</w:t>
      </w:r>
      <w:r>
        <w:rPr>
          <w:rFonts w:cs="Times New Roman"/>
        </w:rPr>
        <w:t>1</w:t>
      </w:r>
      <w:r>
        <w:rPr>
          <w:rFonts w:cs="Times New Roman"/>
        </w:rPr>
        <w:t>月</w:t>
      </w:r>
      <w:r>
        <w:rPr>
          <w:rFonts w:cs="Times New Roman"/>
        </w:rPr>
        <w:t>15</w:t>
      </w:r>
      <w:r>
        <w:rPr>
          <w:rFonts w:cs="Times New Roman"/>
        </w:rPr>
        <w:t>日的會議。”</w:t>
      </w:r>
    </w:p>
    <w:p>
      <w:pPr>
        <w:pStyle w:val="F21"/>
        <w:spacing w:lineRule="atLeast" w:line="380"/>
        <w:rPr/>
      </w:pPr>
      <w:r>
        <w:rPr>
          <w:rFonts w:eastAsia="華康中黑體"/>
          <w:b/>
        </w:rPr>
        <w:t>主席</w:t>
      </w:r>
      <w:r>
        <w:rPr/>
        <w:t>：我現在向各位提出的待議議題是：陳婉嫻議員動議的議案，予以通過。</w:t>
      </w:r>
      <w:r>
        <w:br w:type="page"/>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主席</w:t>
      </w:r>
      <w:r>
        <w:rPr/>
        <w:t>：是否有議員想發言？</w:t>
      </w:r>
    </w:p>
    <w:p>
      <w:pPr>
        <w:pStyle w:val="F21"/>
        <w:spacing w:lineRule="atLeast" w:line="380"/>
        <w:rPr/>
      </w:pPr>
      <w:r>
        <w:rPr/>
      </w:r>
    </w:p>
    <w:p>
      <w:pPr>
        <w:pStyle w:val="F21"/>
        <w:spacing w:lineRule="atLeast" w:line="380"/>
        <w:rPr/>
      </w:pPr>
      <w:r>
        <w:rPr/>
        <w:t>(</w:t>
      </w:r>
      <w:r>
        <w:rPr/>
        <w:t>沒有議員表示想發言</w:t>
      </w:r>
      <w:r>
        <w:rPr/>
        <w:t>)</w:t>
      </w:r>
    </w:p>
    <w:p>
      <w:pPr>
        <w:pStyle w:val="F21"/>
        <w:spacing w:lineRule="atLeast" w:line="380"/>
        <w:rPr/>
      </w:pPr>
      <w:r>
        <w:rPr/>
      </w:r>
    </w:p>
    <w:p>
      <w:pPr>
        <w:pStyle w:val="F21"/>
        <w:spacing w:lineRule="atLeast" w:line="380"/>
        <w:rPr/>
      </w:pPr>
      <w:r>
        <w:rPr/>
      </w:r>
    </w:p>
    <w:p>
      <w:pPr>
        <w:pStyle w:val="F21"/>
        <w:overflowPunct w:val="true"/>
        <w:snapToGrid w:val="false"/>
        <w:spacing w:lineRule="atLeast" w:line="380"/>
        <w:ind w:left="851" w:hanging="851"/>
        <w:rPr>
          <w:szCs w:val="27"/>
        </w:rPr>
      </w:pPr>
      <w:r>
        <w:rPr>
          <w:rFonts w:eastAsia="華康中黑體"/>
          <w:b/>
          <w:szCs w:val="27"/>
        </w:rPr>
        <w:t>主席</w:t>
      </w:r>
      <w:r>
        <w:rPr>
          <w:szCs w:val="27"/>
        </w:rPr>
        <w:t>：我現在向各位提出上述待決議題，付諸表決。贊成的請舉手。</w:t>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ind w:left="851" w:hanging="851"/>
        <w:rPr>
          <w:szCs w:val="27"/>
        </w:rPr>
      </w:pPr>
      <w:r>
        <w:rPr>
          <w:szCs w:val="27"/>
        </w:rPr>
        <w:t>(</w:t>
      </w:r>
      <w:r>
        <w:rPr>
          <w:szCs w:val="27"/>
        </w:rPr>
        <w:t>議員舉手</w:t>
      </w:r>
      <w:r>
        <w:rPr>
          <w:szCs w:val="27"/>
        </w:rPr>
        <w:t>)</w:t>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rPr>
          <w:szCs w:val="27"/>
        </w:rPr>
      </w:pPr>
      <w:r>
        <w:rPr>
          <w:szCs w:val="27"/>
        </w:rPr>
        <w:t>(</w:t>
      </w:r>
      <w:r>
        <w:rPr>
          <w:szCs w:val="27"/>
        </w:rPr>
        <w:t>沒有議員舉手</w:t>
      </w:r>
      <w:r>
        <w:rPr>
          <w:szCs w:val="27"/>
        </w:rPr>
        <w:t>)</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snapToGrid w:val="false"/>
        <w:spacing w:lineRule="atLeast" w:line="380"/>
        <w:rPr>
          <w:szCs w:val="27"/>
        </w:rPr>
      </w:pPr>
      <w:r>
        <w:rPr>
          <w:rFonts w:eastAsia="華康中黑體"/>
          <w:b/>
          <w:szCs w:val="27"/>
        </w:rPr>
        <w:t>主席</w:t>
      </w:r>
      <w:r>
        <w:rPr>
          <w:szCs w:val="27"/>
        </w:rPr>
        <w:t>：我認為議題獲得經由功能團體選舉產生及分區直接選舉產生的兩部分在席議員，分別以過半數贊成。我宣布議案獲得通過。</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主席</w:t>
      </w:r>
      <w:r>
        <w:rPr/>
        <w:t>：第三及第四項議員議案是無立法效力的議案辯論。我已接納內務委員會的建議：即每位動議議案的議員連發言答辯在內可發言最多</w:t>
      </w:r>
      <w:r>
        <w:rPr/>
        <w:t>15</w:t>
      </w:r>
      <w:r>
        <w:rPr/>
        <w:t>分鐘；其他議員每人可發言最多</w:t>
      </w:r>
      <w:r>
        <w:rPr/>
        <w:t>7</w:t>
      </w:r>
      <w:r>
        <w:rPr/>
        <w:t>分鐘。動議第四項議案的議員另有</w:t>
      </w:r>
      <w:r>
        <w:rPr/>
        <w:t>5</w:t>
      </w:r>
      <w:r>
        <w:rPr/>
        <w:t>分鐘就修正案發言；就該議案動議修正案的議員每人可發言最多</w:t>
      </w:r>
      <w:r>
        <w:rPr/>
        <w:t>10</w:t>
      </w:r>
      <w:r>
        <w:rPr/>
        <w:t>分鐘。任何議員若發言超過時限，我必須指示該議員停止發言。</w:t>
      </w:r>
    </w:p>
    <w:p>
      <w:pPr>
        <w:pStyle w:val="F21"/>
        <w:spacing w:lineRule="atLeast" w:line="380"/>
        <w:rPr/>
      </w:pPr>
      <w:r>
        <w:rPr/>
      </w:r>
    </w:p>
    <w:p>
      <w:pPr>
        <w:pStyle w:val="F21"/>
        <w:spacing w:lineRule="atLeast" w:line="380"/>
        <w:rPr/>
      </w:pPr>
      <w:r>
        <w:rPr/>
        <w:tab/>
      </w:r>
      <w:r>
        <w:rPr/>
        <w:t>第三項議員議案：環境事務委員會訪問團前往大韓民國進行職務訪問以考察當地廢物管理經驗的報告。</w:t>
      </w:r>
    </w:p>
    <w:p>
      <w:pPr>
        <w:pStyle w:val="F21"/>
        <w:spacing w:lineRule="atLeast" w:line="380"/>
        <w:rPr/>
      </w:pPr>
      <w:r>
        <w:rPr/>
      </w:r>
    </w:p>
    <w:p>
      <w:pPr>
        <w:pStyle w:val="F21"/>
        <w:spacing w:lineRule="atLeast" w:line="380"/>
        <w:rPr>
          <w:rFonts w:cs="Times New Roman"/>
        </w:rPr>
      </w:pPr>
      <w:r>
        <w:rPr/>
        <w:tab/>
      </w:r>
      <w:r>
        <w:rPr/>
        <w:t>有意就議案辯論發言的議員請按下“</w:t>
      </w:r>
      <w:r>
        <w:rPr>
          <w:rFonts w:cs="Times New Roman"/>
        </w:rPr>
        <w:t>要求發言”按鈕。</w:t>
      </w:r>
    </w:p>
    <w:p>
      <w:pPr>
        <w:pStyle w:val="F21"/>
        <w:spacing w:lineRule="atLeast" w:line="380"/>
        <w:rPr/>
      </w:pPr>
      <w:r>
        <w:rPr/>
      </w:r>
    </w:p>
    <w:p>
      <w:pPr>
        <w:pStyle w:val="F21"/>
        <w:spacing w:lineRule="atLeast" w:line="380"/>
        <w:rPr/>
      </w:pPr>
      <w:r>
        <w:rPr/>
        <w:tab/>
      </w:r>
      <w:r>
        <w:rPr/>
        <w:t>我現在請何秀蘭議員發言及動議議案。</w:t>
      </w:r>
    </w:p>
    <w:p>
      <w:pPr>
        <w:pStyle w:val="F21"/>
        <w:rPr/>
      </w:pPr>
      <w:r>
        <w:rPr/>
      </w:r>
    </w:p>
    <w:p>
      <w:pPr>
        <w:pStyle w:val="F21"/>
        <w:rPr>
          <w:rFonts w:eastAsia="華康中黑體" w:cs="Times New Roman"/>
          <w:b/>
          <w:b/>
        </w:rPr>
      </w:pPr>
      <w:bookmarkStart w:id="96" w:name="mbm03"/>
      <w:r>
        <w:rPr>
          <w:rFonts w:cs="Times New Roman" w:eastAsia="華康中黑體"/>
          <w:b/>
        </w:rPr>
        <w:t>環境事務委員會訪問團前往大韓民國進行職務訪問以考察當地廢物管理經驗的報告</w:t>
      </w:r>
    </w:p>
    <w:p>
      <w:pPr>
        <w:pStyle w:val="F21"/>
        <w:rPr>
          <w:rFonts w:cs="Times New Roman"/>
          <w:b/>
          <w:b/>
          <w:spacing w:val="0"/>
          <w:sz w:val="28"/>
          <w:lang w:val="en-GB"/>
        </w:rPr>
      </w:pPr>
      <w:bookmarkStart w:id="97" w:name="mbm03"/>
      <w:r>
        <w:rPr>
          <w:rFonts w:cs="Times New Roman"/>
          <w:b/>
          <w:spacing w:val="0"/>
          <w:sz w:val="28"/>
          <w:lang w:val="en-GB"/>
        </w:rPr>
        <w:t>REPORT OF THE DELEGATION OF THE PANEL ON ENVIRONMENTAL AFFAIRS ON ITS DUTY VISIT TO THE REPUBLIC OF KOREA TO STUDY ITS EXPERIENCE ON WASTE MANAGEMENT</w:t>
      </w:r>
      <w:bookmarkEnd w:id="97"/>
    </w:p>
    <w:p>
      <w:pPr>
        <w:pStyle w:val="F21"/>
        <w:rPr/>
      </w:pPr>
      <w:r>
        <w:rPr/>
      </w:r>
    </w:p>
    <w:p>
      <w:pPr>
        <w:pStyle w:val="F21"/>
        <w:rPr>
          <w:szCs w:val="27"/>
        </w:rPr>
      </w:pPr>
      <w:r>
        <w:rPr>
          <w:rFonts w:eastAsia="華康中黑體"/>
          <w:b/>
          <w:szCs w:val="27"/>
        </w:rPr>
        <w:t>何秀蘭議員</w:t>
      </w:r>
      <w:r>
        <w:rPr>
          <w:szCs w:val="27"/>
        </w:rPr>
        <w:t>：主席，我謹以環境事務委員會主席的身份，動議印載於議程內的議案。</w:t>
      </w:r>
    </w:p>
    <w:p>
      <w:pPr>
        <w:pStyle w:val="F21"/>
        <w:rPr>
          <w:szCs w:val="27"/>
        </w:rPr>
      </w:pPr>
      <w:r>
        <w:rPr>
          <w:szCs w:val="27"/>
        </w:rPr>
      </w:r>
    </w:p>
    <w:p>
      <w:pPr>
        <w:pStyle w:val="F21"/>
        <w:rPr>
          <w:szCs w:val="27"/>
        </w:rPr>
      </w:pPr>
      <w:r>
        <w:rPr>
          <w:szCs w:val="27"/>
        </w:rPr>
        <w:tab/>
      </w:r>
      <w:r>
        <w:rPr>
          <w:szCs w:val="27"/>
        </w:rPr>
        <w:t>環境事務委員會訪問團於本年</w:t>
      </w:r>
      <w:r>
        <w:rPr>
          <w:szCs w:val="27"/>
        </w:rPr>
        <w:t>4</w:t>
      </w:r>
      <w:r>
        <w:rPr>
          <w:szCs w:val="27"/>
        </w:rPr>
        <w:t>月</w:t>
      </w:r>
      <w:r>
        <w:rPr>
          <w:szCs w:val="27"/>
        </w:rPr>
        <w:t>1</w:t>
      </w:r>
      <w:r>
        <w:rPr>
          <w:szCs w:val="27"/>
        </w:rPr>
        <w:t>日至</w:t>
      </w:r>
      <w:r>
        <w:rPr>
          <w:szCs w:val="27"/>
        </w:rPr>
        <w:t>5</w:t>
      </w:r>
      <w:r>
        <w:rPr>
          <w:szCs w:val="27"/>
        </w:rPr>
        <w:t>日期間訪問南韓首爾，考察南韓在廢物管理方面的經驗。訪問團會見了首爾市議會轄下環境及水資源委員會的委員、政府官員，以及公營機構、私人企業和非政府機構的代表，了解南韓政府如何解決在減廢、推廣商品重用、回收和轉廢為能等各方面所遇到的問題。</w:t>
      </w:r>
    </w:p>
    <w:p>
      <w:pPr>
        <w:pStyle w:val="F21"/>
        <w:rPr>
          <w:szCs w:val="27"/>
        </w:rPr>
      </w:pPr>
      <w:r>
        <w:rPr>
          <w:szCs w:val="27"/>
        </w:rPr>
      </w:r>
    </w:p>
    <w:p>
      <w:pPr>
        <w:pStyle w:val="F21"/>
        <w:rPr>
          <w:szCs w:val="27"/>
        </w:rPr>
      </w:pPr>
      <w:r>
        <w:rPr>
          <w:szCs w:val="27"/>
        </w:rPr>
        <w:tab/>
      </w:r>
      <w:r>
        <w:rPr>
          <w:szCs w:val="27"/>
        </w:rPr>
        <w:t>南韓在減少廢物生產和提高回收率方面成績斐然，訪問團對此印象深刻。訪問團認為，南韓的成功經驗對香港甚具參考價值。我現在扼要講述訪問團的意見及建議。</w:t>
      </w:r>
    </w:p>
    <w:p>
      <w:pPr>
        <w:pStyle w:val="F21"/>
        <w:rPr>
          <w:szCs w:val="27"/>
        </w:rPr>
      </w:pPr>
      <w:r>
        <w:rPr>
          <w:szCs w:val="27"/>
        </w:rPr>
      </w:r>
    </w:p>
    <w:p>
      <w:pPr>
        <w:pStyle w:val="F21"/>
        <w:rPr>
          <w:szCs w:val="27"/>
        </w:rPr>
      </w:pPr>
      <w:r>
        <w:rPr>
          <w:szCs w:val="27"/>
        </w:rPr>
        <w:tab/>
      </w:r>
      <w:r>
        <w:rPr>
          <w:szCs w:val="27"/>
        </w:rPr>
        <w:t>訪問團認為，南韓政府致力承擔解決廢物問題的責任，是南韓成功達致廢物管理目標的重要因素。南韓政府不單推行一籃子限制廢物的法例和制度，更提供資金及土地，支援廢物管理的工作。訪問團促請當局仿效南韓，主動推行措施，並提供支援及補貼，以達致廢物管理目標。當局亦應投放更多資源，促進本港循環再造業的持續發展。</w:t>
      </w:r>
    </w:p>
    <w:p>
      <w:pPr>
        <w:pStyle w:val="F21"/>
        <w:rPr>
          <w:szCs w:val="27"/>
        </w:rPr>
      </w:pPr>
      <w:r>
        <w:rPr>
          <w:szCs w:val="27"/>
        </w:rPr>
      </w:r>
    </w:p>
    <w:p>
      <w:pPr>
        <w:pStyle w:val="F21"/>
        <w:rPr>
          <w:szCs w:val="27"/>
        </w:rPr>
      </w:pPr>
      <w:r>
        <w:rPr>
          <w:szCs w:val="27"/>
        </w:rPr>
        <w:tab/>
      </w:r>
      <w:r>
        <w:rPr>
          <w:szCs w:val="27"/>
        </w:rPr>
        <w:t>南韓的經驗突顯了公眾參與的重要性。訪問團促請當局在推行廢物管理政策，尤其是一些備受爭議的項目時，向南韓借鑒，在規劃及推行政策的各個階段積極邀請公眾、地區居民及其他持份者參與，全面諮詢受影響各方及與他們深入溝通，以充分了解他們的關注，務求制訂具針對性的措施，釋除他們的疑慮，並且積極考慮提供經濟誘因和改善設施，以補償受影響居民，藉此換取他們的支持。</w:t>
      </w:r>
    </w:p>
    <w:p>
      <w:pPr>
        <w:pStyle w:val="F21"/>
        <w:rPr>
          <w:szCs w:val="27"/>
        </w:rPr>
      </w:pPr>
      <w:r>
        <w:rPr>
          <w:szCs w:val="27"/>
        </w:rPr>
      </w:r>
    </w:p>
    <w:p>
      <w:pPr>
        <w:pStyle w:val="F21"/>
        <w:rPr>
          <w:szCs w:val="27"/>
        </w:rPr>
      </w:pPr>
      <w:r>
        <w:rPr>
          <w:szCs w:val="27"/>
        </w:rPr>
        <w:tab/>
      </w:r>
      <w:r>
        <w:rPr>
          <w:szCs w:val="27"/>
        </w:rPr>
        <w:t>訪問團亦察悉，南韓的廢物按量徵費制度成績顯著，可見廢物收費在某程度上是推動減廢的有效工具。鑒於本港正在探索適合的都市固體廢物收費模式，訪問團建議當局參考南韓的做法，包括向貧困人士提供適當援助，以減輕廢物收費對他們的負擔，並且在推行廢物收費時展開廣泛的宣傳，教育市民。</w:t>
      </w:r>
    </w:p>
    <w:p>
      <w:pPr>
        <w:pStyle w:val="F21"/>
        <w:rPr>
          <w:szCs w:val="27"/>
        </w:rPr>
      </w:pPr>
      <w:r>
        <w:rPr>
          <w:szCs w:val="27"/>
        </w:rPr>
      </w:r>
    </w:p>
    <w:p>
      <w:pPr>
        <w:pStyle w:val="F21"/>
        <w:spacing w:lineRule="atLeast" w:line="370"/>
        <w:rPr>
          <w:szCs w:val="27"/>
        </w:rPr>
      </w:pPr>
      <w:r>
        <w:rPr>
          <w:szCs w:val="27"/>
        </w:rPr>
        <w:tab/>
      </w:r>
      <w:r>
        <w:rPr>
          <w:szCs w:val="27"/>
        </w:rPr>
        <w:t>另一方面，訪問團相信單靠推行廢物收費並不足夠，必須在社會建立需要減廢的共識，才可令公眾改變生活習慣，並且持之以恆。訪問團認為當局需要加大力度教育公眾</w:t>
      </w:r>
      <w:r>
        <w:rPr>
          <w:szCs w:val="27"/>
        </w:rPr>
        <w:t>(</w:t>
      </w:r>
      <w:r>
        <w:rPr>
          <w:szCs w:val="27"/>
        </w:rPr>
        <w:t>特別是年輕一代</w:t>
      </w:r>
      <w:r>
        <w:rPr>
          <w:szCs w:val="27"/>
        </w:rPr>
        <w:t>)</w:t>
      </w:r>
      <w:r>
        <w:rPr>
          <w:szCs w:val="27"/>
        </w:rPr>
        <w:t>，提高他們的環保意識。當局亦應以家務料理者為對象展開宣傳及教育活動，令他們認識減少家居廢物和在源頭把廢物分類的重要性。</w:t>
      </w:r>
    </w:p>
    <w:p>
      <w:pPr>
        <w:pStyle w:val="F21"/>
        <w:spacing w:lineRule="atLeast" w:line="370"/>
        <w:rPr>
          <w:szCs w:val="27"/>
        </w:rPr>
      </w:pPr>
      <w:r>
        <w:rPr>
          <w:szCs w:val="27"/>
        </w:rPr>
      </w:r>
    </w:p>
    <w:p>
      <w:pPr>
        <w:pStyle w:val="F21"/>
        <w:spacing w:lineRule="atLeast" w:line="370"/>
        <w:rPr>
          <w:szCs w:val="27"/>
        </w:rPr>
      </w:pPr>
      <w:r>
        <w:rPr>
          <w:szCs w:val="27"/>
        </w:rPr>
        <w:tab/>
      </w:r>
      <w:r>
        <w:rPr>
          <w:szCs w:val="27"/>
        </w:rPr>
        <w:t>訪問團亦認為，在廢物管理設施的營運和其他環保議題上加強公私營機構合作，是值得當局探討的模式。</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們特別注意到南韓的公民社會積極參與制訂和推行廢物管理政策。借鑒南韓“美麗之店”的成功經驗，訪問團呼籲本港地產發展商向非政府組織提供免租店鋪，以經營環保業務。訪問團亦促請當局積極邀請非政府組織及社企參與制訂及推行環保政策，並向它們提供更多支援。舉例而言，訪問團建議當局在政府樓宇及政府設施內</w:t>
      </w:r>
      <w:r>
        <w:rPr>
          <w:szCs w:val="27"/>
        </w:rPr>
        <w:t>(</w:t>
      </w:r>
      <w:r>
        <w:rPr>
          <w:szCs w:val="27"/>
        </w:rPr>
        <w:t>包括公眾街市、公眾停車場及公共屋邨等</w:t>
      </w:r>
      <w:r>
        <w:rPr>
          <w:szCs w:val="27"/>
        </w:rPr>
        <w:t>)</w:t>
      </w:r>
      <w:r>
        <w:rPr>
          <w:szCs w:val="27"/>
        </w:rPr>
        <w:t>撥出地方，供環保團體及社企經營二手商店。</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主席，以上是我以事務委員會主席身份的發言。至於我的個人意見，我希望留待稍後答辯時才作回應，因為參加今次訪問團的議員共有</w:t>
      </w:r>
      <w:r>
        <w:rPr>
          <w:szCs w:val="27"/>
        </w:rPr>
        <w:t>17</w:t>
      </w:r>
      <w:r>
        <w:rPr>
          <w:szCs w:val="27"/>
        </w:rPr>
        <w:t>位，其涵蓋面可說十分廣泛，可完全包括立法會內各個政黨及政治組職，甚至連一些獨立議員亦有參加。由此可見，大家也很明白我們在廢物管理方面實應急起直追。</w:t>
      </w:r>
    </w:p>
    <w:p>
      <w:pPr>
        <w:pStyle w:val="F21"/>
        <w:tabs>
          <w:tab w:val="clear" w:pos="567"/>
        </w:tabs>
        <w:spacing w:lineRule="atLeast" w:line="370"/>
        <w:rPr>
          <w:szCs w:val="27"/>
        </w:rPr>
      </w:pPr>
      <w:r>
        <w:rPr>
          <w:szCs w:val="27"/>
        </w:rPr>
      </w:r>
    </w:p>
    <w:p>
      <w:pPr>
        <w:pStyle w:val="F21"/>
        <w:spacing w:lineRule="atLeast" w:line="370"/>
        <w:rPr>
          <w:szCs w:val="27"/>
        </w:rPr>
      </w:pPr>
      <w:r>
        <w:rPr>
          <w:szCs w:val="27"/>
        </w:rPr>
        <w:tab/>
      </w:r>
      <w:r>
        <w:rPr>
          <w:szCs w:val="27"/>
        </w:rPr>
        <w:t>此外，政府會繼續向我們申請擴建堆填區，在司法程序完成後，更會興建焚化廢物的設施，並須督促政府進行大力度的回收再造減廢措施。</w:t>
      </w:r>
    </w:p>
    <w:p>
      <w:pPr>
        <w:pStyle w:val="F21"/>
        <w:spacing w:lineRule="atLeast" w:line="370"/>
        <w:rPr>
          <w:szCs w:val="27"/>
        </w:rPr>
      </w:pPr>
      <w:r>
        <w:rPr>
          <w:szCs w:val="27"/>
        </w:rPr>
      </w:r>
    </w:p>
    <w:p>
      <w:pPr>
        <w:pStyle w:val="F21"/>
        <w:spacing w:lineRule="atLeast" w:line="370"/>
        <w:rPr>
          <w:szCs w:val="27"/>
        </w:rPr>
      </w:pPr>
      <w:r>
        <w:rPr>
          <w:szCs w:val="27"/>
        </w:rPr>
        <w:tab/>
      </w:r>
      <w:r>
        <w:rPr>
          <w:szCs w:val="27"/>
        </w:rPr>
        <w:t>雖然這項議題並無太大爭議性，亦沒有議員提出修正案，因其目的只是察悉訪問團的報告，但我很想先聆聽大家和局長的發言，然後才在稍後答辯時作出補充及作一小總結，屆時並會提出工黨對廢物管理的政策立場。多謝主席。</w:t>
      </w:r>
    </w:p>
    <w:p>
      <w:pPr>
        <w:pStyle w:val="F21"/>
        <w:spacing w:lineRule="atLeast" w:line="370"/>
        <w:rPr/>
      </w:pPr>
      <w:r>
        <w:rPr/>
      </w:r>
    </w:p>
    <w:p>
      <w:pPr>
        <w:pStyle w:val="F21"/>
        <w:spacing w:lineRule="atLeast" w:line="370"/>
        <w:rPr/>
      </w:pPr>
      <w:r>
        <w:rPr>
          <w:rFonts w:cs="Times New Roman" w:eastAsia="華康中黑體"/>
          <w:b/>
        </w:rPr>
        <w:t>何秀蘭議員動議的議案如下</w:t>
      </w:r>
      <w:r>
        <w:rPr/>
        <w:t>：</w:t>
      </w:r>
    </w:p>
    <w:p>
      <w:pPr>
        <w:pStyle w:val="F21"/>
        <w:spacing w:lineRule="atLeast" w:line="370"/>
        <w:rPr/>
      </w:pPr>
      <w:r>
        <w:rPr/>
      </w:r>
    </w:p>
    <w:p>
      <w:pPr>
        <w:pStyle w:val="F21"/>
        <w:spacing w:lineRule="atLeast" w:line="370"/>
        <w:ind w:left="709" w:hanging="142"/>
        <w:rPr>
          <w:rFonts w:cs="Times New Roman"/>
        </w:rPr>
      </w:pPr>
      <w:r>
        <w:rPr>
          <w:rFonts w:cs="Times New Roman"/>
        </w:rPr>
        <w:t>“</w:t>
      </w:r>
      <w:r>
        <w:rPr>
          <w:rFonts w:cs="Times New Roman"/>
        </w:rPr>
        <w:t>本會察悉環境事務委員會訪問團於</w:t>
      </w:r>
      <w:r>
        <w:rPr>
          <w:rFonts w:cs="Times New Roman"/>
        </w:rPr>
        <w:t>2013</w:t>
      </w:r>
      <w:r>
        <w:rPr>
          <w:rFonts w:cs="Times New Roman"/>
        </w:rPr>
        <w:t>年</w:t>
      </w:r>
      <w:r>
        <w:rPr>
          <w:rFonts w:cs="Times New Roman"/>
        </w:rPr>
        <w:t>4</w:t>
      </w:r>
      <w:r>
        <w:rPr>
          <w:rFonts w:cs="Times New Roman"/>
        </w:rPr>
        <w:t>月</w:t>
      </w:r>
      <w:r>
        <w:rPr>
          <w:rFonts w:cs="Times New Roman"/>
        </w:rPr>
        <w:t>1</w:t>
      </w:r>
      <w:r>
        <w:rPr>
          <w:rFonts w:cs="Times New Roman"/>
        </w:rPr>
        <w:t>日至</w:t>
      </w:r>
      <w:r>
        <w:rPr>
          <w:rFonts w:cs="Times New Roman"/>
        </w:rPr>
        <w:t>5</w:t>
      </w:r>
      <w:r>
        <w:rPr>
          <w:rFonts w:cs="Times New Roman"/>
        </w:rPr>
        <w:t>日前往大韓民國進行職務訪問以考察當地廢物管理經驗的報告。”</w:t>
      </w:r>
    </w:p>
    <w:p>
      <w:pPr>
        <w:pStyle w:val="F21"/>
        <w:rPr/>
      </w:pPr>
      <w:r>
        <w:rPr>
          <w:rFonts w:eastAsia="華康中黑體"/>
          <w:b/>
        </w:rPr>
        <w:t>主席</w:t>
      </w:r>
      <w:r>
        <w:rPr/>
        <w:t>：我現在向各位提出的待議議題是：何秀蘭議員動議的議案，予以通過。</w:t>
      </w:r>
      <w:r>
        <w:br w:type="page"/>
      </w:r>
    </w:p>
    <w:p>
      <w:pPr>
        <w:pStyle w:val="F21"/>
        <w:rPr/>
      </w:pPr>
      <w:r>
        <w:rPr/>
      </w:r>
    </w:p>
    <w:p>
      <w:pPr>
        <w:pStyle w:val="F21"/>
        <w:rPr/>
      </w:pPr>
      <w:r>
        <w:rPr/>
      </w:r>
    </w:p>
    <w:p>
      <w:pPr>
        <w:pStyle w:val="F21"/>
        <w:rPr>
          <w:szCs w:val="27"/>
        </w:rPr>
      </w:pPr>
      <w:r>
        <w:rPr>
          <w:rFonts w:eastAsia="華康中黑體"/>
          <w:b/>
          <w:szCs w:val="27"/>
        </w:rPr>
        <w:t>環境局局長</w:t>
      </w:r>
      <w:r>
        <w:rPr>
          <w:szCs w:val="27"/>
        </w:rPr>
        <w:t>：主席，多謝何秀蘭議員提出這項議案。</w:t>
      </w:r>
    </w:p>
    <w:p>
      <w:pPr>
        <w:pStyle w:val="F21"/>
        <w:rPr>
          <w:szCs w:val="27"/>
        </w:rPr>
      </w:pPr>
      <w:r>
        <w:rPr>
          <w:szCs w:val="27"/>
        </w:rPr>
      </w:r>
    </w:p>
    <w:p>
      <w:pPr>
        <w:pStyle w:val="F21"/>
        <w:rPr>
          <w:szCs w:val="27"/>
        </w:rPr>
      </w:pPr>
      <w:r>
        <w:rPr>
          <w:szCs w:val="27"/>
        </w:rPr>
        <w:tab/>
      </w:r>
      <w:r>
        <w:rPr>
          <w:szCs w:val="27"/>
        </w:rPr>
        <w:t>今年</w:t>
      </w:r>
      <w:r>
        <w:rPr>
          <w:szCs w:val="27"/>
        </w:rPr>
        <w:t>4</w:t>
      </w:r>
      <w:r>
        <w:rPr>
          <w:szCs w:val="27"/>
        </w:rPr>
        <w:t>月，政府代表和包括立法會環境事務委員會委員等的多名議員前往南韓考察廢物管理經驗。參與的議員共有</w:t>
      </w:r>
      <w:r>
        <w:rPr>
          <w:szCs w:val="27"/>
        </w:rPr>
        <w:t>17</w:t>
      </w:r>
      <w:r>
        <w:rPr>
          <w:szCs w:val="27"/>
        </w:rPr>
        <w:t>位之多，跨越各大政黨，加上政府代表團的</w:t>
      </w:r>
      <w:r>
        <w:rPr>
          <w:szCs w:val="27"/>
        </w:rPr>
        <w:t>13</w:t>
      </w:r>
      <w:r>
        <w:rPr>
          <w:szCs w:val="27"/>
        </w:rPr>
        <w:t>位人員，可見大家均高度重視今次的考察。這足以證明廢物管理是政府、議會以至社會大眾都熱切關心的社會議題。</w:t>
      </w:r>
    </w:p>
    <w:p>
      <w:pPr>
        <w:pStyle w:val="F21"/>
        <w:rPr>
          <w:szCs w:val="27"/>
        </w:rPr>
      </w:pPr>
      <w:r>
        <w:rPr>
          <w:szCs w:val="27"/>
        </w:rPr>
      </w:r>
    </w:p>
    <w:p>
      <w:pPr>
        <w:pStyle w:val="F21"/>
        <w:rPr>
          <w:szCs w:val="27"/>
        </w:rPr>
      </w:pPr>
      <w:r>
        <w:rPr>
          <w:szCs w:val="27"/>
        </w:rPr>
        <w:tab/>
      </w:r>
      <w:r>
        <w:rPr>
          <w:szCs w:val="27"/>
        </w:rPr>
        <w:t>廢物管理是本屆政府在環境範疇中，其中一項最迫切又具有挑戰性的工作。上任之初，我們面對的問題是在源頭方面，人均廢物產生量相當高，而減廢、回收的工作不但要加大力度，更要有策略、有計劃和有目標地推展，方能達到具體成效。</w:t>
      </w:r>
    </w:p>
    <w:p>
      <w:pPr>
        <w:pStyle w:val="F21"/>
        <w:rPr>
          <w:szCs w:val="27"/>
        </w:rPr>
      </w:pPr>
      <w:r>
        <w:rPr>
          <w:szCs w:val="27"/>
        </w:rPr>
      </w:r>
    </w:p>
    <w:p>
      <w:pPr>
        <w:pStyle w:val="F21"/>
        <w:rPr>
          <w:szCs w:val="27"/>
        </w:rPr>
      </w:pPr>
      <w:r>
        <w:rPr>
          <w:szCs w:val="27"/>
        </w:rPr>
        <w:tab/>
      </w:r>
      <w:r>
        <w:rPr>
          <w:szCs w:val="27"/>
        </w:rPr>
        <w:t>另一方面，在廢物處理上，迫在眉睫的問題是廢物基建未盡完善，過去過度依賴堆填作為單一的末端處理手段，令廢物中的能源被浪費不少。更甚的現實挑戰是，現時僅有的堆填區總壽命只餘數年，如果未能及時處理這項挑戰，隨時會引發市政衞生問題，不容輕視。</w:t>
      </w:r>
    </w:p>
    <w:p>
      <w:pPr>
        <w:pStyle w:val="F21"/>
        <w:rPr>
          <w:szCs w:val="27"/>
        </w:rPr>
      </w:pPr>
      <w:r>
        <w:rPr>
          <w:szCs w:val="27"/>
        </w:rPr>
      </w:r>
    </w:p>
    <w:p>
      <w:pPr>
        <w:pStyle w:val="F21"/>
        <w:rPr>
          <w:szCs w:val="27"/>
        </w:rPr>
      </w:pPr>
      <w:r>
        <w:rPr>
          <w:szCs w:val="27"/>
        </w:rPr>
        <w:tab/>
      </w:r>
      <w:r>
        <w:rPr>
          <w:szCs w:val="27"/>
        </w:rPr>
        <w:t>訪問南韓提供了機會，讓我們理解和學習如何有條理地推動全民合力減廢、集合業界的力量令回收業健康發展、有效地規劃及建設各項廢物處理設施，以至轉廢為能的科技應用。今次訪問所取得的經驗，將有助香港策劃和討論未來資源循環的策略。</w:t>
      </w:r>
    </w:p>
    <w:p>
      <w:pPr>
        <w:pStyle w:val="F21"/>
        <w:rPr>
          <w:szCs w:val="27"/>
        </w:rPr>
      </w:pPr>
      <w:r>
        <w:rPr>
          <w:szCs w:val="27"/>
        </w:rPr>
      </w:r>
    </w:p>
    <w:p>
      <w:pPr>
        <w:pStyle w:val="F21"/>
        <w:rPr>
          <w:szCs w:val="27"/>
        </w:rPr>
      </w:pPr>
      <w:r>
        <w:rPr>
          <w:szCs w:val="27"/>
        </w:rPr>
        <w:tab/>
      </w:r>
      <w:r>
        <w:rPr>
          <w:szCs w:val="27"/>
        </w:rPr>
        <w:t>立法會考察團回港後，不但在立法會展出考察照片、資料和刊物等，更撰寫報告總結考察所得。報告中的觀察所得，有很多值得我們參考的地方，而我們在借鑒南韓經驗的同時，亦必須考慮香港當前的實際情況，作出適當調整，政策方能到位。</w:t>
      </w:r>
    </w:p>
    <w:p>
      <w:pPr>
        <w:pStyle w:val="F21"/>
        <w:rPr>
          <w:szCs w:val="27"/>
        </w:rPr>
      </w:pPr>
      <w:r>
        <w:rPr>
          <w:szCs w:val="27"/>
        </w:rPr>
      </w:r>
    </w:p>
    <w:p>
      <w:pPr>
        <w:pStyle w:val="F21"/>
        <w:rPr>
          <w:szCs w:val="27"/>
        </w:rPr>
      </w:pPr>
      <w:r>
        <w:rPr>
          <w:szCs w:val="27"/>
        </w:rPr>
        <w:tab/>
      </w:r>
      <w:r>
        <w:rPr>
          <w:szCs w:val="27"/>
        </w:rPr>
        <w:t>在以下的時間內，我希望各位議員，不論有否參與今次考察團，均能就香港的廢物管理提供意見。在聽取大家的意見後，我會作出更詳細的回應。</w:t>
      </w:r>
    </w:p>
    <w:p>
      <w:pPr>
        <w:pStyle w:val="F21"/>
        <w:rPr>
          <w:szCs w:val="27"/>
        </w:rPr>
      </w:pPr>
      <w:r>
        <w:rPr>
          <w:szCs w:val="27"/>
        </w:rPr>
      </w:r>
    </w:p>
    <w:p>
      <w:pPr>
        <w:pStyle w:val="F21"/>
        <w:rPr>
          <w:szCs w:val="27"/>
        </w:rPr>
      </w:pPr>
      <w:r>
        <w:rPr>
          <w:szCs w:val="27"/>
        </w:rPr>
        <w:tab/>
      </w:r>
      <w:r>
        <w:rPr>
          <w:szCs w:val="27"/>
        </w:rPr>
        <w:t>多謝主席。</w:t>
      </w:r>
    </w:p>
    <w:p>
      <w:pPr>
        <w:pStyle w:val="F21"/>
        <w:rPr>
          <w:szCs w:val="27"/>
        </w:rPr>
      </w:pPr>
      <w:r>
        <w:rPr>
          <w:rFonts w:eastAsia="華康中黑體"/>
          <w:b/>
          <w:szCs w:val="27"/>
        </w:rPr>
        <w:t>胡志偉議員</w:t>
      </w:r>
      <w:r>
        <w:rPr>
          <w:szCs w:val="27"/>
        </w:rPr>
        <w:t>：主席，南韓的處理廢物政策有不少值得我們參考及借鏡的地方。以廢物按量徵費為例，報告的第二章提到，南韓自</w:t>
      </w:r>
      <w:r>
        <w:rPr>
          <w:szCs w:val="27"/>
        </w:rPr>
        <w:t>1995</w:t>
      </w:r>
      <w:r>
        <w:rPr>
          <w:szCs w:val="27"/>
        </w:rPr>
        <w:t>年引入廢物按量徵費制度後，“改變了人民生活及公司行事的方式。人民更習慣攜帶可重複使用的購物袋，以及購買二手商品和可重複裝注的產品。該制度亦推動公司調整生產及促銷的方式，盡量減少多餘的包裝及廢物。這些改變令南韓的回收業快速發展。”這部分載於報告的</w:t>
      </w:r>
      <w:r>
        <w:rPr>
          <w:szCs w:val="27"/>
        </w:rPr>
        <w:t>2.2.7</w:t>
      </w:r>
      <w:r>
        <w:rPr>
          <w:szCs w:val="27"/>
        </w:rPr>
        <w:t>段。</w:t>
      </w:r>
      <w:r>
        <w:br w:type="page"/>
      </w:r>
    </w:p>
    <w:p>
      <w:pPr>
        <w:pStyle w:val="F21"/>
        <w:rPr>
          <w:szCs w:val="27"/>
        </w:rPr>
      </w:pPr>
      <w:r>
        <w:rPr>
          <w:szCs w:val="27"/>
        </w:rPr>
      </w:r>
    </w:p>
    <w:p>
      <w:pPr>
        <w:pStyle w:val="F21"/>
        <w:rPr>
          <w:szCs w:val="27"/>
        </w:rPr>
      </w:pPr>
      <w:r>
        <w:rPr>
          <w:szCs w:val="27"/>
        </w:rPr>
        <w:tab/>
      </w:r>
      <w:r>
        <w:rPr>
          <w:szCs w:val="27"/>
        </w:rPr>
        <w:t>在數據方面，首爾市所產生的家居廢物亦由</w:t>
      </w:r>
      <w:r>
        <w:rPr>
          <w:szCs w:val="27"/>
        </w:rPr>
        <w:t>2000</w:t>
      </w:r>
      <w:r>
        <w:rPr>
          <w:szCs w:val="27"/>
        </w:rPr>
        <w:t>年的每天平均</w:t>
      </w:r>
      <w:r>
        <w:rPr>
          <w:szCs w:val="27"/>
        </w:rPr>
        <w:t>10 142</w:t>
      </w:r>
      <w:r>
        <w:rPr>
          <w:szCs w:val="27"/>
        </w:rPr>
        <w:t>公噸減少至</w:t>
      </w:r>
      <w:r>
        <w:rPr>
          <w:szCs w:val="27"/>
        </w:rPr>
        <w:t>2011</w:t>
      </w:r>
      <w:r>
        <w:rPr>
          <w:szCs w:val="27"/>
        </w:rPr>
        <w:t>年的每天平均</w:t>
      </w:r>
      <w:r>
        <w:rPr>
          <w:szCs w:val="27"/>
        </w:rPr>
        <w:t>6 093</w:t>
      </w:r>
      <w:r>
        <w:rPr>
          <w:szCs w:val="27"/>
        </w:rPr>
        <w:t>公噸。南韓的例子反映了一點，就是要成功推行廢物徵費，重點是必須改變人的行為模式。換言之，必須實施廢物按量徵費才可以取得這個效果。同時，南韓的例子亦說明了在法例實施的時候，非法傾倒廢物是無可避免的問題，香港社會當然未必同意利用獎金來鼓勵檢舉，但這問題亦不應該成為阻礙推動垃圾徵費的主因。</w:t>
      </w:r>
    </w:p>
    <w:p>
      <w:pPr>
        <w:pStyle w:val="F21"/>
        <w:rPr>
          <w:szCs w:val="27"/>
        </w:rPr>
      </w:pPr>
      <w:r>
        <w:rPr>
          <w:szCs w:val="27"/>
        </w:rPr>
      </w:r>
    </w:p>
    <w:p>
      <w:pPr>
        <w:pStyle w:val="F21"/>
        <w:rPr>
          <w:szCs w:val="27"/>
        </w:rPr>
      </w:pPr>
      <w:r>
        <w:rPr>
          <w:szCs w:val="27"/>
        </w:rPr>
        <w:tab/>
      </w:r>
      <w:r>
        <w:rPr>
          <w:szCs w:val="27"/>
        </w:rPr>
        <w:t>報告第五章提到，“訪問團認為，由政府主動推行措施，並提供支援及補貼，是達致廢物管理目標不可或缺的因素。”這點我是同意的，尤其是有關回收的部分。政府過去的立場是任由市場機制處理回收物料，所以廢紙、鋁罐等“有價有市”的物料便不愁出路，相反塑膠則因為處理不善而無人問津。當然，要政府介入並不等於要拋棄市場機制，而是政府應該考慮如何能使塑膠等物料的回收市場，變成好像金屬回收的成功例子。</w:t>
      </w:r>
    </w:p>
    <w:p>
      <w:pPr>
        <w:pStyle w:val="F21"/>
        <w:rPr>
          <w:szCs w:val="27"/>
        </w:rPr>
      </w:pPr>
      <w:r>
        <w:rPr>
          <w:szCs w:val="27"/>
        </w:rPr>
      </w:r>
    </w:p>
    <w:p>
      <w:pPr>
        <w:pStyle w:val="F21"/>
        <w:rPr>
          <w:szCs w:val="27"/>
        </w:rPr>
      </w:pPr>
      <w:r>
        <w:rPr>
          <w:szCs w:val="27"/>
        </w:rPr>
        <w:tab/>
      </w:r>
      <w:r>
        <w:rPr>
          <w:szCs w:val="27"/>
        </w:rPr>
        <w:t>報告第二章提到南韓如何處理廢物分類的問題。可再用的廢物在收集後運往分類中心處理，受僱工人負責把</w:t>
      </w:r>
      <w:r>
        <w:rPr>
          <w:szCs w:val="27"/>
        </w:rPr>
        <w:t>15</w:t>
      </w:r>
      <w:r>
        <w:rPr>
          <w:szCs w:val="27"/>
        </w:rPr>
        <w:t>種經棄置的可循環再造物料分類，包括紙、玻璃、鐵、塑膠、發泡膠、舊衣物、光管和電器等。經處理的可循環再造廢物當中，有部分由地方製造商接收，以履行他們的回收責任，有部分則供出口之用。地方政府向分類中心提供大量支援，包括批出土地設立廠房，並提供常設資助以支持其運作。</w:t>
      </w:r>
    </w:p>
    <w:p>
      <w:pPr>
        <w:pStyle w:val="F21"/>
        <w:rPr>
          <w:szCs w:val="27"/>
        </w:rPr>
      </w:pPr>
      <w:r>
        <w:rPr>
          <w:szCs w:val="27"/>
        </w:rPr>
      </w:r>
    </w:p>
    <w:p>
      <w:pPr>
        <w:pStyle w:val="F21"/>
        <w:rPr>
          <w:szCs w:val="27"/>
        </w:rPr>
      </w:pPr>
      <w:r>
        <w:rPr>
          <w:szCs w:val="27"/>
        </w:rPr>
        <w:tab/>
      </w:r>
      <w:r>
        <w:rPr>
          <w:szCs w:val="27"/>
        </w:rPr>
        <w:t>我認為這種着重後端分類的回收模式未必適用於香港，主要原因是香港缺乏合適土地建設大型的分類工場，加上勞力成本高昂，而招募工人的困難度亦不能輕看。以訪問團參觀的江北區分類廠為例，該廠僱用了</w:t>
      </w:r>
      <w:r>
        <w:rPr>
          <w:szCs w:val="27"/>
        </w:rPr>
        <w:t>120</w:t>
      </w:r>
      <w:r>
        <w:rPr>
          <w:szCs w:val="27"/>
        </w:rPr>
        <w:t>人，每天能夠處理的廢物數量亦只是</w:t>
      </w:r>
      <w:r>
        <w:rPr>
          <w:szCs w:val="27"/>
        </w:rPr>
        <w:t>60</w:t>
      </w:r>
      <w:r>
        <w:rPr>
          <w:szCs w:val="27"/>
        </w:rPr>
        <w:t>公噸。所以，我認為香港較適合採用另一種方式，就是利用現時存在的市場機制，透過適當的補助在前端完成大部分的分類工序。</w:t>
      </w:r>
    </w:p>
    <w:p>
      <w:pPr>
        <w:pStyle w:val="F21"/>
        <w:rPr>
          <w:szCs w:val="27"/>
        </w:rPr>
      </w:pPr>
      <w:r>
        <w:rPr>
          <w:szCs w:val="27"/>
        </w:rPr>
      </w:r>
    </w:p>
    <w:p>
      <w:pPr>
        <w:pStyle w:val="F21"/>
        <w:spacing w:lineRule="atLeast" w:line="350"/>
        <w:rPr>
          <w:szCs w:val="27"/>
        </w:rPr>
      </w:pPr>
      <w:r>
        <w:rPr>
          <w:szCs w:val="27"/>
        </w:rPr>
        <w:tab/>
      </w:r>
      <w:r>
        <w:rPr>
          <w:szCs w:val="27"/>
        </w:rPr>
        <w:t>以下我想介紹一下台灣對回收業提供支援的方法。台灣規定上游生產商在製造產品時必須預繳處理產品的費用，政府把這些費用撥歸行政院環保署轄下的回收基金，基金會對不同類型的回收產品訂出價格，回收商可以向市民收集可回收物料，並按產品類型向政府申領補貼。當地法例規定，產品按容器與物品兩大類，細分</w:t>
      </w:r>
      <w:r>
        <w:rPr>
          <w:szCs w:val="27"/>
        </w:rPr>
        <w:t>13</w:t>
      </w:r>
      <w:r>
        <w:rPr>
          <w:szCs w:val="27"/>
        </w:rPr>
        <w:t>類</w:t>
      </w:r>
      <w:r>
        <w:rPr>
          <w:szCs w:val="27"/>
        </w:rPr>
        <w:t>33</w:t>
      </w:r>
      <w:r>
        <w:rPr>
          <w:szCs w:val="27"/>
        </w:rPr>
        <w:t>項，並按此再細分為過百項的不同物料，極為詳細。</w:t>
      </w:r>
    </w:p>
    <w:p>
      <w:pPr>
        <w:pStyle w:val="F21"/>
        <w:spacing w:lineRule="atLeast" w:line="350"/>
        <w:rPr>
          <w:szCs w:val="27"/>
        </w:rPr>
      </w:pPr>
      <w:r>
        <w:rPr>
          <w:szCs w:val="27"/>
        </w:rPr>
      </w:r>
    </w:p>
    <w:p>
      <w:pPr>
        <w:pStyle w:val="F21"/>
        <w:spacing w:lineRule="atLeast" w:line="350"/>
        <w:rPr>
          <w:szCs w:val="27"/>
        </w:rPr>
      </w:pPr>
      <w:r>
        <w:rPr>
          <w:szCs w:val="27"/>
        </w:rPr>
        <w:tab/>
      </w:r>
      <w:r>
        <w:rPr>
          <w:szCs w:val="27"/>
        </w:rPr>
        <w:t>我與當地官員會面傾談的時候，對方指出政府提供的回收價格未必是最高價，政府的目標只是確保當地的回收商在回收市場價格波動的時候能夠繼續運作。同時，基金的運作模式能夠提供經濟誘因，就是補貼金會直接反映在回收商於源頭向市民支付的金額，因此能夠真正做到全民動員。</w:t>
      </w:r>
    </w:p>
    <w:p>
      <w:pPr>
        <w:pStyle w:val="F21"/>
        <w:spacing w:lineRule="atLeast" w:line="350"/>
        <w:rPr>
          <w:szCs w:val="27"/>
        </w:rPr>
      </w:pPr>
      <w:r>
        <w:rPr>
          <w:szCs w:val="27"/>
        </w:rPr>
      </w:r>
    </w:p>
    <w:p>
      <w:pPr>
        <w:pStyle w:val="F21"/>
        <w:spacing w:lineRule="atLeast" w:line="350"/>
        <w:rPr>
          <w:szCs w:val="27"/>
        </w:rPr>
      </w:pPr>
      <w:r>
        <w:rPr>
          <w:szCs w:val="27"/>
        </w:rPr>
        <w:tab/>
      </w:r>
      <w:r>
        <w:rPr>
          <w:szCs w:val="27"/>
        </w:rPr>
        <w:t>其實，我並不是第一次提出台灣的經驗，只是局方一直堅持部分回收物料</w:t>
      </w:r>
      <w:r>
        <w:rPr>
          <w:szCs w:val="27"/>
        </w:rPr>
        <w:t>(</w:t>
      </w:r>
      <w:r>
        <w:rPr>
          <w:szCs w:val="27"/>
        </w:rPr>
        <w:t>例如塑膠樽、塑膠、玻璃樽</w:t>
      </w:r>
      <w:r>
        <w:rPr>
          <w:szCs w:val="27"/>
        </w:rPr>
        <w:t>)</w:t>
      </w:r>
      <w:r>
        <w:rPr>
          <w:szCs w:val="27"/>
        </w:rPr>
        <w:t>在市場上沒有參考回收價。不過，我必須指出，這些物料、材料是有參考價的。在英國，不同的玻璃有不同的回收市場，而不同編號的塑膠亦有不同的回收價格，當然價格可能會有波動。但是，我要強調的是，政府不需要提供一個最好的價格，我們只是希望確保回收商能在政府的機制下繼續營運。</w:t>
      </w:r>
    </w:p>
    <w:p>
      <w:pPr>
        <w:pStyle w:val="F21"/>
        <w:spacing w:lineRule="atLeast" w:line="350"/>
        <w:rPr>
          <w:szCs w:val="27"/>
        </w:rPr>
      </w:pPr>
      <w:r>
        <w:rPr>
          <w:szCs w:val="27"/>
        </w:rPr>
      </w:r>
    </w:p>
    <w:p>
      <w:pPr>
        <w:pStyle w:val="F21"/>
        <w:spacing w:lineRule="atLeast" w:line="350"/>
        <w:rPr>
          <w:szCs w:val="27"/>
        </w:rPr>
      </w:pPr>
      <w:r>
        <w:rPr>
          <w:szCs w:val="27"/>
        </w:rPr>
        <w:tab/>
      </w:r>
      <w:r>
        <w:rPr>
          <w:szCs w:val="27"/>
        </w:rPr>
        <w:t>所以，我很希望政府在處理廢物管理的工作上，能夠參考台灣的模式，因為對於香港這個地少人多的城市來說，這種盡量利用前端的全民動員方法，可能是更為有效的模式。</w:t>
      </w:r>
    </w:p>
    <w:p>
      <w:pPr>
        <w:pStyle w:val="F21"/>
        <w:spacing w:lineRule="atLeast" w:line="350"/>
        <w:rPr>
          <w:szCs w:val="27"/>
        </w:rPr>
      </w:pPr>
      <w:r>
        <w:rPr>
          <w:szCs w:val="27"/>
        </w:rPr>
      </w:r>
    </w:p>
    <w:p>
      <w:pPr>
        <w:pStyle w:val="F21"/>
        <w:spacing w:lineRule="atLeast" w:line="350"/>
        <w:rPr>
          <w:szCs w:val="27"/>
        </w:rPr>
      </w:pPr>
      <w:r>
        <w:rPr>
          <w:szCs w:val="27"/>
        </w:rPr>
        <w:tab/>
      </w:r>
      <w:r>
        <w:rPr>
          <w:szCs w:val="27"/>
        </w:rPr>
        <w:t>基於這個原因，民主黨希望政府在未來的施政報告中，能夠提出好像台灣的行政院般，設立一個</w:t>
      </w:r>
      <w:r>
        <w:rPr>
          <w:szCs w:val="27"/>
        </w:rPr>
        <w:t>50</w:t>
      </w:r>
      <w:r>
        <w:rPr>
          <w:szCs w:val="27"/>
        </w:rPr>
        <w:t>億元回收基金，起動全面的“資源有價”策略，推動資源回收工作，令我們的廢物管理能夠踏出明顯的一大步。此外，亦要確保廢物管理工作能夠在政府主導的回收政策下，得以有策略地展開，從而推動整個社會在揀選末端處理設施時，能夠有一個互相信任的基礎，確保我們的城市能夠在廢物管理工作上有周全的配套。</w:t>
      </w:r>
    </w:p>
    <w:p>
      <w:pPr>
        <w:pStyle w:val="F21"/>
        <w:spacing w:lineRule="atLeast" w:line="350"/>
        <w:rPr>
          <w:szCs w:val="27"/>
        </w:rPr>
      </w:pPr>
      <w:r>
        <w:rPr>
          <w:szCs w:val="27"/>
        </w:rPr>
      </w:r>
    </w:p>
    <w:p>
      <w:pPr>
        <w:pStyle w:val="F21"/>
        <w:spacing w:lineRule="atLeast" w:line="350"/>
        <w:rPr>
          <w:szCs w:val="27"/>
        </w:rPr>
      </w:pPr>
      <w:r>
        <w:rPr>
          <w:szCs w:val="27"/>
        </w:rPr>
        <w:tab/>
      </w:r>
      <w:r>
        <w:rPr>
          <w:szCs w:val="27"/>
        </w:rPr>
        <w:t>多謝主席，我謹此陳辭。</w:t>
      </w:r>
    </w:p>
    <w:p>
      <w:pPr>
        <w:pStyle w:val="F21"/>
        <w:spacing w:lineRule="atLeast" w:line="350"/>
        <w:rPr/>
      </w:pPr>
      <w:r>
        <w:rPr/>
      </w:r>
    </w:p>
    <w:p>
      <w:pPr>
        <w:pStyle w:val="F21"/>
        <w:spacing w:lineRule="atLeast" w:line="350"/>
        <w:rPr/>
      </w:pPr>
      <w:r>
        <w:rPr/>
      </w:r>
    </w:p>
    <w:p>
      <w:pPr>
        <w:pStyle w:val="F21"/>
        <w:spacing w:lineRule="atLeast" w:line="350"/>
        <w:rPr/>
      </w:pPr>
      <w:r>
        <w:rPr>
          <w:rFonts w:ascii="華康中黑體" w:hAnsi="華康中黑體" w:cs="華康中黑體" w:eastAsia="華康中黑體"/>
          <w:b/>
        </w:rPr>
        <w:t>鍾樹根議員</w:t>
      </w:r>
      <w:r>
        <w:rPr/>
        <w:t>：主席，今次環境事務委員會到韓國訪問，我認為富有實際意義的，因為香港的環保政策和廢物處理策略都非常落後，故韓國是一個可以供我們作參考的“先行先試”地區。</w:t>
      </w:r>
    </w:p>
    <w:p>
      <w:pPr>
        <w:pStyle w:val="F21"/>
        <w:rPr/>
      </w:pPr>
      <w:r>
        <w:rPr/>
      </w:r>
    </w:p>
    <w:p>
      <w:pPr>
        <w:pStyle w:val="F21"/>
        <w:rPr/>
      </w:pPr>
      <w:r>
        <w:rPr/>
        <w:tab/>
      </w:r>
      <w:r>
        <w:rPr/>
        <w:t>韓國在減廢、回收、再造工業、廚餘處理、興建焚化爐、管理堆填區和復修清溪川方面的工作，都值得香港借鑒，以下我希望說出數個我在參觀過程中印象較為深刻的設施。</w:t>
      </w:r>
    </w:p>
    <w:p>
      <w:pPr>
        <w:pStyle w:val="F21"/>
        <w:rPr/>
      </w:pPr>
      <w:r>
        <w:rPr/>
      </w:r>
    </w:p>
    <w:p>
      <w:pPr>
        <w:pStyle w:val="F21"/>
        <w:rPr/>
      </w:pPr>
      <w:r>
        <w:rPr/>
        <w:tab/>
      </w:r>
      <w:r>
        <w:rPr/>
        <w:t>第一，設有</w:t>
      </w:r>
      <w:r>
        <w:rPr/>
        <w:t>RFID</w:t>
      </w:r>
      <w:r>
        <w:rPr/>
        <w:t>的廚餘收集箱。韓國的資訊科技發達，其中韓國製所造手機更在世界大行其道。原來韓國在處理廢物和廚餘的方法都很</w:t>
      </w:r>
      <w:r>
        <w:rPr/>
        <w:t>Hi-tech</w:t>
      </w:r>
      <w:r>
        <w:rPr/>
        <w:t>，懂得利用資訊科技去實行廢物按量徵費。例如今次參觀了韓國衿川區正在試行使用“無線射頻識別技術”所謂</w:t>
      </w:r>
      <w:r>
        <w:rPr/>
        <w:t>RFID</w:t>
      </w:r>
      <w:r>
        <w:rPr/>
        <w:t>系統來管理每家的廚餘數量，他們特別設計了一款附有磁卡閱讀器的收集桶，而每個住戶則獲發一張磁卡；當需要棄置廚餘時，居民需要先把磁卡在讀卡器上“嘟”一下，用以識別住戶資料，然後收集桶的門就會打開，讓住戶放入廚餘，隨後系統隨即會自動計算重量，並記錄入住戶的帳戶內。政府則每月按照數據紀錄向住戶徵費。</w:t>
      </w:r>
    </w:p>
    <w:p>
      <w:pPr>
        <w:pStyle w:val="F21"/>
        <w:rPr/>
      </w:pPr>
      <w:r>
        <w:rPr/>
      </w:r>
    </w:p>
    <w:p>
      <w:pPr>
        <w:pStyle w:val="F21"/>
        <w:rPr/>
      </w:pPr>
      <w:r>
        <w:rPr/>
        <w:tab/>
      </w:r>
      <w:r>
        <w:rPr/>
        <w:t>根據當地政府提供的統計，利用這種</w:t>
      </w:r>
      <w:r>
        <w:rPr/>
        <w:t>RFID</w:t>
      </w:r>
      <w:r>
        <w:rPr/>
        <w:t>技術作廚餘徵費後，當地廚餘在數月內減少</w:t>
      </w:r>
      <w:r>
        <w:rPr/>
        <w:t>30%</w:t>
      </w:r>
      <w:r>
        <w:rPr/>
        <w:t>。</w:t>
      </w:r>
    </w:p>
    <w:p>
      <w:pPr>
        <w:pStyle w:val="F21"/>
        <w:rPr/>
      </w:pPr>
      <w:r>
        <w:rPr/>
      </w:r>
    </w:p>
    <w:p>
      <w:pPr>
        <w:pStyle w:val="F21"/>
        <w:rPr/>
      </w:pPr>
      <w:r>
        <w:rPr/>
        <w:tab/>
        <w:t>RFID</w:t>
      </w:r>
      <w:r>
        <w:rPr/>
        <w:t>在外國已很普遍，但在香港卻仍似乎是新事物，其實這種技術是在二次世界大戰時發明。早前我參觀康文署的公共圖書館，才知道康文署開始試行以</w:t>
      </w:r>
      <w:r>
        <w:rPr/>
        <w:t>RFID</w:t>
      </w:r>
      <w:r>
        <w:rPr/>
        <w:t>作借書還書的用途。可想而知，香港採用</w:t>
      </w:r>
      <w:r>
        <w:rPr/>
        <w:t>IT</w:t>
      </w:r>
      <w:r>
        <w:rPr/>
        <w:t>技術於城市管理上非常低階和處於初步階段。香港其實有很多廚餘，如何面對棄置廢物徵費的問題，韓國的經驗給了我們很好的借鏡。我們應否研發</w:t>
      </w:r>
      <w:r>
        <w:rPr/>
        <w:t>RFID</w:t>
      </w:r>
      <w:r>
        <w:rPr/>
        <w:t>廚餘收集箱？我想政府需要慎重考慮，我卻認為政府現行的數碼</w:t>
      </w:r>
      <w:r>
        <w:rPr/>
        <w:t>21</w:t>
      </w:r>
      <w:r>
        <w:rPr/>
        <w:t>策略，只懂跟人說甚麼是</w:t>
      </w:r>
      <w:r>
        <w:rPr/>
        <w:t>WiFi</w:t>
      </w:r>
      <w:r>
        <w:rPr/>
        <w:t>，這是非常落後和可笑的。</w:t>
      </w:r>
    </w:p>
    <w:p>
      <w:pPr>
        <w:pStyle w:val="F21"/>
        <w:rPr/>
      </w:pPr>
      <w:r>
        <w:rPr/>
      </w:r>
    </w:p>
    <w:p>
      <w:pPr>
        <w:pStyle w:val="F21"/>
        <w:rPr/>
      </w:pPr>
      <w:r>
        <w:rPr/>
        <w:tab/>
      </w:r>
      <w:r>
        <w:rPr/>
        <w:t>第二，厭惡性設施補償方案。主席，香港現正面臨興建焚化爐、廚餘處理中心、擴大堆填等廢物處理設施，卻遭居民大力反對的困局。平心而言，人人都有這種心態，便是環保是要做的，但不要在我家門外做。這種心態的關鍵是政府如何做好補償，以及減低影響的措施，令居民不會覺得利益被犧牲的感覺。</w:t>
      </w:r>
    </w:p>
    <w:p>
      <w:pPr>
        <w:pStyle w:val="F21"/>
        <w:rPr/>
      </w:pPr>
      <w:r>
        <w:rPr/>
      </w:r>
    </w:p>
    <w:p>
      <w:pPr>
        <w:pStyle w:val="F21"/>
        <w:spacing w:lineRule="atLeast" w:line="370"/>
        <w:rPr/>
      </w:pPr>
      <w:r>
        <w:rPr/>
        <w:tab/>
      </w:r>
      <w:r>
        <w:rPr/>
        <w:t>政府去年擴建新界東南堆填區時遭滑鐵盧的慘敗，很大程度便是因為事前並沒有做好補償及優化措施，突然要將軍澳居民承受擴建堆填區之苦，自然是難以獲支持。就如何對這些受厭惡性設施影響的居民作出補償，韓國政府的策略為我們帶來不少靈感和經驗。我們今次參觀的韓國麻蒲焚化爐在興建計劃初期，鄰近居民其實也同樣是反對的，但韓國政府卻很重視公眾參與，在興建之前先向受影響的民居進行全面諮詢，以及提出補貼和經濟誘因，以吸引他們的支持。事實上，新式的焚化爐在燃燒垃圾的過程中可以回收熱能，再以熱水或暖氣的形式供應給附近的居民，並利用多餘的熱能量發電，所得利潤又可以補貼方圓</w:t>
      </w:r>
      <w:r>
        <w:rPr/>
        <w:t>300</w:t>
      </w:r>
      <w:r>
        <w:rPr/>
        <w:t>米範圍內居民的電費，這種種措施是我們值得考慮的。</w:t>
      </w:r>
    </w:p>
    <w:p>
      <w:pPr>
        <w:pStyle w:val="F21"/>
        <w:spacing w:lineRule="atLeast" w:line="370"/>
        <w:rPr/>
      </w:pPr>
      <w:r>
        <w:rPr/>
      </w:r>
    </w:p>
    <w:p>
      <w:pPr>
        <w:pStyle w:val="F21"/>
        <w:spacing w:lineRule="atLeast" w:line="370"/>
        <w:rPr/>
      </w:pPr>
      <w:r>
        <w:rPr/>
        <w:tab/>
      </w:r>
      <w:r>
        <w:rPr/>
        <w:t>此外，我們到仁川堆填區考察時，得悉該堆填區在處理廢物時會產生一些氣體，有關方面收集這些氣體作為發電之用，故我們認為政府也可以參考韓國這些做法，利用堆填區及焚化爐所產生的副效益，向附近居民作出補償。</w:t>
      </w:r>
    </w:p>
    <w:p>
      <w:pPr>
        <w:pStyle w:val="F21"/>
        <w:spacing w:lineRule="atLeast" w:line="370"/>
        <w:rPr/>
      </w:pPr>
      <w:r>
        <w:rPr/>
      </w:r>
    </w:p>
    <w:p>
      <w:pPr>
        <w:pStyle w:val="F21"/>
        <w:spacing w:lineRule="atLeast" w:line="370"/>
        <w:rPr/>
      </w:pPr>
      <w:r>
        <w:rPr/>
        <w:tab/>
      </w:r>
      <w:r>
        <w:rPr/>
        <w:t>第三，我認為是頗有意義的，便是以土地及資金扶助回收業。韓國政府扶助國內回收工業的發展，也是香港政府可以借鑒的。現時韓國的廢物回收率達</w:t>
      </w:r>
      <w:r>
        <w:rPr/>
        <w:t>60%</w:t>
      </w:r>
      <w:r>
        <w:rPr/>
        <w:t>，其回收工業全面迅速發展，也是得力於政府提供營運資金和土地的支持。</w:t>
      </w:r>
    </w:p>
    <w:p>
      <w:pPr>
        <w:pStyle w:val="F21"/>
        <w:spacing w:lineRule="atLeast" w:line="370"/>
        <w:rPr/>
      </w:pPr>
      <w:r>
        <w:rPr/>
      </w:r>
    </w:p>
    <w:p>
      <w:pPr>
        <w:pStyle w:val="F21"/>
        <w:spacing w:lineRule="atLeast" w:line="370"/>
        <w:rPr/>
      </w:pPr>
      <w:r>
        <w:rPr/>
        <w:tab/>
      </w:r>
      <w:r>
        <w:rPr/>
        <w:t>反觀香港，政府對回收再造業提供的資金，明顯是不足的。早前有回收廢塑膠的回收商到立法會門外示威，批評政府以不干預商業為由，對私營回收業欠缺支援，卻把大量環保資金用作援助</w:t>
      </w:r>
      <w:r>
        <w:rPr/>
        <w:t>NGO</w:t>
      </w:r>
      <w:r>
        <w:rPr/>
        <w:t>進行小規模的回收工作，成效卻不彰。加上內地實施“綠籬行動”後，本港廢塑膠不能運往內地，令萬噸廢塑膠囤積在港。相較韓國政府，本港政府對本地的回收業的扶助，明顯是有待改善。最大的問題是，香港一直只着眼於推動廢物回收，但對回收後如何分類、再造、協助出口等後續問題，答案也是零，這方面值得港府作深切的反省。</w:t>
      </w:r>
    </w:p>
    <w:p>
      <w:pPr>
        <w:pStyle w:val="F21"/>
        <w:spacing w:lineRule="atLeast" w:line="370"/>
        <w:rPr/>
      </w:pPr>
      <w:r>
        <w:rPr/>
        <w:tab/>
      </w:r>
    </w:p>
    <w:p>
      <w:pPr>
        <w:pStyle w:val="F21"/>
        <w:spacing w:lineRule="atLeast" w:line="370"/>
        <w:rPr/>
      </w:pPr>
      <w:r>
        <w:rPr/>
        <w:tab/>
      </w:r>
      <w:r>
        <w:rPr/>
        <w:t>我們希望參加了今次的考察後，黃局長能汲取別人的經驗，“出錢出地”，扶助香港的回收工業。</w:t>
      </w:r>
    </w:p>
    <w:p>
      <w:pPr>
        <w:pStyle w:val="F21"/>
        <w:spacing w:lineRule="atLeast" w:line="370"/>
        <w:rPr/>
      </w:pPr>
      <w:r>
        <w:rPr/>
      </w:r>
    </w:p>
    <w:p>
      <w:pPr>
        <w:pStyle w:val="F21"/>
        <w:spacing w:lineRule="atLeast" w:line="370"/>
        <w:rPr/>
      </w:pPr>
      <w:r>
        <w:rPr/>
        <w:tab/>
      </w:r>
      <w:r>
        <w:rPr/>
        <w:t>多謝主席。</w:t>
      </w:r>
    </w:p>
    <w:p>
      <w:pPr>
        <w:pStyle w:val="F21"/>
        <w:spacing w:lineRule="atLeast" w:line="370"/>
        <w:rPr/>
      </w:pPr>
      <w:r>
        <w:rPr/>
      </w:r>
    </w:p>
    <w:p>
      <w:pPr>
        <w:pStyle w:val="F21"/>
        <w:spacing w:lineRule="atLeast" w:line="370"/>
        <w:rPr/>
      </w:pPr>
      <w:r>
        <w:rPr/>
      </w:r>
    </w:p>
    <w:p>
      <w:pPr>
        <w:pStyle w:val="F21"/>
        <w:spacing w:lineRule="atLeast" w:line="370"/>
        <w:rPr/>
      </w:pPr>
      <w:r>
        <w:rPr>
          <w:rFonts w:eastAsia="華康中黑體"/>
          <w:b/>
        </w:rPr>
        <w:t>張國柱</w:t>
      </w:r>
      <w:r>
        <w:rPr>
          <w:rFonts w:ascii="華康中黑體" w:hAnsi="華康中黑體" w:cs="華康中黑體" w:eastAsia="華康中黑體"/>
          <w:b/>
        </w:rPr>
        <w:t>議員</w:t>
      </w:r>
      <w:r>
        <w:rPr/>
        <w:t>：主席，我首先多謝考察團各位同事，為香港的廢物管理問題奔波勞碌，風塵僕僕，為我們帶來詳實的參考資料。以下有數方面值得我們繼續討論。</w:t>
      </w:r>
    </w:p>
    <w:p>
      <w:pPr>
        <w:pStyle w:val="F21"/>
        <w:spacing w:lineRule="atLeast" w:line="370"/>
        <w:rPr/>
      </w:pPr>
      <w:r>
        <w:rPr/>
      </w:r>
    </w:p>
    <w:p>
      <w:pPr>
        <w:pStyle w:val="F21"/>
        <w:spacing w:lineRule="atLeast" w:line="370"/>
        <w:rPr/>
      </w:pPr>
      <w:r>
        <w:rPr/>
        <w:tab/>
      </w:r>
      <w:r>
        <w:rPr/>
        <w:t>首先是源頭減廢。正如報告所述，南韓首爾在人口密度及建築環境方面與香港有很多相似的地方，但南韓在</w:t>
      </w:r>
      <w:r>
        <w:rPr/>
        <w:t>20</w:t>
      </w:r>
      <w:r>
        <w:rPr/>
        <w:t xml:space="preserve">年前已經開始推行 </w:t>
      </w:r>
      <w:r>
        <w:rPr>
          <w:rFonts w:ascii="Symbol" w:hAnsi="Symbol" w:cs="Symbol" w:eastAsia="Symbol"/>
        </w:rPr>
        <w:t></w:t>
      </w:r>
      <w:r>
        <w:rPr/>
        <w:t xml:space="preserve"> 而並非討論 </w:t>
      </w:r>
      <w:r>
        <w:rPr>
          <w:rFonts w:ascii="Symbol" w:hAnsi="Symbol" w:cs="Symbol" w:eastAsia="Symbol"/>
        </w:rPr>
        <w:t></w:t>
      </w:r>
      <w:r>
        <w:rPr/>
        <w:t xml:space="preserve"> 可持續的廢物管理策略。確實，在這方面，南韓政府是先知先覺的。</w:t>
      </w:r>
    </w:p>
    <w:p>
      <w:pPr>
        <w:pStyle w:val="F21"/>
        <w:rPr/>
      </w:pPr>
      <w:r>
        <w:rPr/>
      </w:r>
    </w:p>
    <w:p>
      <w:pPr>
        <w:pStyle w:val="F21"/>
        <w:rPr/>
      </w:pPr>
      <w:r>
        <w:rPr/>
        <w:tab/>
      </w:r>
      <w:r>
        <w:rPr/>
        <w:t>其實，香港有很多團體一直以來不贊成一味開闢堆填區、興建焚化爐的做法，並早已提出源頭減廢的方向。可惜的是，自回歸後的</w:t>
      </w:r>
      <w:r>
        <w:rPr/>
        <w:t>16</w:t>
      </w:r>
      <w:r>
        <w:rPr/>
        <w:t>年以來，多屆政府剛愎自用、自以為是，而且目光短少，只看到短期利益，沒有長遠的社會發展藍圖。</w:t>
      </w:r>
    </w:p>
    <w:p>
      <w:pPr>
        <w:pStyle w:val="F21"/>
        <w:rPr/>
      </w:pPr>
      <w:r>
        <w:rPr/>
      </w:r>
    </w:p>
    <w:p>
      <w:pPr>
        <w:pStyle w:val="F21"/>
        <w:rPr/>
      </w:pPr>
      <w:r>
        <w:rPr/>
        <w:tab/>
      </w:r>
      <w:r>
        <w:rPr/>
        <w:t>南韓政府的方針，是在需求管理上下工夫，在源頭處理好，減少廢物。南韓</w:t>
      </w:r>
      <w:r>
        <w:rPr/>
        <w:t>20</w:t>
      </w:r>
      <w:r>
        <w:rPr/>
        <w:t>年前已經不再擴建後期處理廢物的設施，因為這些設施一方面處理廢物，一方面污染環境、製造廢物，亦是“頭痛醫頭，腳痛醫腳”的方法，對社會整體而言是得不償失的。</w:t>
      </w:r>
    </w:p>
    <w:p>
      <w:pPr>
        <w:pStyle w:val="F21"/>
        <w:rPr/>
      </w:pPr>
      <w:r>
        <w:rPr/>
      </w:r>
    </w:p>
    <w:p>
      <w:pPr>
        <w:pStyle w:val="F21"/>
        <w:rPr/>
      </w:pPr>
      <w:r>
        <w:rPr/>
        <w:tab/>
      </w:r>
      <w:r>
        <w:rPr/>
        <w:t>香港政府提出於</w:t>
      </w:r>
      <w:r>
        <w:rPr/>
        <w:t>2016</w:t>
      </w:r>
      <w:r>
        <w:rPr/>
        <w:t>年落實垃圾徵費計劃，減少本港的廢物量，其中一個惹起較大爭論的焦點，是樓宇的垃圾徵費問題。究竟徵費是依據重量還是體積計算呢？其實，這方面的問題相對而言可能比較好辦，因為不論按重量或體積，都是體現“多垃圾，多付費”的原則，比較公平、比較少爭議。</w:t>
      </w:r>
    </w:p>
    <w:p>
      <w:pPr>
        <w:pStyle w:val="F21"/>
        <w:rPr/>
      </w:pPr>
      <w:r>
        <w:rPr/>
      </w:r>
    </w:p>
    <w:p>
      <w:pPr>
        <w:pStyle w:val="F21"/>
        <w:rPr/>
      </w:pPr>
      <w:r>
        <w:rPr/>
        <w:tab/>
      </w:r>
      <w:r>
        <w:rPr/>
        <w:t>南韓在實施源頭減廢策略前，採用收取物業稅或以月費方式定額收取廢物處理費用，即無論棄置多少廢物，皆一律標準收費。南韓政府其後發現問題，於是改為“污染者自付”的原則，採用按量收費的制度。</w:t>
      </w:r>
    </w:p>
    <w:p>
      <w:pPr>
        <w:pStyle w:val="F21"/>
        <w:rPr/>
      </w:pPr>
      <w:r>
        <w:rPr/>
      </w:r>
    </w:p>
    <w:p>
      <w:pPr>
        <w:pStyle w:val="F21"/>
        <w:rPr/>
      </w:pPr>
      <w:r>
        <w:rPr/>
        <w:tab/>
      </w:r>
      <w:r>
        <w:rPr/>
        <w:t>報告書沒有指出改動的原因，但其實不難估計，因為如果定額收費，市民便無誘因減少製造廢物，以及無誘因循環再用。此外，對於多層樓宇，很多團體皆擔心政府會貪圖方便，會以整棟樓宇為單位計算廢物量，透過業主立案法團</w:t>
      </w:r>
      <w:r>
        <w:rPr/>
        <w:t>(“</w:t>
      </w:r>
      <w:r>
        <w:rPr/>
        <w:t>法團”</w:t>
      </w:r>
      <w:r>
        <w:rPr/>
        <w:t>)</w:t>
      </w:r>
      <w:r>
        <w:rPr/>
        <w:t>或互助委員會攤派每家每戶的費用。我認為此舉是行不通的，因為除了同樣沒有減少製造廢物的誘因外，政府其實是把這責任推到無權無勢的居民組織身上，將在徵費問題上可能出現的官民矛盾，變成居民與法團之間的矛盾，對這些居民組織是非常不公平的，亦難以收到預計的減廢效果。</w:t>
      </w:r>
    </w:p>
    <w:p>
      <w:pPr>
        <w:pStyle w:val="F21"/>
        <w:rPr/>
      </w:pPr>
      <w:r>
        <w:rPr/>
      </w:r>
    </w:p>
    <w:p>
      <w:pPr>
        <w:pStyle w:val="F21"/>
        <w:rPr/>
      </w:pPr>
      <w:r>
        <w:rPr/>
        <w:tab/>
      </w:r>
      <w:r>
        <w:rPr/>
        <w:t>主席，南韓的棄置家居廢物垃圾袋是特製的，大小不同，價錢亦不同。棄置能夠循環再造的廢物，可以免費，而大型家具要分開棄置。凡此種種，值得香港參考。南韓政府特別顧及低收入家庭在這方面的經濟負擔，會向低收入家庭免費派發垃圾袋。相反，香港政府暫時在這方面應該怎樣做的想法仍然不夠具體。我會特別密切注意這方面，並監察政府在這方面的減免措施是否足夠，以免令低收入人士徒增負擔。</w:t>
      </w:r>
    </w:p>
    <w:p>
      <w:pPr>
        <w:pStyle w:val="F21"/>
        <w:rPr/>
      </w:pPr>
      <w:r>
        <w:rPr/>
      </w:r>
    </w:p>
    <w:p>
      <w:pPr>
        <w:pStyle w:val="F21"/>
        <w:rPr/>
      </w:pPr>
      <w:r>
        <w:rPr/>
        <w:tab/>
      </w:r>
      <w:r>
        <w:rPr/>
        <w:t>主席，政府在</w:t>
      </w:r>
      <w:r>
        <w:rPr/>
        <w:t>2013</w:t>
      </w:r>
      <w:r>
        <w:rPr/>
        <w:t>年</w:t>
      </w:r>
      <w:r>
        <w:rPr/>
        <w:t>5</w:t>
      </w:r>
      <w:r>
        <w:rPr/>
        <w:t>月公布《</w:t>
      </w:r>
      <w:r>
        <w:rPr>
          <w:iCs/>
        </w:rPr>
        <w:t>香港資源循環藍圖</w:t>
      </w:r>
      <w:r>
        <w:rPr/>
        <w:t>2013-2022</w:t>
      </w:r>
      <w:r>
        <w:rPr/>
        <w:t>》，然後便舉行這次南韓考察，之後還希望有更多的民間意見表達。我希望政府這次能夠切切實實地諮詢香港市民，不要自己有自己的議程。原因是，最近的事例顯示政府似乎等不及石鼓洲興建焚化爐明年的司法覆核，便已經計劃在明年年初向立法會申請約</w:t>
      </w:r>
      <w:r>
        <w:rPr/>
        <w:t>127</w:t>
      </w:r>
      <w:r>
        <w:rPr/>
        <w:t>億元撥款，然後開始招標，以及會將擴建</w:t>
      </w:r>
      <w:r>
        <w:rPr/>
        <w:t>3</w:t>
      </w:r>
      <w:r>
        <w:rPr/>
        <w:t>個堆填區的撥款申請再提交立法會。</w:t>
      </w:r>
    </w:p>
    <w:p>
      <w:pPr>
        <w:pStyle w:val="F21"/>
        <w:rPr/>
      </w:pPr>
      <w:r>
        <w:rPr/>
      </w:r>
    </w:p>
    <w:p>
      <w:pPr>
        <w:pStyle w:val="F21"/>
        <w:rPr/>
      </w:pPr>
      <w:r>
        <w:rPr/>
        <w:tab/>
      </w:r>
      <w:r>
        <w:rPr/>
        <w:t>我知道延遲工程會增加建築成本，但這是民主程序，政府不能因在議會有足夠的“保皇”力量，與鄉事派妥協便“霸王硬上弓”，漠視民意的反彈。政府這樣做只會失去市民的信任，即使有再好的方案，施政亦只會障礙重重，好事變壞事。</w:t>
      </w:r>
    </w:p>
    <w:p>
      <w:pPr>
        <w:pStyle w:val="F21"/>
        <w:rPr/>
      </w:pPr>
      <w:r>
        <w:rPr/>
      </w:r>
    </w:p>
    <w:p>
      <w:pPr>
        <w:pStyle w:val="F21"/>
        <w:rPr/>
      </w:pPr>
      <w:r>
        <w:rPr/>
        <w:tab/>
      </w:r>
      <w:r>
        <w:rPr/>
        <w:t>此外，政府亦要實事求是，提供正確的討論數據，市民大眾才能切實討論。例如，早前傳媒揭發多區的街邊三色回收箱已分類的垃圾在收集後最終竟然又送往堆填區棄置，而所有回收商因為沒有政府的扶持，大多數在艱苦經營，大多數在虧蝕。不過，政府竟然聲稱垃圾回收率達</w:t>
      </w:r>
      <w:r>
        <w:rPr/>
        <w:t>48%</w:t>
      </w:r>
      <w:r>
        <w:rPr/>
        <w:t>。對於這個百分比是如何計算出來，市民有很多疑問。如果市民沒有足夠而準確的資料，又怎樣討論呢？政府的數據如果沒有公信力，市民又如何放心呢？如此下去，香港固體廢物管理計劃何時才可以實行呢？實在令人感到擔心。</w:t>
      </w:r>
    </w:p>
    <w:p>
      <w:pPr>
        <w:pStyle w:val="F21"/>
        <w:rPr/>
      </w:pPr>
      <w:r>
        <w:rPr/>
      </w:r>
    </w:p>
    <w:p>
      <w:pPr>
        <w:pStyle w:val="F21"/>
        <w:rPr>
          <w:lang w:eastAsia="zh-CN"/>
        </w:rPr>
      </w:pPr>
      <w:r>
        <w:rPr/>
        <w:tab/>
      </w:r>
      <w:r>
        <w:rPr/>
        <w:t>此外，政府必須大力支持回收業，推動綠色產業發展，提升垃圾回收率，減少廢物，又要全面有系統地推行社區教育</w:t>
      </w:r>
      <w:r>
        <w:rPr>
          <w:i/>
        </w:rPr>
        <w:t>(</w:t>
      </w:r>
      <w:r>
        <w:rPr>
          <w:i/>
        </w:rPr>
        <w:t>計時器響起</w:t>
      </w:r>
      <w:r>
        <w:rPr>
          <w:i/>
        </w:rPr>
        <w:t>)</w:t>
      </w:r>
      <w:r>
        <w:rPr/>
        <w:t>......</w:t>
      </w:r>
    </w:p>
    <w:p>
      <w:pPr>
        <w:pStyle w:val="F21"/>
        <w:rPr>
          <w:lang w:eastAsia="zh-CN"/>
        </w:rPr>
      </w:pPr>
      <w:r>
        <w:rPr>
          <w:lang w:eastAsia="zh-CN"/>
        </w:rPr>
      </w:r>
    </w:p>
    <w:p>
      <w:pPr>
        <w:pStyle w:val="F21"/>
        <w:rPr/>
      </w:pPr>
      <w:r>
        <w:rPr>
          <w:lang w:eastAsia="zh-CN"/>
        </w:rPr>
        <w:tab/>
      </w:r>
      <w:r>
        <w:rPr/>
        <w:t>主席，我謹此陳辭。</w:t>
      </w:r>
    </w:p>
    <w:p>
      <w:pPr>
        <w:pStyle w:val="F21"/>
        <w:rPr/>
      </w:pPr>
      <w:r>
        <w:rPr/>
      </w:r>
    </w:p>
    <w:p>
      <w:pPr>
        <w:pStyle w:val="F21"/>
        <w:rPr/>
      </w:pPr>
      <w:r>
        <w:rPr/>
      </w:r>
    </w:p>
    <w:p>
      <w:pPr>
        <w:pStyle w:val="F21"/>
        <w:rPr/>
      </w:pPr>
      <w:r>
        <w:rPr>
          <w:rFonts w:ascii="華康中黑體" w:hAnsi="華康中黑體" w:cs="華康中黑體" w:eastAsia="華康中黑體"/>
          <w:b/>
        </w:rPr>
        <w:t>廖長江議員</w:t>
      </w:r>
      <w:r>
        <w:rPr/>
        <w:t>：主席，環境事務委員會就前往南韓考察廢物管理經驗的報告十分全面。我從報告中了解到很多有關當地廢物管理的措施，同時更清楚地看到香港現今面對的困難。</w:t>
      </w:r>
    </w:p>
    <w:p>
      <w:pPr>
        <w:pStyle w:val="F21"/>
        <w:rPr/>
      </w:pPr>
      <w:r>
        <w:rPr/>
      </w:r>
    </w:p>
    <w:p>
      <w:pPr>
        <w:pStyle w:val="F21"/>
        <w:rPr/>
      </w:pPr>
      <w:r>
        <w:rPr/>
        <w:tab/>
      </w:r>
      <w:r>
        <w:rPr/>
        <w:t>眾所周知，南韓首爾在廢物處理方面表現卓越和經驗豐富。報告詳細地討論有關南韓在減少廢物、資源回收及廢物處理設施方面的管理經驗，而很多方面的措施是值得香港借鑒的。環保事業不單為環境、健康和下一代着想，亦會為經濟帶來正面的作用。報告中提到，南韓預計發展循環再造資源，可以為回收市場帶來</w:t>
      </w:r>
      <w:r>
        <w:rPr/>
        <w:t>340</w:t>
      </w:r>
      <w:r>
        <w:rPr/>
        <w:t>億港元的增長，並創造</w:t>
      </w:r>
      <w:r>
        <w:rPr/>
        <w:t>11 568</w:t>
      </w:r>
      <w:r>
        <w:rPr/>
        <w:t>個職位，是不容忽視的經濟誘因。</w:t>
      </w:r>
    </w:p>
    <w:p>
      <w:pPr>
        <w:pStyle w:val="F21"/>
        <w:rPr/>
      </w:pPr>
      <w:r>
        <w:rPr/>
      </w:r>
    </w:p>
    <w:p>
      <w:pPr>
        <w:pStyle w:val="F21"/>
        <w:rPr/>
      </w:pPr>
      <w:r>
        <w:rPr/>
        <w:tab/>
      </w:r>
      <w:r>
        <w:rPr/>
        <w:t>南韓廢物管理的成效，是有賴政府和各公私營機構合作而取得的成果，例如在全國的</w:t>
      </w:r>
      <w:r>
        <w:rPr/>
        <w:t>264</w:t>
      </w:r>
      <w:r>
        <w:rPr/>
        <w:t>間廚餘處理中心當中，便有</w:t>
      </w:r>
      <w:r>
        <w:rPr/>
        <w:t>102</w:t>
      </w:r>
      <w:r>
        <w:rPr/>
        <w:t>間由地方政府營運，另外</w:t>
      </w:r>
      <w:r>
        <w:rPr/>
        <w:t>162</w:t>
      </w:r>
      <w:r>
        <w:rPr/>
        <w:t>間由私人機構營運，是絕對值得香港政府借鏡的。香港的小蠔灣和沙嶺廠房要延遲至</w:t>
      </w:r>
      <w:r>
        <w:rPr/>
        <w:t>2015</w:t>
      </w:r>
      <w:r>
        <w:rPr/>
        <w:t>年和</w:t>
      </w:r>
      <w:r>
        <w:rPr/>
        <w:t>2017</w:t>
      </w:r>
      <w:r>
        <w:rPr/>
        <w:t>年才相繼落成，廚餘廠房每延遲運作</w:t>
      </w:r>
      <w:r>
        <w:rPr/>
        <w:t>1</w:t>
      </w:r>
      <w:r>
        <w:rPr/>
        <w:t>年，便有</w:t>
      </w:r>
      <w:r>
        <w:rPr/>
        <w:t>7</w:t>
      </w:r>
      <w:r>
        <w:rPr/>
        <w:t>萬公噸廚餘被棄置在堆填區，這是十分迫切的問題。香港政府應積極考慮更多其他可行的廠房選址，以及提供更多和適當的財務誘因，鼓勵私營機構參與處理廚餘。我們再不能接受像小蠔灣廠房因招標價格過高而整個計劃被拖延的事件。</w:t>
      </w:r>
    </w:p>
    <w:p>
      <w:pPr>
        <w:pStyle w:val="F21"/>
        <w:rPr/>
      </w:pPr>
      <w:r>
        <w:rPr/>
      </w:r>
    </w:p>
    <w:p>
      <w:pPr>
        <w:pStyle w:val="F21"/>
        <w:rPr>
          <w:lang w:eastAsia="zh-CN"/>
        </w:rPr>
      </w:pPr>
      <w:r>
        <w:rPr/>
        <w:tab/>
      </w:r>
      <w:r>
        <w:rPr/>
        <w:t>南韓“美麗之店”亦是值得一提的。商店的經費全是募捐得來，主要是由義工管理，更值得讚賞的是</w:t>
      </w:r>
      <w:r>
        <w:rPr/>
        <w:t>80%</w:t>
      </w:r>
      <w:r>
        <w:rPr/>
        <w:t>的店鋪是免租的，亦有很多出售品是由捐贈形式所得來。“美麗之店”的營運十分成功，它的成功有賴當地公民社會的積極參與和支持，體現出南韓在環保事業方面是社會各階層努力打造出來的成果。</w:t>
      </w:r>
    </w:p>
    <w:p>
      <w:pPr>
        <w:pStyle w:val="F21"/>
        <w:rPr>
          <w:lang w:eastAsia="zh-CN"/>
        </w:rPr>
      </w:pPr>
      <w:r>
        <w:rPr>
          <w:lang w:eastAsia="zh-CN"/>
        </w:rPr>
      </w:r>
    </w:p>
    <w:p>
      <w:pPr>
        <w:pStyle w:val="F21"/>
        <w:rPr/>
      </w:pPr>
      <w:r>
        <w:rPr>
          <w:lang w:eastAsia="zh-CN"/>
        </w:rPr>
        <w:tab/>
      </w:r>
      <w:r>
        <w:rPr/>
        <w:t>公眾參與非常重要，我一直強調，環保必須先從自己做起。所謂“萬事起頭難”，如果市民能夠開始逐步改變一部分生活習慣，便是為廢物管理踏出最重要的一步。政府務必加強與私營機構合作，更積極地提高公眾的環保認知和環保意識作為社會核心價值，為大家灌輸正確的態度，以及大量投放更多財政和社會資源，支持本港環保業，特別是循環再造業的發展，本港的環保事業才會有希望更上一層樓。</w:t>
      </w:r>
    </w:p>
    <w:p>
      <w:pPr>
        <w:pStyle w:val="F21"/>
        <w:rPr/>
      </w:pPr>
      <w:r>
        <w:rPr/>
      </w:r>
    </w:p>
    <w:p>
      <w:pPr>
        <w:pStyle w:val="F21"/>
        <w:rPr/>
      </w:pPr>
      <w:r>
        <w:rPr/>
        <w:tab/>
      </w:r>
      <w:r>
        <w:rPr/>
        <w:t>主席，無可否認，有部分廢物處理措施，例如擴建堆填區和興建焚化爐等，帶有厭惡性。南韓在興建廢物處理設施時亦不乏反對聲音，如同本港擴建堆填區面對的問題。可是，南韓政府並無按兵不動，反而在落實興建有關設施前，先實行全面的諮詢，以及為將受影響的市民提供經濟誘因作為補償，務求減低對當區居民帶來的負面影響。這點是以往受到政府冷待，但卻是極其重要的一環。政府應當更積極地參考南韓政府的經驗。</w:t>
      </w:r>
    </w:p>
    <w:p>
      <w:pPr>
        <w:pStyle w:val="F21"/>
        <w:rPr/>
      </w:pPr>
      <w:r>
        <w:rPr/>
      </w:r>
    </w:p>
    <w:p>
      <w:pPr>
        <w:pStyle w:val="F21"/>
        <w:rPr/>
      </w:pPr>
      <w:r>
        <w:rPr/>
        <w:tab/>
      </w:r>
      <w:r>
        <w:rPr/>
        <w:t>香港的廢物管理確是一項燃眉之急的難題。過去政府由於問題難於解決而疏於處理，留下一個“爛攤子”。當然，長期累積下來的問題不能夠一下子便處理好，但政府務必在處理固體廢物方面制訂一套完整的政策和計劃，讓香港市民能夠看到處理問題的整體辦法及其規劃藍圖，例如在源頭減廢、垃圾徵費、回收再造、興建焚化爐及擴建堆填區等方面，制訂一項整體和共融的政策方案，而不能將個別方案分割出來“斬件式”地推出，彷如上年的擴建堆填區方案般。</w:t>
      </w:r>
    </w:p>
    <w:p>
      <w:pPr>
        <w:pStyle w:val="F21"/>
        <w:rPr/>
      </w:pPr>
      <w:r>
        <w:rPr/>
      </w:r>
    </w:p>
    <w:p>
      <w:pPr>
        <w:pStyle w:val="F21"/>
        <w:rPr>
          <w:lang w:eastAsia="zh-CN"/>
        </w:rPr>
      </w:pPr>
      <w:r>
        <w:rPr/>
        <w:tab/>
      </w:r>
      <w:r>
        <w:rPr/>
        <w:t>解決處理固體廢物的問題是有迫切性的，這是我們需要面對的客觀現實，政府必須保持務實和正面的態度處理相關問題。南韓首爾的成功，不是一朝一夕打造出來的。我相信只要政府和公民社會有一致的目標，香港亦能打造出卓越的環保事業。</w:t>
      </w:r>
    </w:p>
    <w:p>
      <w:pPr>
        <w:pStyle w:val="F21"/>
        <w:rPr>
          <w:lang w:eastAsia="zh-CN"/>
        </w:rPr>
      </w:pPr>
      <w:r>
        <w:rPr>
          <w:lang w:eastAsia="zh-CN"/>
        </w:rPr>
      </w:r>
    </w:p>
    <w:p>
      <w:pPr>
        <w:pStyle w:val="F21"/>
        <w:rPr/>
      </w:pPr>
      <w:r>
        <w:rPr>
          <w:lang w:eastAsia="zh-CN"/>
        </w:rPr>
        <w:tab/>
      </w:r>
      <w:r>
        <w:rPr/>
        <w:t>我謹此陳辭。</w:t>
      </w:r>
    </w:p>
    <w:p>
      <w:pPr>
        <w:pStyle w:val="F21"/>
        <w:rPr/>
      </w:pPr>
      <w:r>
        <w:rPr/>
      </w:r>
    </w:p>
    <w:p>
      <w:pPr>
        <w:pStyle w:val="F21"/>
        <w:rPr/>
      </w:pPr>
      <w:r>
        <w:rPr/>
      </w:r>
    </w:p>
    <w:p>
      <w:pPr>
        <w:pStyle w:val="F21"/>
        <w:rPr/>
      </w:pPr>
      <w:r>
        <w:rPr>
          <w:rFonts w:ascii="華康中黑體" w:hAnsi="華康中黑體" w:cs="華康中黑體" w:eastAsia="華康中黑體"/>
          <w:b/>
        </w:rPr>
        <w:t>張宇人議員</w:t>
      </w:r>
      <w:r>
        <w:rPr/>
        <w:t>：主席，雖然我不是環境事務委員會的成員，但我也有隨團到南韓考察，了解當地廢物管理的經驗。</w:t>
      </w:r>
    </w:p>
    <w:p>
      <w:pPr>
        <w:pStyle w:val="F21"/>
        <w:rPr/>
      </w:pPr>
      <w:r>
        <w:rPr/>
      </w:r>
    </w:p>
    <w:p>
      <w:pPr>
        <w:pStyle w:val="F21"/>
        <w:rPr/>
      </w:pPr>
      <w:r>
        <w:rPr/>
        <w:tab/>
      </w:r>
      <w:r>
        <w:rPr/>
        <w:t>無可否認，南韓自</w:t>
      </w:r>
      <w:r>
        <w:rPr/>
        <w:t>1995</w:t>
      </w:r>
      <w:r>
        <w:rPr/>
        <w:t>年就廢物管理推出多項新的政策措施後，整體廢物棄置率在短短數年間大幅下降</w:t>
      </w:r>
      <w:r>
        <w:rPr/>
        <w:t>40%</w:t>
      </w:r>
      <w:r>
        <w:rPr/>
        <w:t>，廢物回收率則上升至</w:t>
      </w:r>
      <w:r>
        <w:rPr/>
        <w:t>60%</w:t>
      </w:r>
      <w:r>
        <w:rPr/>
        <w:t>，成績確實令人鼓舞。考察期間，聽到各單位的匯報，在減廢、回收和再用這</w:t>
      </w:r>
      <w:r>
        <w:rPr/>
        <w:t>3</w:t>
      </w:r>
      <w:r>
        <w:rPr/>
        <w:t>方面都有完善的措施互相配合，相得益彰，我也非常欣賞。</w:t>
      </w:r>
    </w:p>
    <w:p>
      <w:pPr>
        <w:pStyle w:val="F21"/>
        <w:rPr/>
      </w:pPr>
      <w:r>
        <w:rPr/>
      </w:r>
    </w:p>
    <w:p>
      <w:pPr>
        <w:pStyle w:val="F21"/>
        <w:rPr/>
      </w:pPr>
      <w:r>
        <w:rPr/>
        <w:tab/>
      </w:r>
      <w:r>
        <w:rPr/>
        <w:t>因此，我們要小心去看，不要以為香港效法南韓垃圾按量收費的做法便可以，想得太簡單。我們可以借鑒別人，但也需要明白別人成功的背後是基於不同的因素。</w:t>
      </w:r>
    </w:p>
    <w:p>
      <w:pPr>
        <w:pStyle w:val="F21"/>
        <w:rPr/>
      </w:pPr>
      <w:r>
        <w:rPr/>
      </w:r>
    </w:p>
    <w:p>
      <w:pPr>
        <w:pStyle w:val="F21"/>
        <w:rPr/>
      </w:pPr>
      <w:r>
        <w:rPr/>
        <w:tab/>
      </w:r>
      <w:r>
        <w:rPr/>
        <w:t>其中一個分別便是兩地文化不同，報告也只是輕輕帶過，報告指南韓在推行垃圾按量收費的同時，也設立檢舉制度，即透過獎金制度，鼓勵市民舉報非法傾倒廢物個案，舉報人最高可獲發違例個案罰款的</w:t>
      </w:r>
      <w:r>
        <w:rPr/>
        <w:t>80%</w:t>
      </w:r>
      <w:r>
        <w:rPr/>
        <w:t>作為獎金，這無疑大大提高阻嚇力，成功杜絕當地市民隨街棄置垃圾。</w:t>
      </w:r>
    </w:p>
    <w:p>
      <w:pPr>
        <w:pStyle w:val="F21"/>
        <w:rPr/>
      </w:pPr>
      <w:r>
        <w:rPr/>
      </w:r>
    </w:p>
    <w:p>
      <w:pPr>
        <w:pStyle w:val="F21"/>
        <w:rPr/>
      </w:pPr>
      <w:r>
        <w:rPr/>
        <w:tab/>
      </w:r>
      <w:r>
        <w:rPr/>
        <w:t>不過，這種鼓勵舉報的文化，要大家都變成地下警察，街坊鄰舍變成互相監察的對象，我很懷疑推崇鄰里關懷、互相尊重，以及自主自律的香港人會否接受得到？事實上，香港地方人煙稠密，高樓大廈為多，一幢大廈往往就有逾百戶聚居，大大增添監察的難度。一旦檢舉成風，所引發的互相猜忌，恐怕只會令香港社會更為撕裂。</w:t>
      </w:r>
    </w:p>
    <w:p>
      <w:pPr>
        <w:pStyle w:val="F21"/>
        <w:rPr/>
      </w:pPr>
      <w:r>
        <w:rPr/>
      </w:r>
    </w:p>
    <w:p>
      <w:pPr>
        <w:pStyle w:val="F21"/>
        <w:rPr/>
      </w:pPr>
      <w:r>
        <w:rPr/>
        <w:tab/>
      </w:r>
      <w:r>
        <w:rPr/>
        <w:t>此外，南韓致力推動循環再造工業之餘，也不斷提升循環再造的價值，讓有關工業得以持續發展。反觀香港，現階段都只是空談，莫說是提升再造業的發展潛力，即使由減廢、回收到再用的全盤工作，其實從來都沒有推動、發展和規劃，一直只讓再造業自生自滅。</w:t>
      </w:r>
    </w:p>
    <w:p>
      <w:pPr>
        <w:pStyle w:val="F21"/>
        <w:spacing w:lineRule="atLeast" w:line="380"/>
        <w:rPr/>
      </w:pPr>
      <w:r>
        <w:rPr/>
      </w:r>
    </w:p>
    <w:p>
      <w:pPr>
        <w:pStyle w:val="F21"/>
        <w:spacing w:lineRule="atLeast" w:line="380"/>
        <w:rPr/>
      </w:pPr>
      <w:r>
        <w:rPr/>
        <w:tab/>
      </w:r>
      <w:r>
        <w:rPr/>
        <w:t>以廚餘為例，香港漁農業因為當局“陰乾”的政策而變得式微，用廚餘生產的肥料、魚糧一直都欠缺出路，即使種菜、養豬或養雞，全部都式微，出售到外地也未能跟當地的同類產品競爭。即使當局表示將來會扶持循環再造業，我也很擔心這是否一個無底深潭，迫使我們不斷付鈔。可惜，從當局或可持續發展委員會發出的諮詢文件，我都看不到就這些問題有何具體回應或解決方案，實在令人失望。</w:t>
      </w:r>
    </w:p>
    <w:p>
      <w:pPr>
        <w:pStyle w:val="F21"/>
        <w:spacing w:lineRule="atLeast" w:line="380"/>
        <w:rPr/>
      </w:pPr>
      <w:r>
        <w:rPr/>
      </w:r>
    </w:p>
    <w:p>
      <w:pPr>
        <w:pStyle w:val="F21"/>
        <w:spacing w:lineRule="atLeast" w:line="380"/>
        <w:rPr/>
      </w:pPr>
      <w:r>
        <w:rPr/>
        <w:tab/>
      </w:r>
      <w:r>
        <w:rPr/>
        <w:t>事實上，南韓在落實廢物處理計劃時也不是一帆風順的。在今次考察團的報告第</w:t>
      </w:r>
      <w:r>
        <w:rPr/>
        <w:t>57</w:t>
      </w:r>
      <w:r>
        <w:rPr/>
        <w:t>頁便看到，首爾在處理廚餘時也遇到營運成本急升及居民強烈反對區內興建處理設施的問題，最後迫使地方政府需要增加參與程度，以致私營機構處理廚餘的比例，預期在</w:t>
      </w:r>
      <w:r>
        <w:rPr/>
        <w:t>2018</w:t>
      </w:r>
      <w:r>
        <w:rPr/>
        <w:t>年下跌至</w:t>
      </w:r>
      <w:r>
        <w:rPr/>
        <w:t>5%</w:t>
      </w:r>
      <w:r>
        <w:rPr/>
        <w:t>。</w:t>
      </w:r>
    </w:p>
    <w:p>
      <w:pPr>
        <w:pStyle w:val="F21"/>
        <w:spacing w:lineRule="atLeast" w:line="380"/>
        <w:rPr/>
      </w:pPr>
      <w:r>
        <w:rPr/>
      </w:r>
    </w:p>
    <w:p>
      <w:pPr>
        <w:pStyle w:val="F21"/>
        <w:spacing w:lineRule="atLeast" w:line="380"/>
        <w:rPr/>
      </w:pPr>
      <w:r>
        <w:rPr/>
        <w:tab/>
      </w:r>
      <w:r>
        <w:rPr/>
        <w:t>這再一次證明，處理垃圾的成本並不輕，單靠私營機構去做並不可能。南韓有完善的配套也面對這個問題，這對香港而言，又談何容易？我經常都說，香港未有成熟發展的循環再造工業，亦缺乏環保教育和意識。在這時候強制實行任何垃圾處理的計劃，所需的費用一定不少。</w:t>
      </w:r>
    </w:p>
    <w:p>
      <w:pPr>
        <w:pStyle w:val="F21"/>
        <w:spacing w:lineRule="atLeast" w:line="380"/>
        <w:rPr/>
      </w:pPr>
      <w:r>
        <w:rPr/>
      </w:r>
    </w:p>
    <w:p>
      <w:pPr>
        <w:pStyle w:val="F21"/>
        <w:spacing w:lineRule="atLeast" w:line="380"/>
        <w:rPr/>
      </w:pPr>
      <w:r>
        <w:rPr/>
        <w:tab/>
      </w:r>
      <w:r>
        <w:rPr/>
        <w:t>香港和南韓還有另一個分別，便是當地有先進的焚化設施，我們連興建還未達成共識。南韓重視轉廢為能，並且有先進的科技配合，近年積極興建可轉廢為能的焚化設施，可在垃圾燃燒過程中回收熱能，部分轉化成的熱能更可供附近居民使用，作為補償。以首爾為例，在棄置垃圾中，約有</w:t>
      </w:r>
      <w:r>
        <w:rPr/>
        <w:t>25%</w:t>
      </w:r>
      <w:r>
        <w:rPr/>
        <w:t>是透過焚化方式轉廢為能。香港真是“拍馬都追不上”，更是很多年也追不上。</w:t>
      </w:r>
    </w:p>
    <w:p>
      <w:pPr>
        <w:pStyle w:val="F21"/>
        <w:spacing w:lineRule="atLeast" w:line="380"/>
        <w:rPr/>
      </w:pPr>
      <w:r>
        <w:rPr/>
      </w:r>
    </w:p>
    <w:p>
      <w:pPr>
        <w:pStyle w:val="F21"/>
        <w:spacing w:lineRule="atLeast" w:line="380"/>
        <w:rPr/>
      </w:pPr>
      <w:r>
        <w:rPr/>
        <w:tab/>
      </w:r>
      <w:r>
        <w:rPr/>
        <w:t>主席，我想再次強調，商界並非不支持環保，但反對動輒出動棍子，不要以為靠嚇或“打到痛”，市民便會減少製造垃圾。動輒以“污者自付”的名義徵費，“寓禁於徵”不單是消極的做法，無助減少製造垃圾，更無法確保效益。</w:t>
      </w:r>
    </w:p>
    <w:p>
      <w:pPr>
        <w:pStyle w:val="F21"/>
        <w:spacing w:lineRule="atLeast" w:line="380"/>
        <w:rPr/>
      </w:pPr>
      <w:r>
        <w:rPr/>
      </w:r>
    </w:p>
    <w:p>
      <w:pPr>
        <w:pStyle w:val="F21"/>
        <w:spacing w:lineRule="atLeast" w:line="370"/>
        <w:rPr/>
      </w:pPr>
      <w:r>
        <w:rPr/>
        <w:tab/>
      </w:r>
      <w:r>
        <w:rPr/>
        <w:t>香港人需要的是，有遠見及有配套的環保政策，以最少的錢，達致最高的環保效益，而有效的配套措施對減少廢物尤其重要，當局應該先集中規劃及發展有關措施，方便市民於日常生活實踐減少垃圾的原則。</w:t>
      </w:r>
    </w:p>
    <w:p>
      <w:pPr>
        <w:pStyle w:val="F21"/>
        <w:spacing w:lineRule="atLeast" w:line="370"/>
        <w:rPr/>
      </w:pPr>
      <w:r>
        <w:rPr/>
      </w:r>
    </w:p>
    <w:p>
      <w:pPr>
        <w:pStyle w:val="F21"/>
        <w:spacing w:lineRule="atLeast" w:line="370"/>
        <w:rPr/>
      </w:pPr>
      <w:r>
        <w:rPr/>
        <w:tab/>
      </w:r>
      <w:r>
        <w:rPr/>
        <w:t>業界最擔心的是魔鬼在細節中，尤其是中小企面對近年接踵而來的新法規已經不勝負荷，故任何強制計劃實施前必須清楚交代細節，必須顧及中小企的承擔能力及運作困難，避免進一步削弱他們的競爭力。</w:t>
      </w:r>
    </w:p>
    <w:p>
      <w:pPr>
        <w:pStyle w:val="F21"/>
        <w:spacing w:lineRule="atLeast" w:line="370"/>
        <w:rPr/>
      </w:pPr>
      <w:r>
        <w:rPr/>
      </w:r>
    </w:p>
    <w:p>
      <w:pPr>
        <w:pStyle w:val="F21"/>
        <w:spacing w:lineRule="atLeast" w:line="370"/>
        <w:rPr/>
      </w:pPr>
      <w:r>
        <w:rPr/>
        <w:tab/>
      </w:r>
      <w:r>
        <w:rPr/>
        <w:t>最後，我要再提醒大家，不要隨便給政府巧立名目去徵費，差餉有一部分的費用已經包括垃圾處理費，如果當局要增設垃圾費，就必須先減差餉。</w:t>
      </w:r>
    </w:p>
    <w:p>
      <w:pPr>
        <w:pStyle w:val="F21"/>
        <w:spacing w:lineRule="atLeast" w:line="370"/>
        <w:rPr/>
      </w:pPr>
      <w:r>
        <w:rPr/>
      </w:r>
    </w:p>
    <w:p>
      <w:pPr>
        <w:pStyle w:val="F21"/>
        <w:spacing w:lineRule="atLeast" w:line="370"/>
        <w:rPr/>
      </w:pPr>
      <w:r>
        <w:rPr/>
        <w:tab/>
      </w:r>
      <w:r>
        <w:rPr/>
        <w:t>主席，我謹此陳辭。</w:t>
      </w:r>
    </w:p>
    <w:p>
      <w:pPr>
        <w:pStyle w:val="F21"/>
        <w:spacing w:lineRule="atLeast" w:line="370"/>
        <w:rPr/>
      </w:pPr>
      <w:r>
        <w:rPr/>
      </w:r>
    </w:p>
    <w:p>
      <w:pPr>
        <w:pStyle w:val="F21"/>
        <w:spacing w:lineRule="atLeast" w:line="370"/>
        <w:rPr/>
      </w:pPr>
      <w:r>
        <w:rPr/>
      </w:r>
    </w:p>
    <w:p>
      <w:pPr>
        <w:pStyle w:val="F21"/>
        <w:spacing w:lineRule="atLeast" w:line="370"/>
        <w:rPr>
          <w:szCs w:val="27"/>
        </w:rPr>
      </w:pPr>
      <w:r>
        <w:rPr>
          <w:rFonts w:ascii="華康中黑體" w:hAnsi="華康中黑體" w:cs="華康中黑體" w:eastAsia="華康中黑體"/>
          <w:b/>
          <w:szCs w:val="27"/>
        </w:rPr>
        <w:t>盧偉國議員</w:t>
      </w:r>
      <w:r>
        <w:rPr>
          <w:szCs w:val="27"/>
        </w:rPr>
        <w:t>：主席，首先多謝環境事務委員會主席何秀蘭議員動議這項議案，讓本會議員同事有機會就委員會訪問團前往韓國考察廢物管理經驗報告表達意見。我也是環境事務委員會的委員，但卻沒有參加這次的考察。不過，在</w:t>
      </w:r>
      <w:r>
        <w:rPr>
          <w:szCs w:val="27"/>
        </w:rPr>
        <w:t>2011</w:t>
      </w:r>
      <w:r>
        <w:rPr>
          <w:szCs w:val="27"/>
        </w:rPr>
        <w:t>年</w:t>
      </w:r>
      <w:r>
        <w:rPr>
          <w:szCs w:val="27"/>
        </w:rPr>
        <w:t>10</w:t>
      </w:r>
      <w:r>
        <w:rPr>
          <w:szCs w:val="27"/>
        </w:rPr>
        <w:t>月，我曾與業界人士參與香港生產力促進局，以及香港電子業商會主辦的韓國電子創意低碳產品設計及製造考察團，並擔任榮譽領隊。該訪問團的行程相當豐富，主要包括考察韓國電子環保協進會的電子電器廢物回收中心，了解電子產品回收處理的模式和技術。又訪問韓國亞洲大學</w:t>
      </w:r>
      <w:r>
        <w:rPr>
          <w:szCs w:val="27"/>
        </w:rPr>
        <w:t>(Ajou University)</w:t>
      </w:r>
      <w:r>
        <w:rPr>
          <w:szCs w:val="27"/>
        </w:rPr>
        <w:t>的環保產品研究所</w:t>
      </w:r>
      <w:r>
        <w:rPr>
          <w:szCs w:val="27"/>
        </w:rPr>
        <w:t>(Eco-product Research Institute)</w:t>
      </w:r>
      <w:r>
        <w:rPr>
          <w:szCs w:val="27"/>
        </w:rPr>
        <w:t>，了解綠色及低碳產品的設計理念和技術。更參觀一家生產環保產品的企業，特別聽取他們介紹創新的家用廚餘處理機。此外，又參觀了韓國環保、低碳產品及技術展覽會</w:t>
      </w:r>
      <w:r>
        <w:rPr>
          <w:szCs w:val="27"/>
        </w:rPr>
        <w:t>2011</w:t>
      </w:r>
      <w:r>
        <w:rPr>
          <w:szCs w:val="27"/>
        </w:rPr>
        <w:t>，重點認識韓國環保產品、技術和政策，以及由此帶來的綠色商機，令大家留下深刻的印象。這次環境事務委員會訪問團的報告，不單勾起我對</w:t>
      </w:r>
      <w:r>
        <w:rPr>
          <w:szCs w:val="27"/>
        </w:rPr>
        <w:t>2011</w:t>
      </w:r>
      <w:r>
        <w:rPr>
          <w:szCs w:val="27"/>
        </w:rPr>
        <w:t>年訪問韓國的回憶，而且也引發了新的思考。</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韓國在推動減廢、完善廢物管理，以至支持循環再造業方面，究竟有何良策值得香港借鏡呢？我認為主要可在三大方面着眼，其一，政府擔當主要的推動者，因時制宜，多管齊下，靈活採用各種政策工具，既訂立較完備的法例和規例，也提供多方面的政策配套。韓國在</w:t>
      </w:r>
      <w:r>
        <w:rPr>
          <w:szCs w:val="27"/>
        </w:rPr>
        <w:t>1986</w:t>
      </w:r>
      <w:r>
        <w:rPr>
          <w:szCs w:val="27"/>
        </w:rPr>
        <w:t>年訂立《廢物管制法》，訂定基本的廢物分類和處理程序。當局的政策是針對擴建處理廢物的設施，責任主要由地方政府承擔。</w:t>
      </w:r>
      <w:r>
        <w:rPr>
          <w:szCs w:val="27"/>
        </w:rPr>
        <w:t>1992</w:t>
      </w:r>
      <w:r>
        <w:rPr>
          <w:szCs w:val="27"/>
        </w:rPr>
        <w:t>年制定《促進節約及回收資源法》，力求達致源頭減廢。至於廢物管理的責任，也由消費者和生產者共同分擔。對建築廢物的回收等，韓國也有另定法例規管。</w:t>
      </w:r>
    </w:p>
    <w:p>
      <w:pPr>
        <w:pStyle w:val="F21"/>
        <w:rPr>
          <w:szCs w:val="27"/>
        </w:rPr>
      </w:pPr>
      <w:r>
        <w:rPr>
          <w:szCs w:val="27"/>
        </w:rPr>
      </w:r>
    </w:p>
    <w:p>
      <w:pPr>
        <w:pStyle w:val="F21"/>
        <w:rPr>
          <w:szCs w:val="27"/>
        </w:rPr>
      </w:pPr>
      <w:r>
        <w:rPr>
          <w:szCs w:val="27"/>
        </w:rPr>
        <w:tab/>
      </w:r>
      <w:r>
        <w:rPr>
          <w:szCs w:val="27"/>
        </w:rPr>
        <w:t>同時，環境部作為主管韓國整體環保政策的部門，為加強落實政策的成效，一方面，為地方政府提供行政和財務支援，又成立多個附屬公營機構，以營運廢物管理設施，以及提供環保業所須的支援。正因為韓國政府推行廢物管理時，有策略、有法規、有配套，成績斐然，都市廢物的生產量也由</w:t>
      </w:r>
      <w:r>
        <w:rPr>
          <w:szCs w:val="27"/>
        </w:rPr>
        <w:t>1981</w:t>
      </w:r>
      <w:r>
        <w:rPr>
          <w:szCs w:val="27"/>
        </w:rPr>
        <w:t>年的每人每天</w:t>
      </w:r>
      <w:r>
        <w:rPr>
          <w:szCs w:val="27"/>
        </w:rPr>
        <w:t>1.77</w:t>
      </w:r>
      <w:r>
        <w:rPr>
          <w:szCs w:val="27"/>
        </w:rPr>
        <w:t>公斤，減至</w:t>
      </w:r>
      <w:r>
        <w:rPr>
          <w:szCs w:val="27"/>
        </w:rPr>
        <w:t>2011</w:t>
      </w:r>
      <w:r>
        <w:rPr>
          <w:szCs w:val="27"/>
        </w:rPr>
        <w:t>年的</w:t>
      </w:r>
      <w:r>
        <w:rPr>
          <w:szCs w:val="27"/>
        </w:rPr>
        <w:t>0.95</w:t>
      </w:r>
      <w:r>
        <w:rPr>
          <w:szCs w:val="27"/>
        </w:rPr>
        <w:t>公斤，減幅達</w:t>
      </w:r>
      <w:r>
        <w:rPr>
          <w:szCs w:val="27"/>
        </w:rPr>
        <w:t>46%</w:t>
      </w:r>
      <w:r>
        <w:rPr>
          <w:szCs w:val="27"/>
        </w:rPr>
        <w:t>；而</w:t>
      </w:r>
      <w:r>
        <w:rPr>
          <w:szCs w:val="27"/>
        </w:rPr>
        <w:t>2011</w:t>
      </w:r>
      <w:r>
        <w:rPr>
          <w:szCs w:val="27"/>
        </w:rPr>
        <w:t>年的整體廢物回收率，則是</w:t>
      </w:r>
      <w:r>
        <w:rPr>
          <w:szCs w:val="27"/>
        </w:rPr>
        <w:t>83%</w:t>
      </w:r>
      <w:r>
        <w:rPr>
          <w:szCs w:val="27"/>
        </w:rPr>
        <w:t>，位居世界前列。</w:t>
      </w:r>
    </w:p>
    <w:p>
      <w:pPr>
        <w:pStyle w:val="F21"/>
        <w:rPr>
          <w:szCs w:val="27"/>
        </w:rPr>
      </w:pPr>
      <w:r>
        <w:rPr>
          <w:szCs w:val="27"/>
        </w:rPr>
      </w:r>
    </w:p>
    <w:p>
      <w:pPr>
        <w:pStyle w:val="F21"/>
        <w:rPr>
          <w:szCs w:val="27"/>
        </w:rPr>
      </w:pPr>
      <w:r>
        <w:rPr>
          <w:szCs w:val="27"/>
        </w:rPr>
        <w:tab/>
      </w:r>
      <w:r>
        <w:rPr>
          <w:szCs w:val="27"/>
        </w:rPr>
        <w:t>相比之下，香港起步較遲，至今也缺乏全面而完善廢物管理法規。在</w:t>
      </w:r>
      <w:r>
        <w:rPr>
          <w:szCs w:val="27"/>
        </w:rPr>
        <w:t>2013</w:t>
      </w:r>
      <w:r>
        <w:rPr>
          <w:szCs w:val="27"/>
        </w:rPr>
        <w:t>年</w:t>
      </w:r>
      <w:r>
        <w:rPr>
          <w:szCs w:val="27"/>
        </w:rPr>
        <w:t>5</w:t>
      </w:r>
      <w:r>
        <w:rPr>
          <w:szCs w:val="27"/>
        </w:rPr>
        <w:t>月才公布《香港資源循環藍圖</w:t>
      </w:r>
      <w:r>
        <w:rPr>
          <w:szCs w:val="27"/>
        </w:rPr>
        <w:t>2013-2022</w:t>
      </w:r>
      <w:r>
        <w:rPr>
          <w:szCs w:val="27"/>
        </w:rPr>
        <w:t>》，目標是在</w:t>
      </w:r>
      <w:r>
        <w:rPr>
          <w:szCs w:val="27"/>
        </w:rPr>
        <w:t>2022</w:t>
      </w:r>
      <w:r>
        <w:rPr>
          <w:szCs w:val="27"/>
        </w:rPr>
        <w:t>年或以前把都市固體廢物人均棄置量，由</w:t>
      </w:r>
      <w:r>
        <w:rPr>
          <w:szCs w:val="27"/>
        </w:rPr>
        <w:t>2011</w:t>
      </w:r>
      <w:r>
        <w:rPr>
          <w:szCs w:val="27"/>
        </w:rPr>
        <w:t>年每日</w:t>
      </w:r>
      <w:r>
        <w:rPr>
          <w:szCs w:val="27"/>
        </w:rPr>
        <w:t>1.27</w:t>
      </w:r>
      <w:r>
        <w:rPr>
          <w:szCs w:val="27"/>
        </w:rPr>
        <w:t>公斤，減至</w:t>
      </w:r>
      <w:r>
        <w:rPr>
          <w:szCs w:val="27"/>
        </w:rPr>
        <w:t>0.8</w:t>
      </w:r>
      <w:r>
        <w:rPr>
          <w:szCs w:val="27"/>
        </w:rPr>
        <w:t>公斤，但落實的路線圖和時間表均顯得十分粗略。至於關於都市固體廢物按量收費的公眾諮詢，仍有約</w:t>
      </w:r>
      <w:r>
        <w:rPr>
          <w:szCs w:val="27"/>
        </w:rPr>
        <w:t>1</w:t>
      </w:r>
      <w:r>
        <w:rPr>
          <w:szCs w:val="27"/>
        </w:rPr>
        <w:t>個月才結束，我認為特區政府應積極借鑒韓國的先進經驗，加快優化廢物管理的策略和措施。</w:t>
      </w:r>
    </w:p>
    <w:p>
      <w:pPr>
        <w:pStyle w:val="F21"/>
        <w:rPr>
          <w:szCs w:val="27"/>
        </w:rPr>
      </w:pPr>
      <w:r>
        <w:rPr>
          <w:szCs w:val="27"/>
        </w:rPr>
      </w:r>
    </w:p>
    <w:p>
      <w:pPr>
        <w:pStyle w:val="F21"/>
        <w:rPr>
          <w:szCs w:val="27"/>
        </w:rPr>
      </w:pPr>
      <w:r>
        <w:rPr>
          <w:szCs w:val="27"/>
        </w:rPr>
        <w:tab/>
      </w:r>
      <w:r>
        <w:rPr>
          <w:szCs w:val="27"/>
        </w:rPr>
        <w:t>其二，韓國政府十分支持當地業界發展環保循環再造行業，在</w:t>
      </w:r>
      <w:r>
        <w:rPr>
          <w:szCs w:val="27"/>
        </w:rPr>
        <w:t>2011</w:t>
      </w:r>
      <w:r>
        <w:rPr>
          <w:szCs w:val="27"/>
        </w:rPr>
        <w:t>年訪問韓國時，我與業界朋友參觀了韓國電子環保協進會的電子電器廢物回收中心，該協進會在各大城市設立回收中心，負責全面回收電子電器廢物，以及加以循環再造。這次委員會的考察報告顯示，韓國政府向小型回收公司提供長期低息貸款，協助開發回收設施和技術，亦安排專家為新成立的回收公司提供資訊服務。江北區再利用分類廠，更獲當地政府批出土地設立廠房，並提供常設資助，以支持該廠運作。</w:t>
      </w:r>
    </w:p>
    <w:p>
      <w:pPr>
        <w:pStyle w:val="F21"/>
        <w:rPr>
          <w:szCs w:val="27"/>
        </w:rPr>
      </w:pPr>
      <w:r>
        <w:rPr>
          <w:szCs w:val="27"/>
        </w:rPr>
      </w:r>
    </w:p>
    <w:p>
      <w:pPr>
        <w:pStyle w:val="F21"/>
        <w:rPr>
          <w:szCs w:val="27"/>
        </w:rPr>
      </w:pPr>
      <w:r>
        <w:rPr>
          <w:szCs w:val="27"/>
        </w:rPr>
        <w:tab/>
      </w:r>
      <w:r>
        <w:rPr>
          <w:szCs w:val="27"/>
        </w:rPr>
        <w:t>正由於韓國各級政府的積極支持，全國回收公司由</w:t>
      </w:r>
      <w:r>
        <w:rPr>
          <w:szCs w:val="27"/>
        </w:rPr>
        <w:t>1999</w:t>
      </w:r>
      <w:r>
        <w:rPr>
          <w:szCs w:val="27"/>
        </w:rPr>
        <w:t>年約</w:t>
      </w:r>
      <w:r>
        <w:rPr>
          <w:szCs w:val="27"/>
        </w:rPr>
        <w:t>1 650</w:t>
      </w:r>
      <w:r>
        <w:rPr>
          <w:szCs w:val="27"/>
        </w:rPr>
        <w:t>間，增至</w:t>
      </w:r>
      <w:r>
        <w:rPr>
          <w:szCs w:val="27"/>
        </w:rPr>
        <w:t>2009</w:t>
      </w:r>
      <w:r>
        <w:rPr>
          <w:szCs w:val="27"/>
        </w:rPr>
        <w:t>年超過</w:t>
      </w:r>
      <w:r>
        <w:rPr>
          <w:szCs w:val="27"/>
        </w:rPr>
        <w:t>4 000</w:t>
      </w:r>
      <w:r>
        <w:rPr>
          <w:szCs w:val="27"/>
        </w:rPr>
        <w:t>間。回收業帶來的經濟效益，在</w:t>
      </w:r>
      <w:r>
        <w:rPr>
          <w:szCs w:val="27"/>
        </w:rPr>
        <w:t>2009</w:t>
      </w:r>
      <w:r>
        <w:rPr>
          <w:szCs w:val="27"/>
        </w:rPr>
        <w:t>年亦達</w:t>
      </w:r>
      <w:r>
        <w:rPr>
          <w:szCs w:val="27"/>
        </w:rPr>
        <w:t>70</w:t>
      </w:r>
      <w:r>
        <w:rPr>
          <w:szCs w:val="27"/>
        </w:rPr>
        <w:t>億港元。特區政府應借鑒韓國的經驗，提供土地、資金和技術支援等配套，支持業界興建現代化的循環再造設施，例如廢電器的解拆廠，促進環保循環再造行業的發展，既能協助廢物處理，也可以創造商機及更多就業機會。</w:t>
      </w:r>
    </w:p>
    <w:p>
      <w:pPr>
        <w:pStyle w:val="F21"/>
        <w:rPr>
          <w:szCs w:val="27"/>
        </w:rPr>
      </w:pPr>
      <w:r>
        <w:rPr>
          <w:szCs w:val="27"/>
        </w:rPr>
      </w:r>
    </w:p>
    <w:p>
      <w:pPr>
        <w:pStyle w:val="F21"/>
        <w:spacing w:lineRule="atLeast" w:line="380"/>
        <w:rPr>
          <w:szCs w:val="27"/>
        </w:rPr>
      </w:pPr>
      <w:r>
        <w:rPr>
          <w:szCs w:val="27"/>
        </w:rPr>
        <w:tab/>
      </w:r>
      <w:r>
        <w:rPr>
          <w:szCs w:val="27"/>
        </w:rPr>
        <w:t>其三，以經濟實惠措施來吸引公眾支持，委員會的考察報告提到首爾有</w:t>
      </w:r>
      <w:r>
        <w:rPr>
          <w:szCs w:val="27"/>
        </w:rPr>
        <w:t>4</w:t>
      </w:r>
      <w:r>
        <w:rPr>
          <w:szCs w:val="27"/>
        </w:rPr>
        <w:t>座轉廢為能的設施，以麻浦的焚化爐為例，不單採用較先進的技術，連外觀設計也注意到以其周圍的漢江等景觀來配合；而且在該設施的方圓</w:t>
      </w:r>
      <w:r>
        <w:rPr>
          <w:szCs w:val="27"/>
        </w:rPr>
        <w:t>300</w:t>
      </w:r>
      <w:r>
        <w:rPr>
          <w:szCs w:val="27"/>
        </w:rPr>
        <w:t>米範圍內的居民，可獲補貼電費，補償他們的不滿和不安。我認為特區政府在啟動石鼓洲垃圾焚化爐的興建程序時，可借鏡韓國、台灣等地區的經驗，不單有助爭取社區居民的支持，項目的申請撥款相信亦較易獲本會通過。</w:t>
      </w:r>
    </w:p>
    <w:p>
      <w:pPr>
        <w:pStyle w:val="F21"/>
        <w:spacing w:lineRule="atLeast" w:line="380"/>
        <w:rPr>
          <w:szCs w:val="27"/>
        </w:rPr>
      </w:pPr>
      <w:r>
        <w:rPr>
          <w:szCs w:val="27"/>
        </w:rPr>
      </w:r>
    </w:p>
    <w:p>
      <w:pPr>
        <w:pStyle w:val="F21"/>
        <w:spacing w:lineRule="atLeast" w:line="380"/>
        <w:rPr>
          <w:szCs w:val="27"/>
        </w:rPr>
      </w:pPr>
      <w:r>
        <w:rPr>
          <w:szCs w:val="27"/>
        </w:rPr>
        <w:tab/>
      </w:r>
      <w:r>
        <w:rPr>
          <w:szCs w:val="27"/>
        </w:rPr>
        <w:t>主席，我謹此陳辭。</w:t>
      </w:r>
    </w:p>
    <w:p>
      <w:pPr>
        <w:pStyle w:val="F21"/>
        <w:spacing w:lineRule="atLeast" w:line="380"/>
        <w:rPr/>
      </w:pPr>
      <w:r>
        <w:rPr/>
      </w:r>
    </w:p>
    <w:p>
      <w:pPr>
        <w:pStyle w:val="F21"/>
        <w:spacing w:lineRule="atLeast" w:line="380"/>
        <w:rPr/>
      </w:pPr>
      <w:r>
        <w:rPr/>
      </w:r>
    </w:p>
    <w:p>
      <w:pPr>
        <w:pStyle w:val="F21"/>
        <w:spacing w:lineRule="atLeast" w:line="380"/>
        <w:rPr/>
      </w:pPr>
      <w:r>
        <w:rPr>
          <w:rFonts w:ascii="華康中黑體" w:hAnsi="華康中黑體" w:eastAsia="華康中黑體"/>
          <w:b/>
        </w:rPr>
        <w:t>莫乃光議員</w:t>
      </w:r>
      <w:r>
        <w:rPr/>
        <w:t>：主席，我也參加了這個環境事務委員會的南韓考察團。</w:t>
      </w:r>
    </w:p>
    <w:p>
      <w:pPr>
        <w:pStyle w:val="F21"/>
        <w:spacing w:lineRule="atLeast" w:line="380"/>
        <w:rPr/>
      </w:pPr>
      <w:r>
        <w:rPr/>
      </w:r>
    </w:p>
    <w:p>
      <w:pPr>
        <w:pStyle w:val="F21"/>
        <w:spacing w:lineRule="atLeast" w:line="380"/>
        <w:rPr/>
      </w:pPr>
      <w:r>
        <w:rPr/>
        <w:tab/>
      </w:r>
      <w:r>
        <w:rPr/>
        <w:t>主席，我從今次考察所得的一項重要觀察，就是南韓早已經發現並處理廢物問題與經濟發展的關係，而我們香港只是多年來議而不決，循環回收再用和引入先進焚化技術停滯不前，堆填區爆滿。</w:t>
      </w:r>
    </w:p>
    <w:p>
      <w:pPr>
        <w:pStyle w:val="F21"/>
        <w:spacing w:lineRule="atLeast" w:line="380"/>
        <w:rPr/>
      </w:pPr>
      <w:r>
        <w:rPr/>
      </w:r>
    </w:p>
    <w:p>
      <w:pPr>
        <w:pStyle w:val="F21"/>
        <w:spacing w:lineRule="atLeast" w:line="380"/>
        <w:rPr/>
      </w:pPr>
      <w:r>
        <w:rPr/>
        <w:tab/>
      </w:r>
      <w:r>
        <w:rPr/>
        <w:t>我們拜會首爾市議會時，他們向我們指出，當地所用的手法不外乎是胡蘿蔔和棒子。一方面立法，另一方面就提供誘因：管理費資助、改善社區設施等。南韓的環保工業不但可以因其他政策的發展而受惠，還製造了不少工作和經濟發展的機會。政府推出“延伸生產者責任”及其他環保政策時，更為不同企業創造科技創新機會，促進更多外銷到歐美國家和合作交流的機會。</w:t>
      </w:r>
    </w:p>
    <w:p>
      <w:pPr>
        <w:pStyle w:val="F21"/>
        <w:spacing w:lineRule="atLeast" w:line="380"/>
        <w:rPr/>
      </w:pPr>
      <w:r>
        <w:rPr/>
      </w:r>
    </w:p>
    <w:p>
      <w:pPr>
        <w:pStyle w:val="F21"/>
        <w:spacing w:lineRule="atLeast" w:line="380"/>
        <w:rPr/>
      </w:pPr>
      <w:r>
        <w:rPr/>
        <w:tab/>
      </w:r>
      <w:r>
        <w:rPr/>
        <w:t>首爾一個區的區政府向我們介紹了廢物收費及廚餘回收的系統，其中他們在小區設置</w:t>
      </w:r>
      <w:r>
        <w:rPr/>
        <w:t>RFID(</w:t>
      </w:r>
      <w:r>
        <w:rPr/>
        <w:t>下稱“射頻識別科技”</w:t>
      </w:r>
      <w:r>
        <w:rPr/>
        <w:t>)</w:t>
      </w:r>
      <w:r>
        <w:rPr/>
        <w:t>廚餘回收站。方法很簡單，使用類似八達通的智能卡，垃圾桶蓋便會打開，市民可把廚餘用指定的垃圾袋放進去，接着機器稱重量，按量收費，資料更實時上載到伺服器上。當地區政府認為推動創新科技沒有甚麼困難，最重要的是得到小區管理機構和居民的支持，而他們都樂意這樣做。</w:t>
      </w:r>
    </w:p>
    <w:p>
      <w:pPr>
        <w:pStyle w:val="F21"/>
        <w:spacing w:lineRule="atLeast" w:line="380"/>
        <w:rPr/>
      </w:pPr>
      <w:r>
        <w:rPr/>
      </w:r>
    </w:p>
    <w:p>
      <w:pPr>
        <w:pStyle w:val="F21"/>
        <w:spacing w:lineRule="atLeast" w:line="380"/>
        <w:rPr/>
      </w:pPr>
      <w:r>
        <w:rPr/>
        <w:tab/>
      </w:r>
      <w:r>
        <w:rPr/>
        <w:t>香港現正諮詢都市固體廢物收費，我與可持續發展委員會委員傾談時，建議採用適當的射頻識別科技處理將來的收費系統，亦很希望政府可以充分採納最新和最適當的技術。</w:t>
      </w:r>
    </w:p>
    <w:p>
      <w:pPr>
        <w:pStyle w:val="F21"/>
        <w:spacing w:lineRule="atLeast" w:line="380"/>
        <w:rPr/>
      </w:pPr>
      <w:r>
        <w:rPr/>
      </w:r>
    </w:p>
    <w:p>
      <w:pPr>
        <w:pStyle w:val="F21"/>
        <w:spacing w:lineRule="atLeast" w:line="340"/>
        <w:rPr/>
      </w:pPr>
      <w:r>
        <w:rPr/>
        <w:tab/>
      </w:r>
      <w:r>
        <w:rPr/>
        <w:t>科技發展真的是南韓環保工業政策的重要部分，從堆填區的燃氣、電力生產到氣味控制，以至各種不同的堆肥科技，政策與科技發展互相帶動。在仁川市的首都圈堆填區是一個好例子，不像我們心目中的堆填區。這大型的堆填區第一期已經填完，成為一個三、四十米高的山丘，改建為高爾夫球場，明年還會舉行亞太高爾夫球大賽。香港和韓國的堆填區所使用的科技差不多，但韓國已開始轉廢為能。</w:t>
      </w:r>
    </w:p>
    <w:p>
      <w:pPr>
        <w:pStyle w:val="F21"/>
        <w:spacing w:lineRule="atLeast" w:line="340"/>
        <w:rPr/>
      </w:pPr>
      <w:r>
        <w:rPr/>
      </w:r>
    </w:p>
    <w:p>
      <w:pPr>
        <w:pStyle w:val="F21"/>
        <w:spacing w:lineRule="atLeast" w:line="340"/>
        <w:rPr/>
      </w:pPr>
      <w:r>
        <w:rPr/>
        <w:tab/>
      </w:r>
      <w:r>
        <w:rPr/>
        <w:t>香港其實亦有很大潛力去利用堆填區的氣體轉廢為能，例如近年將軍澳工業邨已成為數據中心的集中地，大型數據中心已經有大約</w:t>
      </w:r>
      <w:r>
        <w:rPr/>
        <w:t>12</w:t>
      </w:r>
      <w:r>
        <w:rPr/>
        <w:t>間。其實，近年已經有些現有或規劃中未來的數據中心都在考慮利用堆填區的氣體作為再生能源，香港政府應該加強支援和便利這方面的發展，才是適當地善用我們的資源。</w:t>
      </w:r>
    </w:p>
    <w:p>
      <w:pPr>
        <w:pStyle w:val="F21"/>
        <w:spacing w:lineRule="atLeast" w:line="340"/>
        <w:rPr/>
      </w:pPr>
      <w:r>
        <w:rPr/>
      </w:r>
    </w:p>
    <w:p>
      <w:pPr>
        <w:pStyle w:val="F21"/>
        <w:spacing w:lineRule="atLeast" w:line="340"/>
        <w:rPr/>
      </w:pPr>
      <w:r>
        <w:rPr/>
        <w:tab/>
      </w:r>
      <w:r>
        <w:rPr/>
        <w:t>此外，我們參觀了江北廢棄物回收處理廠，處理廠由南韓政府全資擁有和運作，工人從社區聘請，部分為殘障或需要社區支援服務的基層人士，成本的六成可透過回收收入收回，例如他們回收部分塑膠製成“垃圾製成燃料”，可供電廠燃燒使用。政府的參與的確有助帶動本土廢棄物回收業的發展，絕對值得香港效法。</w:t>
      </w:r>
    </w:p>
    <w:p>
      <w:pPr>
        <w:pStyle w:val="F21"/>
        <w:spacing w:lineRule="atLeast" w:line="340"/>
        <w:rPr/>
      </w:pPr>
      <w:r>
        <w:rPr/>
      </w:r>
    </w:p>
    <w:p>
      <w:pPr>
        <w:pStyle w:val="F21"/>
        <w:spacing w:lineRule="atLeast" w:line="340"/>
        <w:rPr/>
      </w:pPr>
      <w:r>
        <w:rPr/>
        <w:tab/>
      </w:r>
      <w:r>
        <w:rPr/>
        <w:t>最後，我們到訪三星在</w:t>
      </w:r>
      <w:r>
        <w:rPr>
          <w:lang w:eastAsia="zh-CN"/>
        </w:rPr>
        <w:t>很多遊客都去的</w:t>
      </w:r>
      <w:r>
        <w:rPr/>
        <w:t>東大門</w:t>
      </w:r>
      <w:r>
        <w:rPr>
          <w:lang w:eastAsia="zh-CN"/>
        </w:rPr>
        <w:t>建造</w:t>
      </w:r>
      <w:r>
        <w:rPr/>
        <w:t>大型展覽中心的地盤，特別令我感興趣的是，他們全面使用</w:t>
      </w:r>
      <w:r>
        <w:rPr/>
        <w:t>BIM(building information modeling)</w:t>
      </w:r>
      <w:r>
        <w:rPr/>
        <w:t>科技及</w:t>
      </w:r>
      <w:r>
        <w:rPr/>
        <w:t>ERP(</w:t>
      </w:r>
      <w:r>
        <w:rPr/>
        <w:t>企業資源計劃</w:t>
      </w:r>
      <w:r>
        <w:rPr/>
        <w:t>)</w:t>
      </w:r>
      <w:r>
        <w:rPr/>
        <w:t>系統，全面實時掌握設計至物料使用，在建築過程中大量利用預先製造模板，減少浪費建材和建築錯誤。這些科技</w:t>
      </w:r>
      <w:r>
        <w:rPr/>
        <w:t>(</w:t>
      </w:r>
      <w:r>
        <w:rPr/>
        <w:t>例如</w:t>
      </w:r>
      <w:r>
        <w:rPr/>
        <w:t>BIM)</w:t>
      </w:r>
      <w:r>
        <w:rPr/>
        <w:t>並非新事物，只是香港政府局部使用，未有全面要求必須採用，商業建築墨守成規。</w:t>
      </w:r>
    </w:p>
    <w:p>
      <w:pPr>
        <w:pStyle w:val="F21"/>
        <w:spacing w:lineRule="atLeast" w:line="340"/>
        <w:rPr/>
      </w:pPr>
      <w:r>
        <w:rPr/>
      </w:r>
    </w:p>
    <w:p>
      <w:pPr>
        <w:pStyle w:val="F21"/>
        <w:spacing w:lineRule="atLeast" w:line="340"/>
        <w:rPr/>
      </w:pPr>
      <w:r>
        <w:rPr/>
        <w:tab/>
      </w:r>
      <w:r>
        <w:rPr/>
        <w:t>但是，最令我生氣的是，當時向我們介紹</w:t>
      </w:r>
      <w:r>
        <w:rPr/>
        <w:t>BIM</w:t>
      </w:r>
      <w:r>
        <w:rPr/>
        <w:t>的韓國朋友告訴我們，他是多年前來香港聽到</w:t>
      </w:r>
      <w:r>
        <w:rPr/>
        <w:t>BIM</w:t>
      </w:r>
      <w:r>
        <w:rPr/>
        <w:t>的，結果“有徒弟無師父”。香港很多東西都是這樣。不過，慶幸的是，建造業議會今年開始大力推動</w:t>
      </w:r>
      <w:r>
        <w:rPr/>
        <w:t>BIM</w:t>
      </w:r>
      <w:r>
        <w:rPr/>
        <w:t>的培訓，但政府須規劃帶頭使用，增加誘因讓商業地產項目跟隨，這樣才能令香港不再落後於人。</w:t>
      </w:r>
    </w:p>
    <w:p>
      <w:pPr>
        <w:pStyle w:val="F21"/>
        <w:spacing w:lineRule="atLeast" w:line="340"/>
        <w:rPr/>
      </w:pPr>
      <w:r>
        <w:rPr/>
      </w:r>
    </w:p>
    <w:p>
      <w:pPr>
        <w:pStyle w:val="F21"/>
        <w:spacing w:lineRule="atLeast" w:line="340"/>
        <w:rPr/>
      </w:pPr>
      <w:r>
        <w:rPr/>
        <w:tab/>
      </w:r>
      <w:r>
        <w:rPr/>
        <w:t>南韓環境部副部長和官員與我們分享的時候，再次解釋他們的政策手段不外乎經濟</w:t>
      </w:r>
      <w:r>
        <w:rPr/>
        <w:t>(</w:t>
      </w:r>
      <w:r>
        <w:rPr/>
        <w:t>例如各種補貼、製造廢物收費等</w:t>
      </w:r>
      <w:r>
        <w:rPr/>
        <w:t>)</w:t>
      </w:r>
      <w:r>
        <w:rPr/>
        <w:t>、規管、合作</w:t>
      </w:r>
      <w:r>
        <w:rPr/>
        <w:t>(</w:t>
      </w:r>
      <w:r>
        <w:rPr/>
        <w:t>公私營合作、自願協議等</w:t>
      </w:r>
      <w:r>
        <w:rPr/>
        <w:t>)</w:t>
      </w:r>
      <w:r>
        <w:rPr/>
        <w:t>、教育</w:t>
      </w:r>
      <w:r>
        <w:rPr/>
        <w:t>(</w:t>
      </w:r>
      <w:r>
        <w:rPr/>
        <w:t>例如培養認知、培訓、環保標籤等</w:t>
      </w:r>
      <w:r>
        <w:rPr/>
        <w:t>)</w:t>
      </w:r>
      <w:r>
        <w:rPr/>
        <w:t>，多管齊下，加上數十年來立法限制廢物處理，包括建築廢料。</w:t>
      </w:r>
    </w:p>
    <w:p>
      <w:pPr>
        <w:pStyle w:val="F21"/>
        <w:spacing w:lineRule="atLeast" w:line="340"/>
        <w:rPr/>
      </w:pPr>
      <w:r>
        <w:rPr/>
      </w:r>
    </w:p>
    <w:p>
      <w:pPr>
        <w:pStyle w:val="F21"/>
        <w:spacing w:lineRule="atLeast" w:line="340"/>
        <w:rPr/>
      </w:pPr>
      <w:r>
        <w:rPr/>
        <w:tab/>
      </w:r>
      <w:r>
        <w:rPr/>
        <w:t>至於怎樣得到社會各階層、政黨和商界等的接受，韓國甚至台灣的環保發展與民主進程真的掛了鈎。香港的真民主路難行，令人怎不對香港處理廢物的路擔憂呢？</w:t>
      </w:r>
    </w:p>
    <w:p>
      <w:pPr>
        <w:pStyle w:val="F21"/>
        <w:spacing w:lineRule="atLeast" w:line="340"/>
        <w:rPr/>
      </w:pPr>
      <w:r>
        <w:rPr/>
      </w:r>
    </w:p>
    <w:p>
      <w:pPr>
        <w:pStyle w:val="F21"/>
        <w:spacing w:lineRule="atLeast" w:line="340"/>
        <w:rPr/>
      </w:pPr>
      <w:r>
        <w:rPr/>
        <w:tab/>
      </w:r>
      <w:r>
        <w:rPr/>
        <w:t>主席，我謹此陳辭，多謝主席。</w:t>
      </w:r>
    </w:p>
    <w:p>
      <w:pPr>
        <w:pStyle w:val="F21"/>
        <w:rPr/>
      </w:pPr>
      <w:r>
        <w:rPr>
          <w:rFonts w:ascii="華康中黑體" w:hAnsi="華康中黑體" w:cs="華康中黑體" w:eastAsia="華康中黑體"/>
          <w:b/>
        </w:rPr>
        <w:t>劉慧卿議員</w:t>
      </w:r>
      <w:r>
        <w:rPr/>
        <w:t>：主席，我發言支持何秀蘭</w:t>
      </w:r>
      <w:r>
        <w:rPr>
          <w:rFonts w:ascii="華康細明體" w:hAnsi="華康細明體"/>
        </w:rPr>
        <w:t>議員</w:t>
      </w:r>
      <w:r>
        <w:rPr/>
        <w:t>的議案，也十分感謝何秀蘭</w:t>
      </w:r>
      <w:r>
        <w:rPr>
          <w:rFonts w:ascii="華康細明體" w:hAnsi="華康細明體"/>
        </w:rPr>
        <w:t>議員</w:t>
      </w:r>
      <w:r>
        <w:rPr/>
        <w:t>帶領這個訪問團到韓國考察。</w:t>
      </w:r>
      <w:r>
        <w:br w:type="page"/>
      </w:r>
    </w:p>
    <w:p>
      <w:pPr>
        <w:pStyle w:val="F21"/>
        <w:rPr/>
      </w:pPr>
      <w:r>
        <w:rPr/>
      </w:r>
    </w:p>
    <w:p>
      <w:pPr>
        <w:pStyle w:val="F21"/>
        <w:rPr>
          <w:rFonts w:ascii="華康細明體" w:hAnsi="華康細明體"/>
        </w:rPr>
      </w:pPr>
      <w:r>
        <w:rPr/>
        <w:tab/>
      </w:r>
      <w:r>
        <w:rPr/>
        <w:t>我不是事務委員會的成員，但我仍想汲取別人的經驗，而我們已經不是第一次到韓國。多年前，蔡素玉</w:t>
      </w:r>
      <w:r>
        <w:rPr>
          <w:rFonts w:ascii="華康細明體" w:hAnsi="華康細明體"/>
        </w:rPr>
        <w:t>議員</w:t>
      </w:r>
      <w:r>
        <w:rPr/>
        <w:t>曾當團長，帶領我們到日本、韓國考察。主席，不管去哪裏，我們回來後好像也無法做到些甚麼，這是十分遺憾的。局長和他的同事今次與我們同行，而這也不是第一次有官員陪我們前往。我記得上一次蔡素玉</w:t>
      </w:r>
      <w:r>
        <w:rPr>
          <w:rFonts w:ascii="華康細明體" w:hAnsi="華康細明體"/>
        </w:rPr>
        <w:t>議員帶領的考察團，也包括負責環境的官員。我覺得這是十分好的，因為大家可以共同參考別人的經驗，共同分享。但是，考察完畢後，又不知道可以做到些甚麼，大家也感到十分欷歔。</w:t>
      </w:r>
    </w:p>
    <w:p>
      <w:pPr>
        <w:pStyle w:val="F21"/>
        <w:rPr>
          <w:rFonts w:ascii="華康細明體" w:hAnsi="華康細明體"/>
        </w:rPr>
      </w:pPr>
      <w:r>
        <w:rPr>
          <w:rFonts w:ascii="華康細明體" w:hAnsi="華康細明體"/>
        </w:rPr>
      </w:r>
    </w:p>
    <w:p>
      <w:pPr>
        <w:pStyle w:val="F21"/>
        <w:rPr>
          <w:rFonts w:ascii="華康細明體" w:hAnsi="華康細明體"/>
        </w:rPr>
      </w:pPr>
      <w:r>
        <w:rPr>
          <w:rFonts w:ascii="華康細明體" w:hAnsi="華康細明體"/>
        </w:rPr>
        <w:tab/>
      </w:r>
      <w:r>
        <w:rPr>
          <w:rFonts w:ascii="華康細明體" w:hAnsi="華康細明體"/>
        </w:rPr>
        <w:t>但是，欷歔是一回事，垃圾問題卻拖延不得。現時局長面對垃圾圍城，我不知道他會怎樣處理。他那天到石鼓洲跟居民開會，說焚化爐不會構成甚麼問題，只會好像燃放煙花一樣。但是，居民卻質疑怎可每晚燃放煙花。其實迪士尼樂園也是每天燃放煙花的，雖然我也不贊成迪士尼樂園這樣做。但是，局長能否想辦法，令市民願意接受某些設施，大家互讓一步，從而向前跨進呢？</w:t>
      </w:r>
    </w:p>
    <w:p>
      <w:pPr>
        <w:pStyle w:val="F21"/>
        <w:rPr>
          <w:rFonts w:ascii="華康細明體" w:hAnsi="華康細明體"/>
        </w:rPr>
      </w:pPr>
      <w:r>
        <w:rPr>
          <w:rFonts w:ascii="華康細明體" w:hAnsi="華康細明體"/>
        </w:rPr>
      </w:r>
    </w:p>
    <w:p>
      <w:pPr>
        <w:pStyle w:val="F21"/>
        <w:rPr>
          <w:rFonts w:ascii="華康細明體" w:hAnsi="華康細明體"/>
        </w:rPr>
      </w:pPr>
      <w:r>
        <w:rPr>
          <w:rFonts w:ascii="華康細明體" w:hAnsi="華康細明體"/>
        </w:rPr>
        <w:tab/>
      </w:r>
      <w:r>
        <w:rPr>
          <w:rFonts w:ascii="華康細明體" w:hAnsi="華康細明體"/>
        </w:rPr>
        <w:t>剛才多位議員發言也提及，不論是南韓、日本或其他地方，其實也是沒有甚麼神仙棒的，方法不外乎改變文化思維。就這方面，我覺得很多市民也是十分關注環保的。較早時，我們突然知悉收集得來的廢塑膠原來不是用來循環再造，只是丟到堆填區，我聽到後便感到極為失望和沮喪，因為我每天都十分小心地處理廢塑膠，帶到樓下的收集桶分類回收。我也聽到很多市民說，這是怎麼搞的，那麼努力地配合，原來卻又是回到堆填區。其實，很多市民也十分希望盡好自己的本分，但到頭來當局卻令到大家如此失望。我希望局長和他的團隊能盡力做好一點，不要辜負市民的環保期望。</w:t>
      </w:r>
    </w:p>
    <w:p>
      <w:pPr>
        <w:pStyle w:val="F21"/>
        <w:rPr>
          <w:rFonts w:ascii="華康細明體" w:hAnsi="華康細明體"/>
        </w:rPr>
      </w:pPr>
      <w:r>
        <w:rPr>
          <w:rFonts w:ascii="華康細明體" w:hAnsi="華康細明體"/>
        </w:rPr>
      </w:r>
    </w:p>
    <w:p>
      <w:pPr>
        <w:pStyle w:val="F21"/>
        <w:spacing w:lineRule="atLeast" w:line="370"/>
        <w:rPr/>
      </w:pPr>
      <w:r>
        <w:rPr>
          <w:rFonts w:ascii="華康細明體" w:hAnsi="華康細明體"/>
        </w:rPr>
        <w:tab/>
      </w:r>
      <w:r>
        <w:rPr>
          <w:rFonts w:ascii="華康細明體" w:hAnsi="華康細明體"/>
        </w:rPr>
        <w:t>當</w:t>
      </w:r>
      <w:r>
        <w:rPr/>
        <w:t>局建議收取垃圾徵費。剛才胡志偉議員也提及，韓國在</w:t>
      </w:r>
      <w:r>
        <w:rPr/>
        <w:t>1995</w:t>
      </w:r>
      <w:r>
        <w:rPr/>
        <w:t>年已經開始徵收。不錯，人家的確走得比較快，而香港現在想這樣做，也是有阻力的，即使是在我們黨內，也須要進行多方面的討論，甚至有人質疑為何要收錢呢？他們認為，政府已經徵收差餉。所以，第一，他們問，是否也會要求經濟能力十分差的人繳交呢？我相信是不會的。那麼，我們便要一早向市民解釋，只會向有能力的人徵收。如果是派垃圾袋給市民，也要告訴他們，這其實是想他們明白處理廢物是要付出代價的，但如果市民經濟環境不好，社會是仍會替他們作出承擔的。我們必須逐項解釋。如果局長不公開解釋，一開始便與市民鬧翻，是很難討論的。所以，我希望局長能跟多一些人接觸。以日本、南韓為例，討論興建一個焚化爐，也花了</w:t>
      </w:r>
      <w:r>
        <w:rPr/>
        <w:t>7</w:t>
      </w:r>
      <w:r>
        <w:rPr/>
        <w:t>年、</w:t>
      </w:r>
      <w:r>
        <w:rPr/>
        <w:t>10</w:t>
      </w:r>
      <w:r>
        <w:rPr/>
        <w:t>年的時間，還要討論為社區提供公園、社區會堂，暖水泳池、電費補貼、管理費補貼等各項優惠。我希望當局不要再抗拒，我相信這些是議會裏很多人也同意的。</w:t>
      </w:r>
    </w:p>
    <w:p>
      <w:pPr>
        <w:pStyle w:val="F21"/>
        <w:spacing w:lineRule="atLeast" w:line="370"/>
        <w:rPr/>
      </w:pPr>
      <w:r>
        <w:rPr/>
      </w:r>
    </w:p>
    <w:p>
      <w:pPr>
        <w:pStyle w:val="F21"/>
        <w:spacing w:lineRule="atLeast" w:line="370"/>
        <w:rPr/>
      </w:pPr>
      <w:r>
        <w:rPr/>
        <w:tab/>
      </w:r>
      <w:r>
        <w:rPr/>
        <w:t xml:space="preserve">剛才有議員說 </w:t>
      </w:r>
      <w:r>
        <w:rPr>
          <w:rFonts w:ascii="Symbol" w:hAnsi="Symbol" w:cs="Symbol" w:eastAsia="Symbol"/>
        </w:rPr>
        <w:t></w:t>
      </w:r>
      <w:r>
        <w:rPr/>
        <w:t xml:space="preserve"> 好像是廖長江</w:t>
      </w:r>
      <w:r>
        <w:rPr>
          <w:rFonts w:ascii="華康細明體" w:hAnsi="華康細明體"/>
        </w:rPr>
        <w:t>議員</w:t>
      </w:r>
      <w:r>
        <w:rPr/>
        <w:t xml:space="preserve"> </w:t>
      </w:r>
      <w:r>
        <w:rPr>
          <w:rFonts w:ascii="Symbol" w:hAnsi="Symbol" w:cs="Symbol" w:eastAsia="Symbol"/>
        </w:rPr>
        <w:t></w:t>
      </w:r>
      <w:r>
        <w:rPr/>
        <w:t xml:space="preserve"> 處理廚餘怎能私人和政府同時推行呢？我認為，我們應該鼓勵私人和政府合作。但有人卻說，不能這樣，因為這會引起官商勾結的批評。如果真的出現官商勾結，我們當然不會容忍，但如果做法正當，透明度又高，一旦須要提供誘因和鼓勵來搞好環保事業，我們是可以向市民解釋的。局方必須加大力度來推展這工作。</w:t>
      </w:r>
    </w:p>
    <w:p>
      <w:pPr>
        <w:pStyle w:val="F21"/>
        <w:spacing w:lineRule="atLeast" w:line="370"/>
        <w:rPr/>
      </w:pPr>
      <w:r>
        <w:rPr/>
      </w:r>
    </w:p>
    <w:p>
      <w:pPr>
        <w:pStyle w:val="F21"/>
        <w:spacing w:lineRule="atLeast" w:line="370"/>
        <w:rPr/>
      </w:pPr>
      <w:r>
        <w:rPr/>
        <w:tab/>
      </w:r>
      <w:r>
        <w:rPr/>
        <w:t xml:space="preserve">其實，我們不一定須要到南韓才能知道這些事情的，但如果親身看到別人這樣做 </w:t>
      </w:r>
      <w:r>
        <w:rPr>
          <w:rFonts w:ascii="Symbol" w:hAnsi="Symbol" w:cs="Symbol" w:eastAsia="Symbol"/>
        </w:rPr>
        <w:t></w:t>
      </w:r>
      <w:r>
        <w:rPr/>
        <w:t xml:space="preserve"> 主席，我們看到一個十分複雜的情況。那是甚麼呢？便是連清溪川也可以復修。清溪川現在多麼漂亮，但韓國努力了多少年呢？韓國人如何刻苦經營呢？當初兩旁有多少商鋪呢？如何處理這些商鋪的生意問題呢？政府該怎麼辦呢？便是跟商鋪討論，然後協助、資助他們。有時候，我們要求政府作出資助，政府卻覺得十分不妥當。但有時候，政府卻資助一些人，令他們連襪子也穿不上。所以，有時候，我們是否搞錯了優先次序呢？</w:t>
      </w:r>
    </w:p>
    <w:p>
      <w:pPr>
        <w:pStyle w:val="F21"/>
        <w:spacing w:lineRule="atLeast" w:line="370"/>
        <w:rPr/>
      </w:pPr>
      <w:r>
        <w:rPr/>
      </w:r>
    </w:p>
    <w:p>
      <w:pPr>
        <w:pStyle w:val="F21"/>
        <w:spacing w:lineRule="atLeast" w:line="370"/>
        <w:rPr/>
      </w:pPr>
      <w:r>
        <w:rPr/>
        <w:tab/>
      </w:r>
      <w:r>
        <w:rPr/>
        <w:t>我希望當局能收到一個信息，便是香港市民十分珍惜保護環境。我們明白有時候會產生一些廢物，但如何處理呢？只要向他們解釋，他們也會願意承擔自己的責任。但是，如果他們的經濟環境不好，我們當然會提供協助。至於其他有能力應付的人，我相信他們是願意付出的。正如廚餘一樣，大家也十分想處理，何俊仁</w:t>
      </w:r>
      <w:r>
        <w:rPr>
          <w:rFonts w:ascii="華康細明體" w:hAnsi="華康細明體"/>
        </w:rPr>
        <w:t>議員</w:t>
      </w:r>
      <w:r>
        <w:rPr/>
        <w:t>聽到屯門推行廚餘處理，便十分開心，馬上召集了數百名街坊。但主席，結果怎樣呢？當局說不要推行，因為沒有相關機器。那怎麼辦呢？把街坊解散好了。所以，很多事情也是沒有配套的，市民往往願望落空。</w:t>
      </w:r>
    </w:p>
    <w:p>
      <w:pPr>
        <w:pStyle w:val="F21"/>
        <w:spacing w:lineRule="atLeast" w:line="370"/>
        <w:rPr/>
      </w:pPr>
      <w:r>
        <w:rPr/>
      </w:r>
    </w:p>
    <w:p>
      <w:pPr>
        <w:pStyle w:val="F21"/>
        <w:spacing w:lineRule="atLeast" w:line="370"/>
        <w:rPr/>
      </w:pPr>
      <w:r>
        <w:rPr/>
        <w:tab/>
      </w:r>
      <w:r>
        <w:rPr/>
        <w:t>所以，我希望局方明白，我們民主黨，甚至很多立法會</w:t>
      </w:r>
      <w:r>
        <w:rPr>
          <w:rFonts w:ascii="華康細明體" w:hAnsi="華康細明體"/>
        </w:rPr>
        <w:t>議員</w:t>
      </w:r>
      <w:r>
        <w:rPr/>
        <w:t>也十分希望推行這方面的工作，因為我們其實是沒有選擇的。我們已比很多其他城市落後，我希望局長和他的團隊在這方面加一把勁，令我們的工作得以成功。</w:t>
      </w:r>
    </w:p>
    <w:p>
      <w:pPr>
        <w:pStyle w:val="Normal"/>
        <w:overflowPunct w:val="true"/>
        <w:spacing w:lineRule="atLeast" w:line="370"/>
        <w:rPr/>
      </w:pPr>
      <w:r>
        <w:rPr>
          <w:b/>
          <w:caps/>
        </w:rPr>
        <w:t>Ms Claudia</w:t>
      </w:r>
      <w:r>
        <w:rPr>
          <w:b/>
        </w:rPr>
        <w:t xml:space="preserve"> MO</w:t>
      </w:r>
      <w:r>
        <w:rPr/>
        <w:t>:</w:t>
      </w:r>
      <w:r>
        <w:rPr>
          <w:b/>
        </w:rPr>
        <w:t xml:space="preserve"> </w:t>
      </w:r>
      <w:r>
        <w:rPr/>
        <w:t xml:space="preserve">President, I am speaking in support of the motion, and I thank in particular Ms Cyd </w:t>
      </w:r>
      <w:r>
        <w:rPr>
          <w:caps/>
        </w:rPr>
        <w:t>Ho</w:t>
      </w:r>
      <w:r>
        <w:rPr/>
        <w:t xml:space="preserve">, the Chairman of the Panel, for arranging this particular study tour.  It was very meaningful, thoroughly meaningful, and to say the least, eye-opening.  I was particularly impressed by how and what the Koreans do with the kitchen leftovers.  Their meticulous, particular way for separating food waste, starting at the dining tables, is something which Hong Kong would take years and years to actually catch up with.  Take toothpicks as an example ― the Secretary for the Environment would know, right?  Our toothpicks are made of wood and they are not supposed to get mixed with the food waste.  But in Korea, toothpicks are made of sweet potato flour, so it is very safe to use them when you have trouble with fish bones, rib bones, bits of vegetables, and so on.  Things like that need to start at least with primary kids, telling them why we need to do such separation, and perhaps the kids could influence their parents, mums in particular.  </w:t>
      </w:r>
      <w:r>
        <w:br w:type="page"/>
      </w:r>
    </w:p>
    <w:p>
      <w:pPr>
        <w:pStyle w:val="Normal"/>
        <w:overflowPunct w:val="true"/>
        <w:spacing w:lineRule="atLeast" w:line="370"/>
        <w:rPr/>
      </w:pPr>
      <w:r>
        <w:rPr/>
      </w:r>
    </w:p>
    <w:p>
      <w:pPr>
        <w:pStyle w:val="Normal"/>
        <w:overflowPunct w:val="true"/>
        <w:spacing w:lineRule="atLeast" w:line="370"/>
        <w:rPr/>
      </w:pPr>
      <w:r>
        <w:rPr/>
        <w:tab/>
        <w:t>This actual physical separation of unwanted waste from food waste at the home level is so impressive, it is just almost unthinkable to outsiders, people like us from Hong Kong.  We tend to throw away things in a lump, everything in a lump because there is no point not doing so.  Right?  Plastics, newspapers, anything, we throw them into the same dustbin because the Government does not seem to care that much either.  That is the problem.  Well, Secretary, it is not your personal problem, you are quite new on the job, but it is about time to actually start ― if not education, propaganda at least at the community level.</w:t>
      </w:r>
    </w:p>
    <w:p>
      <w:pPr>
        <w:pStyle w:val="Normal"/>
        <w:overflowPunct w:val="true"/>
        <w:spacing w:lineRule="atLeast" w:line="370"/>
        <w:rPr/>
      </w:pPr>
      <w:r>
        <w:rPr/>
      </w:r>
    </w:p>
    <w:p>
      <w:pPr>
        <w:pStyle w:val="Normal"/>
        <w:overflowPunct w:val="true"/>
        <w:spacing w:lineRule="atLeast" w:line="370"/>
        <w:rPr/>
      </w:pPr>
      <w:r>
        <w:rPr/>
        <w:tab/>
        <w:t>We learned from the Koreans what they do with their food waste.  At the end of the day, firstly, they turn it into fertilizers for agricultural use.  But since we have not got much agricultural land left in Hong Kong, this is not of much use for us.</w:t>
      </w:r>
    </w:p>
    <w:p>
      <w:pPr>
        <w:pStyle w:val="Normal"/>
        <w:overflowPunct w:val="true"/>
        <w:spacing w:lineRule="atLeast" w:line="370"/>
        <w:rPr/>
      </w:pPr>
      <w:r>
        <w:rPr/>
      </w:r>
    </w:p>
    <w:p>
      <w:pPr>
        <w:pStyle w:val="Normal"/>
        <w:overflowPunct w:val="true"/>
        <w:spacing w:lineRule="atLeast" w:line="370"/>
        <w:rPr/>
      </w:pPr>
      <w:r>
        <w:rPr/>
        <w:tab/>
        <w:t xml:space="preserve">Secondly, I was told the food waste is turned into dog food, and I was actually shown the end product.  It sounds okay but this dog food ― apparently it is true ― is for dog farms, farms that actually farm dogs for eating.  I cringed at the thought, so it is irrelevant to Hong Kong either.  But then back home, I learned that we could instead use the food waste for fish food for feeding little gold fish kept in tanks.  That is one thought but then again, it seems there is no help, assistance, subvention in any particular way from the Government.  </w:t>
      </w:r>
    </w:p>
    <w:p>
      <w:pPr>
        <w:pStyle w:val="Normal"/>
        <w:overflowPunct w:val="true"/>
        <w:rPr/>
      </w:pPr>
      <w:r>
        <w:rPr/>
      </w:r>
    </w:p>
    <w:p>
      <w:pPr>
        <w:pStyle w:val="Normal"/>
        <w:overflowPunct w:val="true"/>
        <w:rPr/>
      </w:pPr>
      <w:r>
        <w:rPr/>
        <w:tab/>
        <w:t xml:space="preserve">I have this to inform this Council, and I am sure our Secretary for the Environment already knew about it.  Our Panel on Environmental Affairs held a meeting on Monday and we had this public deputation.  One particular merchant approached me and said he actually makes food waste devices, those machines and apparatus, and so on, and he thought we should at least start promoting that in Hong Kong.  We do studies abroad and we go on tours and trips.  This merchant claims he actually supplies his products to Seoul and we met his company staff in Seoul.  It seems rather odd that we could have started back home here, instead of going all the way abroad to see what other people do. </w:t>
      </w:r>
    </w:p>
    <w:p>
      <w:pPr>
        <w:pStyle w:val="Normal"/>
        <w:overflowPunct w:val="true"/>
        <w:rPr/>
      </w:pPr>
      <w:r>
        <w:rPr/>
      </w:r>
    </w:p>
    <w:p>
      <w:pPr>
        <w:pStyle w:val="Normal"/>
        <w:overflowPunct w:val="true"/>
        <w:rPr/>
      </w:pPr>
      <w:r>
        <w:rPr/>
        <w:tab/>
        <w:t>I have to echo what Mr Charles Peter MOK, my colleague, said just now.  Another reminder from this Korean tour is that we have to look at the trust, not just the co-operation, between the people and the Government.  In this city of ours, at the moment, we purely lack this trust.  Secretary, you are trying to charge for waste and the amount of opposition you will face is going to be abundant.  We would not talk about collusion between businesses and the Government.  We would wish to see some actual co-operation.</w:t>
      </w:r>
    </w:p>
    <w:p>
      <w:pPr>
        <w:pStyle w:val="Normal"/>
        <w:overflowPunct w:val="true"/>
        <w:rPr/>
      </w:pPr>
      <w:r>
        <w:rPr/>
      </w:r>
    </w:p>
    <w:p>
      <w:pPr>
        <w:pStyle w:val="Normal"/>
        <w:overflowPunct w:val="true"/>
        <w:rPr/>
      </w:pPr>
      <w:r>
        <w:rPr/>
        <w:tab/>
        <w:t>If I still have time, one last thing I would like to mention is that we, the team from the Legislative Council, were in Seoul with the Secretary and his team.  I understand that arrangements were made to help ensure the separation of powers between the executive and the legislature, but everywhere we went together, I could not help feeling that we, Members of the Legislative Council, were somehow treated as secondary visitors, and that was not quite right.  We are supposed to be very separate powers.  So, personally, as I said, I appreciated the trip very much, but perhaps such experiences would not need to be repeated.  Thank you.</w:t>
      </w:r>
    </w:p>
    <w:p>
      <w:pPr>
        <w:pStyle w:val="Normal"/>
        <w:overflowPunct w:val="true"/>
        <w:rPr>
          <w:szCs w:val="27"/>
        </w:rPr>
      </w:pPr>
      <w:r>
        <w:rPr>
          <w:szCs w:val="27"/>
        </w:rPr>
      </w:r>
    </w:p>
    <w:p>
      <w:pPr>
        <w:pStyle w:val="F21"/>
        <w:rPr/>
      </w:pPr>
      <w:r>
        <w:rPr/>
      </w:r>
    </w:p>
    <w:p>
      <w:pPr>
        <w:pStyle w:val="F21"/>
        <w:rPr/>
      </w:pPr>
      <w:r>
        <w:rPr>
          <w:rFonts w:ascii="華康中黑體" w:hAnsi="華康中黑體" w:cs="華康中黑體" w:eastAsia="華康中黑體"/>
          <w:b/>
        </w:rPr>
        <w:t>謝偉銓議員</w:t>
      </w:r>
      <w:r>
        <w:rPr/>
        <w:t>：主席，妥善處理都市固體廢物是每個現代化城市在環保範疇的一個重大挑戰，有關問題亦與我們的日常生活息息相關。從廢物管理角度看，現時香港需要有堆填區，但我們也應研究可否採取其他方式，包括以焚化取代部分堆填，從而減少對堆填區的需求及堆填區對環境和市民的影響。至於日後堆填、焚化或其他廢物處理方式所佔的比重應該有多少？我認為社會應深入作進一步討論。</w:t>
      </w:r>
    </w:p>
    <w:p>
      <w:pPr>
        <w:pStyle w:val="F21"/>
        <w:rPr/>
      </w:pPr>
      <w:r>
        <w:rPr/>
      </w:r>
    </w:p>
    <w:p>
      <w:pPr>
        <w:pStyle w:val="F21"/>
        <w:spacing w:lineRule="atLeast" w:line="380"/>
        <w:rPr/>
      </w:pPr>
      <w:r>
        <w:rPr/>
        <w:tab/>
      </w:r>
      <w:r>
        <w:rPr/>
        <w:t>事實上，要做好廢物管理並不是一朝一夕的。香港每天持續產生大量垃圾需要處理，如果我們突然停止或大幅減少堆填處理，而沒有其他代替的處理辦法，相信“垃圾圍城”的現象將會出現。當然，我們現時很難即時感受到“垃圾圍城”的迫切性，尤其居於堆填區附近的居民現在最切身的感受，只是關注垃圾臭味、周圍環境變差，以及垃圾收集車經過時對環境的影響。長遠而言，我們不應該再側重以堆填方式處理廢物，政府必須重新制訂全面、完善和環保的廢物管理藍圖和策略。</w:t>
      </w:r>
    </w:p>
    <w:p>
      <w:pPr>
        <w:pStyle w:val="F21"/>
        <w:spacing w:lineRule="atLeast" w:line="380"/>
        <w:rPr/>
      </w:pPr>
      <w:r>
        <w:rPr/>
      </w:r>
    </w:p>
    <w:p>
      <w:pPr>
        <w:pStyle w:val="F21"/>
        <w:spacing w:lineRule="atLeast" w:line="380"/>
        <w:rPr/>
      </w:pPr>
      <w:r>
        <w:rPr/>
        <w:tab/>
      </w:r>
      <w:r>
        <w:rPr/>
        <w:t>主席，今年</w:t>
      </w:r>
      <w:r>
        <w:rPr/>
        <w:t>4</w:t>
      </w:r>
      <w:r>
        <w:rPr/>
        <w:t>月，我跟隨環境事務委員會前往南韓首爾進行職務訪問，以了解南韓在廢物管理方面的經驗，包括源頭減廢、回收處理設施、減廢推廣、轉廢為能等。訪問期間，我們與首爾市議會環境水資源委員會、南韓環境部及一些非政府環保團體會晤，並參觀了多項廢物回收及處理設施，包括資源回收中心、焚化爐及二手產品商店，又到訪清溪川及首都堆填區，觀察廢物按量徵費和廚餘回收的運作情況。</w:t>
      </w:r>
    </w:p>
    <w:p>
      <w:pPr>
        <w:pStyle w:val="F21"/>
        <w:spacing w:lineRule="atLeast" w:line="380"/>
        <w:rPr/>
      </w:pPr>
      <w:r>
        <w:rPr/>
      </w:r>
    </w:p>
    <w:p>
      <w:pPr>
        <w:pStyle w:val="F21"/>
        <w:spacing w:lineRule="atLeast" w:line="380"/>
        <w:rPr/>
      </w:pPr>
      <w:r>
        <w:rPr/>
        <w:tab/>
      </w:r>
      <w:r>
        <w:rPr/>
        <w:t>早在</w:t>
      </w:r>
      <w:r>
        <w:rPr/>
        <w:t>80</w:t>
      </w:r>
      <w:r>
        <w:rPr/>
        <w:t>年代，香港與南韓都被稱為“亞洲四小龍”，兩地在高速發展的同時所製造的垃圾量亦大幅增加。當時南韓政府已預視到必須制訂更長遠的廢物管理策略，才能應付往後日子的需要。於是自</w:t>
      </w:r>
      <w:r>
        <w:rPr/>
        <w:t>1995</w:t>
      </w:r>
      <w:r>
        <w:rPr/>
        <w:t>年開始，當地推行以用者自付為原則的垃圾徵費計劃，數年間，廢物數量已大幅減少，同時，政府亦推出廢物回收、循環再用、減少廚餘及其他處理措施。整體政策方向，由增加廢物處理設施變為設法將廢物數量減至最少。通過一系列源頭減廢政策、執法及政府對公眾的宣傳教育等，成效十分顯著，對堆填區的需求亦大大減低，據說首爾堆填區的使用期因而可由原本的</w:t>
      </w:r>
      <w:r>
        <w:rPr/>
        <w:t>2016</w:t>
      </w:r>
      <w:r>
        <w:rPr/>
        <w:t>年延長</w:t>
      </w:r>
      <w:r>
        <w:rPr/>
        <w:t>28</w:t>
      </w:r>
      <w:r>
        <w:rPr/>
        <w:t>年至</w:t>
      </w:r>
      <w:r>
        <w:rPr/>
        <w:t>2044</w:t>
      </w:r>
      <w:r>
        <w:rPr/>
        <w:t>年。</w:t>
      </w:r>
    </w:p>
    <w:p>
      <w:pPr>
        <w:pStyle w:val="F21"/>
        <w:spacing w:lineRule="atLeast" w:line="380"/>
        <w:rPr/>
      </w:pPr>
      <w:r>
        <w:rPr/>
      </w:r>
    </w:p>
    <w:p>
      <w:pPr>
        <w:pStyle w:val="F21"/>
        <w:spacing w:lineRule="atLeast" w:line="380"/>
        <w:rPr/>
      </w:pPr>
      <w:r>
        <w:rPr/>
        <w:tab/>
      </w:r>
      <w:r>
        <w:rPr/>
        <w:t>反觀香港對廢物管理的措施較少，僅有的是還未全面實施的膠袋徵費計劃、建築廢料處理費、自發性廢物回收等措施，對回收廚餘更遲遲未有落實方案。現時香港每天產生超過</w:t>
      </w:r>
      <w:r>
        <w:rPr/>
        <w:t>4 000</w:t>
      </w:r>
      <w:r>
        <w:rPr/>
        <w:t>噸有機廢物，包括</w:t>
      </w:r>
      <w:r>
        <w:rPr/>
        <w:t>3 000</w:t>
      </w:r>
      <w:r>
        <w:rPr/>
        <w:t>多噸廚餘，但據說當中只有約</w:t>
      </w:r>
      <w:r>
        <w:rPr/>
        <w:t>40%</w:t>
      </w:r>
      <w:r>
        <w:rPr/>
        <w:t>會循環再用，即九成以上會被掩埋在堆填區，未能物盡其用。</w:t>
      </w:r>
    </w:p>
    <w:p>
      <w:pPr>
        <w:pStyle w:val="F21"/>
        <w:spacing w:lineRule="atLeast" w:line="380"/>
        <w:rPr/>
      </w:pPr>
      <w:r>
        <w:rPr/>
      </w:r>
    </w:p>
    <w:p>
      <w:pPr>
        <w:pStyle w:val="F21"/>
        <w:spacing w:lineRule="atLeast" w:line="380"/>
        <w:rPr/>
      </w:pPr>
      <w:r>
        <w:rPr/>
        <w:tab/>
      </w:r>
      <w:r>
        <w:rPr/>
        <w:t>廚餘回收計劃早於</w:t>
      </w:r>
      <w:r>
        <w:rPr/>
        <w:t>90</w:t>
      </w:r>
      <w:r>
        <w:rPr/>
        <w:t>年代已在南韓推行，法例規定大量廚餘製造者，例如餐廳食肆，均有責任回收並處理所製造的廚餘，市民亦須將家居廚餘與其他廢物分開棄置，由地方政府統一收集。南韓政府軟硬兼施，一方面禁止將廚餘直接棄置在堆填區，此外又加強推廣廚餘回收計劃。經過多年努力，廚餘的回收率由</w:t>
      </w:r>
      <w:r>
        <w:rPr/>
        <w:t>2000</w:t>
      </w:r>
      <w:r>
        <w:rPr/>
        <w:t>年的約</w:t>
      </w:r>
      <w:r>
        <w:rPr/>
        <w:t>45%</w:t>
      </w:r>
      <w:r>
        <w:rPr/>
        <w:t>，倍升至</w:t>
      </w:r>
      <w:r>
        <w:rPr/>
        <w:t>2009</w:t>
      </w:r>
      <w:r>
        <w:rPr/>
        <w:t>年的</w:t>
      </w:r>
      <w:r>
        <w:rPr/>
        <w:t>95%</w:t>
      </w:r>
      <w:r>
        <w:rPr/>
        <w:t>，成績令人鼓舞。此外，首爾的</w:t>
      </w:r>
      <w:r>
        <w:rPr/>
        <w:t>4</w:t>
      </w:r>
      <w:r>
        <w:rPr/>
        <w:t>座焚化設施都設有資源回收系統，可以在燃燒垃圾的過程中轉化為熱能，供附近居民使用，達致善用資源。</w:t>
      </w:r>
    </w:p>
    <w:p>
      <w:pPr>
        <w:pStyle w:val="F21"/>
        <w:spacing w:lineRule="atLeast" w:line="380"/>
        <w:rPr/>
      </w:pPr>
      <w:r>
        <w:rPr/>
      </w:r>
    </w:p>
    <w:p>
      <w:pPr>
        <w:pStyle w:val="F21"/>
        <w:spacing w:lineRule="atLeast" w:line="380"/>
        <w:rPr/>
      </w:pPr>
      <w:r>
        <w:rPr/>
        <w:tab/>
      </w:r>
      <w:r>
        <w:rPr/>
        <w:t>主席，香港土地資源緊絀，實在不應該再依靠堆填區作為處理廢物的主要方法。政府應借鏡南韓源頭減廢的經驗，加快制訂廢物管理的長遠策略。要有效減廢，我認為應該從源頭分類和徵費兩方面着手，配合廢物回收再造及轉廢為能等措施，以政策扶持回收業發展，多軌並行，這樣才是正確和可持續發展的廢物管理。主席，我謹此陳辭。</w:t>
      </w:r>
    </w:p>
    <w:p>
      <w:pPr>
        <w:pStyle w:val="F21"/>
        <w:spacing w:lineRule="atLeast" w:line="380"/>
        <w:rPr/>
      </w:pPr>
      <w:r>
        <w:rPr/>
      </w:r>
    </w:p>
    <w:p>
      <w:pPr>
        <w:pStyle w:val="F21"/>
        <w:spacing w:lineRule="atLeast" w:line="380"/>
        <w:rPr/>
      </w:pPr>
      <w:r>
        <w:rPr/>
      </w:r>
    </w:p>
    <w:p>
      <w:pPr>
        <w:pStyle w:val="F21"/>
        <w:spacing w:lineRule="atLeast" w:line="380"/>
        <w:rPr>
          <w:szCs w:val="27"/>
        </w:rPr>
      </w:pPr>
      <w:r>
        <w:rPr>
          <w:rFonts w:eastAsia="華康中黑體"/>
          <w:b/>
          <w:szCs w:val="27"/>
        </w:rPr>
        <w:t>陳克勤議員</w:t>
      </w:r>
      <w:r>
        <w:rPr>
          <w:szCs w:val="27"/>
        </w:rPr>
        <w:t>：主席，很榮幸今次有機會與議會同事一起到南韓考察。在考察過程中，我們看到很多處理廢物的寶貴經驗，把南韓政府的政策和一些新思維帶回香港。正如謝偉銓議員剛才提到，南韓和香港都是“亞洲四小龍”，現時兩地同樣面對處理廢物的種種嚴峻挑戰。不過，如果我們看看南韓的首都圈，其人口是我們的</w:t>
      </w:r>
      <w:r>
        <w:rPr>
          <w:szCs w:val="27"/>
        </w:rPr>
        <w:t>3.4</w:t>
      </w:r>
      <w:r>
        <w:rPr>
          <w:szCs w:val="27"/>
        </w:rPr>
        <w:t>倍，但他們每天於堆填區處理的廢物只是我們的</w:t>
      </w:r>
      <w:r>
        <w:rPr>
          <w:szCs w:val="27"/>
        </w:rPr>
        <w:t>1</w:t>
      </w:r>
      <w:r>
        <w:rPr>
          <w:szCs w:val="27"/>
        </w:rPr>
        <w:t>倍多。沒有人想看到局長所說的“垃圾圍城”現象，因此，我們應該在減廢、回收、再用等方面做多些工夫。以下我想談談南韓做得好並值得我們借鏡的數個做法。</w:t>
      </w:r>
    </w:p>
    <w:p>
      <w:pPr>
        <w:pStyle w:val="F21"/>
        <w:spacing w:lineRule="atLeast" w:line="380"/>
        <w:rPr>
          <w:szCs w:val="27"/>
        </w:rPr>
      </w:pPr>
      <w:r>
        <w:rPr>
          <w:szCs w:val="27"/>
        </w:rPr>
      </w:r>
    </w:p>
    <w:p>
      <w:pPr>
        <w:pStyle w:val="F21"/>
        <w:spacing w:lineRule="atLeast" w:line="380"/>
        <w:rPr>
          <w:szCs w:val="27"/>
        </w:rPr>
      </w:pPr>
      <w:r>
        <w:rPr>
          <w:szCs w:val="27"/>
        </w:rPr>
        <w:tab/>
      </w:r>
      <w:r>
        <w:rPr>
          <w:szCs w:val="27"/>
        </w:rPr>
        <w:t>首先，在源頭減廢方面，正如很多同事曾指出，香港來來去去都只有“三色回收箱”，而廚餘問題一直“只聞樓梯響，不見人下來”。即使有處理廚餘，也只是小規模進行，在社區由非牟利機構去做。大型的廚餘處理中心，現在只在討論招標事宜，研究稍後應否興建，可能興建一個中心也不足夠，也許要興建兩個、</w:t>
      </w:r>
      <w:r>
        <w:rPr>
          <w:szCs w:val="27"/>
        </w:rPr>
        <w:t>3</w:t>
      </w:r>
      <w:r>
        <w:rPr>
          <w:szCs w:val="27"/>
        </w:rPr>
        <w:t>個甚至更多。大家看到香港所產生的廚餘絕不比南韓少，我們每天有</w:t>
      </w:r>
      <w:r>
        <w:rPr>
          <w:szCs w:val="27"/>
        </w:rPr>
        <w:t>3 500</w:t>
      </w:r>
      <w:r>
        <w:rPr>
          <w:szCs w:val="27"/>
        </w:rPr>
        <w:t>噸廚餘。南韓是如何處理廚餘的呢？原來他們的廚餘分為可再造和不可再造兩類，而這兩類廚餘各自有處理的系統和機制。這種模式既可分類，亦可減少已回收的廚餘受污染，亦可避免居民丟棄的垃圾有臭味或有污水滲出。為何南韓做得到，香港卻做不到呢？</w:t>
      </w:r>
    </w:p>
    <w:p>
      <w:pPr>
        <w:pStyle w:val="F21"/>
        <w:spacing w:lineRule="atLeast" w:line="380"/>
        <w:rPr>
          <w:szCs w:val="27"/>
        </w:rPr>
      </w:pPr>
      <w:r>
        <w:rPr>
          <w:szCs w:val="27"/>
        </w:rPr>
      </w:r>
    </w:p>
    <w:p>
      <w:pPr>
        <w:pStyle w:val="F21"/>
        <w:spacing w:lineRule="atLeast" w:line="380"/>
        <w:rPr>
          <w:szCs w:val="27"/>
        </w:rPr>
      </w:pPr>
      <w:r>
        <w:rPr>
          <w:szCs w:val="27"/>
        </w:rPr>
        <w:tab/>
      </w:r>
      <w:r>
        <w:rPr>
          <w:szCs w:val="27"/>
        </w:rPr>
        <w:t>再深入一點談如何處理廚餘。我與一些同事曾到訪香港不同機構，看看他們如何處理廚餘，但基本上只有兩條出路：把廚餘製成魚糧或肥料。關於魚糧，雖然何俊賢議員不在席，不過大家都知道，香港的養魚業可使用多少魚糧是成疑的，更別談肥料了。香港人吃的飯餸口味都偏鹹，製出來的肥料未必很適宜用於耕種，所以，用廚餘製造的肥料亦需再加入添加劑才能使用。</w:t>
      </w:r>
    </w:p>
    <w:p>
      <w:pPr>
        <w:pStyle w:val="F21"/>
        <w:rPr>
          <w:szCs w:val="27"/>
        </w:rPr>
      </w:pPr>
      <w:r>
        <w:rPr>
          <w:szCs w:val="27"/>
        </w:rPr>
      </w:r>
    </w:p>
    <w:p>
      <w:pPr>
        <w:pStyle w:val="F21"/>
        <w:rPr>
          <w:szCs w:val="27"/>
        </w:rPr>
      </w:pPr>
      <w:r>
        <w:rPr>
          <w:szCs w:val="27"/>
        </w:rPr>
        <w:tab/>
      </w:r>
      <w:r>
        <w:rPr>
          <w:szCs w:val="27"/>
        </w:rPr>
        <w:t>在南韓，我們參觀了私營的松坡資源回收中心，他們現採用的技術不單可將廚餘轉化為不同的資源再用，而且不會浪費，臭味管理亦做得非常好，在那裏我們基本上聞不到任何臭味。相比之下，香港在這方面已落後很多，來來去去都是民間生產的數款廚餘機。然而，我相信香港有足夠人才研發如何善用廚餘，絕對不限於製造魚糧和肥料。其實可以利用廚餘製造生化柴油或燃料，但似乎沒有大型的場地作大規模生產。我知道環保園內有一個小型的，但是否足夠呢？所以，主席，我不禁再問，局長，為何南韓做得到，香港做不到呢？</w:t>
      </w:r>
    </w:p>
    <w:p>
      <w:pPr>
        <w:pStyle w:val="F21"/>
        <w:rPr>
          <w:szCs w:val="27"/>
        </w:rPr>
      </w:pPr>
      <w:r>
        <w:rPr>
          <w:szCs w:val="27"/>
        </w:rPr>
      </w:r>
    </w:p>
    <w:p>
      <w:pPr>
        <w:pStyle w:val="F21"/>
        <w:rPr>
          <w:szCs w:val="27"/>
        </w:rPr>
      </w:pPr>
      <w:r>
        <w:rPr>
          <w:szCs w:val="27"/>
        </w:rPr>
        <w:tab/>
      </w:r>
      <w:r>
        <w:rPr>
          <w:szCs w:val="27"/>
        </w:rPr>
        <w:t>此外，局長，我想談的是“要減廢，南韓可以去到多盡？”看看南韓的家居廢物徵費，南韓政府深明徵費的意義在於改變市民的行為，希望他們在丟棄垃圾前可以停一停、想一想，把可回收的物品貯起，分門別類，然後才棄置無用的垃圾。他們提供的預繳式垃圾袋不僅有不同大小，也區分了住宅用和商業用，以及分為盛載可循環再造和不可循環再造的廢物，各適其適，悉隨尊便。</w:t>
      </w:r>
    </w:p>
    <w:p>
      <w:pPr>
        <w:pStyle w:val="F21"/>
        <w:rPr>
          <w:szCs w:val="27"/>
        </w:rPr>
      </w:pPr>
      <w:r>
        <w:rPr>
          <w:szCs w:val="27"/>
        </w:rPr>
      </w:r>
    </w:p>
    <w:p>
      <w:pPr>
        <w:pStyle w:val="F21"/>
        <w:rPr>
          <w:szCs w:val="27"/>
        </w:rPr>
      </w:pPr>
      <w:r>
        <w:rPr>
          <w:szCs w:val="27"/>
        </w:rPr>
        <w:tab/>
      </w:r>
      <w:r>
        <w:rPr>
          <w:szCs w:val="27"/>
        </w:rPr>
        <w:t>現時香港正討論固體廢物徵費，但政府似乎有點畏首畏尾，擔心行政上會麻煩，又指香港的居住結構多樣，有“劏房”、舊樓、鄉郊，不知道如何處理。我想說，如果局長沒有決心去做，即使再諮詢三、四、五、六次，其實也沒有用。既然多個調查也顯示，香港市民普遍接受徵費的概念。我進行過兩、三次民意調查，我記得廢物徵費的支持度一直徘徊在五成左右，可見市民已較接納。現時較大爭議的是如何收費，以及要有公道的收費方法。</w:t>
      </w:r>
    </w:p>
    <w:p>
      <w:pPr>
        <w:pStyle w:val="F21"/>
        <w:rPr>
          <w:szCs w:val="27"/>
        </w:rPr>
      </w:pPr>
      <w:r>
        <w:rPr>
          <w:szCs w:val="27"/>
        </w:rPr>
      </w:r>
    </w:p>
    <w:p>
      <w:pPr>
        <w:pStyle w:val="F21"/>
        <w:rPr>
          <w:szCs w:val="27"/>
        </w:rPr>
      </w:pPr>
      <w:r>
        <w:rPr>
          <w:szCs w:val="27"/>
        </w:rPr>
        <w:tab/>
      </w:r>
      <w:r>
        <w:rPr>
          <w:szCs w:val="27"/>
        </w:rPr>
        <w:t>局長，為何南韓可以提供不同的垃圾膠袋，因應市民的需要實施垃圾徵費，而香港卻不可以呢？我再舉一個例子便是多倫多，該市的市長最近推動垃圾徵費，他認為當看到一輛又一輛的垃圾車在公路上行駛，便好像看到一輛又一輛滿載</w:t>
      </w:r>
      <w:r>
        <w:rPr>
          <w:szCs w:val="27"/>
        </w:rPr>
        <w:t>100</w:t>
      </w:r>
      <w:r>
        <w:rPr>
          <w:szCs w:val="27"/>
        </w:rPr>
        <w:t>元鈔票的汽車在路上行駛。這種說法並沒有誇張，因為每輛垃圾車都載有很多可循環再用的資源。我們想說的是，人家在做的事，其實我們都可以做到；我們跟南韓一樣是“亞洲四小龍”，我們的科技和城市發展同樣先進。局長，還是那個問題，為何南韓做得到，香港卻做不到呢？</w:t>
      </w:r>
    </w:p>
    <w:p>
      <w:pPr>
        <w:pStyle w:val="F21"/>
        <w:rPr>
          <w:szCs w:val="27"/>
        </w:rPr>
      </w:pPr>
      <w:r>
        <w:rPr>
          <w:szCs w:val="27"/>
        </w:rPr>
      </w:r>
    </w:p>
    <w:p>
      <w:pPr>
        <w:pStyle w:val="F21"/>
        <w:rPr>
          <w:szCs w:val="27"/>
        </w:rPr>
      </w:pPr>
      <w:r>
        <w:rPr>
          <w:szCs w:val="27"/>
        </w:rPr>
        <w:tab/>
      </w:r>
      <w:r>
        <w:rPr>
          <w:szCs w:val="27"/>
        </w:rPr>
        <w:t>主席，還有很多其他細節，不過我已沒有時間再說了。多謝。</w:t>
      </w:r>
    </w:p>
    <w:p>
      <w:pPr>
        <w:pStyle w:val="F21"/>
        <w:rPr/>
      </w:pPr>
      <w:r>
        <w:rPr>
          <w:rFonts w:ascii="華康中黑體" w:hAnsi="華康中黑體" w:cs="華康中黑體" w:eastAsia="華康中黑體"/>
          <w:b/>
        </w:rPr>
        <w:t>陳健波議員</w:t>
      </w:r>
      <w:r>
        <w:rPr/>
        <w:t>：主席，我是今次訪問團的成員，有機會到南韓視察當地廢物管理的情況，實在令人大開眼界。當地不單有先進而完善的廢物管理模式，更大力發展回收業，促使國民養成環保的習慣，令人留下深刻印象。但另一方面，南韓成功的經驗令我聯想到，為何香港在這方面的發展會遠遠落後於人？</w:t>
      </w:r>
      <w:r>
        <w:br w:type="page"/>
      </w:r>
    </w:p>
    <w:p>
      <w:pPr>
        <w:pStyle w:val="F21"/>
        <w:rPr/>
      </w:pPr>
      <w:r>
        <w:rPr/>
      </w:r>
    </w:p>
    <w:p>
      <w:pPr>
        <w:pStyle w:val="F21"/>
        <w:rPr/>
      </w:pPr>
      <w:r>
        <w:rPr/>
        <w:tab/>
      </w:r>
      <w:r>
        <w:rPr/>
        <w:t>南韓在廢物管理方面有那麼好的成績，並不是一朝一夕的，在過程中亦遇到很多阻力。南韓於</w:t>
      </w:r>
      <w:r>
        <w:rPr/>
        <w:t>1995</w:t>
      </w:r>
      <w:r>
        <w:rPr/>
        <w:t>年推出四管齊下的管理措施，包括減少廢物、推廣商品重用、回收及轉廢為能，結果該國的整體廢物棄置率在幾年間減低了</w:t>
      </w:r>
      <w:r>
        <w:rPr/>
        <w:t>46%</w:t>
      </w:r>
      <w:r>
        <w:rPr/>
        <w:t>。其實，當天南韓的政策與香港今天的減廢構思有很多相似的地方，所以該國的經驗很值得我們參考。我認為對香港最具啟發性的是南韓如何克服社會上的阻力，成功推動政策，達到減廢目的，以及大力發展回收業，成為全球都市廢物回收率最高的地方之一。</w:t>
      </w:r>
    </w:p>
    <w:p>
      <w:pPr>
        <w:pStyle w:val="F21"/>
        <w:rPr/>
      </w:pPr>
      <w:r>
        <w:rPr/>
      </w:r>
    </w:p>
    <w:p>
      <w:pPr>
        <w:pStyle w:val="F21"/>
        <w:rPr/>
      </w:pPr>
      <w:r>
        <w:rPr/>
        <w:tab/>
      </w:r>
      <w:r>
        <w:rPr/>
        <w:t>目前，香港在發展焚化設施及堆填區等問題上，都遇到很多反對聲音，但原來南韓在推動政策之初，同樣遇到不少阻力，例如居民反對在同區興建焚化設施，甚至有市政府反對延長區內堆填區的運作期。南韓政府最終能成功解決問題，往往有賴官員努力，做好諮詢及游說工作。</w:t>
      </w:r>
    </w:p>
    <w:p>
      <w:pPr>
        <w:pStyle w:val="F21"/>
        <w:rPr/>
      </w:pPr>
      <w:r>
        <w:rPr/>
      </w:r>
    </w:p>
    <w:p>
      <w:pPr>
        <w:pStyle w:val="F21"/>
        <w:rPr/>
      </w:pPr>
      <w:r>
        <w:rPr/>
        <w:tab/>
      </w:r>
      <w:r>
        <w:rPr/>
        <w:t>我舉一個例子，南韓興建焚化設施，政府在準備階段已深入與居民溝通，並邀請輿輪領袖參觀海外最先進的焚化設施，同時安排專家向區內居民講解。另一方面，焚化設施設計美觀，而且採用開放式設計，讓市民看到運作情況，從而打破對焚化設施的負面印象。最後政府更提供經濟誘因，包括為受影響的居民支付大廈管理費及暖氣費，又從設施的利潤中撥出部分款項，成立居民援助基金，用以改善居住環境。</w:t>
      </w:r>
    </w:p>
    <w:p>
      <w:pPr>
        <w:pStyle w:val="F21"/>
        <w:rPr/>
      </w:pPr>
      <w:r>
        <w:rPr/>
      </w:r>
    </w:p>
    <w:p>
      <w:pPr>
        <w:pStyle w:val="F21"/>
        <w:rPr/>
      </w:pPr>
      <w:r>
        <w:rPr/>
        <w:tab/>
      </w:r>
      <w:r>
        <w:rPr/>
        <w:t>由此可見，只要政府下定決心，認真與居民商議，想辦法解決居民的疑慮，把影響減至最低，並提出合理的補償，應可以說服居民接受。特區政府目前計劃在石鼓洲興建焚化爐，遭長洲居民反對，雖然政府有與離島區議會商議，但官員顯然需有更佳的游說技巧。長遠而言，政府應派官員到外國，例如南韓，學習如何做地區游說工作。此外，本港正計劃推動垃圾徵費的工作，由於涉及很多技術性或執行上的問題，而我們並無相關經驗，也應該派官員到南韓或台灣實地學習。</w:t>
      </w:r>
    </w:p>
    <w:p>
      <w:pPr>
        <w:pStyle w:val="F21"/>
        <w:rPr/>
      </w:pPr>
      <w:r>
        <w:rPr/>
      </w:r>
    </w:p>
    <w:p>
      <w:pPr>
        <w:pStyle w:val="F21"/>
        <w:rPr/>
      </w:pPr>
      <w:r>
        <w:rPr/>
      </w:r>
    </w:p>
    <w:p>
      <w:pPr>
        <w:pStyle w:val="F21"/>
        <w:rPr/>
      </w:pPr>
      <w:r>
        <w:rPr/>
        <w:tab/>
      </w:r>
      <w:r>
        <w:rPr/>
        <w:t>順帶一提，南韓採用的焚化設施十分先進，已可以徹底處理焚化爐排放的廢氣，證實對環境影響極微。本港將來引入類似或更先進的焚化設施，相信社會亦會較為放心。此外，南韓將焚化垃圾視為轉廢為能，是極為正面的看法。將垃圾變成能源，並讓當區居民亦可享受生產出來的能源，我相信這些做法都十分值得學習。</w:t>
      </w:r>
    </w:p>
    <w:p>
      <w:pPr>
        <w:pStyle w:val="F21"/>
        <w:rPr/>
      </w:pPr>
      <w:r>
        <w:rPr/>
      </w:r>
    </w:p>
    <w:p>
      <w:pPr>
        <w:pStyle w:val="F21"/>
        <w:rPr/>
      </w:pPr>
      <w:r>
        <w:rPr/>
        <w:tab/>
      </w:r>
      <w:r>
        <w:rPr/>
        <w:t>另一個值得學習的地方便是回收業的工作。目前南韓的廢物回收率是全球最高之一，首爾的都市廢物中，有</w:t>
      </w:r>
      <w:r>
        <w:rPr/>
        <w:t>63%</w:t>
      </w:r>
      <w:r>
        <w:rPr/>
        <w:t>經循環再用，</w:t>
      </w:r>
      <w:r>
        <w:rPr/>
        <w:t>25%</w:t>
      </w:r>
      <w:r>
        <w:rPr/>
        <w:t>被焚化，</w:t>
      </w:r>
      <w:r>
        <w:rPr/>
        <w:t>12%</w:t>
      </w:r>
      <w:r>
        <w:rPr/>
        <w:t>被送往堆填區，這些數字正好反映南韓回收業的興旺。南韓政府大力推動回收業發展，除了向小型回收公司提供長期低息貸款，協助開發回收設施和技術，更為新公司提供專業諮詢服務。南韓政府最近更決定，為了減少使用堆填區，會加快發展回收業，當地民間團體更希望可以推動回收率上升至</w:t>
      </w:r>
      <w:r>
        <w:rPr/>
        <w:t>80%</w:t>
      </w:r>
      <w:r>
        <w:rPr/>
        <w:t>。</w:t>
      </w:r>
    </w:p>
    <w:p>
      <w:pPr>
        <w:pStyle w:val="F21"/>
        <w:rPr/>
      </w:pPr>
      <w:r>
        <w:rPr/>
      </w:r>
    </w:p>
    <w:p>
      <w:pPr>
        <w:pStyle w:val="F21"/>
        <w:rPr/>
      </w:pPr>
      <w:r>
        <w:rPr/>
        <w:tab/>
      </w:r>
      <w:r>
        <w:rPr/>
        <w:t>反觀香港，雖然廢物回收率已上升至</w:t>
      </w:r>
      <w:r>
        <w:rPr/>
        <w:t>48%</w:t>
      </w:r>
      <w:r>
        <w:rPr/>
        <w:t>，但仍有</w:t>
      </w:r>
      <w:r>
        <w:rPr/>
        <w:t>52%</w:t>
      </w:r>
      <w:r>
        <w:rPr/>
        <w:t>的廢物要送往堆填區。目前特區政府也正推動回收業發展，例如設立環保園、向回收商提供短期租用地及推廣廢物源頭分類等措施，但總令人感到政府不夠積極，措施亦未見有很大成效。如果我們要達到政府的目標，即在</w:t>
      </w:r>
      <w:r>
        <w:rPr/>
        <w:t>2022</w:t>
      </w:r>
      <w:r>
        <w:rPr/>
        <w:t>年將廢物回收率提升至</w:t>
      </w:r>
      <w:r>
        <w:rPr/>
        <w:t>55%</w:t>
      </w:r>
      <w:r>
        <w:rPr/>
        <w:t>，便應該參考南韓的做法，用更主動及積極的方法，直接扶助回收業發展，提供資源及技術協助。</w:t>
      </w:r>
    </w:p>
    <w:p>
      <w:pPr>
        <w:pStyle w:val="F21"/>
        <w:rPr/>
      </w:pPr>
      <w:r>
        <w:rPr/>
      </w:r>
    </w:p>
    <w:p>
      <w:pPr>
        <w:pStyle w:val="F21"/>
        <w:rPr/>
      </w:pPr>
      <w:r>
        <w:rPr/>
        <w:tab/>
      </w:r>
      <w:r>
        <w:rPr/>
        <w:t>南韓有這麼多值得學習的地方，但原來他們有一些優勢是我們難以仿效的，那便是南韓國民的團結和愛國。他們願意為國家付出，即使減廢會為市民帶來很多麻煩，為了國家，他們也願意去做，政府亦較易說服市民。相反，香港社會近年內耗不斷，政府推動政策難免事倍功半，但我希望將來在減廢工作中，大家可以更團結，為美好的環境一同努力。</w:t>
      </w:r>
    </w:p>
    <w:p>
      <w:pPr>
        <w:pStyle w:val="F21"/>
        <w:rPr/>
      </w:pPr>
      <w:r>
        <w:rPr/>
      </w:r>
    </w:p>
    <w:p>
      <w:pPr>
        <w:pStyle w:val="F21"/>
        <w:rPr/>
      </w:pPr>
      <w:r>
        <w:rPr/>
        <w:tab/>
      </w:r>
      <w:r>
        <w:rPr/>
        <w:t>我謹此陳辭。</w:t>
      </w:r>
    </w:p>
    <w:p>
      <w:pPr>
        <w:pStyle w:val="F21"/>
        <w:rPr/>
      </w:pPr>
      <w:r>
        <w:rPr/>
      </w:r>
    </w:p>
    <w:p>
      <w:pPr>
        <w:pStyle w:val="F21"/>
        <w:rPr/>
      </w:pPr>
      <w:r>
        <w:rPr/>
      </w:r>
    </w:p>
    <w:p>
      <w:pPr>
        <w:pStyle w:val="F21"/>
        <w:rPr/>
      </w:pPr>
      <w:r>
        <w:rPr>
          <w:rFonts w:ascii="華康中黑體" w:hAnsi="華康中黑體" w:cs="華康中黑體" w:eastAsia="華康中黑體"/>
          <w:b/>
        </w:rPr>
        <w:t>郭偉强議員</w:t>
      </w:r>
      <w:r>
        <w:rPr/>
        <w:t>：主席，不知不覺原來已過了大半年，上次出訪韓國是</w:t>
      </w:r>
      <w:r>
        <w:rPr/>
        <w:t>4</w:t>
      </w:r>
      <w:r>
        <w:rPr/>
        <w:t>月份的事，現在已是</w:t>
      </w:r>
      <w:r>
        <w:rPr/>
        <w:t>12</w:t>
      </w:r>
      <w:r>
        <w:rPr/>
        <w:t>月了。回港後的半年間，除了多了一隻“大嘥鬼”外，似乎沒有任何進展。在今年</w:t>
      </w:r>
      <w:r>
        <w:rPr/>
        <w:t>7</w:t>
      </w:r>
      <w:r>
        <w:rPr/>
        <w:t>月，我曾在立法會暑期休會前提出了一項議案，要求政府盡快落實有效的廢物管理政策，在推動源頭減廢之餘，同時推動本港的綠領工業，藉此創造更多就業機會。</w:t>
      </w:r>
    </w:p>
    <w:p>
      <w:pPr>
        <w:pStyle w:val="F21"/>
        <w:rPr/>
      </w:pPr>
      <w:r>
        <w:rPr/>
      </w:r>
    </w:p>
    <w:p>
      <w:pPr>
        <w:pStyle w:val="F21"/>
        <w:rPr/>
      </w:pPr>
      <w:r>
        <w:rPr/>
      </w:r>
    </w:p>
    <w:p>
      <w:pPr>
        <w:pStyle w:val="F21"/>
        <w:rPr/>
      </w:pPr>
      <w:r>
        <w:rPr/>
        <w:tab/>
      </w:r>
      <w:r>
        <w:rPr/>
        <w:t>其實，我當時在發言中已明確指出，政府要為綠領工業發展投入龐大資金，才能幫助這個行業的發展。但是，直至目前，由於政府一直不願意投放資源，現時本地的綠領工業仍如一潭死水。當然，除了投資外，其實有效的廢物管理政策亦是促進綠領工業發展的重要一環。大家可看看南韓，它是亞洲區內數一數二做得較佳的地區，成功之處在於做事仔細，也很徹底。該國為了收集廚餘，連牙籤也是用可以分解的澱粉、薯粉來製造，這已說明南韓的決心有多大，但看看香港，我們可否做到這一步呢？現在，明顯地，環境局在觀摩南韓的經驗後，似乎並非全套學足，而是只仿效其收費制度，其他所有配套措施則完全不放在眼內。</w:t>
      </w:r>
    </w:p>
    <w:p>
      <w:pPr>
        <w:pStyle w:val="F21"/>
        <w:rPr/>
      </w:pPr>
      <w:r>
        <w:rPr/>
      </w:r>
    </w:p>
    <w:p>
      <w:pPr>
        <w:pStyle w:val="F21"/>
        <w:rPr/>
      </w:pPr>
      <w:r>
        <w:rPr/>
        <w:tab/>
      </w:r>
      <w:r>
        <w:rPr/>
        <w:t>先談談廚餘的問題。其實香港跟南韓一樣，一直以來，廚餘都是一個嚴重的問題。南韓透過不同的鼓勵計劃減少配菜的數量及分量，亦引入廚餘收費計劃。相信某些同事也曾到過首爾的衿川區，該處有一種類似汽水機的裝置，拍卡後再把廚餘倒進去，倒完後再拍卡，裝置便會為你計算重量，以月結形式，在每月底寄上帳單。裝置旁邊還放了一個垃圾桶，方便人們把盛載廚餘的膠袋丟進去才上班，這種做法既細心又到位。</w:t>
      </w:r>
    </w:p>
    <w:p>
      <w:pPr>
        <w:pStyle w:val="F21"/>
        <w:rPr/>
      </w:pPr>
      <w:r>
        <w:rPr/>
      </w:r>
    </w:p>
    <w:p>
      <w:pPr>
        <w:pStyle w:val="F21"/>
        <w:rPr/>
      </w:pPr>
      <w:r>
        <w:rPr/>
        <w:tab/>
      </w:r>
      <w:r>
        <w:rPr/>
        <w:t>在香港，</w:t>
      </w:r>
      <w:r>
        <w:rPr/>
        <w:t>2011</w:t>
      </w:r>
      <w:r>
        <w:rPr/>
        <w:t>年每天產生</w:t>
      </w:r>
      <w:r>
        <w:rPr/>
        <w:t>3 600</w:t>
      </w:r>
      <w:r>
        <w:rPr/>
        <w:t>公噸的廚餘，並傾倒於堆填區。</w:t>
      </w:r>
      <w:r>
        <w:rPr/>
        <w:t>3 600</w:t>
      </w:r>
      <w:r>
        <w:rPr/>
        <w:t>公噸即等於多少？相等於</w:t>
      </w:r>
      <w:r>
        <w:rPr/>
        <w:t>300</w:t>
      </w:r>
      <w:r>
        <w:rPr/>
        <w:t>輛雙層巴士的重量。廚餘佔了全港固體廢物的四成，情況令人既擔憂，亦汗顏，因為正當大家都在說要物盡其用時，我們竟然倒掉如此大量的食物。雖然香港政府推出了“惜食香港運動”，又呼籲大家不要做“大嘥鬼”，但是，廚餘的回收政策和配套仍然是零，而本港第一座有機資源回收中心預計最早要到</w:t>
      </w:r>
      <w:r>
        <w:rPr/>
        <w:t>2015</w:t>
      </w:r>
      <w:r>
        <w:rPr/>
        <w:t>年才會落成。</w:t>
      </w:r>
    </w:p>
    <w:p>
      <w:pPr>
        <w:pStyle w:val="F21"/>
        <w:rPr/>
      </w:pPr>
      <w:r>
        <w:rPr/>
      </w:r>
    </w:p>
    <w:p>
      <w:pPr>
        <w:pStyle w:val="F21"/>
        <w:rPr/>
      </w:pPr>
      <w:r>
        <w:rPr/>
        <w:tab/>
      </w:r>
      <w:r>
        <w:rPr/>
        <w:t>香港政府除了繼續提高公眾減少廚餘的意識外，還有甚麼事情可做呢？其實，香港有這麼多公共屋邨，為何不把公共屋邨作為試點？公共屋邨既集中，又有公共空間，可讓大家齊心實踐減廢方向，但直至目前仍未聞任何動靜。</w:t>
      </w:r>
    </w:p>
    <w:p>
      <w:pPr>
        <w:pStyle w:val="F21"/>
        <w:rPr/>
      </w:pPr>
      <w:r>
        <w:rPr/>
      </w:r>
    </w:p>
    <w:p>
      <w:pPr>
        <w:pStyle w:val="F21"/>
        <w:rPr/>
      </w:pPr>
      <w:r>
        <w:rPr/>
        <w:tab/>
      </w:r>
      <w:r>
        <w:rPr/>
        <w:t>此外，再談談廢物回收系統。參考南韓的經驗，其實住宅樓宇的可循環再造廢物一般分為</w:t>
      </w:r>
      <w:r>
        <w:rPr/>
        <w:t>5</w:t>
      </w:r>
      <w:r>
        <w:rPr/>
        <w:t>至</w:t>
      </w:r>
      <w:r>
        <w:rPr/>
        <w:t>6</w:t>
      </w:r>
      <w:r>
        <w:rPr/>
        <w:t>類，例如紙張、瓶子、鋁罐、金屬和塑膠，經收集的可循環再造廢物會在廢物分類中心再作分類。經處理的可循環再造廢物部分由地方製造商接收，以履行他們的回收責任，部分則供出口。</w:t>
      </w:r>
    </w:p>
    <w:p>
      <w:pPr>
        <w:pStyle w:val="F21"/>
        <w:rPr/>
      </w:pPr>
      <w:r>
        <w:rPr/>
      </w:r>
    </w:p>
    <w:p>
      <w:pPr>
        <w:pStyle w:val="F21"/>
        <w:rPr/>
      </w:pPr>
      <w:r>
        <w:rPr/>
        <w:tab/>
      </w:r>
      <w:r>
        <w:rPr/>
        <w:t xml:space="preserve">我要在此一提，其實南韓的製造商本身有責任進行回收工作，假如他們不進行回收工作，便要按法例規定聘請承辦商為他們維修 </w:t>
      </w:r>
      <w:r>
        <w:rPr>
          <w:rFonts w:ascii="Symbol" w:hAnsi="Symbol" w:cs="Symbol" w:eastAsia="Symbol"/>
          <w:kern w:val="2"/>
        </w:rPr>
        <w:t></w:t>
      </w:r>
      <w:r>
        <w:rPr/>
        <w:t xml:space="preserve"> 是回收，不是維修 </w:t>
      </w:r>
      <w:r>
        <w:rPr>
          <w:rFonts w:ascii="Symbol" w:hAnsi="Symbol" w:cs="Symbol" w:eastAsia="Symbol"/>
          <w:kern w:val="2"/>
        </w:rPr>
        <w:t></w:t>
      </w:r>
      <w:r>
        <w:rPr>
          <w:kern w:val="2"/>
        </w:rPr>
        <w:t xml:space="preserve"> </w:t>
      </w:r>
      <w:r>
        <w:rPr/>
        <w:t>回收他們所產生的商品廢物。但是，香港有否這樣做？現時香港只向住戶“開刀”，但在商界又做了些甚麼呢？別處地方的人為限制過分包裝訂立了很嚴謹的規定，以限制無謂、無必要的包裝，但相反，很多時我們在拜年時送贈的禮物，體積小，卻用上大大的包裝盒，直至目前仍未有任何監管。此外，剛才已有同事提到外賣所用的即棄用具，我也不再在此重複。</w:t>
      </w:r>
    </w:p>
    <w:p>
      <w:pPr>
        <w:pStyle w:val="F21"/>
        <w:rPr/>
      </w:pPr>
      <w:r>
        <w:rPr/>
      </w:r>
    </w:p>
    <w:p>
      <w:pPr>
        <w:pStyle w:val="F21"/>
        <w:rPr/>
      </w:pPr>
      <w:r>
        <w:rPr/>
        <w:tab/>
      </w:r>
      <w:r>
        <w:rPr/>
        <w:t>其實，南韓政府亦投放了大量資源進行分類工作，例如批出土地作興建廠房之用，並支付他們的常設開支</w:t>
      </w:r>
      <w:r>
        <w:rPr/>
        <w:t>(</w:t>
      </w:r>
      <w:r>
        <w:rPr/>
        <w:t>包括員工成本</w:t>
      </w:r>
      <w:r>
        <w:rPr/>
        <w:t>)</w:t>
      </w:r>
      <w:r>
        <w:rPr/>
        <w:t>以進行分類工作。相反，本港的住宅廢物分類在過去數年仍停留在“藍廢紙、黃鋁罐、啡膠樽”，其他物料如玻璃、廢木材和橡膠，礙於回收價格低，根本無人問津。有關未來處理垃圾的方向，究竟我們是以可持續發展觀來處理，還是繼續以經濟掛帥的態度來面對？</w:t>
      </w:r>
    </w:p>
    <w:p>
      <w:pPr>
        <w:pStyle w:val="F21"/>
        <w:rPr/>
      </w:pPr>
      <w:r>
        <w:rPr/>
      </w:r>
    </w:p>
    <w:p>
      <w:pPr>
        <w:pStyle w:val="F21"/>
        <w:rPr/>
      </w:pPr>
      <w:r>
        <w:rPr/>
        <w:tab/>
      </w:r>
      <w:r>
        <w:rPr/>
        <w:t>國內已經展開了“綠籬行動”，確保回收物料是乾淨和可再造的。香港應如何配合，以及如何在香港設立一套同樣的制度？由於分類垃圾需要大量人手、資源和財力，究竟當局在未來願意投放多少資源，從而在減少廢物之餘，又可以進一步增加基層的就業機會，以及創造更多低技術勞工職位，以回應工聯會的部分訴求？</w:t>
      </w:r>
    </w:p>
    <w:p>
      <w:pPr>
        <w:pStyle w:val="F21"/>
        <w:rPr/>
      </w:pPr>
      <w:r>
        <w:rPr/>
      </w:r>
    </w:p>
    <w:p>
      <w:pPr>
        <w:pStyle w:val="F21"/>
        <w:rPr/>
      </w:pPr>
      <w:r>
        <w:rPr/>
        <w:tab/>
      </w:r>
      <w:r>
        <w:rPr/>
        <w:t>最後，我想在此一提，韓國人民已養成了一個良好習慣，鼓勵重用、再用及回收一些二手物品，香港何時才能向他們學習呢？多謝主席。</w:t>
      </w:r>
    </w:p>
    <w:p>
      <w:pPr>
        <w:pStyle w:val="F21"/>
        <w:rPr>
          <w:b/>
          <w:b/>
        </w:rPr>
      </w:pPr>
      <w:r>
        <w:rPr>
          <w:b/>
        </w:rPr>
      </w:r>
    </w:p>
    <w:p>
      <w:pPr>
        <w:pStyle w:val="F21"/>
        <w:rPr/>
      </w:pPr>
      <w:r>
        <w:rPr/>
      </w:r>
    </w:p>
    <w:p>
      <w:pPr>
        <w:pStyle w:val="F21"/>
        <w:rPr/>
      </w:pPr>
      <w:r>
        <w:rPr>
          <w:rFonts w:eastAsia="華康中黑體"/>
          <w:b/>
        </w:rPr>
        <w:t>梁國雄議員</w:t>
      </w:r>
      <w:r>
        <w:rPr/>
        <w:t>：主席，我必須承認，在環保意識及知識方面，我一定不及黃局長。其實，今天大家在此討論環保，真的有點諷刺，因為我們其實是造成今天這局面的其中一個結構性因素。我的意思是，我們監察政府，但政府卻可以不理會我們，並能夠下令以投票機器來阻撓一些它不想看到的結果。</w:t>
      </w:r>
    </w:p>
    <w:p>
      <w:pPr>
        <w:pStyle w:val="F21"/>
        <w:rPr/>
      </w:pPr>
      <w:r>
        <w:rPr/>
      </w:r>
    </w:p>
    <w:p>
      <w:pPr>
        <w:pStyle w:val="F21"/>
        <w:rPr/>
      </w:pPr>
      <w:r>
        <w:rPr/>
        <w:tab/>
      </w:r>
      <w:r>
        <w:rPr/>
        <w:t>我承認，我是造成這個兩難局面的罪魁之一。第一，其實我的環保意識不足。但是，我仍要說，局長要求我們投票贊成政府興建堆填區，否則便要圍城。老實說，就這一點，我除甘拜下風外，我是無法投票贊成的。</w:t>
      </w:r>
    </w:p>
    <w:p>
      <w:pPr>
        <w:pStyle w:val="F21"/>
        <w:rPr/>
      </w:pPr>
      <w:r>
        <w:rPr/>
      </w:r>
    </w:p>
    <w:p>
      <w:pPr>
        <w:pStyle w:val="F21"/>
        <w:rPr/>
      </w:pPr>
      <w:r>
        <w:rPr/>
        <w:tab/>
      </w:r>
      <w:r>
        <w:rPr/>
        <w:t>其實我與局長談判時也曾說過，他一定要提供時間表和路線圖，即是把詳情告知我們。當然，老實說，梁振英會在何時下台仍未有人知道，政府可能在討論後的</w:t>
      </w:r>
      <w:r>
        <w:rPr/>
        <w:t>3</w:t>
      </w:r>
      <w:r>
        <w:rPr/>
        <w:t>個月內解體。但是，最少他也要提供這些詳情。他卻不說出來，只要求我們先投票贊成。</w:t>
      </w:r>
    </w:p>
    <w:p>
      <w:pPr>
        <w:pStyle w:val="F21"/>
        <w:rPr/>
      </w:pPr>
      <w:r>
        <w:rPr/>
      </w:r>
    </w:p>
    <w:p>
      <w:pPr>
        <w:pStyle w:val="F21"/>
        <w:rPr/>
      </w:pPr>
      <w:r>
        <w:rPr/>
        <w:tab/>
      </w:r>
      <w:r>
        <w:rPr/>
        <w:t>局長玩政治真的玩得很差，他根本不是政治人。他應該說，他現時也在深切悔悟。局長應說，如果特區政府在他任內不能提出時間表、路線圖，便是對不起香港人。如果他願意這樣說的話，即好像我就全民退休對政府“拉布”一樣，如果他願意這樣說，令我們看到一點進展的話，我們或會投票贊成擴建堆填區也說不定。可是，政府沒有這樣做，只懂“拉票政治”，總之票數足夠便行，而通過後又是日復一日的拖延。十年後，假設小弟仍在世，要當立法會議員至</w:t>
      </w:r>
      <w:r>
        <w:rPr/>
        <w:t>70</w:t>
      </w:r>
      <w:r>
        <w:rPr/>
        <w:t>歲，我便會說：“真的不好意思，</w:t>
      </w:r>
      <w:r>
        <w:rPr/>
        <w:t>10</w:t>
      </w:r>
      <w:r>
        <w:rPr/>
        <w:t>年前我無法迫政府做這些事情，現在堆填區如此大，我們又不能做到分流回收或循環再造，真是太過不堪了。”</w:t>
      </w:r>
    </w:p>
    <w:p>
      <w:pPr>
        <w:pStyle w:val="F21"/>
        <w:rPr/>
      </w:pPr>
      <w:r>
        <w:rPr/>
      </w:r>
    </w:p>
    <w:p>
      <w:pPr>
        <w:pStyle w:val="F21"/>
        <w:rPr/>
      </w:pPr>
      <w:r>
        <w:rPr/>
        <w:tab/>
      </w:r>
      <w:r>
        <w:rPr/>
        <w:t>主席，黃局長必須在此代表政府作出一個很簡單的承諾，便是</w:t>
      </w:r>
      <w:r>
        <w:rPr/>
        <w:t>......</w:t>
      </w:r>
      <w:r>
        <w:rPr/>
        <w:t>今天再說甚麼南韓訪問團等事情，已沒有意思，只是畫餅充饑，望梅止渴，浪費時間。考察回來說別人真好，問為何香港不能做到，又有何用呢？我想說，為何不能在公屋推行？公屋本是由政府管理的，政府卻把那些公共空間賣給領匯。我現在跟你說三色回收桶，你卻說無法做到。政府當天以</w:t>
      </w:r>
      <w:r>
        <w:rPr/>
        <w:t>200</w:t>
      </w:r>
      <w:r>
        <w:rPr/>
        <w:t>多億元賣掉那麼多資產給領匯，當然是會弄致這樣的局面。</w:t>
      </w:r>
    </w:p>
    <w:p>
      <w:pPr>
        <w:pStyle w:val="F21"/>
        <w:rPr/>
      </w:pPr>
      <w:r>
        <w:rPr/>
      </w:r>
    </w:p>
    <w:p>
      <w:pPr>
        <w:pStyle w:val="F21"/>
        <w:rPr/>
      </w:pPr>
      <w:r>
        <w:rPr/>
        <w:tab/>
      </w:r>
      <w:r>
        <w:rPr/>
        <w:t>政府讓財團控制公共空間，如果由財團控制例如銅鑼灣某個地方的公共空間</w:t>
      </w:r>
      <w:r>
        <w:rPr>
          <w:szCs w:val="27"/>
        </w:rPr>
        <w:t>......</w:t>
      </w:r>
      <w:r>
        <w:rPr/>
        <w:t>我已忘記是那一個地方</w:t>
      </w:r>
      <w:r>
        <w:rPr>
          <w:szCs w:val="27"/>
        </w:rPr>
        <w:t>......</w:t>
      </w:r>
      <w:r>
        <w:rPr/>
        <w:t>那麼，政府要在那處設立</w:t>
      </w:r>
      <w:r>
        <w:rPr/>
        <w:t>7</w:t>
      </w:r>
      <w:r>
        <w:rPr/>
        <w:t>個桶的話，該財團哪會答應，只會說該地方屬於它，不要阻礙它營業。就這個問題，政府無所作為，這肯定是一個政治問題，而不是識見的問題。</w:t>
      </w:r>
    </w:p>
    <w:p>
      <w:pPr>
        <w:pStyle w:val="F21"/>
        <w:rPr/>
      </w:pPr>
      <w:r>
        <w:rPr/>
      </w:r>
    </w:p>
    <w:p>
      <w:pPr>
        <w:pStyle w:val="F21"/>
        <w:rPr/>
      </w:pPr>
      <w:r>
        <w:rPr/>
        <w:tab/>
      </w:r>
      <w:r>
        <w:rPr/>
        <w:t>政府無所作為。你也是由梁振英帶入來政府的，我不會歧視你，不會因“馬房而廢人”，但他有否向你作出任何指示？有否給你錦囊，以備梁國雄罵你時，你能立即拿出錦囊，說特首已預留</w:t>
      </w:r>
      <w:r>
        <w:rPr/>
        <w:t>100</w:t>
      </w:r>
      <w:r>
        <w:rPr/>
        <w:t>億元做分流，有地、有人。特首是不能只說很想做，卻沒有土地和人因而未能推行環保工作。如果是這樣的話，請他不要參選特首。要做的事情真的如此困難嗎？</w:t>
      </w:r>
    </w:p>
    <w:p>
      <w:pPr>
        <w:pStyle w:val="F21"/>
        <w:rPr/>
      </w:pPr>
      <w:r>
        <w:rPr/>
      </w:r>
    </w:p>
    <w:p>
      <w:pPr>
        <w:pStyle w:val="F21"/>
        <w:rPr/>
      </w:pPr>
      <w:r>
        <w:rPr/>
        <w:tab/>
      </w:r>
      <w:r>
        <w:rPr/>
        <w:t>你帶了陸恭蕙到來游說我們，她認識我們，可謂人強馬壯，但卻不能說服我。你不斷說，先把政策通過，政府會進行分流、回收、循環再用。這只是政府的說法。我未擔任議員時，每年也到立法會示威，就那些預算案罵董建華，問他是否會推行綠領計劃，製造</w:t>
      </w:r>
      <w:r>
        <w:rPr/>
        <w:t>10</w:t>
      </w:r>
      <w:r>
        <w:rPr/>
        <w:t>萬個就業機會。現時，董建華已“瓜柴”，曾蔭權又“瓜柴”，曾蔭權只懂弄甚麼慳電膽來讓自己媳婦的娘家得益。大家說這個制度是否糟糕呢？主席，這便叫作環保了，主席，是否要“瓜柴”？</w:t>
      </w:r>
    </w:p>
    <w:p>
      <w:pPr>
        <w:pStyle w:val="F21"/>
        <w:spacing w:lineRule="atLeast" w:line="350"/>
        <w:rPr/>
      </w:pPr>
      <w:r>
        <w:rPr/>
      </w:r>
    </w:p>
    <w:p>
      <w:pPr>
        <w:pStyle w:val="F21"/>
        <w:spacing w:lineRule="atLeast" w:line="350"/>
        <w:rPr>
          <w:spacing w:val="18"/>
        </w:rPr>
      </w:pPr>
      <w:r>
        <w:rPr>
          <w:spacing w:val="18"/>
        </w:rPr>
        <w:tab/>
      </w:r>
      <w:r>
        <w:rPr>
          <w:spacing w:val="18"/>
        </w:rPr>
        <w:t>現在輪到局長了，請你告訴我，你已游說了我</w:t>
      </w:r>
      <w:r>
        <w:rPr>
          <w:spacing w:val="18"/>
        </w:rPr>
        <w:t>3</w:t>
      </w:r>
      <w:r>
        <w:rPr>
          <w:spacing w:val="18"/>
        </w:rPr>
        <w:t>個月，我說不會投票贊成後，你已沒有再找過我了。你是無須對我負責的，你對你自己負責便可。你既要對你自己負責，又要對梁振英負責，他無能，但即使你護主，也要說出來。今天在此多說也是沒有意思的。稍後堆填區的問題又會提出來。政府不斷說先擴建堆填區再作打算。請不要這樣，我們的議會實際上是太悲哀了，太低下了，甚至不及那些粵語片的填房和妻妾，可用甜言蜜語便可欺騙。局長，今天只是討論而已，但你將來再到來時，你用甚麼跟我們交換呢？多用數個外訪團來交換？用外訪團來換取我們議員的贊成票？告訴我們先外訪考察再打算？</w:t>
      </w:r>
    </w:p>
    <w:p>
      <w:pPr>
        <w:pStyle w:val="F21"/>
        <w:spacing w:lineRule="atLeast" w:line="350"/>
        <w:rPr/>
      </w:pPr>
      <w:r>
        <w:rPr/>
      </w:r>
    </w:p>
    <w:p>
      <w:pPr>
        <w:pStyle w:val="F21"/>
        <w:spacing w:lineRule="atLeast" w:line="350"/>
        <w:rPr/>
      </w:pPr>
      <w:r>
        <w:rPr/>
        <w:tab/>
      </w:r>
      <w:r>
        <w:rPr/>
        <w:t>主席，事實是太悲哀了，多說也無意思。政府是否真的會做？我從未聽過有甚麼事情是政府辦不到的。如果政府不做，我告訴你，堆填區便“無得傾”。每位在此高談闊論，慷慨陳辭的議員</w:t>
      </w:r>
      <w:r>
        <w:rPr>
          <w:szCs w:val="27"/>
        </w:rPr>
        <w:t>......</w:t>
      </w:r>
      <w:r>
        <w:rPr/>
        <w:t>如果你沒有路線圖、時間表、沒有頭緒，便“無得傾”。這便是我在今天辯論要說的重點，而不是風花雪月地說南韓如何、如何。你答吧，有沒有？已經</w:t>
      </w:r>
      <w:r>
        <w:rPr/>
        <w:t>3</w:t>
      </w:r>
      <w:r>
        <w:rPr/>
        <w:t>個月了，有沒有？梁振英有沒有給你錦囊？如果沒有，叫他落台。</w:t>
      </w:r>
    </w:p>
    <w:p>
      <w:pPr>
        <w:pStyle w:val="F21"/>
        <w:spacing w:lineRule="atLeast" w:line="350"/>
        <w:rPr/>
      </w:pPr>
      <w:r>
        <w:rPr/>
      </w:r>
    </w:p>
    <w:p>
      <w:pPr>
        <w:pStyle w:val="F21"/>
        <w:spacing w:lineRule="atLeast" w:line="350"/>
        <w:rPr/>
      </w:pPr>
      <w:r>
        <w:rPr/>
        <w:tab/>
      </w:r>
      <w:r>
        <w:rPr/>
        <w:t>主席，沒有的話便下台，進堆填區吧</w:t>
      </w:r>
      <w:r>
        <w:rPr/>
        <w:t>!</w:t>
      </w:r>
    </w:p>
    <w:p>
      <w:pPr>
        <w:pStyle w:val="F21"/>
        <w:spacing w:lineRule="atLeast" w:line="350"/>
        <w:rPr/>
      </w:pPr>
      <w:r>
        <w:rPr/>
      </w:r>
    </w:p>
    <w:p>
      <w:pPr>
        <w:pStyle w:val="F21"/>
        <w:spacing w:lineRule="atLeast" w:line="350"/>
        <w:rPr>
          <w:szCs w:val="27"/>
          <w:highlight w:val="yellow"/>
        </w:rPr>
      </w:pPr>
      <w:r>
        <w:rPr>
          <w:szCs w:val="27"/>
          <w:highlight w:val="yellow"/>
        </w:rPr>
      </w:r>
    </w:p>
    <w:p>
      <w:pPr>
        <w:pStyle w:val="F21"/>
        <w:spacing w:lineRule="atLeast" w:line="350"/>
        <w:rPr>
          <w:szCs w:val="27"/>
        </w:rPr>
      </w:pPr>
      <w:r>
        <w:rPr>
          <w:rFonts w:ascii="華康中黑體" w:hAnsi="華康中黑體" w:cs="華康中黑體" w:eastAsia="華康中黑體"/>
          <w:b/>
          <w:szCs w:val="27"/>
        </w:rPr>
        <w:t>葛珮帆議員</w:t>
      </w:r>
      <w:r>
        <w:rPr>
          <w:szCs w:val="27"/>
        </w:rPr>
        <w:t>：主席，我很高興在今年</w:t>
      </w:r>
      <w:r>
        <w:rPr>
          <w:szCs w:val="27"/>
        </w:rPr>
        <w:t>4</w:t>
      </w:r>
      <w:r>
        <w:rPr>
          <w:szCs w:val="27"/>
        </w:rPr>
        <w:t>月初有機會與立法會同事、環境局局長及他的同事等，前往南韓首爾考察當地廢物管理的經驗。</w:t>
      </w:r>
    </w:p>
    <w:p>
      <w:pPr>
        <w:pStyle w:val="F21"/>
        <w:spacing w:lineRule="atLeast" w:line="350"/>
        <w:rPr>
          <w:szCs w:val="27"/>
        </w:rPr>
      </w:pPr>
      <w:r>
        <w:rPr>
          <w:szCs w:val="27"/>
        </w:rPr>
      </w:r>
    </w:p>
    <w:p>
      <w:pPr>
        <w:pStyle w:val="F21"/>
        <w:spacing w:lineRule="atLeast" w:line="350"/>
        <w:rPr>
          <w:szCs w:val="27"/>
        </w:rPr>
      </w:pPr>
      <w:r>
        <w:rPr>
          <w:szCs w:val="27"/>
        </w:rPr>
        <w:tab/>
      </w:r>
      <w:r>
        <w:rPr>
          <w:szCs w:val="27"/>
        </w:rPr>
        <w:t>南韓自</w:t>
      </w:r>
      <w:r>
        <w:rPr>
          <w:szCs w:val="27"/>
        </w:rPr>
        <w:t>1988</w:t>
      </w:r>
      <w:r>
        <w:rPr>
          <w:szCs w:val="27"/>
        </w:rPr>
        <w:t>年舉辦奧運會開始引入現代廢物管理概念；</w:t>
      </w:r>
      <w:r>
        <w:rPr>
          <w:szCs w:val="27"/>
        </w:rPr>
        <w:t>1992</w:t>
      </w:r>
      <w:r>
        <w:rPr>
          <w:szCs w:val="27"/>
        </w:rPr>
        <w:t>年擴大了大型堆填區；</w:t>
      </w:r>
      <w:r>
        <w:rPr>
          <w:szCs w:val="27"/>
        </w:rPr>
        <w:t>1995</w:t>
      </w:r>
      <w:r>
        <w:rPr>
          <w:szCs w:val="27"/>
        </w:rPr>
        <w:t>年開始實施垃圾收費，並且立法限制商店及餐廳使用某些一次性的即棄用品，以及建設了</w:t>
      </w:r>
      <w:r>
        <w:rPr>
          <w:szCs w:val="27"/>
        </w:rPr>
        <w:t>4</w:t>
      </w:r>
      <w:r>
        <w:rPr>
          <w:szCs w:val="27"/>
        </w:rPr>
        <w:t>個焚化爐；</w:t>
      </w:r>
      <w:r>
        <w:rPr>
          <w:szCs w:val="27"/>
        </w:rPr>
        <w:t>2010</w:t>
      </w:r>
      <w:r>
        <w:rPr>
          <w:szCs w:val="27"/>
        </w:rPr>
        <w:t>年成功減少了</w:t>
      </w:r>
      <w:r>
        <w:rPr>
          <w:szCs w:val="27"/>
        </w:rPr>
        <w:t>60%</w:t>
      </w:r>
      <w:r>
        <w:rPr>
          <w:szCs w:val="27"/>
        </w:rPr>
        <w:t>的家居廢物。在</w:t>
      </w:r>
      <w:r>
        <w:rPr>
          <w:szCs w:val="27"/>
        </w:rPr>
        <w:t>2011</w:t>
      </w:r>
      <w:r>
        <w:rPr>
          <w:szCs w:val="27"/>
        </w:rPr>
        <w:t>年，南韓的人均家居廢物為每人每天</w:t>
      </w:r>
      <w:r>
        <w:rPr>
          <w:szCs w:val="27"/>
        </w:rPr>
        <w:t>0.9</w:t>
      </w:r>
      <w:r>
        <w:rPr>
          <w:szCs w:val="27"/>
        </w:rPr>
        <w:t>公斤，較諸美國及日本等國家的</w:t>
      </w:r>
      <w:r>
        <w:rPr>
          <w:szCs w:val="27"/>
        </w:rPr>
        <w:t>2</w:t>
      </w:r>
      <w:r>
        <w:rPr>
          <w:szCs w:val="27"/>
        </w:rPr>
        <w:t>公斤及香港的</w:t>
      </w:r>
      <w:r>
        <w:rPr>
          <w:szCs w:val="27"/>
        </w:rPr>
        <w:t>2.2</w:t>
      </w:r>
      <w:r>
        <w:rPr>
          <w:szCs w:val="27"/>
        </w:rPr>
        <w:t>公斤，可說是十分成功。</w:t>
      </w:r>
    </w:p>
    <w:p>
      <w:pPr>
        <w:pStyle w:val="F21"/>
        <w:spacing w:lineRule="atLeast" w:line="350"/>
        <w:rPr>
          <w:szCs w:val="27"/>
        </w:rPr>
      </w:pPr>
      <w:r>
        <w:rPr>
          <w:szCs w:val="27"/>
        </w:rPr>
      </w:r>
    </w:p>
    <w:p>
      <w:pPr>
        <w:pStyle w:val="F21"/>
        <w:spacing w:lineRule="atLeast" w:line="350"/>
        <w:rPr>
          <w:szCs w:val="27"/>
        </w:rPr>
      </w:pPr>
      <w:r>
        <w:rPr>
          <w:szCs w:val="27"/>
        </w:rPr>
        <w:tab/>
      </w:r>
      <w:r>
        <w:rPr>
          <w:szCs w:val="27"/>
        </w:rPr>
        <w:t>可是，南韓今天仍然面對進一步處理廢物的挑戰。例如在廚餘方面，他們是在今年</w:t>
      </w:r>
      <w:r>
        <w:rPr>
          <w:szCs w:val="27"/>
        </w:rPr>
        <w:t>6</w:t>
      </w:r>
      <w:r>
        <w:rPr>
          <w:szCs w:val="27"/>
        </w:rPr>
        <w:t>月才開始落實就食物及廚餘處理收費的法例，而這些法例亦經過了一段爭議。由此可見，即使南韓今天如此成功，其實仍不斷要面對挑戰，而南韓的經驗很值得我們學習。</w:t>
      </w:r>
    </w:p>
    <w:p>
      <w:pPr>
        <w:pStyle w:val="F21"/>
        <w:rPr>
          <w:szCs w:val="27"/>
        </w:rPr>
      </w:pPr>
      <w:r>
        <w:rPr>
          <w:szCs w:val="27"/>
        </w:rPr>
      </w:r>
    </w:p>
    <w:p>
      <w:pPr>
        <w:pStyle w:val="F21"/>
        <w:rPr>
          <w:szCs w:val="27"/>
        </w:rPr>
      </w:pPr>
      <w:r>
        <w:rPr>
          <w:szCs w:val="27"/>
        </w:rPr>
        <w:tab/>
      </w:r>
      <w:r>
        <w:rPr>
          <w:szCs w:val="27"/>
        </w:rPr>
        <w:t>看到南韓多年來推行廢物管理的政策取得如此多成就，我其實有很大感觸。在過去</w:t>
      </w:r>
      <w:r>
        <w:rPr>
          <w:szCs w:val="27"/>
        </w:rPr>
        <w:t>10</w:t>
      </w:r>
      <w:r>
        <w:rPr>
          <w:szCs w:val="27"/>
        </w:rPr>
        <w:t>多年來，我們周邊的城市，包括台灣、南韓、日本等都很積極推動環保發展，在廢物管理方面有很多好成績供我們參考。反觀香港，我們在這</w:t>
      </w:r>
      <w:r>
        <w:rPr>
          <w:szCs w:val="27"/>
        </w:rPr>
        <w:t>10</w:t>
      </w:r>
      <w:r>
        <w:rPr>
          <w:szCs w:val="27"/>
        </w:rPr>
        <w:t>多年來似乎都是原地踏步，廢物管理仍然以堆填區為主，回收、再造及源頭減廢都只是空談。我們其實大大落後於周邊城市，真的要急起直追。</w:t>
      </w:r>
    </w:p>
    <w:p>
      <w:pPr>
        <w:pStyle w:val="F21"/>
        <w:rPr>
          <w:szCs w:val="27"/>
        </w:rPr>
      </w:pPr>
      <w:r>
        <w:rPr>
          <w:szCs w:val="27"/>
        </w:rPr>
      </w:r>
    </w:p>
    <w:p>
      <w:pPr>
        <w:pStyle w:val="F21"/>
        <w:rPr>
          <w:szCs w:val="27"/>
        </w:rPr>
      </w:pPr>
      <w:r>
        <w:rPr>
          <w:szCs w:val="27"/>
        </w:rPr>
        <w:tab/>
      </w:r>
      <w:r>
        <w:rPr>
          <w:szCs w:val="27"/>
        </w:rPr>
        <w:t>南韓之所以能夠成功推行環保政策，我認為一個很重要的因素是當地政府能夠坐言起行，全力承擔解決廢物問題的責任及牽頭與市民溝通，令市民願意團結一致，一同實現政策目標。至於南韓政府的施政可以取得這麼好的成效，我認為應歸功於當地政府與居民溝通的態度、其立法決心、推動的策略及政策，這些都值得香港參考。</w:t>
      </w:r>
    </w:p>
    <w:p>
      <w:pPr>
        <w:pStyle w:val="F21"/>
        <w:rPr>
          <w:szCs w:val="27"/>
        </w:rPr>
      </w:pPr>
      <w:r>
        <w:rPr>
          <w:szCs w:val="27"/>
        </w:rPr>
      </w:r>
    </w:p>
    <w:p>
      <w:pPr>
        <w:pStyle w:val="F21"/>
        <w:rPr>
          <w:szCs w:val="27"/>
        </w:rPr>
      </w:pPr>
      <w:r>
        <w:rPr>
          <w:szCs w:val="27"/>
        </w:rPr>
        <w:tab/>
      </w:r>
      <w:r>
        <w:rPr>
          <w:szCs w:val="27"/>
        </w:rPr>
        <w:t>我們是次考察了很多不同的地方，我想舉出數個值得我們學習的例子。</w:t>
      </w:r>
    </w:p>
    <w:p>
      <w:pPr>
        <w:pStyle w:val="F21"/>
        <w:rPr>
          <w:szCs w:val="27"/>
        </w:rPr>
      </w:pPr>
      <w:r>
        <w:rPr>
          <w:szCs w:val="27"/>
        </w:rPr>
      </w:r>
    </w:p>
    <w:p>
      <w:pPr>
        <w:pStyle w:val="F21"/>
        <w:rPr>
          <w:szCs w:val="27"/>
        </w:rPr>
      </w:pPr>
      <w:r>
        <w:rPr>
          <w:szCs w:val="27"/>
        </w:rPr>
        <w:tab/>
      </w:r>
      <w:r>
        <w:rPr>
          <w:szCs w:val="27"/>
        </w:rPr>
        <w:t>我們曾經參觀江北區再利用分類廠，主要是處理廢膠回收和分類。這間工廠最特別的地方是由政府投資，由政府供地，在</w:t>
      </w:r>
      <w:r>
        <w:rPr>
          <w:szCs w:val="27"/>
        </w:rPr>
        <w:t>2007</w:t>
      </w:r>
      <w:r>
        <w:rPr>
          <w:szCs w:val="27"/>
        </w:rPr>
        <w:t>年投入服務。工廠依靠出售已分類的廢膠，便可以支付</w:t>
      </w:r>
      <w:r>
        <w:rPr>
          <w:szCs w:val="27"/>
        </w:rPr>
        <w:t>60%</w:t>
      </w:r>
      <w:r>
        <w:rPr>
          <w:szCs w:val="27"/>
        </w:rPr>
        <w:t>的營運開支，其餘</w:t>
      </w:r>
      <w:r>
        <w:rPr>
          <w:szCs w:val="27"/>
        </w:rPr>
        <w:t>120</w:t>
      </w:r>
      <w:r>
        <w:rPr>
          <w:szCs w:val="27"/>
        </w:rPr>
        <w:t>名員工的工資，其實是由江北區政府資助。據說，他們成功回收再造率達到</w:t>
      </w:r>
      <w:r>
        <w:rPr>
          <w:szCs w:val="27"/>
        </w:rPr>
        <w:t>85%</w:t>
      </w:r>
      <w:r>
        <w:rPr>
          <w:szCs w:val="27"/>
        </w:rPr>
        <w:t>。</w:t>
      </w:r>
    </w:p>
    <w:p>
      <w:pPr>
        <w:pStyle w:val="F21"/>
        <w:rPr>
          <w:szCs w:val="27"/>
        </w:rPr>
      </w:pPr>
      <w:r>
        <w:rPr>
          <w:szCs w:val="27"/>
        </w:rPr>
      </w:r>
    </w:p>
    <w:p>
      <w:pPr>
        <w:pStyle w:val="F21"/>
        <w:rPr>
          <w:szCs w:val="27"/>
        </w:rPr>
      </w:pPr>
      <w:r>
        <w:rPr>
          <w:szCs w:val="27"/>
        </w:rPr>
        <w:tab/>
      </w:r>
      <w:r>
        <w:rPr>
          <w:szCs w:val="27"/>
        </w:rPr>
        <w:t>就廢物管理方面，我們不斷建議政府要支援源頭分類、回收、再細分類製造及使用方面的每個環節，因為整個“回收再用鏈”缺少了任何一個環節都會有問題。香港現時的政策，對支援再細分類、製造，尤其不足。我希望政府能夠參考南韓成功的經驗，進一步支持環保業的發展。</w:t>
      </w:r>
    </w:p>
    <w:p>
      <w:pPr>
        <w:pStyle w:val="F21"/>
        <w:rPr>
          <w:szCs w:val="27"/>
        </w:rPr>
      </w:pPr>
      <w:r>
        <w:rPr>
          <w:szCs w:val="27"/>
        </w:rPr>
      </w:r>
    </w:p>
    <w:p>
      <w:pPr>
        <w:pStyle w:val="F21"/>
        <w:rPr>
          <w:szCs w:val="27"/>
        </w:rPr>
      </w:pPr>
      <w:r>
        <w:rPr>
          <w:szCs w:val="27"/>
        </w:rPr>
        <w:tab/>
      </w:r>
      <w:r>
        <w:rPr>
          <w:szCs w:val="27"/>
        </w:rPr>
        <w:t>主席，每個地方推行環保政策，其實都會面對很多挑戰。南韓其中一個較香港做得好的地方可能是，他們一向十分重視透過公民教育，從少培養國民對國家民族及文化有濃厚的感情及歸屬感。所以，對於一些有利於國家及社會發展的建議和措施，他們都比較積極支持及參與。當然，當政府的一些措施真的會影響個人利益時，反對的聲音亦會存在。可是，南韓政府特別着重主動與市民深入溝通，解釋政策，更願意為受影響的市民提供一些切合他們真正需要的支援和補貼。所以，我們看到，如果政府真的願意溝通，又願意提供一些補貼，便可以較容易切實推行政策。</w:t>
      </w:r>
    </w:p>
    <w:p>
      <w:pPr>
        <w:pStyle w:val="F21"/>
        <w:spacing w:lineRule="atLeast" w:line="380"/>
        <w:rPr>
          <w:szCs w:val="27"/>
        </w:rPr>
      </w:pPr>
      <w:r>
        <w:rPr>
          <w:szCs w:val="27"/>
        </w:rPr>
      </w:r>
    </w:p>
    <w:p>
      <w:pPr>
        <w:pStyle w:val="F21"/>
        <w:spacing w:lineRule="atLeast" w:line="380"/>
        <w:rPr>
          <w:szCs w:val="27"/>
        </w:rPr>
      </w:pPr>
      <w:r>
        <w:rPr>
          <w:szCs w:val="27"/>
        </w:rPr>
        <w:tab/>
      </w:r>
      <w:r>
        <w:rPr>
          <w:szCs w:val="27"/>
        </w:rPr>
        <w:t>在我們拜訪首爾市議會時，負責環境事務的委員向我們表示，要成功推行全面的廢物管理政策，對他們來說其實亦不容易，因為當地居民最初都十分抗拒及反對在他們附近的地方興建各種廢物處理設施。不過，市政府願意不斷與不同的持份者討論，預留足夠時間進行全面諮詢、安排多次公聽會及簡介會、虛心聆聽受影響居民的意見，進行深入溝通。為了釋除公眾反對興建焚化爐的疑慮，當地政府會組織很多輿論領袖參觀海外最先進的焚化設施，亦會安排有名望的專家，特別到區內向居民解釋轉廢為能設施的安全性。</w:t>
      </w:r>
    </w:p>
    <w:p>
      <w:pPr>
        <w:pStyle w:val="F21"/>
        <w:spacing w:lineRule="atLeast" w:line="380"/>
        <w:rPr>
          <w:szCs w:val="27"/>
        </w:rPr>
      </w:pPr>
      <w:r>
        <w:rPr>
          <w:szCs w:val="27"/>
        </w:rPr>
      </w:r>
    </w:p>
    <w:p>
      <w:pPr>
        <w:pStyle w:val="F21"/>
        <w:spacing w:lineRule="atLeast" w:line="380"/>
        <w:rPr>
          <w:szCs w:val="27"/>
        </w:rPr>
      </w:pPr>
      <w:r>
        <w:rPr>
          <w:szCs w:val="27"/>
        </w:rPr>
        <w:tab/>
      </w:r>
      <w:r>
        <w:rPr>
          <w:szCs w:val="27"/>
        </w:rPr>
        <w:t>最重要的是經過了這些諮詢後，南韓政府實施了一些能夠反映居民意見、滿足地區訴求的相應措施。例如，為了補償受焚化爐或生態復修工程影響的居民，當地政府會給予他們一些度身訂造的補償方案，例如免費穿梭巴士、補貼管理費及暖氣費等。</w:t>
      </w:r>
    </w:p>
    <w:p>
      <w:pPr>
        <w:pStyle w:val="F21"/>
        <w:spacing w:lineRule="atLeast" w:line="380"/>
        <w:rPr>
          <w:szCs w:val="27"/>
        </w:rPr>
      </w:pPr>
      <w:r>
        <w:rPr>
          <w:szCs w:val="27"/>
        </w:rPr>
      </w:r>
    </w:p>
    <w:p>
      <w:pPr>
        <w:pStyle w:val="F21"/>
        <w:spacing w:lineRule="atLeast" w:line="380"/>
        <w:rPr>
          <w:szCs w:val="27"/>
        </w:rPr>
      </w:pPr>
      <w:r>
        <w:rPr>
          <w:szCs w:val="27"/>
        </w:rPr>
        <w:tab/>
      </w:r>
      <w:r>
        <w:rPr>
          <w:szCs w:val="27"/>
        </w:rPr>
        <w:t>香港其實亦面對這個問題，便是很多居民都抗拒，但政府一直不願意討論補償措施，令很多問題都無法討論下去。我們認為政府在各方面均可以多點向南韓政府學習。</w:t>
      </w:r>
    </w:p>
    <w:p>
      <w:pPr>
        <w:pStyle w:val="F21"/>
        <w:spacing w:lineRule="atLeast" w:line="380"/>
        <w:rPr>
          <w:szCs w:val="27"/>
        </w:rPr>
      </w:pPr>
      <w:r>
        <w:rPr>
          <w:szCs w:val="27"/>
        </w:rPr>
      </w:r>
    </w:p>
    <w:p>
      <w:pPr>
        <w:pStyle w:val="F21"/>
        <w:spacing w:lineRule="atLeast" w:line="380"/>
        <w:rPr>
          <w:szCs w:val="27"/>
        </w:rPr>
      </w:pPr>
      <w:r>
        <w:rPr>
          <w:szCs w:val="27"/>
        </w:rPr>
        <w:tab/>
      </w:r>
      <w:r>
        <w:rPr>
          <w:szCs w:val="27"/>
        </w:rPr>
        <w:t xml:space="preserve">首爾其實還有很多成功經驗值得我們借鏡。廢物可以製造問題，但亦可以創造很多機會。首爾可以做到讓人覺得廢物處理可以等於新土地、新能源、新產業、新就業及新文化。這些都值得我們很認真地討論、思考及開拓一些新方向。多謝主席。 </w:t>
      </w:r>
    </w:p>
    <w:p>
      <w:pPr>
        <w:pStyle w:val="F21"/>
        <w:spacing w:lineRule="atLeast" w:line="380"/>
        <w:rPr/>
      </w:pPr>
      <w:r>
        <w:rPr/>
      </w:r>
    </w:p>
    <w:p>
      <w:pPr>
        <w:pStyle w:val="F21"/>
        <w:spacing w:lineRule="atLeast" w:line="380"/>
        <w:rPr/>
      </w:pPr>
      <w:r>
        <w:rPr/>
      </w:r>
    </w:p>
    <w:p>
      <w:pPr>
        <w:pStyle w:val="F21"/>
        <w:spacing w:lineRule="atLeast" w:line="380"/>
        <w:rPr>
          <w:szCs w:val="27"/>
        </w:rPr>
      </w:pPr>
      <w:r>
        <w:rPr>
          <w:rFonts w:ascii="華康中黑體" w:hAnsi="華康中黑體" w:cs="華康中黑體" w:eastAsia="華康中黑體"/>
          <w:b/>
          <w:szCs w:val="27"/>
        </w:rPr>
        <w:t>方剛議員</w:t>
      </w:r>
      <w:r>
        <w:rPr>
          <w:szCs w:val="27"/>
        </w:rPr>
        <w:t>：主席，我有參加這個考察南韓廢物處理經驗的訪問團。此行令我印象深刻的是，南韓政府在制訂廢物處理政策時的長遠目光、政府對政策推行給予的支持、市民教育，以至為達致最高效果而進行的互相監察等。難怪南韓會由</w:t>
      </w:r>
      <w:r>
        <w:rPr>
          <w:szCs w:val="27"/>
        </w:rPr>
        <w:t>1988</w:t>
      </w:r>
      <w:r>
        <w:rPr>
          <w:szCs w:val="27"/>
        </w:rPr>
        <w:t>年亞洲金融風暴之後的衰退境況，一躍成為今天亞洲以至全球的創新科技強國。</w:t>
      </w:r>
    </w:p>
    <w:p>
      <w:pPr>
        <w:pStyle w:val="F21"/>
        <w:spacing w:lineRule="atLeast" w:line="380"/>
        <w:rPr>
          <w:szCs w:val="27"/>
        </w:rPr>
      </w:pPr>
      <w:r>
        <w:rPr>
          <w:szCs w:val="27"/>
        </w:rPr>
      </w:r>
    </w:p>
    <w:p>
      <w:pPr>
        <w:pStyle w:val="F21"/>
        <w:spacing w:lineRule="atLeast" w:line="380"/>
        <w:rPr>
          <w:szCs w:val="27"/>
        </w:rPr>
      </w:pPr>
      <w:r>
        <w:rPr>
          <w:szCs w:val="27"/>
        </w:rPr>
        <w:tab/>
      </w:r>
      <w:r>
        <w:rPr>
          <w:szCs w:val="27"/>
        </w:rPr>
        <w:t>就今次考察，我只揀選其中兩點表達我的感受。第一是南韓擬訂廢物政策的理念，第二是南韓政府對推動廢物政策的支持。</w:t>
      </w:r>
    </w:p>
    <w:p>
      <w:pPr>
        <w:pStyle w:val="F21"/>
        <w:spacing w:lineRule="atLeast" w:line="380"/>
        <w:rPr>
          <w:szCs w:val="27"/>
        </w:rPr>
      </w:pPr>
      <w:r>
        <w:rPr>
          <w:szCs w:val="27"/>
        </w:rPr>
      </w:r>
    </w:p>
    <w:p>
      <w:pPr>
        <w:pStyle w:val="F21"/>
        <w:spacing w:lineRule="atLeast" w:line="380"/>
        <w:rPr>
          <w:szCs w:val="27"/>
        </w:rPr>
      </w:pPr>
      <w:r>
        <w:rPr>
          <w:szCs w:val="27"/>
        </w:rPr>
        <w:tab/>
      </w:r>
      <w:r>
        <w:rPr>
          <w:szCs w:val="27"/>
        </w:rPr>
        <w:t>就廢物處理問題，我在立法會多次提及到兩個觀點︰第一，寓禁於徵並非令市民建立環保意識的好辦法；第二，資源有限，垃圾裏是有“黃金”的，必須把可以循環再造的廢物取出，令物資可再生再用。</w:t>
      </w:r>
    </w:p>
    <w:p>
      <w:pPr>
        <w:pStyle w:val="F21"/>
        <w:spacing w:lineRule="atLeast" w:line="380"/>
        <w:rPr>
          <w:szCs w:val="27"/>
        </w:rPr>
      </w:pPr>
      <w:r>
        <w:rPr>
          <w:szCs w:val="27"/>
        </w:rPr>
      </w:r>
    </w:p>
    <w:p>
      <w:pPr>
        <w:pStyle w:val="F21"/>
        <w:spacing w:lineRule="atLeast" w:line="380"/>
        <w:rPr>
          <w:szCs w:val="27"/>
        </w:rPr>
      </w:pPr>
      <w:r>
        <w:rPr>
          <w:szCs w:val="27"/>
        </w:rPr>
        <w:tab/>
      </w:r>
      <w:r>
        <w:rPr>
          <w:szCs w:val="27"/>
        </w:rPr>
        <w:t>可能有人會立即回應我，指南韓也有各種垃圾徵費，包括膠袋稅、家居廢物及廚餘徵費。但是，南韓不像香港政府般，只是單一徵費，卻無解決措施。在南韓，各項政策均有很多配套措施，以膠袋稅為例，街邊小販和小商店所使用的是有顏色的購物袋，全都是循環再造的，因而無須向消費者徵收膠袋費。這樣不單可保護小企業的經營，亦能顧及便民與環保。</w:t>
      </w:r>
    </w:p>
    <w:p>
      <w:pPr>
        <w:pStyle w:val="F21"/>
        <w:spacing w:lineRule="atLeast" w:line="380"/>
        <w:rPr>
          <w:szCs w:val="27"/>
        </w:rPr>
      </w:pPr>
      <w:r>
        <w:rPr>
          <w:szCs w:val="27"/>
        </w:rPr>
      </w:r>
    </w:p>
    <w:p>
      <w:pPr>
        <w:pStyle w:val="F21"/>
        <w:spacing w:lineRule="atLeast" w:line="380"/>
        <w:rPr>
          <w:szCs w:val="27"/>
        </w:rPr>
      </w:pPr>
      <w:r>
        <w:rPr>
          <w:szCs w:val="27"/>
        </w:rPr>
        <w:tab/>
      </w:r>
      <w:r>
        <w:rPr>
          <w:szCs w:val="27"/>
        </w:rPr>
        <w:t>其次，雖然南韓是“按照每個污染者所產生的廢物量，徵收廢物處理費”，但與此同時，政府會提供免費的可循環再造廢物收集服務，從而在源頭減廢及鼓勵市民收集可循環再造的廢物。</w:t>
      </w:r>
    </w:p>
    <w:p>
      <w:pPr>
        <w:pStyle w:val="F21"/>
        <w:spacing w:lineRule="atLeast" w:line="380"/>
        <w:rPr>
          <w:szCs w:val="27"/>
        </w:rPr>
      </w:pPr>
      <w:r>
        <w:rPr>
          <w:szCs w:val="27"/>
        </w:rPr>
      </w:r>
    </w:p>
    <w:p>
      <w:pPr>
        <w:pStyle w:val="F21"/>
        <w:spacing w:lineRule="atLeast" w:line="380"/>
        <w:rPr>
          <w:szCs w:val="27"/>
        </w:rPr>
      </w:pPr>
      <w:r>
        <w:rPr>
          <w:szCs w:val="27"/>
        </w:rPr>
        <w:tab/>
      </w:r>
      <w:r>
        <w:rPr>
          <w:szCs w:val="27"/>
        </w:rPr>
        <w:t>收集方法是先自行分類，由地方政府免費直接回收，再送至廢物處理中心作進一步處理。經處理的可循環再造廢物，部分由地方製造商接收再造，部分則會出口。</w:t>
      </w:r>
    </w:p>
    <w:p>
      <w:pPr>
        <w:pStyle w:val="F21"/>
        <w:spacing w:lineRule="atLeast" w:line="380"/>
        <w:rPr>
          <w:szCs w:val="27"/>
        </w:rPr>
      </w:pPr>
      <w:r>
        <w:rPr>
          <w:szCs w:val="27"/>
        </w:rPr>
      </w:r>
    </w:p>
    <w:p>
      <w:pPr>
        <w:pStyle w:val="F21"/>
        <w:spacing w:lineRule="atLeast" w:line="380"/>
        <w:rPr>
          <w:szCs w:val="27"/>
        </w:rPr>
      </w:pPr>
      <w:r>
        <w:rPr>
          <w:szCs w:val="27"/>
        </w:rPr>
        <w:tab/>
      </w:r>
      <w:r>
        <w:rPr>
          <w:szCs w:val="27"/>
        </w:rPr>
        <w:t>香港建議的垃圾徵費方法，只是南韓在</w:t>
      </w:r>
      <w:r>
        <w:rPr>
          <w:szCs w:val="27"/>
        </w:rPr>
        <w:t>1995</w:t>
      </w:r>
      <w:r>
        <w:rPr>
          <w:szCs w:val="27"/>
        </w:rPr>
        <w:t>年推出的定額徵費模式。然而，南韓經過</w:t>
      </w:r>
      <w:r>
        <w:rPr>
          <w:szCs w:val="27"/>
        </w:rPr>
        <w:t>10</w:t>
      </w:r>
      <w:r>
        <w:rPr>
          <w:szCs w:val="27"/>
        </w:rPr>
        <w:t>年的觀察，發現單純徵費無助於減少垃圾數量，因而於</w:t>
      </w:r>
      <w:r>
        <w:rPr>
          <w:szCs w:val="27"/>
        </w:rPr>
        <w:t>2005</w:t>
      </w:r>
      <w:r>
        <w:rPr>
          <w:szCs w:val="27"/>
        </w:rPr>
        <w:t>年修訂為按丟棄量徵收，並以回收有用的廢物作配合。</w:t>
      </w:r>
    </w:p>
    <w:p>
      <w:pPr>
        <w:pStyle w:val="F21"/>
        <w:spacing w:lineRule="atLeast" w:line="380"/>
        <w:rPr>
          <w:szCs w:val="27"/>
        </w:rPr>
      </w:pPr>
      <w:r>
        <w:rPr>
          <w:szCs w:val="27"/>
        </w:rPr>
      </w:r>
    </w:p>
    <w:p>
      <w:pPr>
        <w:pStyle w:val="F21"/>
        <w:spacing w:lineRule="atLeast" w:line="380"/>
        <w:rPr>
          <w:szCs w:val="27"/>
        </w:rPr>
      </w:pPr>
      <w:r>
        <w:rPr>
          <w:szCs w:val="27"/>
        </w:rPr>
        <w:tab/>
      </w:r>
      <w:r>
        <w:rPr>
          <w:szCs w:val="27"/>
        </w:rPr>
        <w:t>別人的做法是對可循環再造的垃圾免費回收，但香港則每樣也要收費。除了今天早上通過的有關傾倒建築廢料的收費外，膠袋要收費、廢電器電子產品要收費、玻璃樽要收費、家居垃圾也要收費。在香港，處理任何物料也要收費。</w:t>
      </w:r>
    </w:p>
    <w:p>
      <w:pPr>
        <w:pStyle w:val="F21"/>
        <w:spacing w:lineRule="atLeast" w:line="380"/>
        <w:rPr>
          <w:szCs w:val="27"/>
        </w:rPr>
      </w:pPr>
      <w:r>
        <w:rPr>
          <w:szCs w:val="27"/>
        </w:rPr>
      </w:r>
    </w:p>
    <w:p>
      <w:pPr>
        <w:pStyle w:val="F21"/>
        <w:spacing w:lineRule="atLeast" w:line="380"/>
        <w:rPr>
          <w:szCs w:val="27"/>
        </w:rPr>
      </w:pPr>
      <w:r>
        <w:rPr>
          <w:szCs w:val="27"/>
        </w:rPr>
        <w:tab/>
      </w:r>
      <w:r>
        <w:rPr>
          <w:szCs w:val="27"/>
        </w:rPr>
        <w:t>然而，即使付了廢物處理費，或把廢物放到環保箱，那些廢物很可能也是會被送到堆填區。建築廢料的情況就是這樣，丟棄時要付錢，政府又要耗用金錢擴大堆填區，但南韓卻有</w:t>
      </w:r>
      <w:r>
        <w:rPr>
          <w:szCs w:val="27"/>
        </w:rPr>
        <w:t>95%</w:t>
      </w:r>
      <w:r>
        <w:rPr>
          <w:szCs w:val="27"/>
        </w:rPr>
        <w:t>的建築廢料會被回收。</w:t>
      </w:r>
    </w:p>
    <w:p>
      <w:pPr>
        <w:pStyle w:val="F21"/>
        <w:spacing w:lineRule="atLeast" w:line="380"/>
        <w:rPr>
          <w:szCs w:val="27"/>
        </w:rPr>
      </w:pPr>
      <w:r>
        <w:rPr>
          <w:szCs w:val="27"/>
        </w:rPr>
      </w:r>
    </w:p>
    <w:p>
      <w:pPr>
        <w:pStyle w:val="F21"/>
        <w:spacing w:lineRule="atLeast" w:line="380"/>
        <w:rPr>
          <w:szCs w:val="27"/>
        </w:rPr>
      </w:pPr>
      <w:r>
        <w:rPr>
          <w:szCs w:val="27"/>
        </w:rPr>
        <w:tab/>
      </w:r>
      <w:r>
        <w:rPr>
          <w:szCs w:val="27"/>
        </w:rPr>
        <w:t>又例如臭味最嚴重的廚餘，政府為爭取支持擴大將軍澳堆填區，宣布不會接收廚餘。這樣，我便想問廚餘會送往哪裏呢？當然是送到堆填區了。我曾問局長，是否可以先做廚餘回收，減少堆填區臭味呢？答案是短期內無法興建大量處理廚餘的設施。如果短期內無法大量興建，也可以先興建少量吧？但他是連少量也不願意興建。</w:t>
      </w:r>
    </w:p>
    <w:p>
      <w:pPr>
        <w:pStyle w:val="F21"/>
        <w:rPr>
          <w:szCs w:val="27"/>
        </w:rPr>
      </w:pPr>
      <w:r>
        <w:rPr>
          <w:szCs w:val="27"/>
        </w:rPr>
      </w:r>
    </w:p>
    <w:p>
      <w:pPr>
        <w:pStyle w:val="F21"/>
        <w:rPr>
          <w:szCs w:val="27"/>
        </w:rPr>
      </w:pPr>
      <w:r>
        <w:rPr>
          <w:szCs w:val="27"/>
        </w:rPr>
        <w:tab/>
      </w:r>
      <w:r>
        <w:rPr>
          <w:szCs w:val="27"/>
        </w:rPr>
        <w:t>南韓的環保政策才可稱為源頭減廢，重點是減少丟棄，並非用懲罰性手段，嚇到大家不敢使用。</w:t>
      </w:r>
    </w:p>
    <w:p>
      <w:pPr>
        <w:pStyle w:val="F21"/>
        <w:rPr>
          <w:szCs w:val="27"/>
        </w:rPr>
      </w:pPr>
      <w:r>
        <w:rPr>
          <w:szCs w:val="27"/>
        </w:rPr>
      </w:r>
    </w:p>
    <w:p>
      <w:pPr>
        <w:pStyle w:val="F21"/>
        <w:rPr>
          <w:szCs w:val="27"/>
        </w:rPr>
      </w:pPr>
      <w:r>
        <w:rPr>
          <w:szCs w:val="27"/>
        </w:rPr>
        <w:tab/>
      </w:r>
      <w:r>
        <w:rPr>
          <w:spacing w:val="16"/>
          <w:szCs w:val="27"/>
        </w:rPr>
        <w:t>為達至減廢目的，南韓政府提供財政支援以支持回收業發展，包括</w:t>
      </w:r>
      <w:r>
        <w:rPr>
          <w:szCs w:val="27"/>
        </w:rPr>
        <w:t>向回收公司提供長期低息貸款、協助開發回收設施和技術、安排專家為新成立的回收公司提供諮詢服務，協助其開業及經營。此外，政府亦支援再造工業的發展及環保產品的開發，以達致“一條龍”的效果。</w:t>
      </w:r>
    </w:p>
    <w:p>
      <w:pPr>
        <w:pStyle w:val="F21"/>
        <w:rPr>
          <w:szCs w:val="27"/>
        </w:rPr>
      </w:pPr>
      <w:r>
        <w:rPr>
          <w:szCs w:val="27"/>
        </w:rPr>
      </w:r>
    </w:p>
    <w:p>
      <w:pPr>
        <w:pStyle w:val="F21"/>
        <w:rPr>
          <w:szCs w:val="27"/>
        </w:rPr>
      </w:pPr>
      <w:r>
        <w:rPr>
          <w:szCs w:val="27"/>
        </w:rPr>
        <w:tab/>
      </w:r>
      <w:r>
        <w:rPr>
          <w:szCs w:val="27"/>
        </w:rPr>
        <w:t>主席，我們挑選進行考察的地方時，無論是政府或立法會，相信都是以對方的情況與香港接近，以及有成績值得我們參考和學習為準則。南韓，特別是首爾，城市環境和生活習慣等都與香港相似，當地處理垃圾的政策累積了多年的經驗，值得香港借鏡，讓我們不用走冤枉路。今次考察，我們基本上都認同南韓的廢物處理方案。因此，我希望通過今次考察，能為香港政府擬訂及推行廢物處理政策的工作，帶來有效和實質的幫助。</w:t>
      </w:r>
    </w:p>
    <w:p>
      <w:pPr>
        <w:pStyle w:val="F21"/>
        <w:rPr>
          <w:szCs w:val="27"/>
        </w:rPr>
      </w:pPr>
      <w:r>
        <w:rPr>
          <w:szCs w:val="27"/>
        </w:rPr>
      </w:r>
    </w:p>
    <w:p>
      <w:pPr>
        <w:pStyle w:val="F21"/>
        <w:rPr>
          <w:szCs w:val="27"/>
        </w:rPr>
      </w:pPr>
      <w:r>
        <w:rPr>
          <w:szCs w:val="27"/>
        </w:rPr>
        <w:tab/>
      </w:r>
      <w:r>
        <w:rPr>
          <w:szCs w:val="27"/>
        </w:rPr>
        <w:t>多謝主席，我謹此陳辭。</w:t>
      </w:r>
    </w:p>
    <w:p>
      <w:pPr>
        <w:pStyle w:val="F21"/>
        <w:rPr/>
      </w:pPr>
      <w:r>
        <w:rPr/>
      </w:r>
    </w:p>
    <w:p>
      <w:pPr>
        <w:pStyle w:val="F21"/>
        <w:rPr/>
      </w:pPr>
      <w:r>
        <w:rPr/>
      </w:r>
    </w:p>
    <w:p>
      <w:pPr>
        <w:pStyle w:val="F21"/>
        <w:rPr>
          <w:szCs w:val="27"/>
        </w:rPr>
      </w:pPr>
      <w:r>
        <w:rPr>
          <w:rFonts w:cs="華康中黑體" w:eastAsia="華康中黑體"/>
          <w:b/>
          <w:szCs w:val="27"/>
        </w:rPr>
        <w:t>郭家麒議員</w:t>
      </w:r>
      <w:r>
        <w:rPr>
          <w:szCs w:val="27"/>
        </w:rPr>
        <w:t>：主席，首先我要感謝立法會同事花了很多時間做預備工夫，並且實地到南韓考察，參考了很多源頭減廢做法，以及用比較積極和進取的態度處理垃圾問題的經驗。但看回特區政府，我們便相當失望，因為新局長就任時，我對他和他的團隊，包括我們熟悉的副局長和政</w:t>
      </w:r>
      <w:r>
        <w:rPr>
          <w:szCs w:val="27"/>
          <w:lang w:val="en"/>
        </w:rPr>
        <w:t>治</w:t>
      </w:r>
      <w:r>
        <w:rPr>
          <w:szCs w:val="27"/>
        </w:rPr>
        <w:t>助</w:t>
      </w:r>
      <w:r>
        <w:rPr>
          <w:szCs w:val="27"/>
          <w:lang w:val="en"/>
        </w:rPr>
        <w:t>理，</w:t>
      </w:r>
      <w:r>
        <w:rPr>
          <w:szCs w:val="27"/>
        </w:rPr>
        <w:t>都寄予厚望。這</w:t>
      </w:r>
      <w:r>
        <w:rPr>
          <w:szCs w:val="27"/>
        </w:rPr>
        <w:t>1</w:t>
      </w:r>
      <w:r>
        <w:rPr>
          <w:szCs w:val="27"/>
        </w:rPr>
        <w:t>年多以來，他們交了甚麼“功課”給我們？交出來的還不是較早之前一直提出，上屆政府沒有落實，他們將之落實的計劃，例如堆填區或隔了不久便一定會再次提出的焚化爐。我不是說這些工作不應該做，我們亦不認為只有單一的方法處理垃圾，我相信無論回收有多進步，做得多好，始終有些廢物需要堆填和焚化，問題是政府有否盡其本分。</w:t>
      </w:r>
    </w:p>
    <w:p>
      <w:pPr>
        <w:pStyle w:val="F21"/>
        <w:rPr>
          <w:szCs w:val="27"/>
        </w:rPr>
      </w:pPr>
      <w:r>
        <w:rPr>
          <w:szCs w:val="27"/>
        </w:rPr>
      </w:r>
    </w:p>
    <w:p>
      <w:pPr>
        <w:pStyle w:val="F21"/>
        <w:rPr>
          <w:szCs w:val="27"/>
        </w:rPr>
      </w:pPr>
      <w:r>
        <w:rPr>
          <w:szCs w:val="27"/>
        </w:rPr>
        <w:tab/>
      </w:r>
      <w:r>
        <w:rPr>
          <w:szCs w:val="27"/>
        </w:rPr>
        <w:t>方剛議員剛才所提到的看法，我是相當同意的。儘管方剛議員是代表商界，但他並沒有單純從商界的角度來看，亦沒有完全反對廢物徵費，而是認為應考慮徵費能否解決問題。韓國現時在做甚麼工作呢？當我們還在討論廚餘概念，還在討論廢物徵費，考慮該採用甚麼方法時，他們收集的廚餘已需要用電子磅量度，無論是家庭或餐廳也要這樣量度。此外，他們亦教育不同的餐廳、餐廳員工甚至食客，使他們明白製造廚餘和廢物，會令整個社會付出沉重的代價。</w:t>
      </w:r>
    </w:p>
    <w:p>
      <w:pPr>
        <w:pStyle w:val="F21"/>
        <w:rPr>
          <w:szCs w:val="27"/>
        </w:rPr>
      </w:pPr>
      <w:r>
        <w:rPr>
          <w:szCs w:val="27"/>
        </w:rPr>
      </w:r>
    </w:p>
    <w:p>
      <w:pPr>
        <w:pStyle w:val="F21"/>
        <w:rPr>
          <w:szCs w:val="27"/>
        </w:rPr>
      </w:pPr>
      <w:r>
        <w:rPr>
          <w:szCs w:val="27"/>
        </w:rPr>
        <w:tab/>
      </w:r>
      <w:r>
        <w:rPr>
          <w:szCs w:val="27"/>
        </w:rPr>
        <w:t>我們現時在討論</w:t>
      </w:r>
      <w:r>
        <w:rPr>
          <w:szCs w:val="27"/>
        </w:rPr>
        <w:t>190</w:t>
      </w:r>
      <w:r>
        <w:rPr>
          <w:szCs w:val="27"/>
        </w:rPr>
        <w:t>多億元的擴大堆填區計劃，主席，這個計劃很快便要來闖關，雖然沒有怎麼諮詢，局長仍然對屯門區居民的訴求置若罔聞，但也要來闖關。除了計劃用</w:t>
      </w:r>
      <w:r>
        <w:rPr>
          <w:szCs w:val="27"/>
        </w:rPr>
        <w:t>190</w:t>
      </w:r>
      <w:r>
        <w:rPr>
          <w:szCs w:val="27"/>
        </w:rPr>
        <w:t>億元擴大堆填區外，興建焚化爐所需的費用估計不少於</w:t>
      </w:r>
      <w:r>
        <w:rPr>
          <w:szCs w:val="27"/>
        </w:rPr>
        <w:t>140</w:t>
      </w:r>
      <w:r>
        <w:rPr>
          <w:szCs w:val="27"/>
        </w:rPr>
        <w:t>億元，合共便要</w:t>
      </w:r>
      <w:r>
        <w:rPr>
          <w:szCs w:val="27"/>
        </w:rPr>
        <w:t>300</w:t>
      </w:r>
      <w:r>
        <w:rPr>
          <w:szCs w:val="27"/>
        </w:rPr>
        <w:t>多億元。政府投放於回收業的資源有多少呢？每年單是維持現有的堆填區便差不多需要</w:t>
      </w:r>
      <w:r>
        <w:rPr>
          <w:szCs w:val="27"/>
        </w:rPr>
        <w:t>6</w:t>
      </w:r>
      <w:r>
        <w:rPr>
          <w:szCs w:val="27"/>
        </w:rPr>
        <w:t>億元，政府不對稱地投放很多資源於消極性的廢物處理方法，投放於積極性處理方法的資源卻沒有多少。局長拿出來的</w:t>
      </w:r>
      <w:r>
        <w:rPr>
          <w:szCs w:val="27"/>
        </w:rPr>
        <w:t>10</w:t>
      </w:r>
      <w:r>
        <w:rPr>
          <w:szCs w:val="27"/>
        </w:rPr>
        <w:t>年藍圖，不聽猶可，一聽便覺心寒。局長說廚餘回收工場所能處理的，只是我們每天產生廚餘中的極少部分，而這還是一個</w:t>
      </w:r>
      <w:r>
        <w:rPr>
          <w:szCs w:val="27"/>
        </w:rPr>
        <w:t>10</w:t>
      </w:r>
      <w:r>
        <w:rPr>
          <w:szCs w:val="27"/>
        </w:rPr>
        <w:t>年藍圖，教我們如何放心呢？</w:t>
      </w:r>
    </w:p>
    <w:p>
      <w:pPr>
        <w:pStyle w:val="F21"/>
        <w:rPr>
          <w:szCs w:val="27"/>
        </w:rPr>
      </w:pPr>
      <w:r>
        <w:rPr>
          <w:szCs w:val="27"/>
        </w:rPr>
      </w:r>
    </w:p>
    <w:p>
      <w:pPr>
        <w:pStyle w:val="F21"/>
        <w:rPr>
          <w:szCs w:val="27"/>
        </w:rPr>
      </w:pPr>
      <w:r>
        <w:rPr>
          <w:szCs w:val="27"/>
        </w:rPr>
        <w:tab/>
      </w:r>
      <w:r>
        <w:rPr>
          <w:szCs w:val="27"/>
        </w:rPr>
        <w:t>事實上，早前曾有議員提及，立法會也提出過，就是可否將這情況轉為一個機會，創造商機或就業機會給我們稱為弱勢的社區或有就業困難的社區，例如新界西</w:t>
      </w:r>
      <w:r>
        <w:rPr>
          <w:rFonts w:ascii="華康細明體" w:hAnsi="華康細明體"/>
          <w:szCs w:val="27"/>
        </w:rPr>
        <w:t>北、</w:t>
      </w:r>
      <w:r>
        <w:rPr>
          <w:szCs w:val="27"/>
        </w:rPr>
        <w:t>天水圍和東涌等相對貧窮的地區。對於弱勢社羣例如殘障人士，或需要就業的人士，這都能提供很多機會，但政府做了多少工夫？現時環保園回收的物資是十分少的，佔整體可以回收的物資中的比例十分小。</w:t>
      </w:r>
    </w:p>
    <w:p>
      <w:pPr>
        <w:pStyle w:val="F21"/>
        <w:rPr>
          <w:szCs w:val="27"/>
        </w:rPr>
      </w:pPr>
      <w:r>
        <w:rPr>
          <w:szCs w:val="27"/>
        </w:rPr>
      </w:r>
    </w:p>
    <w:p>
      <w:pPr>
        <w:pStyle w:val="F21"/>
        <w:rPr>
          <w:szCs w:val="27"/>
        </w:rPr>
      </w:pPr>
      <w:r>
        <w:rPr>
          <w:szCs w:val="27"/>
        </w:rPr>
        <w:tab/>
      </w:r>
      <w:r>
        <w:rPr>
          <w:szCs w:val="27"/>
        </w:rPr>
        <w:t>政府很多時候都在自我催眠，說已經做得不錯了，回收量已有四、五成，大家都知道這是謊言。局長，你和我也知道，那些回收廢物其實是經過回收箱後再送到堆填區，這是大家也知道的。政府閉上眼看不見，然後隨便製造數據，但這是沒有用的。大家都明白，製造廢物始終是要付出代價，即使不是香港付出代價，拿電子廢物到內地“拆骨”，我們的同胞便要付出代價，這不就是要國內同胞承受毒害嗎？不過，這些毒害是會回頭的，現時的白米有很多鎘，大家都心知肚明這些鎘從何而來，便是從環境污染，以及廢物特別是電子廢物的污染而來。這些廢物污染了土地，我們這樣投放有毒物質，早晚我們的子子孫孫都要承受。所以，我們所提出的要求，又或是從韓國取得的經驗，我不希望會白費。</w:t>
      </w:r>
    </w:p>
    <w:p>
      <w:pPr>
        <w:pStyle w:val="F21"/>
        <w:rPr>
          <w:szCs w:val="27"/>
        </w:rPr>
      </w:pPr>
      <w:r>
        <w:rPr>
          <w:szCs w:val="27"/>
        </w:rPr>
      </w:r>
    </w:p>
    <w:p>
      <w:pPr>
        <w:pStyle w:val="F21"/>
        <w:rPr>
          <w:szCs w:val="27"/>
        </w:rPr>
      </w:pPr>
      <w:r>
        <w:rPr>
          <w:szCs w:val="27"/>
        </w:rPr>
        <w:tab/>
      </w:r>
      <w:r>
        <w:rPr>
          <w:szCs w:val="27"/>
        </w:rPr>
        <w:t>坦白說，局長現時拿出來的</w:t>
      </w:r>
      <w:r>
        <w:rPr>
          <w:szCs w:val="27"/>
        </w:rPr>
        <w:t>10</w:t>
      </w:r>
      <w:r>
        <w:rPr>
          <w:szCs w:val="27"/>
        </w:rPr>
        <w:t>年藍圖是無法接受的，肯定無法向我們和對我們的下一代作交代，我們要求的是更進取和積極的方法。我同意單是徵費是沒有用的，只是徵費而沒有提供第二個渠道，這些徵收回來的資源或金錢便沒有投放的目標。舉例而言，只徵收膠袋稅是沒有用的，徵收膠袋稅所取得資源有沒有投放到環保用途？假如將來實施廢物徵費，我們可能只是枉作小人，政府只是多找名目收錢，以為收了錢便了事。但如果政府不是把收到的資源用於發展積極和進取的環保政策和做法，其實都是自欺欺人，政府只是繼續在自我催眠。我最希望何秀蘭議員和她的同事這次訪問不是“白去”，政府不是虛應一下議員，聲稱會討論議員這次訪問所取得的經驗後，便要求本會通過堆填區和焚化爐的撥款申請。假如是這樣的話，即使我們答應撥款，也只是害了政府。</w:t>
      </w:r>
    </w:p>
    <w:p>
      <w:pPr>
        <w:pStyle w:val="F21"/>
        <w:rPr>
          <w:szCs w:val="27"/>
        </w:rPr>
      </w:pPr>
      <w:r>
        <w:rPr>
          <w:szCs w:val="27"/>
        </w:rPr>
      </w:r>
    </w:p>
    <w:p>
      <w:pPr>
        <w:pStyle w:val="F21"/>
        <w:rPr>
          <w:szCs w:val="27"/>
        </w:rPr>
      </w:pPr>
      <w:r>
        <w:rPr>
          <w:szCs w:val="27"/>
        </w:rPr>
        <w:tab/>
      </w:r>
      <w:r>
        <w:rPr>
          <w:szCs w:val="27"/>
        </w:rPr>
        <w:t>主席，我謹此陳辭。</w:t>
      </w:r>
    </w:p>
    <w:p>
      <w:pPr>
        <w:pStyle w:val="F21"/>
        <w:rPr>
          <w:szCs w:val="27"/>
        </w:rPr>
      </w:pPr>
      <w:r>
        <w:rPr>
          <w:szCs w:val="27"/>
        </w:rPr>
      </w:r>
    </w:p>
    <w:p>
      <w:pPr>
        <w:pStyle w:val="F21"/>
        <w:rPr>
          <w:szCs w:val="27"/>
        </w:rPr>
      </w:pPr>
      <w:r>
        <w:rPr>
          <w:szCs w:val="27"/>
        </w:rPr>
      </w:r>
    </w:p>
    <w:p>
      <w:pPr>
        <w:pStyle w:val="F21"/>
        <w:rPr>
          <w:szCs w:val="27"/>
        </w:rPr>
      </w:pPr>
      <w:r>
        <w:rPr>
          <w:rFonts w:ascii="華康細明體" w:hAnsi="華康細明體" w:eastAsia="華康中黑體"/>
          <w:b/>
          <w:szCs w:val="27"/>
        </w:rPr>
        <w:t>李卓人</w:t>
      </w:r>
      <w:r>
        <w:rPr>
          <w:rFonts w:ascii="華康中黑體" w:hAnsi="華康中黑體" w:cs="華康中黑體" w:eastAsia="華康中黑體"/>
          <w:b/>
          <w:szCs w:val="27"/>
        </w:rPr>
        <w:t>議員</w:t>
      </w:r>
      <w:r>
        <w:rPr>
          <w:szCs w:val="27"/>
        </w:rPr>
        <w:t>：主席，從這次南韓考察團的人數可見，立法會十分關注這問題，大家均覺得南韓的經驗很有參考價值。不過，對於我們一直以來觀察所得的經驗，特區政府究竟願意採納多少，並予以落實呢？</w:t>
      </w:r>
    </w:p>
    <w:p>
      <w:pPr>
        <w:pStyle w:val="F21"/>
        <w:rPr>
          <w:szCs w:val="27"/>
        </w:rPr>
      </w:pPr>
      <w:r>
        <w:rPr>
          <w:szCs w:val="27"/>
        </w:rPr>
      </w:r>
    </w:p>
    <w:p>
      <w:pPr>
        <w:pStyle w:val="F21"/>
        <w:rPr>
          <w:szCs w:val="27"/>
        </w:rPr>
      </w:pPr>
      <w:r>
        <w:rPr>
          <w:szCs w:val="27"/>
        </w:rPr>
        <w:tab/>
      </w:r>
      <w:r>
        <w:rPr>
          <w:szCs w:val="27"/>
        </w:rPr>
        <w:t>香港經常討論這問題，但政府的執行力又如何？為何政府總是執行不力？政府經常使用一些差勁的技倆，在執行不力時，便會表示要有人辦事，因此建議開設新職位，例如聘請助理署長。第二招便是聘請顧問撰寫研究報告。政府經常使用類似技倆，大家聽到也不禁發笑，因為最終還是原地踏步，一事無成。</w:t>
      </w:r>
    </w:p>
    <w:p>
      <w:pPr>
        <w:pStyle w:val="F21"/>
        <w:rPr>
          <w:szCs w:val="27"/>
        </w:rPr>
      </w:pPr>
      <w:r>
        <w:rPr>
          <w:szCs w:val="27"/>
        </w:rPr>
      </w:r>
    </w:p>
    <w:p>
      <w:pPr>
        <w:pStyle w:val="F21"/>
        <w:rPr>
          <w:szCs w:val="27"/>
        </w:rPr>
      </w:pPr>
      <w:r>
        <w:rPr>
          <w:szCs w:val="27"/>
        </w:rPr>
        <w:tab/>
      </w:r>
      <w:r>
        <w:rPr>
          <w:szCs w:val="27"/>
        </w:rPr>
        <w:t>在開設新職位及聘請顧問撰寫研究報告後，政府便會游說大家支持擴建堆填區，請大家通過政府向財務委員會提交的擴建堆填區撥款申請。局長一定會說︰“李卓人，不要把我們形容得如此不濟。我們真的十分有誠意辦事。”局長稍後一定會說同一番話。不過，我們所要求的並非誠意，而是具體的全盤規劃，訂定各環節的詳細工作，向所有議員解釋。</w:t>
      </w:r>
    </w:p>
    <w:p>
      <w:pPr>
        <w:pStyle w:val="F21"/>
        <w:rPr>
          <w:szCs w:val="27"/>
        </w:rPr>
      </w:pPr>
      <w:r>
        <w:rPr>
          <w:szCs w:val="27"/>
        </w:rPr>
      </w:r>
    </w:p>
    <w:p>
      <w:pPr>
        <w:pStyle w:val="F21"/>
        <w:rPr>
          <w:szCs w:val="27"/>
        </w:rPr>
      </w:pPr>
      <w:r>
        <w:rPr>
          <w:szCs w:val="27"/>
        </w:rPr>
        <w:tab/>
      </w:r>
      <w:r>
        <w:rPr>
          <w:szCs w:val="27"/>
        </w:rPr>
        <w:t>局長當天在環境事務委員會</w:t>
      </w:r>
      <w:r>
        <w:rPr>
          <w:szCs w:val="27"/>
        </w:rPr>
        <w:t>(“</w:t>
      </w:r>
      <w:r>
        <w:rPr>
          <w:szCs w:val="27"/>
        </w:rPr>
        <w:t>事務委員會”</w:t>
      </w:r>
      <w:r>
        <w:rPr>
          <w:szCs w:val="27"/>
        </w:rPr>
        <w:t>)</w:t>
      </w:r>
      <w:r>
        <w:rPr>
          <w:szCs w:val="27"/>
        </w:rPr>
        <w:t xml:space="preserve">會議上向大家表示，政府需要開設一個新職位，負責撰寫顧問報告，又表示會多走一步，會成立基金 </w:t>
      </w:r>
      <w:r>
        <w:rPr>
          <w:rFonts w:ascii="Symbol" w:hAnsi="Symbol" w:cs="Symbol" w:eastAsia="Symbol"/>
          <w:lang w:eastAsia="zh-CN"/>
        </w:rPr>
        <w:t></w:t>
      </w:r>
      <w:r>
        <w:rPr>
          <w:szCs w:val="27"/>
        </w:rPr>
        <w:t xml:space="preserve"> 該基金其實早已成立 </w:t>
      </w:r>
      <w:r>
        <w:rPr>
          <w:rFonts w:ascii="Symbol" w:hAnsi="Symbol" w:cs="Symbol" w:eastAsia="Symbol"/>
          <w:lang w:eastAsia="zh-CN"/>
        </w:rPr>
        <w:t></w:t>
      </w:r>
      <w:r>
        <w:rPr>
          <w:szCs w:val="27"/>
        </w:rPr>
        <w:t xml:space="preserve"> 及進行一些小型試驗計劃。坦白說，該基金已經試行五、六年，但政府至今仍舊調重彈，我們真的難以接受。政府接着便會轉移視線，表示最重要的是成功徵費，只要成功徵費，事情便一定會辦妥，把焦點轉移至徵費。</w:t>
      </w:r>
    </w:p>
    <w:p>
      <w:pPr>
        <w:pStyle w:val="F21"/>
        <w:rPr>
          <w:szCs w:val="27"/>
        </w:rPr>
      </w:pPr>
      <w:r>
        <w:rPr>
          <w:szCs w:val="27"/>
        </w:rPr>
      </w:r>
    </w:p>
    <w:p>
      <w:pPr>
        <w:pStyle w:val="F21"/>
        <w:rPr>
          <w:szCs w:val="27"/>
        </w:rPr>
      </w:pPr>
      <w:r>
        <w:rPr>
          <w:szCs w:val="27"/>
        </w:rPr>
        <w:tab/>
      </w:r>
      <w:r>
        <w:rPr>
          <w:szCs w:val="27"/>
        </w:rPr>
        <w:t>工黨所在乎的，並非單是徵費的問題，而是政府有否一套完整的制度的問題。考察團報告所載的流程表清楚易明。首爾的整套都市廢物管理制度將都市廢物分為</w:t>
      </w:r>
      <w:r>
        <w:rPr>
          <w:szCs w:val="27"/>
        </w:rPr>
        <w:t>3</w:t>
      </w:r>
      <w:r>
        <w:rPr>
          <w:szCs w:val="27"/>
        </w:rPr>
        <w:t xml:space="preserve">類：“廚餘”、“不可循環再造的廢物” </w:t>
      </w:r>
      <w:r>
        <w:rPr>
          <w:rFonts w:ascii="Symbol" w:hAnsi="Symbol" w:cs="Symbol" w:eastAsia="Symbol"/>
        </w:rPr>
        <w:t></w:t>
      </w:r>
      <w:r>
        <w:rPr>
          <w:szCs w:val="27"/>
        </w:rPr>
        <w:t xml:space="preserve"> 我不知道是指誰，大家想像一下吧 </w:t>
      </w:r>
      <w:r>
        <w:rPr>
          <w:rFonts w:ascii="Symbol" w:hAnsi="Symbol" w:cs="Symbol" w:eastAsia="Symbol"/>
        </w:rPr>
        <w:t></w:t>
      </w:r>
      <w:r>
        <w:rPr>
          <w:szCs w:val="27"/>
        </w:rPr>
        <w:t xml:space="preserve"> 以及“可循環再造的廢物”。當中，最難處理的是第二類。 </w:t>
      </w:r>
    </w:p>
    <w:p>
      <w:pPr>
        <w:pStyle w:val="F21"/>
        <w:rPr>
          <w:szCs w:val="27"/>
        </w:rPr>
      </w:pPr>
      <w:r>
        <w:rPr>
          <w:szCs w:val="27"/>
        </w:rPr>
      </w:r>
    </w:p>
    <w:p>
      <w:pPr>
        <w:pStyle w:val="F21"/>
        <w:rPr>
          <w:szCs w:val="27"/>
        </w:rPr>
      </w:pPr>
      <w:r>
        <w:rPr>
          <w:szCs w:val="27"/>
        </w:rPr>
        <w:tab/>
      </w:r>
      <w:r>
        <w:rPr>
          <w:szCs w:val="27"/>
        </w:rPr>
        <w:t>南韓政府將都市廢物分為</w:t>
      </w:r>
      <w:r>
        <w:rPr>
          <w:szCs w:val="27"/>
        </w:rPr>
        <w:t>3</w:t>
      </w:r>
      <w:r>
        <w:rPr>
          <w:szCs w:val="27"/>
        </w:rPr>
        <w:t xml:space="preserve">類。“廚餘”一類包括堆肥及動物飼料，而“不可循環再造的廢物”有兩種處理方法：“可燃廢物”會被焚燒，“不可燃廢物”便會送往堆填區，即要麼燒毀，要麼堆填。第三類 </w:t>
      </w:r>
      <w:r>
        <w:rPr>
          <w:rFonts w:ascii="Symbol" w:hAnsi="Symbol" w:cs="Symbol" w:eastAsia="Symbol"/>
          <w:lang w:eastAsia="zh-CN"/>
        </w:rPr>
        <w:t></w:t>
      </w:r>
      <w:r>
        <w:rPr>
          <w:szCs w:val="27"/>
        </w:rPr>
        <w:t xml:space="preserve"> “可循環再造的廢物” </w:t>
      </w:r>
      <w:r>
        <w:rPr>
          <w:rFonts w:ascii="Symbol" w:hAnsi="Symbol" w:cs="Symbol" w:eastAsia="Symbol"/>
          <w:lang w:eastAsia="zh-CN"/>
        </w:rPr>
        <w:t></w:t>
      </w:r>
      <w:r>
        <w:rPr>
          <w:szCs w:val="27"/>
        </w:rPr>
        <w:t xml:space="preserve"> 會被送往分類中心，化作循環再造的產品。整個流程便是如此，是十分清楚的。當然，在將都市廢物分類前，還有一個重要環節 </w:t>
      </w:r>
      <w:r>
        <w:rPr>
          <w:rFonts w:ascii="Symbol" w:hAnsi="Symbol" w:cs="Symbol" w:eastAsia="Symbol"/>
          <w:lang w:eastAsia="zh-CN"/>
        </w:rPr>
        <w:t></w:t>
      </w:r>
      <w:r>
        <w:rPr>
          <w:szCs w:val="27"/>
        </w:rPr>
        <w:t xml:space="preserve"> 減少廢物。</w:t>
      </w:r>
    </w:p>
    <w:p>
      <w:pPr>
        <w:pStyle w:val="F21"/>
        <w:rPr>
          <w:szCs w:val="27"/>
        </w:rPr>
      </w:pPr>
      <w:r>
        <w:rPr>
          <w:szCs w:val="27"/>
        </w:rPr>
      </w:r>
    </w:p>
    <w:p>
      <w:pPr>
        <w:pStyle w:val="F21"/>
        <w:rPr>
          <w:szCs w:val="27"/>
        </w:rPr>
      </w:pPr>
      <w:r>
        <w:rPr>
          <w:szCs w:val="27"/>
        </w:rPr>
        <w:tab/>
      </w:r>
      <w:r>
        <w:rPr>
          <w:szCs w:val="27"/>
        </w:rPr>
        <w:t>反觀香港，政府卻沒有按照各類都市廢物的性質採用不同的處理方法，例如焚化、堆填、轉化為堆肥及循環再造，政府只將所有都市廢物送往堆填區。政府當然會表示在減少用紙方面已進行多項工作，但我請局長不要重複已有成果的工作，因為我們現時所談論的是政府尚未落實的工作。</w:t>
      </w:r>
    </w:p>
    <w:p>
      <w:pPr>
        <w:pStyle w:val="F21"/>
        <w:rPr>
          <w:szCs w:val="27"/>
        </w:rPr>
      </w:pPr>
      <w:r>
        <w:rPr>
          <w:szCs w:val="27"/>
        </w:rPr>
      </w:r>
    </w:p>
    <w:p>
      <w:pPr>
        <w:pStyle w:val="F21"/>
        <w:rPr>
          <w:szCs w:val="27"/>
        </w:rPr>
      </w:pPr>
      <w:r>
        <w:rPr>
          <w:szCs w:val="27"/>
        </w:rPr>
        <w:tab/>
      </w:r>
      <w:r>
        <w:rPr>
          <w:szCs w:val="27"/>
        </w:rPr>
        <w:t>局長，你或許還記得我在事務委員會會議上指出，廚餘的環節處理不好，其他的環節也會處理不好，這是我們前往台北考察時所得的經驗。如果不把廚餘分類出來，便會導致其他都市廢物也無法分類，所以我覺得最重要的是將廚餘分類出來。</w:t>
      </w:r>
    </w:p>
    <w:p>
      <w:pPr>
        <w:pStyle w:val="F21"/>
        <w:rPr>
          <w:szCs w:val="27"/>
        </w:rPr>
      </w:pPr>
      <w:r>
        <w:rPr>
          <w:szCs w:val="27"/>
        </w:rPr>
      </w:r>
    </w:p>
    <w:p>
      <w:pPr>
        <w:pStyle w:val="F21"/>
        <w:rPr>
          <w:szCs w:val="27"/>
        </w:rPr>
      </w:pPr>
      <w:r>
        <w:rPr>
          <w:szCs w:val="27"/>
        </w:rPr>
        <w:tab/>
      </w:r>
      <w:r>
        <w:rPr>
          <w:szCs w:val="27"/>
        </w:rPr>
        <w:t>不過，不知道為何</w:t>
      </w:r>
      <w:r>
        <w:rPr>
          <w:szCs w:val="27"/>
        </w:rPr>
        <w:t>......</w:t>
      </w:r>
      <w:r>
        <w:rPr>
          <w:szCs w:val="27"/>
        </w:rPr>
        <w:t>我其實猜得到原因，便是局長無能為力，所以他一直迴避我有關廚餘的問題。一談及廚餘，局長便會表示政府現正在玻璃、塑膠方面着手，又說政府一定會繼續那些方面的工作，但對於廚餘的問題，卻總是避而不答。</w:t>
      </w:r>
    </w:p>
    <w:p>
      <w:pPr>
        <w:pStyle w:val="F21"/>
        <w:rPr>
          <w:szCs w:val="27"/>
        </w:rPr>
      </w:pPr>
      <w:r>
        <w:rPr>
          <w:szCs w:val="27"/>
        </w:rPr>
      </w:r>
    </w:p>
    <w:p>
      <w:pPr>
        <w:pStyle w:val="F21"/>
        <w:rPr>
          <w:szCs w:val="27"/>
        </w:rPr>
      </w:pPr>
      <w:r>
        <w:rPr>
          <w:szCs w:val="27"/>
        </w:rPr>
        <w:tab/>
      </w:r>
      <w:r>
        <w:rPr>
          <w:szCs w:val="27"/>
        </w:rPr>
        <w:t>然而，廚餘是最關鍵的部分，廚餘處理不好，都市廢物便無法處理得好。整套制度應如何設計？我們覺得，如果政府要徵費的話，便必須提供出路。意思是，願意把廚餘分類出來的市民不單無需繳付徵費，還可以得到“獎品”，例如日用品換領優惠券，但當然不是超級市場的日用品換領優惠券。政府要想想如何讓市民無需光顧大財團亦能換領日用品，從中得益。政府可以考慮類似做法，但必須先要求市民將廚餘妥善分類出來。</w:t>
      </w:r>
    </w:p>
    <w:p>
      <w:pPr>
        <w:pStyle w:val="F21"/>
        <w:rPr>
          <w:szCs w:val="27"/>
        </w:rPr>
      </w:pPr>
      <w:r>
        <w:rPr>
          <w:szCs w:val="27"/>
        </w:rPr>
      </w:r>
    </w:p>
    <w:p>
      <w:pPr>
        <w:pStyle w:val="F21"/>
        <w:rPr>
          <w:szCs w:val="27"/>
        </w:rPr>
      </w:pPr>
      <w:r>
        <w:rPr>
          <w:szCs w:val="27"/>
        </w:rPr>
        <w:tab/>
      </w:r>
      <w:r>
        <w:rPr>
          <w:szCs w:val="27"/>
        </w:rPr>
        <w:t xml:space="preserve">市民先將廚餘從其他都市廢物中分類出來，再將廚餘分為兩類 </w:t>
      </w:r>
      <w:r>
        <w:rPr>
          <w:rFonts w:ascii="Symbol" w:hAnsi="Symbol" w:cs="Symbol" w:eastAsia="Symbol"/>
          <w:lang w:eastAsia="zh-CN"/>
        </w:rPr>
        <w:t></w:t>
      </w:r>
      <w:r>
        <w:rPr>
          <w:szCs w:val="27"/>
        </w:rPr>
        <w:t xml:space="preserve"> 濕廚餘及乾廚餘 </w:t>
      </w:r>
      <w:r>
        <w:rPr>
          <w:rFonts w:ascii="Symbol" w:hAnsi="Symbol" w:cs="Symbol" w:eastAsia="Symbol"/>
          <w:lang w:eastAsia="zh-CN"/>
        </w:rPr>
        <w:t></w:t>
      </w:r>
      <w:r>
        <w:rPr>
          <w:szCs w:val="27"/>
        </w:rPr>
        <w:t xml:space="preserve"> 由當局用回收車收集，送往別處處理。意思是，廚餘送往一個地方，而其他都市廢物則送往分類中心。現時有部分都市廢物透過科技分類，無需人手。不肯將廚餘分類出來的市民，便是要繳付徵費的市民 </w:t>
      </w:r>
      <w:r>
        <w:rPr>
          <w:rFonts w:ascii="Symbol" w:hAnsi="Symbol" w:cs="Symbol" w:eastAsia="Symbol"/>
          <w:lang w:eastAsia="zh-CN"/>
        </w:rPr>
        <w:t></w:t>
      </w:r>
      <w:r>
        <w:rPr>
          <w:szCs w:val="27"/>
        </w:rPr>
        <w:t xml:space="preserve"> 我們當然希望這類市民只屬少數 </w:t>
      </w:r>
      <w:r>
        <w:rPr>
          <w:rFonts w:ascii="Symbol" w:hAnsi="Symbol" w:cs="Symbol" w:eastAsia="Symbol"/>
          <w:lang w:eastAsia="zh-CN"/>
        </w:rPr>
        <w:t></w:t>
      </w:r>
      <w:r>
        <w:rPr>
          <w:szCs w:val="27"/>
        </w:rPr>
        <w:t xml:space="preserve"> 他們的都市廢物便由垃圾車收集。這又是否可行？</w:t>
      </w:r>
    </w:p>
    <w:p>
      <w:pPr>
        <w:pStyle w:val="F21"/>
        <w:spacing w:lineRule="atLeast" w:line="380"/>
        <w:rPr>
          <w:szCs w:val="27"/>
        </w:rPr>
      </w:pPr>
      <w:r>
        <w:rPr>
          <w:szCs w:val="27"/>
        </w:rPr>
      </w:r>
    </w:p>
    <w:p>
      <w:pPr>
        <w:pStyle w:val="F21"/>
        <w:spacing w:lineRule="atLeast" w:line="380"/>
        <w:rPr>
          <w:szCs w:val="27"/>
        </w:rPr>
      </w:pPr>
      <w:r>
        <w:rPr>
          <w:szCs w:val="27"/>
        </w:rPr>
        <w:tab/>
      </w:r>
      <w:r>
        <w:rPr>
          <w:szCs w:val="27"/>
        </w:rPr>
        <w:t>如是者，整個過程便會製造大量就業機會。在過程中，政府要教育及鼓勵市民如何將廢物分類，而社區組織亦會參與其中，進行宣傳教育，鼓勵市民將廢物分類。廢物分類過程還會產生就業機會，在廚餘方面及循環再造方面亦然，形成一條產業鏈。這是否可行？為何政府做不到？</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我們希望政府能先有一套整全的制度，然後才討論徵費及堆填區的問題，因為一套整全的制度是必要的。</w:t>
      </w:r>
    </w:p>
    <w:p>
      <w:pPr>
        <w:pStyle w:val="F21"/>
        <w:spacing w:lineRule="atLeast" w:line="380"/>
        <w:rPr>
          <w:szCs w:val="27"/>
        </w:rPr>
      </w:pPr>
      <w:r>
        <w:rPr>
          <w:szCs w:val="27"/>
        </w:rPr>
      </w:r>
    </w:p>
    <w:p>
      <w:pPr>
        <w:pStyle w:val="F21"/>
        <w:spacing w:lineRule="atLeast" w:line="380"/>
        <w:rPr>
          <w:szCs w:val="27"/>
        </w:rPr>
      </w:pPr>
      <w:r>
        <w:rPr>
          <w:szCs w:val="27"/>
        </w:rPr>
        <w:tab/>
      </w:r>
      <w:r>
        <w:rPr>
          <w:szCs w:val="27"/>
        </w:rPr>
        <w:t>多謝主席。</w:t>
      </w:r>
    </w:p>
    <w:p>
      <w:pPr>
        <w:pStyle w:val="F21"/>
        <w:spacing w:lineRule="atLeast" w:line="380"/>
        <w:rPr/>
      </w:pPr>
      <w:r>
        <w:rPr/>
      </w:r>
    </w:p>
    <w:p>
      <w:pPr>
        <w:pStyle w:val="F21"/>
        <w:spacing w:lineRule="atLeast" w:line="380"/>
        <w:rPr/>
      </w:pPr>
      <w:r>
        <w:rPr/>
      </w:r>
    </w:p>
    <w:p>
      <w:pPr>
        <w:pStyle w:val="F21"/>
        <w:spacing w:lineRule="atLeast" w:line="380"/>
        <w:rPr>
          <w:szCs w:val="27"/>
        </w:rPr>
      </w:pPr>
      <w:r>
        <w:rPr>
          <w:rFonts w:eastAsia="華康中黑體"/>
          <w:b/>
          <w:szCs w:val="27"/>
        </w:rPr>
        <w:t>陳家洛議員</w:t>
      </w:r>
      <w:r>
        <w:rPr>
          <w:szCs w:val="27"/>
        </w:rPr>
        <w:t>：我想問局長一個問題，假設他有</w:t>
      </w:r>
      <w:r>
        <w:rPr>
          <w:szCs w:val="27"/>
        </w:rPr>
        <w:t>5</w:t>
      </w:r>
      <w:r>
        <w:rPr>
          <w:szCs w:val="27"/>
        </w:rPr>
        <w:t>年任期，在任期完結後，他想留下甚麼政績，讓世世代代的香港市民都會記得？相信每一個人</w:t>
      </w:r>
      <w:r>
        <w:rPr>
          <w:szCs w:val="27"/>
        </w:rPr>
        <w:t>(</w:t>
      </w:r>
      <w:r>
        <w:rPr>
          <w:szCs w:val="27"/>
        </w:rPr>
        <w:t>包括局長你</w:t>
      </w:r>
      <w:r>
        <w:rPr>
          <w:szCs w:val="27"/>
        </w:rPr>
        <w:t>)</w:t>
      </w:r>
      <w:r>
        <w:rPr>
          <w:szCs w:val="27"/>
        </w:rPr>
        <w:t>擔任公職，願意走進這個“熱廚房”，加入政府，多少也有一點使命感，那又是甚麼？</w:t>
      </w:r>
    </w:p>
    <w:p>
      <w:pPr>
        <w:pStyle w:val="F21"/>
        <w:spacing w:lineRule="atLeast" w:line="380"/>
        <w:rPr>
          <w:szCs w:val="27"/>
        </w:rPr>
      </w:pPr>
      <w:r>
        <w:rPr>
          <w:szCs w:val="27"/>
        </w:rPr>
      </w:r>
    </w:p>
    <w:p>
      <w:pPr>
        <w:pStyle w:val="F21"/>
        <w:spacing w:lineRule="atLeast" w:line="380"/>
        <w:rPr>
          <w:szCs w:val="27"/>
        </w:rPr>
      </w:pPr>
      <w:r>
        <w:rPr>
          <w:szCs w:val="27"/>
        </w:rPr>
        <w:tab/>
      </w:r>
      <w:r>
        <w:rPr>
          <w:szCs w:val="27"/>
        </w:rPr>
        <w:t>只要聽一聽同事們參與今天這項辯論的發言，多少也能感到大家希望看到的，並不單是政府與立法會議員一起往南韓跑一趟，進行觀摩、探討和討論，然後把經驗帶回來和議會分享，我們並無需要如此勞師動眾地這樣做。還有政府十分着緊，即將於</w:t>
      </w:r>
      <w:r>
        <w:rPr>
          <w:szCs w:val="27"/>
        </w:rPr>
        <w:t>3</w:t>
      </w:r>
      <w:r>
        <w:rPr>
          <w:szCs w:val="27"/>
        </w:rPr>
        <w:t>月前往歐洲參觀焚化設施的行程。辦這些訪問團、交流團，讓議員與政府一起前往參觀這些設施，參考其他國家的經驗，究竟局長希望最後能留下些甚麼給香港人和我們這個社會呢？</w:t>
      </w:r>
    </w:p>
    <w:p>
      <w:pPr>
        <w:pStyle w:val="F21"/>
        <w:spacing w:lineRule="atLeast" w:line="380"/>
        <w:rPr>
          <w:szCs w:val="27"/>
        </w:rPr>
      </w:pPr>
      <w:r>
        <w:rPr>
          <w:szCs w:val="27"/>
        </w:rPr>
      </w:r>
    </w:p>
    <w:p>
      <w:pPr>
        <w:pStyle w:val="F21"/>
        <w:spacing w:lineRule="atLeast" w:line="380"/>
        <w:rPr>
          <w:szCs w:val="27"/>
        </w:rPr>
      </w:pPr>
      <w:r>
        <w:rPr>
          <w:szCs w:val="27"/>
        </w:rPr>
        <w:tab/>
      </w:r>
      <w:r>
        <w:rPr>
          <w:szCs w:val="27"/>
        </w:rPr>
        <w:t>政府是否希望告訴我們，在黃錦星局長任內，就都市固體廢物的處理，將相對於廖秀冬和邱騰華這兩位前任局長，有一套更加實在和整全的計劃？這是一個願景，而不僅是一份篇幅十多二十頁的藍圖，能真正做到切實執行，並有十分實在的指標和參數，可說服公眾一起走這條路。</w:t>
      </w:r>
    </w:p>
    <w:p>
      <w:pPr>
        <w:pStyle w:val="F21"/>
        <w:spacing w:lineRule="atLeast" w:line="380"/>
        <w:rPr>
          <w:szCs w:val="27"/>
        </w:rPr>
      </w:pPr>
      <w:r>
        <w:rPr>
          <w:szCs w:val="27"/>
        </w:rPr>
      </w:r>
    </w:p>
    <w:p>
      <w:pPr>
        <w:pStyle w:val="F21"/>
        <w:spacing w:lineRule="atLeast" w:line="380"/>
        <w:rPr>
          <w:szCs w:val="27"/>
        </w:rPr>
      </w:pPr>
      <w:r>
        <w:rPr>
          <w:szCs w:val="27"/>
        </w:rPr>
        <w:tab/>
      </w:r>
      <w:r>
        <w:rPr>
          <w:szCs w:val="27"/>
        </w:rPr>
        <w:t>政府經常告訴立法會議員，就都市固體廢物的處理要實行“三軌制”，即焚化、回收和堆填，缺一不可。原來處理都市固體廢物也有缺一不可的“三軌制”，但當議員、民間組織或環保團體表示察悉時，他們要向政府提出的問題卻是，那該怎麼做？</w:t>
      </w:r>
    </w:p>
    <w:p>
      <w:pPr>
        <w:pStyle w:val="F21"/>
        <w:rPr>
          <w:szCs w:val="27"/>
        </w:rPr>
      </w:pPr>
      <w:r>
        <w:rPr>
          <w:szCs w:val="27"/>
        </w:rPr>
      </w:r>
    </w:p>
    <w:p>
      <w:pPr>
        <w:pStyle w:val="F21"/>
        <w:rPr>
          <w:szCs w:val="27"/>
        </w:rPr>
      </w:pPr>
      <w:r>
        <w:rPr>
          <w:szCs w:val="27"/>
        </w:rPr>
        <w:tab/>
      </w:r>
      <w:r>
        <w:rPr>
          <w:szCs w:val="27"/>
        </w:rPr>
        <w:t>南韓的回收指標是六成多，我們則是五成，而根據局長你的藍圖，到</w:t>
      </w:r>
      <w:r>
        <w:rPr>
          <w:szCs w:val="27"/>
        </w:rPr>
        <w:t>2020</w:t>
      </w:r>
      <w:r>
        <w:rPr>
          <w:szCs w:val="27"/>
        </w:rPr>
        <w:t>年時也只有五成半。比起廖秀冬局長的年代，我其實也曾在事務委員會向你提出，你的指標似乎比她落後了超過</w:t>
      </w:r>
      <w:r>
        <w:rPr>
          <w:szCs w:val="27"/>
        </w:rPr>
        <w:t>7</w:t>
      </w:r>
      <w:r>
        <w:rPr>
          <w:szCs w:val="27"/>
        </w:rPr>
        <w:t>年，為何會如此？局長在事務委員會作出的回應是，以你這份藍圖的重點而言，最終極的追求並不在於回收。局長並指出，一些先進國家的回收率或許只有兩至三成，但其主要重點在於減少整體的末端棄置量，所以，你的藍圖重點與以往的不同，把末端棄置量減少四成才是我們的追求。</w:t>
      </w:r>
    </w:p>
    <w:p>
      <w:pPr>
        <w:pStyle w:val="F21"/>
        <w:rPr>
          <w:szCs w:val="27"/>
        </w:rPr>
      </w:pPr>
      <w:r>
        <w:rPr>
          <w:szCs w:val="27"/>
        </w:rPr>
      </w:r>
    </w:p>
    <w:p>
      <w:pPr>
        <w:pStyle w:val="F21"/>
        <w:rPr>
          <w:szCs w:val="27"/>
        </w:rPr>
      </w:pPr>
      <w:r>
        <w:rPr>
          <w:szCs w:val="27"/>
        </w:rPr>
        <w:tab/>
      </w:r>
      <w:r>
        <w:rPr>
          <w:szCs w:val="27"/>
        </w:rPr>
        <w:t>除了藍圖所訂的時間表、路線圖、提升現時回收率的方向外，更主要的重點是減少堆填區的末端棄置量。我們認同在源頭減少製造垃圾是一個很好的方向，但問題是對於已製造出來的垃圾，政府可有進一步提高其回收率的目標？我們可否進一步提高回收再造業的吸納量，從而幫助香港市民兼創造商機呢？須知垃圾堆中真的有黃金，既可製造就業機會，也可推動新興產業。我說的這些其實並非理論，而是現實。當其他國家正努力處理這問題時，我們總是不知該怎麼辦，只有對牛彈琴、畫餅充饑之感。</w:t>
      </w:r>
    </w:p>
    <w:p>
      <w:pPr>
        <w:pStyle w:val="F21"/>
        <w:rPr>
          <w:szCs w:val="27"/>
        </w:rPr>
      </w:pPr>
      <w:r>
        <w:rPr>
          <w:szCs w:val="27"/>
        </w:rPr>
      </w:r>
    </w:p>
    <w:p>
      <w:pPr>
        <w:pStyle w:val="F21"/>
        <w:rPr>
          <w:szCs w:val="27"/>
        </w:rPr>
      </w:pPr>
      <w:r>
        <w:rPr>
          <w:szCs w:val="27"/>
        </w:rPr>
        <w:tab/>
      </w:r>
      <w:r>
        <w:rPr>
          <w:szCs w:val="27"/>
        </w:rPr>
        <w:t>在減少廚餘或減少因我們的飲食習慣而製造的垃圾方面，我們其實也走得踉踉蹌蹌。各大型快餐店固然共同製造了很多垃圾，但我們作為消費者亦一樣。我曾要求店員不要用膠袋盛載我的凍飲，但他堅持，即使我把杯子拿出，他也要替我放回去，因他說這會弄髒顧客的手。我得出盡九牛二虎之力，才能堅持不要那個膠袋，而飲管的情況亦一樣。</w:t>
      </w:r>
    </w:p>
    <w:p>
      <w:pPr>
        <w:pStyle w:val="F21"/>
        <w:rPr>
          <w:szCs w:val="27"/>
        </w:rPr>
      </w:pPr>
      <w:r>
        <w:rPr>
          <w:szCs w:val="27"/>
        </w:rPr>
      </w:r>
    </w:p>
    <w:p>
      <w:pPr>
        <w:pStyle w:val="F21"/>
        <w:rPr>
          <w:szCs w:val="27"/>
        </w:rPr>
      </w:pPr>
      <w:r>
        <w:rPr>
          <w:szCs w:val="27"/>
        </w:rPr>
        <w:tab/>
      </w:r>
      <w:r>
        <w:rPr>
          <w:szCs w:val="27"/>
        </w:rPr>
        <w:t>大家可以想像，我們不時收到的那些所謂好消息，說甚麼有良心商戶或良心製造商嘗試做一些事，幫幫地球，但其實說來說去，只是一些公關手法、公關</w:t>
      </w:r>
      <w:r>
        <w:rPr>
          <w:szCs w:val="27"/>
        </w:rPr>
        <w:t>show</w:t>
      </w:r>
      <w:r>
        <w:rPr>
          <w:szCs w:val="27"/>
        </w:rPr>
        <w:t>而已，並不能持續，也不可靠，只能製造自我感覺良好的一刻，提供可讓大家討論的一些好人好事。但是，單靠這些是不行的，歸根結底，我們究竟有沒有一套整全的思路，令社會能聚焦實行？</w:t>
      </w:r>
    </w:p>
    <w:p>
      <w:pPr>
        <w:pStyle w:val="F21"/>
        <w:rPr>
          <w:szCs w:val="27"/>
        </w:rPr>
      </w:pPr>
      <w:r>
        <w:rPr>
          <w:szCs w:val="27"/>
        </w:rPr>
      </w:r>
    </w:p>
    <w:p>
      <w:pPr>
        <w:pStyle w:val="F21"/>
        <w:rPr>
          <w:szCs w:val="27"/>
        </w:rPr>
      </w:pPr>
      <w:r>
        <w:rPr>
          <w:szCs w:val="27"/>
        </w:rPr>
        <w:tab/>
      </w:r>
      <w:r>
        <w:rPr>
          <w:szCs w:val="27"/>
        </w:rPr>
        <w:t>假設局長要帶領我們前行，他必須能夠取信於民，並表現出具有執行能力，那才可以成事。當然，要在香港社會取信於民的確十分困難，特別是在局長所屬的這個政府內取信於民，更是難上加難。我曾是審議膠袋徵費立法建議的法案委員會委員，老實說連建制派同事，聲稱自己是“鐵桿保皇”的黃定光議員也說很難支持有關建議。人人自稱熱愛環保，但也感到難以支持政府，甚至是建制派同事也有百般保留。當中其實也有合理原因，其一是政府根本無法提出其願景，試問我們該怎麼做呢？又或在實行時如何作出整體配合，以切實做到源頭減廢？</w:t>
      </w:r>
    </w:p>
    <w:p>
      <w:pPr>
        <w:pStyle w:val="F21"/>
        <w:rPr>
          <w:szCs w:val="27"/>
        </w:rPr>
      </w:pPr>
      <w:r>
        <w:rPr>
          <w:szCs w:val="27"/>
        </w:rPr>
      </w:r>
    </w:p>
    <w:p>
      <w:pPr>
        <w:pStyle w:val="F21"/>
        <w:rPr>
          <w:szCs w:val="27"/>
        </w:rPr>
      </w:pPr>
      <w:r>
        <w:rPr>
          <w:szCs w:val="27"/>
        </w:rPr>
        <w:tab/>
      </w:r>
      <w:r>
        <w:rPr>
          <w:szCs w:val="27"/>
        </w:rPr>
        <w:t>在生活習慣方面，很多同事向我提供了南韓</w:t>
      </w:r>
      <w:r>
        <w:rPr>
          <w:szCs w:val="27"/>
        </w:rPr>
        <w:t>101</w:t>
      </w:r>
      <w:r>
        <w:rPr>
          <w:szCs w:val="27"/>
        </w:rPr>
        <w:t>種由農場到餐桌到廚餘的處理錦囊，我相信這些均可在香港由幼稚園開始做起</w:t>
      </w:r>
      <w:r>
        <w:rPr>
          <w:i/>
          <w:szCs w:val="27"/>
        </w:rPr>
        <w:t>(</w:t>
      </w:r>
      <w:r>
        <w:rPr>
          <w:i/>
          <w:szCs w:val="27"/>
        </w:rPr>
        <w:t>計時器響起</w:t>
      </w:r>
      <w:r>
        <w:rPr>
          <w:i/>
          <w:szCs w:val="27"/>
        </w:rPr>
        <w:t>)</w:t>
      </w:r>
      <w:r>
        <w:rPr>
          <w:szCs w:val="27"/>
        </w:rPr>
        <w:t>......</w:t>
      </w:r>
      <w:r>
        <w:rPr>
          <w:szCs w:val="27"/>
        </w:rPr>
        <w:t>但香港必須再多做一點。</w:t>
      </w:r>
    </w:p>
    <w:p>
      <w:pPr>
        <w:pStyle w:val="F21"/>
        <w:rPr>
          <w:szCs w:val="27"/>
        </w:rPr>
      </w:pPr>
      <w:r>
        <w:rPr>
          <w:szCs w:val="27"/>
        </w:rPr>
      </w:r>
    </w:p>
    <w:p>
      <w:pPr>
        <w:pStyle w:val="F21"/>
        <w:rPr>
          <w:szCs w:val="27"/>
        </w:rPr>
      </w:pPr>
      <w:r>
        <w:rPr>
          <w:szCs w:val="27"/>
        </w:rPr>
        <w:tab/>
      </w:r>
      <w:r>
        <w:rPr>
          <w:szCs w:val="27"/>
        </w:rPr>
        <w:t>我謹此陳辭。</w:t>
      </w:r>
    </w:p>
    <w:p>
      <w:pPr>
        <w:pStyle w:val="F21"/>
        <w:rPr>
          <w:szCs w:val="27"/>
        </w:rPr>
      </w:pPr>
      <w:r>
        <w:rPr>
          <w:szCs w:val="27"/>
        </w:rPr>
      </w:r>
    </w:p>
    <w:p>
      <w:pPr>
        <w:pStyle w:val="F21"/>
        <w:rPr/>
      </w:pPr>
      <w:r>
        <w:rPr/>
      </w:r>
    </w:p>
    <w:p>
      <w:pPr>
        <w:pStyle w:val="F21"/>
        <w:rPr/>
      </w:pPr>
      <w:r>
        <w:rPr>
          <w:rFonts w:ascii="華康中黑體" w:hAnsi="華康中黑體" w:cs="華康中黑體" w:eastAsia="華康中黑體"/>
          <w:b/>
        </w:rPr>
        <w:t>陳偉業議員</w:t>
      </w:r>
      <w:r>
        <w:rPr/>
        <w:t>：主席，每次看這些訪問團的考察報告，我都感到很欷歔。我在</w:t>
      </w:r>
      <w:r>
        <w:rPr/>
        <w:t>1987</w:t>
      </w:r>
      <w:r>
        <w:rPr/>
        <w:t>年首次參加這類考察團，當年我是區域市政局議員，未有資格成為立法會議員。當年區域市政局赴日本考察，回來後撰寫了一份報告提交政府。當年那份報告中的說法，對日本所建的精美焚化爐及在焚燒時可以發電的技術感到很驚訝。那份於</w:t>
      </w:r>
      <w:r>
        <w:rPr/>
        <w:t>1988</w:t>
      </w:r>
      <w:r>
        <w:rPr/>
        <w:t>年發表的報告已列出這些建議。其後，無論在區域市政局當議員期間，抑或在</w:t>
      </w:r>
      <w:r>
        <w:rPr/>
        <w:t>1991</w:t>
      </w:r>
      <w:r>
        <w:rPr/>
        <w:t>年當選立法局議員後，都曾先後訪問很多地方，撰寫了不少報告及提出不少建議。</w:t>
      </w:r>
    </w:p>
    <w:p>
      <w:pPr>
        <w:pStyle w:val="F21"/>
        <w:rPr/>
      </w:pPr>
      <w:r>
        <w:rPr/>
      </w:r>
    </w:p>
    <w:p>
      <w:pPr>
        <w:pStyle w:val="F21"/>
        <w:rPr/>
      </w:pPr>
      <w:r>
        <w:rPr/>
        <w:tab/>
      </w:r>
      <w:r>
        <w:rPr/>
        <w:t>有些在</w:t>
      </w:r>
      <w:r>
        <w:rPr/>
        <w:t>80</w:t>
      </w:r>
      <w:r>
        <w:rPr/>
        <w:t>年代撰寫的報告，與這個南韓考察團的報告有點相似，特別在轉廢為能及如何推動回收業方面。根據這份報告，南韓的回收業帶來的經濟效益由</w:t>
      </w:r>
      <w:r>
        <w:rPr/>
        <w:t>2001</w:t>
      </w:r>
      <w:r>
        <w:rPr/>
        <w:t>年的</w:t>
      </w:r>
      <w:r>
        <w:rPr/>
        <w:t>17</w:t>
      </w:r>
      <w:r>
        <w:rPr/>
        <w:t>億元增加至</w:t>
      </w:r>
      <w:r>
        <w:rPr/>
        <w:t>2009</w:t>
      </w:r>
      <w:r>
        <w:rPr/>
        <w:t>年的</w:t>
      </w:r>
      <w:r>
        <w:rPr/>
        <w:t>70</w:t>
      </w:r>
      <w:r>
        <w:rPr/>
        <w:t>億元。其實我們在</w:t>
      </w:r>
      <w:r>
        <w:rPr/>
        <w:t>80</w:t>
      </w:r>
      <w:r>
        <w:rPr/>
        <w:t>年代至</w:t>
      </w:r>
      <w:r>
        <w:rPr/>
        <w:t>90</w:t>
      </w:r>
      <w:r>
        <w:rPr/>
        <w:t>年代初期已開始討論，但當時是港英政府的夕陽歲月，快將撤走，沒有甚麼管治意志，其後，在董建華年代和曾蔭權年代也不斷討論這些問題。南韓回收業帶來的經濟效益已由</w:t>
      </w:r>
      <w:r>
        <w:rPr/>
        <w:t>2001</w:t>
      </w:r>
      <w:r>
        <w:rPr/>
        <w:t>年的</w:t>
      </w:r>
      <w:r>
        <w:rPr/>
        <w:t>17</w:t>
      </w:r>
      <w:r>
        <w:rPr/>
        <w:t>億元增加至</w:t>
      </w:r>
      <w:r>
        <w:rPr/>
        <w:t>2009</w:t>
      </w:r>
      <w:r>
        <w:rPr/>
        <w:t>年的</w:t>
      </w:r>
      <w:r>
        <w:rPr/>
        <w:t>70</w:t>
      </w:r>
      <w:r>
        <w:rPr/>
        <w:t>億元。</w:t>
      </w:r>
    </w:p>
    <w:p>
      <w:pPr>
        <w:pStyle w:val="F21"/>
        <w:rPr/>
      </w:pPr>
      <w:r>
        <w:rPr/>
      </w:r>
    </w:p>
    <w:p>
      <w:pPr>
        <w:pStyle w:val="F21"/>
        <w:rPr/>
      </w:pPr>
      <w:r>
        <w:rPr/>
        <w:tab/>
      </w:r>
      <w:r>
        <w:rPr/>
        <w:t>在</w:t>
      </w:r>
      <w:r>
        <w:rPr/>
        <w:t>2001</w:t>
      </w:r>
      <w:r>
        <w:rPr/>
        <w:t>年前，香港一直有很多人提出要做好廢物管理，但整個政府，包括回歸後的政府，都完全沒有處理這些問題，又或在處理這些問題時極度緩慢、沒有組織、沒有效能和沒有效果。以致如今當我們訪問其他地方，包括當年我們認為比香港落後很多的地方，看見人家已經飛躍前進，但我們仍然像蝸牛般緩慢。因此，當看見這些報告，我不禁質疑這個政府究竟在幹甚麼？</w:t>
      </w:r>
    </w:p>
    <w:p>
      <w:pPr>
        <w:pStyle w:val="F21"/>
        <w:rPr/>
      </w:pPr>
      <w:r>
        <w:rPr/>
      </w:r>
    </w:p>
    <w:p>
      <w:pPr>
        <w:pStyle w:val="F21"/>
        <w:rPr/>
      </w:pPr>
      <w:r>
        <w:rPr/>
        <w:tab/>
      </w:r>
      <w:r>
        <w:rPr/>
        <w:t>回顧香港這麼多年來，在環保或改善環境方面，在轉廢為能、廢物回收或源頭分類等方面的落後，皆因政府缺乏管治意志。任何中央要員提出的要求，政府便好像哈巴狗那般跟着吠、照着辦。香港本土方面，香港人極需要的，對香港的環境、香港人的就業、香港的公共開支、香港的聲譽等有幫助的事，政府卻“闊佬懶理”。利益輸送倒很迅速，突然要批出數百億元來買車便很迅速，要花錢來輸送利益給某些人便很迅速，因為在議事堂內，有很多人有相關利益，或支持這個議事堂內某些人當選，其背後有很多相關利益。同樣是關於環保，審批那些項目卻異常迅速，一下子便送數百億元給人家買新車。</w:t>
      </w:r>
    </w:p>
    <w:p>
      <w:pPr>
        <w:pStyle w:val="F21"/>
        <w:rPr/>
      </w:pPr>
      <w:r>
        <w:rPr/>
      </w:r>
    </w:p>
    <w:p>
      <w:pPr>
        <w:pStyle w:val="F21"/>
        <w:rPr/>
      </w:pPr>
      <w:r>
        <w:rPr/>
        <w:tab/>
      </w:r>
      <w:r>
        <w:rPr/>
        <w:t>但是，對於廢物管理的工作，有關的官員，特別是我們的特首，完全是“闊佬懶理”。一來我們的特首，例如曾蔭權在離任前才突然覺醒日本有那些設施，可是，我們在</w:t>
      </w:r>
      <w:r>
        <w:rPr/>
        <w:t>25</w:t>
      </w:r>
      <w:r>
        <w:rPr/>
        <w:t>年前訪問日本時已有那些設施。這</w:t>
      </w:r>
      <w:r>
        <w:rPr/>
        <w:t>25</w:t>
      </w:r>
      <w:r>
        <w:rPr/>
        <w:t>年來，他只顧跟富豪“海陸空大貪腐”、“珠港澳豪華遊”，被名酒、茅台、山珍海味蒙蔽了良知和視野。由於政府高層缺乏管治意志，所以他們對這些問題真的沒有興趣。</w:t>
      </w:r>
    </w:p>
    <w:p>
      <w:pPr>
        <w:pStyle w:val="F21"/>
        <w:rPr/>
      </w:pPr>
      <w:r>
        <w:rPr/>
      </w:r>
    </w:p>
    <w:p>
      <w:pPr>
        <w:pStyle w:val="F21"/>
        <w:rPr/>
      </w:pPr>
      <w:r>
        <w:rPr/>
        <w:tab/>
      </w:r>
      <w:r>
        <w:rPr/>
        <w:t xml:space="preserve">第二，我認為最大的阻礙，以及在推動時建立很多關卡的人，不排除是我們的公務員，特別是政務官。過去我跟某些司局長 </w:t>
      </w:r>
      <w:r>
        <w:rPr>
          <w:rFonts w:ascii="Symbol" w:hAnsi="Symbol" w:cs="Symbol" w:eastAsia="Symbol"/>
        </w:rPr>
        <w:t></w:t>
      </w:r>
      <w:r>
        <w:rPr/>
        <w:t xml:space="preserve"> 不是現任局長 </w:t>
      </w:r>
      <w:r>
        <w:rPr>
          <w:rFonts w:ascii="Symbol" w:hAnsi="Symbol" w:cs="Symbol" w:eastAsia="Symbol"/>
        </w:rPr>
        <w:t></w:t>
      </w:r>
      <w:r>
        <w:rPr/>
        <w:t xml:space="preserve"> 商討這問題時，部分有關官員很有興趣推動，但在整個公務員架構中，包括食物環境衞生署，有一部分政務官不想觸及這個問題，因為一觸及這個問題，便一石擊起千重浪，或引起其他公務員和其他制度上的轉變，令官員在推動時遇到很大困難和挑戰，因而令他們不想面對。</w:t>
      </w:r>
    </w:p>
    <w:p>
      <w:pPr>
        <w:pStyle w:val="F21"/>
        <w:rPr/>
      </w:pPr>
      <w:r>
        <w:rPr/>
      </w:r>
    </w:p>
    <w:p>
      <w:pPr>
        <w:pStyle w:val="F21"/>
        <w:rPr/>
      </w:pPr>
      <w:r>
        <w:rPr/>
        <w:tab/>
      </w:r>
      <w:r>
        <w:rPr/>
        <w:t>我們看看其他很多地區和城市，很多時候都是當選的總統或市長在這方面很堅持、投入和有熱誠，以政治家的風範來推動環保工業，很多城市也是這樣，但香港沒有這類政治家。我曾與前局長邱騰華吵起來，要求他做少許工作，便好像要了他的命，他作為一名由政務官出身的局長，對這方面的工作完全沒有興趣。你叫他“捱義氣”擔任環境局局長數年，但他對整個環保工業和政策完全沒有熱誠。做環保工作必須有熱誠和承擔，才能成功。像“</w:t>
      </w:r>
      <w:r>
        <w:rPr/>
        <w:t>689”</w:t>
      </w:r>
      <w:r>
        <w:rPr/>
        <w:t>，他夠“狗”，聽從中央指示，任何中共的指示，他便像狗那般跟從，夠忠心。推行中共打壓自由便不遺餘力，要推動環保，便好像要了他的命。很多公務員也一樣，作為公務員，他們未必有承擔和熱誠去推動環保，因此，如果真的要推行環保，除了要有政治授權和熱誠外，也要有其他公務員</w:t>
      </w:r>
      <w:r>
        <w:rPr>
          <w:i/>
          <w:szCs w:val="27"/>
        </w:rPr>
        <w:t>(</w:t>
      </w:r>
      <w:r>
        <w:rPr>
          <w:i/>
          <w:szCs w:val="27"/>
        </w:rPr>
        <w:t>計時器響起</w:t>
      </w:r>
      <w:r>
        <w:rPr>
          <w:i/>
          <w:szCs w:val="27"/>
        </w:rPr>
        <w:t>)</w:t>
      </w:r>
      <w:r>
        <w:rPr>
          <w:szCs w:val="27"/>
        </w:rPr>
        <w:t>......</w:t>
      </w:r>
    </w:p>
    <w:p>
      <w:pPr>
        <w:pStyle w:val="F21"/>
        <w:overflowPunct w:val="true"/>
        <w:snapToGrid w:val="false"/>
        <w:rPr>
          <w:szCs w:val="27"/>
        </w:rPr>
      </w:pPr>
      <w:r>
        <w:rPr>
          <w:rFonts w:ascii="華康中黑體" w:hAnsi="華康中黑體" w:eastAsia="華康中黑體"/>
          <w:b/>
          <w:szCs w:val="27"/>
        </w:rPr>
        <w:t>主席</w:t>
      </w:r>
      <w:r>
        <w:rPr>
          <w:rFonts w:ascii="華康中黑體" w:hAnsi="華康中黑體"/>
          <w:szCs w:val="27"/>
        </w:rPr>
        <w:t>：</w:t>
      </w:r>
      <w:r>
        <w:rPr>
          <w:color w:val="000000"/>
          <w:szCs w:val="27"/>
          <w:lang w:val="en-GB"/>
        </w:rPr>
        <w:t>陳議員，</w:t>
      </w:r>
      <w:r>
        <w:rPr>
          <w:szCs w:val="27"/>
        </w:rPr>
        <w:t>發言時限到了。</w:t>
      </w:r>
      <w:r>
        <w:br w:type="page"/>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rPr/>
      </w:pPr>
      <w:r>
        <w:rPr>
          <w:rFonts w:ascii="華康中黑體" w:hAnsi="華康中黑體" w:eastAsia="華康中黑體"/>
          <w:b/>
        </w:rPr>
        <w:t>陳偉業議員</w:t>
      </w:r>
      <w:r>
        <w:rPr/>
        <w:t>：</w:t>
      </w:r>
      <w:r>
        <w:rPr/>
        <w:t>......</w:t>
      </w:r>
      <w:r>
        <w:rPr/>
        <w:t>在當中支持和推動。</w:t>
      </w:r>
    </w:p>
    <w:p>
      <w:pPr>
        <w:pStyle w:val="F21"/>
        <w:rPr/>
      </w:pPr>
      <w:r>
        <w:rPr/>
      </w:r>
    </w:p>
    <w:p>
      <w:pPr>
        <w:pStyle w:val="F21"/>
        <w:rPr/>
      </w:pPr>
      <w:r>
        <w:rPr/>
      </w:r>
    </w:p>
    <w:p>
      <w:pPr>
        <w:pStyle w:val="F21"/>
        <w:rPr/>
      </w:pPr>
      <w:r>
        <w:rPr>
          <w:rFonts w:ascii="華康中黑體" w:hAnsi="華康中黑體" w:cs="華康中黑體" w:eastAsia="華康中黑體"/>
          <w:b/>
        </w:rPr>
        <w:t>吳亮星議員</w:t>
      </w:r>
      <w:r>
        <w:rPr/>
        <w:t>：主席，我們不需要太多“垃圾說話”。</w:t>
      </w:r>
    </w:p>
    <w:p>
      <w:pPr>
        <w:pStyle w:val="F21"/>
        <w:rPr/>
      </w:pPr>
      <w:r>
        <w:rPr/>
      </w:r>
    </w:p>
    <w:p>
      <w:pPr>
        <w:pStyle w:val="F21"/>
        <w:rPr/>
      </w:pPr>
      <w:r>
        <w:rPr/>
        <w:tab/>
      </w:r>
      <w:r>
        <w:rPr/>
        <w:t>主席，以政府帳目委員會成員而非考察成員的角度，我仍然希望本會外訪團的活動達到衡工量值效果。立法會環境事務委員會今次赴南韓考察當地廢物管理，認為南韓政府在減廢、推廣商品重用、盡量回收和轉廢為能</w:t>
      </w:r>
      <w:r>
        <w:rPr/>
        <w:t>4</w:t>
      </w:r>
      <w:r>
        <w:rPr/>
        <w:t>方面推行的管理策略成效昭著，予人深刻印象。廢物管理以上</w:t>
      </w:r>
      <w:r>
        <w:rPr/>
        <w:t>4</w:t>
      </w:r>
      <w:r>
        <w:rPr/>
        <w:t>個方面，均為現代大城市在處理廢物方面的方向，而南韓首爾為亞洲區城市，其城市建設、發展、市民生活習慣等與香港都相對接近，因此有關策略和措施的推行，很多地方值得香港學習和借鑒。</w:t>
      </w:r>
    </w:p>
    <w:p>
      <w:pPr>
        <w:pStyle w:val="F21"/>
        <w:rPr/>
      </w:pPr>
      <w:r>
        <w:rPr/>
      </w:r>
    </w:p>
    <w:p>
      <w:pPr>
        <w:pStyle w:val="F21"/>
        <w:rPr/>
      </w:pPr>
      <w:r>
        <w:rPr/>
        <w:tab/>
      </w:r>
      <w:r>
        <w:rPr/>
        <w:t>觀乎香港，近</w:t>
      </w:r>
      <w:r>
        <w:rPr/>
        <w:t>10</w:t>
      </w:r>
      <w:r>
        <w:rPr/>
        <w:t>年來，經濟發展蓬勃，甚至可以說是社會普遍富裕起來了，市民的廢物製造量與其他相近的發達城市比較，家居廢物人均日產量：東京，</w:t>
      </w:r>
      <w:r>
        <w:rPr/>
        <w:t>0.77</w:t>
      </w:r>
      <w:r>
        <w:rPr/>
        <w:t>公斤；首爾，</w:t>
      </w:r>
      <w:r>
        <w:rPr/>
        <w:t>0.95</w:t>
      </w:r>
      <w:r>
        <w:rPr/>
        <w:t>公斤；台北，</w:t>
      </w:r>
      <w:r>
        <w:rPr/>
        <w:t>1</w:t>
      </w:r>
      <w:r>
        <w:rPr/>
        <w:t>公斤；而香港高踞首位，</w:t>
      </w:r>
      <w:r>
        <w:rPr/>
        <w:t>1.36</w:t>
      </w:r>
      <w:r>
        <w:rPr/>
        <w:t>公斤。此外，在都市廢物處理方面，香港</w:t>
      </w:r>
      <w:r>
        <w:rPr/>
        <w:t>52%</w:t>
      </w:r>
      <w:r>
        <w:rPr/>
        <w:t>的廢物以堆填處理，現時每天有</w:t>
      </w:r>
      <w:r>
        <w:rPr/>
        <w:t>13</w:t>
      </w:r>
      <w:r>
        <w:rPr/>
        <w:t>萬公噸廢物被填放到</w:t>
      </w:r>
      <w:r>
        <w:rPr/>
        <w:t>3</w:t>
      </w:r>
      <w:r>
        <w:rPr/>
        <w:t>個策略性堆填區，與其他亞洲地區比較：日本把</w:t>
      </w:r>
      <w:r>
        <w:rPr/>
        <w:t>79%</w:t>
      </w:r>
      <w:r>
        <w:rPr/>
        <w:t>的廢物以焚化方法處理；新加坡把</w:t>
      </w:r>
      <w:r>
        <w:rPr/>
        <w:t>51%</w:t>
      </w:r>
      <w:r>
        <w:rPr/>
        <w:t>的廢物焚化、</w:t>
      </w:r>
      <w:r>
        <w:rPr/>
        <w:t>1%</w:t>
      </w:r>
      <w:r>
        <w:rPr/>
        <w:t>堆填；台灣把</w:t>
      </w:r>
      <w:r>
        <w:rPr/>
        <w:t>46%</w:t>
      </w:r>
      <w:r>
        <w:rPr/>
        <w:t>的廢物焚化、</w:t>
      </w:r>
      <w:r>
        <w:rPr/>
        <w:t>2%</w:t>
      </w:r>
      <w:r>
        <w:rPr/>
        <w:t>堆填；南韓亦是把</w:t>
      </w:r>
      <w:r>
        <w:rPr/>
        <w:t>20%</w:t>
      </w:r>
      <w:r>
        <w:rPr/>
        <w:t>的廢物焚化及</w:t>
      </w:r>
      <w:r>
        <w:rPr/>
        <w:t>19%</w:t>
      </w:r>
      <w:r>
        <w:rPr/>
        <w:t>堆填。從以上數字，可以看到香港市民環保意識的水平，也可以看到香港在廢物處理方法方面，落後於鄰近的亞洲城市。環境局及環境保護署在有關刊物上提出：“對於地少人多、寸金尺土的香港而言，這樣的廢物處理方法並不合符我們的利益，我們必須及早改變現時的做法。”這說法完全值得全港市民關注，他們亦須承擔責任。</w:t>
      </w:r>
    </w:p>
    <w:p>
      <w:pPr>
        <w:pStyle w:val="F21"/>
        <w:rPr/>
      </w:pPr>
      <w:r>
        <w:rPr/>
      </w:r>
    </w:p>
    <w:p>
      <w:pPr>
        <w:pStyle w:val="F21"/>
        <w:rPr/>
      </w:pPr>
      <w:r>
        <w:rPr/>
        <w:tab/>
      </w:r>
      <w:r>
        <w:rPr/>
        <w:t>至於如何行動，環境局今年公布了《香港資源循環藍圖</w:t>
      </w:r>
      <w:r>
        <w:rPr/>
        <w:t>2013-2022</w:t>
      </w:r>
      <w:r>
        <w:rPr/>
        <w:t>》，願景不錯，也設計了一個路線圖。類似的成功之道，台北及南韓比香港早走了</w:t>
      </w:r>
      <w:r>
        <w:rPr/>
        <w:t>20</w:t>
      </w:r>
      <w:r>
        <w:rPr/>
        <w:t>年。我認為香港除了鼓勵廢物回收外，在以下</w:t>
      </w:r>
      <w:r>
        <w:rPr/>
        <w:t>3</w:t>
      </w:r>
      <w:r>
        <w:rPr/>
        <w:t>方面，事不宜遲，力不宜輕。第一，推行收費減廢，盡快制定相關法例，配合合理可行的措施；第二，廚餘處理設施普及化、便利化；及第三興建焚化爐，化廢為能。</w:t>
      </w:r>
    </w:p>
    <w:p>
      <w:pPr>
        <w:pStyle w:val="F21"/>
        <w:rPr/>
      </w:pPr>
      <w:r>
        <w:rPr/>
      </w:r>
    </w:p>
    <w:p>
      <w:pPr>
        <w:pStyle w:val="F21"/>
        <w:rPr/>
      </w:pPr>
      <w:r>
        <w:rPr/>
        <w:tab/>
      </w:r>
      <w:r>
        <w:rPr/>
        <w:t>至於全球近年氣候變化的問題，令保護環境、妥善處理廢物，已成為最重要的任務，影響千秋萬世。以現時的科技水平及香港的經濟承擔力，興建數個先進的焚化爐，開闢環保園發展回收產業，應該可行，只要排除政治上的爭拗，提高公眾環保意識，提升環境教育程度，應有所作為。我曾在本港電台“通識網”內，搜尋到一位通識科老師分析香港固體廢物處理的文章，他舉出的一個事例，應有啟發性：“台北的居民自發回收的程度，比我們香港所做、所想的，真教我們嘩然，單是一個簡單的紙包飲品盒，他們有意識地把紙盒壓扁以外，更會將飲管和飲管套分別地分拆出來回收，這方面，我相信香港是鮮有人理解和做到的。此外，他們的廚餘回收亦懂得分類為飼養豬隻用和堆肥用的，這方面的知識和實踐時需要的‘耐性’，正是香港所欠缺的。”。</w:t>
      </w:r>
    </w:p>
    <w:p>
      <w:pPr>
        <w:pStyle w:val="F21"/>
        <w:rPr/>
      </w:pPr>
      <w:r>
        <w:rPr/>
      </w:r>
    </w:p>
    <w:p>
      <w:pPr>
        <w:pStyle w:val="F21"/>
        <w:rPr/>
      </w:pPr>
      <w:r>
        <w:rPr/>
        <w:tab/>
      </w:r>
      <w:r>
        <w:rPr/>
        <w:t>主席，要實現“香港資源循環藍圖”的目標，政府的政策投入很重要，外此，還需工商各界的支持、公眾教育及使各方取得共識，齊心參與。我期望這不是一項議而不決的議題，而是全民實踐的社會責任，但願看到綠色香港透過全民努力，能夠永續發展。我謹此陳辭。</w:t>
      </w:r>
    </w:p>
    <w:p>
      <w:pPr>
        <w:pStyle w:val="F21"/>
        <w:rPr/>
      </w:pPr>
      <w:r>
        <w:rPr/>
      </w:r>
    </w:p>
    <w:p>
      <w:pPr>
        <w:pStyle w:val="F21"/>
        <w:rPr/>
      </w:pPr>
      <w:r>
        <w:rPr/>
      </w:r>
    </w:p>
    <w:p>
      <w:pPr>
        <w:pStyle w:val="F21"/>
        <w:rPr/>
      </w:pPr>
      <w:r>
        <w:rPr>
          <w:rFonts w:eastAsia="華康中黑體"/>
          <w:b/>
        </w:rPr>
        <w:t>主席</w:t>
      </w:r>
      <w:r>
        <w:rPr/>
        <w:t>：是否有其他議員想發言？</w:t>
      </w:r>
    </w:p>
    <w:p>
      <w:pPr>
        <w:pStyle w:val="F21"/>
        <w:rPr/>
      </w:pPr>
      <w:r>
        <w:rPr/>
      </w:r>
    </w:p>
    <w:p>
      <w:pPr>
        <w:pStyle w:val="F21"/>
        <w:rPr/>
      </w:pPr>
      <w:r>
        <w:rPr/>
        <w:t>(</w:t>
      </w:r>
      <w:r>
        <w:rPr/>
        <w:t>沒有其他議員表示想發言</w:t>
      </w:r>
      <w:r>
        <w:rPr/>
        <w:t>)</w:t>
      </w:r>
    </w:p>
    <w:p>
      <w:pPr>
        <w:pStyle w:val="F21"/>
        <w:rPr/>
      </w:pPr>
      <w:r>
        <w:rPr/>
      </w:r>
    </w:p>
    <w:p>
      <w:pPr>
        <w:pStyle w:val="F21"/>
        <w:rPr/>
      </w:pPr>
      <w:r>
        <w:rPr/>
      </w:r>
    </w:p>
    <w:p>
      <w:pPr>
        <w:pStyle w:val="F21"/>
        <w:rPr/>
      </w:pPr>
      <w:r>
        <w:rPr>
          <w:rFonts w:ascii="華康中黑體" w:hAnsi="華康中黑體" w:cs="華康中黑體" w:eastAsia="華康中黑體"/>
          <w:b/>
        </w:rPr>
        <w:t>環境局局長</w:t>
      </w:r>
      <w:r>
        <w:rPr/>
        <w:t>：主席，我再次多謝何秀蘭議員提出的議案，亦感謝剛才各位議員提出的意見。我會就幾個方面作出回應。</w:t>
      </w:r>
    </w:p>
    <w:p>
      <w:pPr>
        <w:pStyle w:val="F21"/>
        <w:rPr/>
      </w:pPr>
      <w:r>
        <w:rPr/>
      </w:r>
    </w:p>
    <w:p>
      <w:pPr>
        <w:pStyle w:val="F21"/>
        <w:rPr/>
      </w:pPr>
      <w:r>
        <w:rPr/>
        <w:tab/>
      </w:r>
      <w:r>
        <w:rPr/>
        <w:t>首先，在整體規劃方面，我想談談整全策略的重要性，很多議員也提到這方面。政府在今年</w:t>
      </w:r>
      <w:r>
        <w:rPr/>
        <w:t>5</w:t>
      </w:r>
      <w:r>
        <w:rPr/>
        <w:t>月推出資源循環十年藍圖，分析香港當前廢物管理的挑戰、機遇及種種歷史的過去，並為未來</w:t>
      </w:r>
      <w:r>
        <w:rPr/>
        <w:t>10</w:t>
      </w:r>
      <w:r>
        <w:rPr/>
        <w:t>年的廢物管理闡述整全策略、具體目標、政策措施和行動時間表，實事求是地全面應對香港的廢物危機。制訂藍圖的其中一項重要目的，是讓市民、工商業界及大家理解香港的全局、困難、掣肘和機遇，從而更加明白政府推動每一項措施的原因和作用，亦勾畫出政府、議會、私營界別和市民各自的責任和角色。</w:t>
      </w:r>
    </w:p>
    <w:p>
      <w:pPr>
        <w:pStyle w:val="F21"/>
        <w:rPr/>
      </w:pPr>
      <w:r>
        <w:rPr/>
      </w:r>
    </w:p>
    <w:p>
      <w:pPr>
        <w:pStyle w:val="F21"/>
        <w:rPr/>
      </w:pPr>
      <w:r>
        <w:rPr/>
        <w:tab/>
      </w:r>
      <w:r>
        <w:rPr/>
        <w:t>過去兩個月和下月，我會走訪全港不同的區議會介紹藍圖，令藍圖的認知可以深入不同社區。與區議員的會面令我更體會到，有了這套整全的藍圖，包括策略、路線圖和時間表後，能令我們更方便地動員各區各界，一起向藍圖的目標進發。同時，亦更容易讓市民大眾明白，社會上每一個人及每一家企業，都有責任參與惜物減廢，大家最重要的就是實踐藍圖。</w:t>
      </w:r>
    </w:p>
    <w:p>
      <w:pPr>
        <w:pStyle w:val="F21"/>
        <w:rPr/>
      </w:pPr>
      <w:r>
        <w:rPr/>
      </w:r>
    </w:p>
    <w:p>
      <w:pPr>
        <w:pStyle w:val="F21"/>
        <w:rPr/>
      </w:pPr>
      <w:r>
        <w:rPr/>
        <w:tab/>
      </w:r>
      <w:r>
        <w:rPr/>
        <w:t>有些資料可以先澄清，例如剛才有議員提及，南韓在建築廢物方面有</w:t>
      </w:r>
      <w:r>
        <w:rPr/>
        <w:t>90%</w:t>
      </w:r>
      <w:r>
        <w:rPr/>
        <w:t>多的回收率，這是正確的。大家可能也有留意香港的廢物數字，在建築廢料回收方面，香港也是有</w:t>
      </w:r>
      <w:r>
        <w:rPr/>
        <w:t>90%</w:t>
      </w:r>
      <w:r>
        <w:rPr/>
        <w:t>多，其實是相近的。此外，香港的堆填區也有收集氣體，轉廢為能。南韓有做，香港也有做，所以在資料掌握上，大家也可以多些分享。</w:t>
      </w:r>
    </w:p>
    <w:p>
      <w:pPr>
        <w:pStyle w:val="F21"/>
        <w:rPr/>
      </w:pPr>
      <w:r>
        <w:rPr/>
      </w:r>
    </w:p>
    <w:p>
      <w:pPr>
        <w:pStyle w:val="F21"/>
        <w:rPr/>
      </w:pPr>
      <w:r>
        <w:rPr/>
        <w:tab/>
      </w:r>
      <w:r>
        <w:rPr/>
        <w:t>我想大家也很重視源頭減廢，剛才有不少議員談及源頭減廢。我們在南韓訪問時最深刻的一幕，就是當地官員告訴我們，都市固體廢物按量收費是他們最重要、最有成效及最顯著的減廢政策軸心。所以，按量收費不但改變了工商業界及市民大眾的行為模式，更有其他槓桿效果，包括促進回收業的健康發展和其他配套。但南韓的經驗亦顯示，這項措施關係到市民大眾以至相關業界的日常運作，如果沒有周詳的配套和審慎的計劃，是會衍生出一些問題。所以，我們意識到這個關鍵，去年總結了早前廢物按量徵費第一階段公眾諮詢的結果，主流民意基本上是支持這大方向的。所以，新一屆政府邀請了可持續發展委員會，就如何落實都市固體廢物按量收費的相關細節，進行了第二階段的社會參與過程，由下而上與相關持份者及市民一起深入討論各個方面，就收費機制、涵蓋範圍、收費水平，以及如何提升廢物回收配套等這</w:t>
      </w:r>
      <w:r>
        <w:rPr/>
        <w:t>4</w:t>
      </w:r>
      <w:r>
        <w:rPr/>
        <w:t>項大議題，尋求一套切實可行、適合香港當前環境的方案。</w:t>
      </w:r>
    </w:p>
    <w:p>
      <w:pPr>
        <w:pStyle w:val="F21"/>
        <w:rPr/>
      </w:pPr>
      <w:r>
        <w:rPr/>
      </w:r>
    </w:p>
    <w:p>
      <w:pPr>
        <w:pStyle w:val="F21"/>
        <w:rPr/>
      </w:pPr>
      <w:r>
        <w:rPr/>
        <w:tab/>
      </w:r>
      <w:r>
        <w:rPr/>
        <w:t>不少議員剛才也提及應向弱勢社羣提供援助，減輕他們在廢物按量徵費實施時的負擔。這正正是社會參與過程文件中一個清楚提出的議題，亦希望大家多給意見。此外，我亦希望市民把握機會提出具體意見，諮詢期會到</w:t>
      </w:r>
      <w:r>
        <w:rPr/>
        <w:t>2014</w:t>
      </w:r>
      <w:r>
        <w:rPr/>
        <w:t>年</w:t>
      </w:r>
      <w:r>
        <w:rPr/>
        <w:t>1</w:t>
      </w:r>
      <w:r>
        <w:rPr/>
        <w:t>月</w:t>
      </w:r>
      <w:r>
        <w:rPr/>
        <w:t>24</w:t>
      </w:r>
      <w:r>
        <w:rPr/>
        <w:t>日。另一方面，我們正籌備為廢物按量徵費進行試點計劃，在不同類型的住宅進行實地試驗，累積經驗以完善這項即將落實的計劃。當然，我同意各議員的說法，我們會趁這段時間，由現在起到落實計劃時，加強相關回收配套的工作，亦會積極跟進，稍後我會再就這方面作出解釋。</w:t>
      </w:r>
    </w:p>
    <w:p>
      <w:pPr>
        <w:pStyle w:val="F21"/>
        <w:rPr/>
      </w:pPr>
      <w:r>
        <w:rPr/>
      </w:r>
    </w:p>
    <w:p>
      <w:pPr>
        <w:pStyle w:val="F21"/>
        <w:rPr/>
      </w:pPr>
      <w:r>
        <w:rPr/>
        <w:tab/>
      </w:r>
      <w:r>
        <w:rPr/>
        <w:t>此外，我們在南韓看到，他們在生產者責任計劃方面有一個相當積極的做法。我們很高興現時擴大塑膠購物袋環保徵費的立法工作快將完成，上月亦已向立法會報告飲品玻璃樽生產者責任計劃的諮詢結果，社會主流意見是支持的，我們亦正推展跟進工作，包括擴大回收網絡、增加對回收玻璃循環善用的訴求，同時擬備立法建議。我們亦正準備在本立法年度，提交廢電器電子產品生產者責任計劃的法案，並申請撥款在環保園興建所需的處理設施，希望這些立法工作都會得到議會的支持。</w:t>
      </w:r>
    </w:p>
    <w:p>
      <w:pPr>
        <w:pStyle w:val="F21"/>
        <w:spacing w:lineRule="atLeast" w:line="380"/>
        <w:rPr/>
      </w:pPr>
      <w:r>
        <w:rPr/>
      </w:r>
    </w:p>
    <w:p>
      <w:pPr>
        <w:pStyle w:val="F21"/>
        <w:spacing w:lineRule="atLeast" w:line="380"/>
        <w:rPr/>
      </w:pPr>
      <w:r>
        <w:rPr/>
        <w:tab/>
      </w:r>
      <w:r>
        <w:rPr/>
        <w:t>此外，大家也很關注廚餘的問題。大家也明白廚餘佔現時香港堆填區棄置量約四成，很多區議員和市民都向我表示，有興趣在屋苑安裝廚餘機，在地處理收集到的廚餘。我鼓勵大家善用現有的環境及自然保育基金的資助，但我希望大家也要明白，在地廚餘處理機的能力，在香港這個高密度的環境有其限制，例如若我們資助</w:t>
      </w:r>
      <w:r>
        <w:rPr/>
        <w:t>50</w:t>
      </w:r>
      <w:r>
        <w:rPr/>
        <w:t>個屋邨，有</w:t>
      </w:r>
      <w:r>
        <w:rPr/>
        <w:t>50</w:t>
      </w:r>
      <w:r>
        <w:rPr/>
        <w:t>部廚餘處理機，每部的平均處理量約為</w:t>
      </w:r>
      <w:r>
        <w:rPr/>
        <w:t>100</w:t>
      </w:r>
      <w:r>
        <w:rPr/>
        <w:t>公斤，即廚餘機一天的總容量為</w:t>
      </w:r>
      <w:r>
        <w:rPr/>
        <w:t>0.1</w:t>
      </w:r>
      <w:r>
        <w:rPr/>
        <w:t>噸，加起來也只能處理</w:t>
      </w:r>
      <w:r>
        <w:rPr/>
        <w:t>5</w:t>
      </w:r>
      <w:r>
        <w:rPr/>
        <w:t>噸廚餘。即使我們將它倍增，其實對香港整體的廚餘量而言，實質意義並不在分量方面。但我們要明白的一點是，如果我們希望協助市民由現時過渡至將來當有大規模的中央處理，可以對應香港所需要的廚餘分類、轉廢為能時，在這幾年便要培養市民在這方面的分類習慣。我們亦會在下年年初向立法會申請撥款，興建香港第一個有機資源回收中心，將廚餘變為能源，亦可以發電，適合香港比較高密度、少農業的客觀狀況，希望屆時能得到議員支持。</w:t>
      </w:r>
    </w:p>
    <w:p>
      <w:pPr>
        <w:pStyle w:val="F21"/>
        <w:spacing w:lineRule="atLeast" w:line="380"/>
        <w:rPr/>
      </w:pPr>
      <w:r>
        <w:rPr/>
      </w:r>
    </w:p>
    <w:p>
      <w:pPr>
        <w:pStyle w:val="F21"/>
        <w:spacing w:lineRule="atLeast" w:line="380"/>
        <w:rPr/>
      </w:pPr>
      <w:r>
        <w:rPr/>
        <w:tab/>
      </w:r>
      <w:r>
        <w:rPr/>
        <w:t>以現時每天約</w:t>
      </w:r>
      <w:r>
        <w:rPr/>
        <w:t>3 600</w:t>
      </w:r>
      <w:r>
        <w:rPr/>
        <w:t>噸廚餘而言，一、兩個中央處理設施並不足夠，所以我們會加緊各方面配套設施的準備，亦歡迎私營業界加入市場，一起處理香港的廚餘問題。此外，有朋友提到環保園，我們其實亦支持在環保園為私營業界提供一塊土地以處理廚餘，這個項目亦正籌備開業，在明年便能完成工作。當然，源頭減少廚餘是很重要的，所以議員也留意到“惜食香港”的運動，佳節當前，希望大家倍加惜食。</w:t>
      </w:r>
    </w:p>
    <w:p>
      <w:pPr>
        <w:pStyle w:val="F21"/>
        <w:spacing w:lineRule="atLeast" w:line="380"/>
        <w:rPr/>
      </w:pPr>
      <w:r>
        <w:rPr/>
      </w:r>
    </w:p>
    <w:p>
      <w:pPr>
        <w:pStyle w:val="F21"/>
        <w:spacing w:lineRule="atLeast" w:line="380"/>
        <w:rPr/>
      </w:pPr>
      <w:r>
        <w:rPr/>
        <w:tab/>
      </w:r>
      <w:r>
        <w:rPr/>
        <w:t>此外，大家都很關注推動回收業，亦明白推動減廢工作的同時，可以為回收業帶來更大商機。香港回收業要有健康發展，政府必須加強統合各政府部門的力量，並大規模動員社會不同界別參與回收分類。政府成立的推動回收業可持續發展督導委員會，已於上兩個月與業界緊密溝通、會面和收集意見。同時，我們亦會透過一項短期的顧問研究，深入了解個別回收行業的運作情況，並探討它們所需的支持和援助。有議員剛才提到有關如何援助回收業的意見，我們都會一併考慮。</w:t>
      </w:r>
    </w:p>
    <w:p>
      <w:pPr>
        <w:pStyle w:val="F21"/>
        <w:spacing w:lineRule="atLeast" w:line="380"/>
        <w:rPr/>
      </w:pPr>
      <w:r>
        <w:rPr/>
      </w:r>
    </w:p>
    <w:p>
      <w:pPr>
        <w:pStyle w:val="F21"/>
        <w:spacing w:lineRule="atLeast" w:line="380"/>
        <w:rPr/>
      </w:pPr>
      <w:r>
        <w:rPr/>
        <w:tab/>
      </w:r>
      <w:r>
        <w:rPr/>
        <w:t>為加強環保教育及統籌地區回收，我們將陸續在全港</w:t>
      </w:r>
      <w:r>
        <w:rPr/>
        <w:t>18</w:t>
      </w:r>
      <w:r>
        <w:rPr/>
        <w:t>區設立社區環保站。社區環保站會由非牟利團體營辦，充分利用他們在各區社區網絡的關係，協助推動環保教育和工作。營辦團體將會與當區的物業管理公司和其他地區組織合作，透過不同形式的活動和教育等，推動“惜物減廢”的環保文化，植入不同社區。同時，他們將獲提供資源僱用車輛，為周邊屋苑提供物流支援，收集經濟價值不高的回收物料。首兩個社區環保站的選址已經完成，將會設於沙田和港島東區。過去幾個月，我感謝兩個區議會支持社區環保站的建設，未來我們會陸續諮詢相關區議會，確定其他選址。我希望各區區議會都會支持相關社區環保站項目，令這項設施能在不同社區茁壯成長。</w:t>
      </w:r>
    </w:p>
    <w:p>
      <w:pPr>
        <w:pStyle w:val="F21"/>
        <w:spacing w:lineRule="atLeast" w:line="380"/>
        <w:rPr/>
      </w:pPr>
      <w:r>
        <w:rPr/>
      </w:r>
    </w:p>
    <w:p>
      <w:pPr>
        <w:pStyle w:val="F21"/>
        <w:spacing w:lineRule="atLeast" w:line="380"/>
        <w:rPr/>
      </w:pPr>
      <w:r>
        <w:rPr/>
        <w:tab/>
      </w:r>
      <w:r>
        <w:rPr/>
        <w:t>至於社會動員方面，社區環保站只是其中一個渠道，我們鼓勵市民參與惜物減廢的文化。在南韓的考察報告中，點出了公眾參與的重要性，這方面我十分認同。我們正非常努力地動員全民一同邁向減廢目標。我們已提及在本年年中，環境及自然保育基金會注資</w:t>
      </w:r>
      <w:r>
        <w:rPr/>
        <w:t>50</w:t>
      </w:r>
      <w:r>
        <w:rPr/>
        <w:t>億元，我們計劃於本年度，即</w:t>
      </w:r>
      <w:r>
        <w:rPr/>
        <w:t>2013-2014</w:t>
      </w:r>
      <w:r>
        <w:rPr/>
        <w:t>財政年度投放</w:t>
      </w:r>
      <w:r>
        <w:rPr/>
        <w:t>2</w:t>
      </w:r>
      <w:r>
        <w:rPr/>
        <w:t>億多元，資助非政府團體的環保項目。由於減廢是本年度的工作重點，所以我們會加大這方面的比例，動用約</w:t>
      </w:r>
      <w:r>
        <w:rPr/>
        <w:t>1</w:t>
      </w:r>
      <w:r>
        <w:rPr/>
        <w:t>億元支持廢物相關項目。我們歡迎非政府組織善用基金的撥款，一同推動全民減廢。</w:t>
      </w:r>
    </w:p>
    <w:p>
      <w:pPr>
        <w:pStyle w:val="F21"/>
        <w:spacing w:lineRule="atLeast" w:line="380"/>
        <w:rPr/>
      </w:pPr>
      <w:r>
        <w:rPr/>
      </w:r>
    </w:p>
    <w:p>
      <w:pPr>
        <w:pStyle w:val="F21"/>
        <w:spacing w:lineRule="atLeast" w:line="380"/>
        <w:rPr/>
      </w:pPr>
      <w:r>
        <w:rPr/>
        <w:tab/>
      </w:r>
      <w:r>
        <w:rPr/>
        <w:t>此外，議員亦關注廢物基建，因為除了源頭減廢、處理廚餘及回收外，大家在南韓考察時也留意到，在各方面的工作之餘，我們亦要同時處理基建問題。在南韓國家層次負責廢物管理的部門，稱為資源循環部門</w:t>
      </w:r>
      <w:r>
        <w:rPr/>
        <w:t>(Resource Recirculation Bureau)</w:t>
      </w:r>
      <w:r>
        <w:rPr/>
        <w:t>。資源循環不但包括回收重用，更要善用現代科技將廢物轉化成能源。現時，南韓分別有約兩成的廢物以現代焚化處理，另外一至兩成是以堆填處理。最近在香港一個相關研討會上，有權威的外地專家亦驚嘆，香港是世界上絕無僅有純粹依賴堆填而沒有現代焚化作為末端處理的城市。在本月初，我們亦率領香港相關人士到位處香港鄰近的城市澳門考察，當地轉廢為能的焚化設施已運作差不多</w:t>
      </w:r>
      <w:r>
        <w:rPr/>
        <w:t>20</w:t>
      </w:r>
      <w:r>
        <w:rPr/>
        <w:t>多年，處理了該城市約九成廢物。</w:t>
      </w:r>
    </w:p>
    <w:p>
      <w:pPr>
        <w:pStyle w:val="F21"/>
        <w:spacing w:lineRule="atLeast" w:line="380"/>
        <w:rPr/>
      </w:pPr>
      <w:r>
        <w:rPr/>
      </w:r>
    </w:p>
    <w:p>
      <w:pPr>
        <w:pStyle w:val="F21"/>
        <w:spacing w:lineRule="atLeast" w:line="380"/>
        <w:rPr/>
      </w:pPr>
      <w:r>
        <w:rPr/>
        <w:tab/>
      </w:r>
      <w:r>
        <w:rPr/>
        <w:t>香港在使用先進科技處理廢物方面，議員都有同感，就是落後於其他先進國家，值得我們反思。長期過分依賴堆填作為單一末端處理，在藍圖中也提到這是不健康的狀況。所以，我們在各方面也需要改變，而現在的堆填區亦有快將爆滿的危機。即使我們今天決定要興建焚化爐，但正如議員所說，由籌備、招標到建成，需要</w:t>
      </w:r>
      <w:r>
        <w:rPr/>
        <w:t>8</w:t>
      </w:r>
      <w:r>
        <w:rPr/>
        <w:t>年時間，屆時現有堆填區已經全部爆滿。因此，實事求是，短期來說，我們要理解，擴建現有堆填區是香港當前要正面面對廢物末端處理的出路，但我認為各方面亦要多管齊下。</w:t>
      </w:r>
    </w:p>
    <w:p>
      <w:pPr>
        <w:pStyle w:val="F21"/>
        <w:spacing w:lineRule="atLeast" w:line="380"/>
        <w:rPr/>
      </w:pPr>
      <w:r>
        <w:rPr/>
      </w:r>
    </w:p>
    <w:p>
      <w:pPr>
        <w:pStyle w:val="F21"/>
        <w:spacing w:lineRule="atLeast" w:line="380"/>
        <w:rPr/>
      </w:pPr>
      <w:r>
        <w:rPr/>
        <w:tab/>
      </w:r>
      <w:r>
        <w:rPr/>
        <w:t>在上一個立法年度，我們聽取了市民和議員對堆填區擴建的意見，並在過去幾個月推出了一系列措施，包括將相關垃圾車作密封處理，透過推出資助計劃及修改法例，規定日後垃圾車必須密封方可進出政府的廢物收集設施，加強香港整體的衞生營運。此外，規定新界東南堆填區未來只接收建築廢料，以及通過調整相關廢物轉運站的收費，吸引垃圾車作更好分流。這些措施有助改善整體垃圾車的衞生水平，透過善用廢物轉運站，增加使用海路運送廢物，並根治過去在將軍澳新界東南堆填區附近的氣味問題。我們期望能回應到社會各方面的意見，包括整體基建，兼顧市政衞生方面的需要，並希望在明年首季獲得立法會支持，適時擴建</w:t>
      </w:r>
      <w:r>
        <w:rPr/>
        <w:t>3</w:t>
      </w:r>
      <w:r>
        <w:rPr/>
        <w:t>個堆填區，應對香港廢物危機的問題。</w:t>
      </w:r>
    </w:p>
    <w:p>
      <w:pPr>
        <w:pStyle w:val="F21"/>
        <w:spacing w:lineRule="atLeast" w:line="380"/>
        <w:rPr/>
      </w:pPr>
      <w:r>
        <w:rPr/>
      </w:r>
    </w:p>
    <w:p>
      <w:pPr>
        <w:pStyle w:val="F21"/>
        <w:spacing w:lineRule="atLeast" w:line="380"/>
        <w:rPr/>
      </w:pPr>
      <w:r>
        <w:rPr/>
        <w:tab/>
      </w:r>
      <w:r>
        <w:rPr/>
        <w:t>從長遠的角度而言，我們不能再議而不決，需要引入適當的轉廢為能設施，分擔處理都市固體廢物的需要，一方面大幅度減少廢物體積，透過轉廢為能的運作減少至剩下一成，而另一方面，善用轉廢為能亦是一種很好的都市再生能源。過去幾年，環境局與離島區議會及相關居民進行了密切溝通。居民對設施的技術、排放和安全等有顧慮，這方面政府是可以理解的，我們會盡力向居民提供資料解釋。相信地區人士通過較早前訪問日本、新加坡及澳門等相關轉廢為能設施，以及與相關專家學者的會面，都對轉廢為能科技在全球的發展和表現水平增加認識。本港屯門的污泥處理設施亦快將落成運作，我期望這項設施能令香港人對轉廢為能設施更為理解和認識。環境局亦將於明年</w:t>
      </w:r>
      <w:r>
        <w:rPr/>
        <w:t>3</w:t>
      </w:r>
      <w:r>
        <w:rPr/>
        <w:t>月前往歐洲考察轉廢為能的最新科技發展，我希望立法會環境事務委員會的委員亦能組團一同前往，增加對這方面的了解。</w:t>
      </w:r>
    </w:p>
    <w:p>
      <w:pPr>
        <w:pStyle w:val="F21"/>
        <w:spacing w:lineRule="atLeast" w:line="380"/>
        <w:rPr/>
      </w:pPr>
      <w:r>
        <w:rPr/>
      </w:r>
    </w:p>
    <w:p>
      <w:pPr>
        <w:pStyle w:val="F21"/>
        <w:spacing w:lineRule="atLeast" w:line="380"/>
        <w:rPr/>
      </w:pPr>
      <w:r>
        <w:rPr/>
        <w:tab/>
      </w:r>
      <w:r>
        <w:rPr/>
        <w:t>總括而言，政府推出整全藍圖，希望能加快各項工作，這方面需要議會的配合和支持。不論是擴建堆填區、興建焚化爐，甚至都市固體廢物收費等，每一項都有反對聲音，這是可以理解的，但每一項整體廢物政策都是相當重要的環節。不少意見指政府應先做好減廢回收，否則不會支持廢物基建。我希望大家明白，政府當然認同減廢回收的重要性，但時至今日，興建焚化爐已討論了十多二十年，擴建堆填區亦討論了差不多</w:t>
      </w:r>
      <w:r>
        <w:rPr/>
        <w:t>10</w:t>
      </w:r>
      <w:r>
        <w:rPr/>
        <w:t>年，香港其實已沒有時間只偏重某一方面的工作。減廢回收和廢物基建同樣重要，亦需要同時推展，並要在各方面加快步伐。我呼籲議員以大局為重，支持藍圖內的整全策略和各項工作。只有透過政府、議會和市民同心合力，一起團結，才可以過渡香港的廢物處理危機。</w:t>
      </w:r>
    </w:p>
    <w:p>
      <w:pPr>
        <w:pStyle w:val="F21"/>
        <w:spacing w:lineRule="atLeast" w:line="370"/>
        <w:rPr/>
      </w:pPr>
      <w:r>
        <w:rPr/>
      </w:r>
    </w:p>
    <w:p>
      <w:pPr>
        <w:pStyle w:val="F21"/>
        <w:spacing w:lineRule="atLeast" w:line="370"/>
        <w:rPr/>
      </w:pPr>
      <w:r>
        <w:rPr/>
        <w:tab/>
      </w:r>
      <w:r>
        <w:rPr/>
        <w:t>主席，我謹此陳辭。多謝。</w:t>
      </w:r>
    </w:p>
    <w:p>
      <w:pPr>
        <w:pStyle w:val="F21"/>
        <w:spacing w:lineRule="atLeast" w:line="370"/>
        <w:rPr/>
      </w:pPr>
      <w:r>
        <w:rPr/>
      </w:r>
    </w:p>
    <w:p>
      <w:pPr>
        <w:pStyle w:val="F21"/>
        <w:overflowPunct w:val="true"/>
        <w:snapToGrid w:val="false"/>
        <w:spacing w:lineRule="atLeast" w:line="370"/>
        <w:ind w:left="964" w:hanging="964"/>
        <w:rPr>
          <w:rFonts w:ascii="華康中黑體" w:hAnsi="華康中黑體" w:eastAsia="華康中黑體"/>
          <w:b/>
          <w:b/>
          <w:szCs w:val="27"/>
        </w:rPr>
      </w:pPr>
      <w:r>
        <w:rPr>
          <w:rFonts w:eastAsia="華康中黑體" w:ascii="華康中黑體" w:hAnsi="華康中黑體"/>
          <w:b/>
          <w:szCs w:val="27"/>
        </w:rPr>
      </w:r>
    </w:p>
    <w:p>
      <w:pPr>
        <w:pStyle w:val="F21"/>
        <w:overflowPunct w:val="true"/>
        <w:snapToGrid w:val="false"/>
        <w:spacing w:lineRule="atLeast" w:line="370"/>
        <w:ind w:left="964" w:hanging="964"/>
        <w:rPr>
          <w:szCs w:val="27"/>
        </w:rPr>
      </w:pPr>
      <w:r>
        <w:rPr>
          <w:rFonts w:ascii="華康中黑體" w:hAnsi="華康中黑體" w:eastAsia="華康中黑體"/>
          <w:b/>
          <w:szCs w:val="27"/>
        </w:rPr>
        <w:t>主席</w:t>
      </w:r>
      <w:r>
        <w:rPr>
          <w:rFonts w:ascii="華康中黑體" w:hAnsi="華康中黑體"/>
          <w:szCs w:val="27"/>
        </w:rPr>
        <w:t>：</w:t>
      </w:r>
      <w:r>
        <w:rPr>
          <w:szCs w:val="27"/>
        </w:rPr>
        <w:t>何秀蘭議員，請發言答辯，你還有</w:t>
      </w:r>
      <w:r>
        <w:rPr>
          <w:szCs w:val="27"/>
        </w:rPr>
        <w:t>9</w:t>
      </w:r>
      <w:r>
        <w:rPr>
          <w:szCs w:val="27"/>
        </w:rPr>
        <w:t>分</w:t>
      </w:r>
      <w:r>
        <w:rPr>
          <w:szCs w:val="27"/>
        </w:rPr>
        <w:t>50</w:t>
      </w:r>
      <w:r>
        <w:rPr>
          <w:szCs w:val="27"/>
        </w:rPr>
        <w:t>秒。</w:t>
      </w:r>
    </w:p>
    <w:p>
      <w:pPr>
        <w:pStyle w:val="F21"/>
        <w:overflowPunct w:val="true"/>
        <w:snapToGrid w:val="false"/>
        <w:spacing w:lineRule="atLeast" w:line="370"/>
        <w:ind w:left="964" w:hanging="964"/>
        <w:rPr>
          <w:szCs w:val="27"/>
        </w:rPr>
      </w:pPr>
      <w:r>
        <w:rPr>
          <w:szCs w:val="27"/>
        </w:rPr>
      </w:r>
    </w:p>
    <w:p>
      <w:pPr>
        <w:pStyle w:val="F21"/>
        <w:spacing w:lineRule="atLeast" w:line="370"/>
        <w:rPr/>
      </w:pPr>
      <w:r>
        <w:rPr/>
      </w:r>
    </w:p>
    <w:p>
      <w:pPr>
        <w:pStyle w:val="F21"/>
        <w:spacing w:lineRule="atLeast" w:line="370"/>
        <w:rPr/>
      </w:pPr>
      <w:r>
        <w:rPr>
          <w:rFonts w:cs="華康中黑體" w:eastAsia="華康中黑體"/>
          <w:b/>
        </w:rPr>
        <w:t>何秀蘭議員</w:t>
      </w:r>
      <w:r>
        <w:rPr/>
        <w:t>：局長的發言令我越聽越擔心。雖然他說有需要制訂整全的廢物管理政策，很多委員和議員亦提出應以一籃子、全面的方式進行，但局長剛才說得最多的是轉廢為能，而轉廢的方法就是燃燒。現時計劃之中並仍在司法程序中爭拗的焚化爐設施，將每天燃燒</w:t>
      </w:r>
      <w:r>
        <w:rPr/>
        <w:t>3 000</w:t>
      </w:r>
      <w:r>
        <w:rPr/>
        <w:t>多噸廢物，這實在令我們十分擔心。一個焚化爐不夠的話，還要興建多幾個焚化爐。現時的焚化技術雖有改進，把二噁的排放量減至最少，但始終會排放有害氣體。</w:t>
      </w:r>
    </w:p>
    <w:p>
      <w:pPr>
        <w:pStyle w:val="F21"/>
        <w:spacing w:lineRule="atLeast" w:line="370"/>
        <w:rPr/>
      </w:pPr>
      <w:r>
        <w:rPr/>
      </w:r>
    </w:p>
    <w:p>
      <w:pPr>
        <w:pStyle w:val="F21"/>
        <w:spacing w:lineRule="atLeast" w:line="370"/>
        <w:rPr/>
      </w:pPr>
      <w:r>
        <w:rPr/>
        <w:tab/>
      </w:r>
      <w:r>
        <w:rPr/>
        <w:t>焚化其實是一項我們不幸地不能完全抹煞的設施，但我們亦不應像澳門一般，賴以處理九成廢物，也不應像某些國家般以之經營生意，從鄰近國家入口廢物以支撐焚化設施的運作。因為到了最後，除了氣體排放問題外，這種處理方法亦間接鼓勵消費，而那些物品在製造時一樣會破壞環境。所以，局長如真的要全盤、整套執行，回收和重造應是我們未來的一個重點。</w:t>
      </w:r>
    </w:p>
    <w:p>
      <w:pPr>
        <w:pStyle w:val="F21"/>
        <w:spacing w:lineRule="atLeast" w:line="370"/>
        <w:rPr/>
      </w:pPr>
      <w:r>
        <w:rPr/>
      </w:r>
    </w:p>
    <w:p>
      <w:pPr>
        <w:pStyle w:val="F21"/>
        <w:spacing w:lineRule="atLeast" w:line="370"/>
        <w:rPr/>
      </w:pPr>
      <w:r>
        <w:rPr/>
        <w:tab/>
      </w:r>
      <w:r>
        <w:rPr/>
        <w:t>主席，剛才很多委員均表示，到其他地方考察是有用的，所見所聞具有參考作用。可是，如果考察得來的經驗不能落實，這些考察之行便是白費氣力。剛才已有很多同事就一些細節問題表達了他們的觀察所得，我亦希望在此作出大概的歸納。我想談一談為何有些事情南韓做得到，但香港則不然。首先是政府。南韓政府大力支持環保，除給予土地、資源、撥款津助外，亦會立法，而且不怕立法規管企業，南韓可說是使用“大政府”的方法來做環保工作。反之，香港一直奉“大市場”為圭臬，尤其上一任特首更不斷強調“污染者自付”。當然，我們同意在某程度上市民亦應負上責任，但政府如過分依賴“污染者自付”，寓禁於徵，而不幫忙推動回收和重造業的發展，實際經驗告訴我們是不可行的。</w:t>
      </w:r>
    </w:p>
    <w:p>
      <w:pPr>
        <w:pStyle w:val="F21"/>
        <w:spacing w:lineRule="atLeast" w:line="370"/>
        <w:rPr/>
      </w:pPr>
      <w:r>
        <w:rPr/>
      </w:r>
    </w:p>
    <w:p>
      <w:pPr>
        <w:pStyle w:val="F21"/>
        <w:spacing w:lineRule="atLeast" w:line="370"/>
        <w:rPr/>
      </w:pPr>
      <w:r>
        <w:rPr/>
        <w:tab/>
      </w:r>
      <w:r>
        <w:rPr/>
        <w:t>政府過去的立法工作，均用了很大力度去規管市民，例如停車熄匙。可是，在法例上對企業作出的規管卻糟糕透頂，姿態非常退縮，即使有所規管也只是像膠袋徵稅般，一併施加於普通消費者身上，藉以間接對企業作出規管，兼且遲遲不能落實。至於土地政策，政府更是非常吝嗇，把土地都留作拍賣之用，並用以興建香港市民負擔不來的豪宅。</w:t>
      </w:r>
    </w:p>
    <w:p>
      <w:pPr>
        <w:pStyle w:val="F21"/>
        <w:spacing w:lineRule="atLeast" w:line="370"/>
        <w:rPr/>
      </w:pPr>
      <w:r>
        <w:rPr/>
      </w:r>
    </w:p>
    <w:p>
      <w:pPr>
        <w:pStyle w:val="F21"/>
        <w:spacing w:lineRule="atLeast" w:line="370"/>
        <w:rPr/>
      </w:pPr>
      <w:r>
        <w:rPr/>
        <w:tab/>
      </w:r>
      <w:r>
        <w:rPr/>
        <w:t>說到資助則更加不消提。政府以基金形式提供資助，申請方法是由社企或社會團體申領為期最多</w:t>
      </w:r>
      <w:r>
        <w:rPr/>
        <w:t>1</w:t>
      </w:r>
      <w:r>
        <w:rPr/>
        <w:t>年或</w:t>
      </w:r>
      <w:r>
        <w:rPr/>
        <w:t>3</w:t>
      </w:r>
      <w:r>
        <w:rPr/>
        <w:t>年的資助。部分表現欠佳的固然不應再獲批資助，但表現良好的也受制於這種基金申請制度，即使表現不俗也很難繼續營運下去。政府一方面表現退縮，不肯破格地重複批出撥款，另一方面在不撥款之餘，亦不會將成功經驗納入公務員隊伍中作為經常性服務，也不會鼓勵這類社會團體轉化成企業。所以，即使有運作良好的模式，也不能擴大和持續下去。</w:t>
      </w:r>
    </w:p>
    <w:p>
      <w:pPr>
        <w:pStyle w:val="F21"/>
        <w:spacing w:lineRule="atLeast" w:line="370"/>
        <w:rPr/>
      </w:pPr>
      <w:r>
        <w:rPr/>
      </w:r>
    </w:p>
    <w:p>
      <w:pPr>
        <w:pStyle w:val="F21"/>
        <w:spacing w:lineRule="atLeast" w:line="370"/>
        <w:rPr/>
      </w:pPr>
      <w:r>
        <w:rPr/>
        <w:tab/>
      </w:r>
      <w:r>
        <w:rPr/>
        <w:t>其次是官員。南韓官員會做很多諮詢，儘管我及後另外進行一些有關文化政策的考察時發現，原來南韓人民很害怕那些官員，因他們經常上門游說，變相成為一種壓力。不過，他們的官員無論官階高低，全部均願意做這些工夫，但我們的官員則抱歉不然。局長現已開始明白要到區議會進行諮詢，但南韓官員原來是逐家逐戶叩門探訪。當然，我不希望局長你在香港構成滋擾，但加強溝通的確有其需要。</w:t>
      </w:r>
    </w:p>
    <w:p>
      <w:pPr>
        <w:pStyle w:val="F21"/>
        <w:spacing w:lineRule="atLeast" w:line="370"/>
        <w:rPr/>
      </w:pPr>
      <w:r>
        <w:rPr/>
      </w:r>
    </w:p>
    <w:p>
      <w:pPr>
        <w:pStyle w:val="F21"/>
        <w:spacing w:lineRule="atLeast" w:line="370"/>
        <w:rPr/>
      </w:pPr>
      <w:r>
        <w:rPr/>
        <w:tab/>
      </w:r>
      <w:r>
        <w:rPr/>
        <w:t>此外是人民。有環保團體告訴我，南韓人民愛國，他們會不問情由，只要你告訴他們要愛國和保護環境，他們便會聽從。當然，南韓在某程度上仍處於戰爭狀態，鄰近有北韓的威脅，而且他們經歷軍政府統治多年，所以人民較願意遵守和接受規管，而且設有很多閉路電視作監管。香港又如何？社會不斷撕裂，而帶頭撕裂社會的正是政府，試問這樣又如何能令香港人團結一致支撐某些政策，並在生活上身體力行或自掏腰包以改善這些政策？因為香港人看不到政府愛香港，那麼香港人如何只在民間的層面去愛香港呢？</w:t>
      </w:r>
    </w:p>
    <w:p>
      <w:pPr>
        <w:pStyle w:val="F21"/>
        <w:spacing w:lineRule="atLeast" w:line="370"/>
        <w:rPr/>
      </w:pPr>
      <w:r>
        <w:rPr/>
      </w:r>
    </w:p>
    <w:p>
      <w:pPr>
        <w:pStyle w:val="F21"/>
        <w:spacing w:lineRule="atLeast" w:line="370"/>
        <w:rPr/>
      </w:pPr>
      <w:r>
        <w:rPr/>
        <w:tab/>
      </w:r>
      <w:r>
        <w:rPr/>
        <w:t>另外還有地價問題。剛才有很多議員提到“美麗之店”，這是當地一個民間團體，專責回收一些用完的消費品。這些消費品不一定已破爛，有些甚至完好無缺，只是已不再流行或小朋友不再適用。他們以“當區回收，當區分發”的方式運作，而無論是店鋪或工場，均有八成土地由人捐出，試問香港的商界是否願意這樣做？而且所說的並不是一幢建築物內的一間商鋪，而是整幅土地。這當然是因為香港的土地政策令大家覺得把土地用於其他地方，藉以賺錢是更好的做法，因而造成無人願意捐出土地。</w:t>
      </w:r>
    </w:p>
    <w:p>
      <w:pPr>
        <w:pStyle w:val="F21"/>
        <w:rPr/>
      </w:pPr>
      <w:r>
        <w:rPr/>
      </w:r>
    </w:p>
    <w:p>
      <w:pPr>
        <w:pStyle w:val="F21"/>
        <w:rPr/>
      </w:pPr>
      <w:r>
        <w:rPr/>
        <w:tab/>
      </w:r>
      <w:r>
        <w:rPr/>
        <w:t>所以，我們在報告中建議，既然難以要求商界捐地，政府應帶頭在其轄下設施，無論是醫院、停車場、屋苑以至政府建築物，甚至立法會也可以在我們樓下的偌大大堂裏，撥出一個小地方，供從事回收工作的民間團體在該處派發回收後重造的物品。</w:t>
      </w:r>
    </w:p>
    <w:p>
      <w:pPr>
        <w:pStyle w:val="F21"/>
        <w:rPr/>
      </w:pPr>
      <w:r>
        <w:rPr/>
      </w:r>
    </w:p>
    <w:p>
      <w:pPr>
        <w:pStyle w:val="F21"/>
        <w:rPr/>
      </w:pPr>
      <w:r>
        <w:rPr/>
        <w:tab/>
      </w:r>
      <w:r>
        <w:rPr/>
        <w:t>香港其實已有民間團體在進行這方面的工作。有一個民間團體名叫“執嘢”，最初是由</w:t>
      </w:r>
      <w:r>
        <w:rPr/>
        <w:t>3</w:t>
      </w:r>
      <w:r>
        <w:rPr/>
        <w:t>個時髦的“</w:t>
      </w:r>
      <w:r>
        <w:rPr/>
        <w:t>OL”</w:t>
      </w:r>
      <w:r>
        <w:rPr/>
        <w:t>組成，把自己衣櫃裏不再穿着的衣服集合起來，互相挑選，以物易物，剩下的便捐出予其他人。這組織現已發展至有過千人的規模，需要租用商場運作。這做法的優點是第一，不用花費；第二，不用浪費資源；及第三，仍可享有購物樂趣，因為對於這些把自己的舊物拿出來與別人交換的人士而言，當中有很多物品仍非常新鮮。為何他們要在民間進行？因為政府不做，而且沒有地方。他們不能恆常進行而只能偶爾為之，亦是基於地方的問題。</w:t>
      </w:r>
    </w:p>
    <w:p>
      <w:pPr>
        <w:pStyle w:val="F21"/>
        <w:rPr/>
      </w:pPr>
      <w:r>
        <w:rPr/>
      </w:r>
    </w:p>
    <w:p>
      <w:pPr>
        <w:pStyle w:val="F21"/>
        <w:rPr/>
      </w:pPr>
      <w:r>
        <w:rPr/>
        <w:tab/>
      </w:r>
      <w:r>
        <w:rPr/>
        <w:t>主席，局長高呼“垃圾圍城”，既然這麼緊急，便應“落重藥”處理。今天下午，政府提出動用</w:t>
      </w:r>
      <w:r>
        <w:rPr/>
        <w:t>117</w:t>
      </w:r>
      <w:r>
        <w:rPr/>
        <w:t>億元來換車，但在回收重造方面，卻直至現在仍不肯承諾訂立經常性開支。工黨經常提出在經常性開支中撥出</w:t>
      </w:r>
      <w:r>
        <w:rPr/>
        <w:t>20</w:t>
      </w:r>
      <w:r>
        <w:rPr/>
        <w:t>億元，以創造地區回收業的基本職位，讓民間團體可在社區進行有關工作。另一部分則有賴商界，因民間團體不諳重造之道，亦沒有這種技術和規模從事這些工作。所以，在這方面是需要津貼和協助，但我們亦擔心會有官商勾結的情況，所以整件事必須公開和透明。</w:t>
      </w:r>
    </w:p>
    <w:p>
      <w:pPr>
        <w:pStyle w:val="F21"/>
        <w:rPr/>
      </w:pPr>
      <w:r>
        <w:rPr/>
      </w:r>
    </w:p>
    <w:p>
      <w:pPr>
        <w:pStyle w:val="F21"/>
        <w:rPr/>
      </w:pPr>
      <w:r>
        <w:rPr/>
        <w:tab/>
      </w:r>
      <w:r>
        <w:rPr/>
        <w:t>此外，資源是握在“財爺”手上，現在的資源緊絀情況去到一個怎麼樣的地步呢？政策局有一位官員，我們每星期可見到他</w:t>
      </w:r>
      <w:r>
        <w:rPr/>
        <w:t>4</w:t>
      </w:r>
      <w:r>
        <w:rPr/>
        <w:t>次，因為有</w:t>
      </w:r>
      <w:r>
        <w:rPr/>
        <w:t>4</w:t>
      </w:r>
      <w:r>
        <w:rPr/>
        <w:t>條法例都由他負責。政府現在要求開設新職位，希望大家能支持。但是，政策局如要推行新措施，還需“財爺”首肯，“財爺”不可緊握資源，以其過往一套理財方法做事</w:t>
      </w:r>
      <w:r>
        <w:rPr>
          <w:i/>
        </w:rPr>
        <w:t>(</w:t>
      </w:r>
      <w:r>
        <w:rPr>
          <w:i/>
        </w:rPr>
        <w:t>計時器響起</w:t>
      </w:r>
      <w:r>
        <w:rPr>
          <w:i/>
        </w:rPr>
        <w:t>)</w:t>
      </w:r>
      <w:r>
        <w:rPr/>
        <w:t>......</w:t>
      </w:r>
      <w:r>
        <w:rPr/>
        <w:t>因為大家也需要新思維。</w:t>
      </w:r>
    </w:p>
    <w:p>
      <w:pPr>
        <w:pStyle w:val="F21"/>
        <w:rPr/>
      </w:pPr>
      <w:r>
        <w:rPr/>
      </w:r>
    </w:p>
    <w:p>
      <w:pPr>
        <w:pStyle w:val="F21"/>
        <w:rPr/>
      </w:pPr>
      <w:r>
        <w:rPr/>
      </w:r>
    </w:p>
    <w:p>
      <w:pPr>
        <w:pStyle w:val="F21"/>
        <w:overflowPunct w:val="true"/>
        <w:snapToGrid w:val="false"/>
        <w:rPr>
          <w:szCs w:val="27"/>
        </w:rPr>
      </w:pPr>
      <w:r>
        <w:rPr>
          <w:rFonts w:ascii="華康中黑體" w:hAnsi="華康中黑體" w:eastAsia="華康中黑體"/>
          <w:b/>
          <w:szCs w:val="27"/>
        </w:rPr>
        <w:t>主席</w:t>
      </w:r>
      <w:r>
        <w:rPr>
          <w:rFonts w:ascii="華康中黑體" w:hAnsi="華康中黑體"/>
          <w:szCs w:val="27"/>
        </w:rPr>
        <w:t>：</w:t>
      </w:r>
      <w:r>
        <w:rPr>
          <w:color w:val="000000"/>
          <w:szCs w:val="27"/>
          <w:lang w:val="en-GB"/>
        </w:rPr>
        <w:t>何議員，</w:t>
      </w:r>
      <w:r>
        <w:rPr>
          <w:szCs w:val="27"/>
        </w:rPr>
        <w:t>發言時限到了。</w:t>
      </w:r>
    </w:p>
    <w:p>
      <w:pPr>
        <w:pStyle w:val="F21"/>
        <w:rPr/>
      </w:pPr>
      <w:r>
        <w:rPr/>
      </w:r>
    </w:p>
    <w:p>
      <w:pPr>
        <w:pStyle w:val="F21"/>
        <w:rPr/>
      </w:pPr>
      <w:r>
        <w:rPr/>
      </w:r>
    </w:p>
    <w:p>
      <w:pPr>
        <w:pStyle w:val="F21"/>
        <w:rPr/>
      </w:pPr>
      <w:r>
        <w:rPr>
          <w:rFonts w:eastAsia="華康中黑體"/>
          <w:b/>
        </w:rPr>
        <w:t>何秀蘭議員</w:t>
      </w:r>
      <w:r>
        <w:rPr/>
        <w:t>：多謝主席。</w:t>
      </w:r>
    </w:p>
    <w:p>
      <w:pPr>
        <w:pStyle w:val="F21"/>
        <w:snapToGrid w:val="false"/>
        <w:rPr>
          <w:color w:val="000000"/>
          <w:szCs w:val="27"/>
          <w:lang w:val="en-GB"/>
        </w:rPr>
      </w:pPr>
      <w:r>
        <w:rPr>
          <w:rFonts w:eastAsia="華康中黑體"/>
          <w:b/>
          <w:szCs w:val="27"/>
        </w:rPr>
        <w:t>主席</w:t>
      </w:r>
      <w:r>
        <w:rPr>
          <w:szCs w:val="27"/>
        </w:rPr>
        <w:t>：</w:t>
      </w:r>
      <w:r>
        <w:rPr>
          <w:color w:val="000000"/>
          <w:szCs w:val="27"/>
          <w:lang w:val="en-GB"/>
        </w:rPr>
        <w:t>我現在向各位提出的待決議題是：何秀蘭議員動議的議案，予以通過。現在付諸表決，贊成的請舉手。</w:t>
      </w:r>
      <w:r>
        <w:br w:type="page"/>
      </w:r>
    </w:p>
    <w:p>
      <w:pPr>
        <w:pStyle w:val="F21"/>
        <w:overflowPunct w:val="true"/>
        <w:snapToGrid w:val="false"/>
        <w:ind w:left="930" w:hanging="930"/>
        <w:rPr>
          <w:color w:val="000000"/>
          <w:szCs w:val="27"/>
          <w:lang w:val="en-GB"/>
        </w:rPr>
      </w:pPr>
      <w:r>
        <w:rPr>
          <w:color w:val="000000"/>
          <w:szCs w:val="27"/>
          <w:lang w:val="en-GB"/>
        </w:rPr>
      </w:r>
    </w:p>
    <w:p>
      <w:pPr>
        <w:pStyle w:val="F21"/>
        <w:overflowPunct w:val="true"/>
        <w:snapToGrid w:val="false"/>
        <w:ind w:left="851" w:hanging="851"/>
        <w:rPr>
          <w:szCs w:val="27"/>
        </w:rPr>
      </w:pPr>
      <w:r>
        <w:rPr>
          <w:szCs w:val="27"/>
        </w:rPr>
        <w:t>(</w:t>
      </w:r>
      <w:r>
        <w:rPr>
          <w:szCs w:val="27"/>
        </w:rPr>
        <w:t>議員舉手</w:t>
      </w:r>
      <w:r>
        <w:rPr>
          <w:szCs w:val="27"/>
        </w:rPr>
        <w:t>)</w:t>
      </w:r>
    </w:p>
    <w:p>
      <w:pPr>
        <w:pStyle w:val="F21"/>
        <w:overflowPunct w:val="true"/>
        <w:snapToGrid w:val="false"/>
        <w:ind w:left="851" w:hanging="851"/>
        <w:rPr>
          <w:szCs w:val="27"/>
        </w:rPr>
      </w:pPr>
      <w:r>
        <w:rPr>
          <w:szCs w:val="27"/>
        </w:rPr>
      </w:r>
    </w:p>
    <w:p>
      <w:pPr>
        <w:pStyle w:val="F21"/>
        <w:overflowPunct w:val="true"/>
        <w:snapToGrid w:val="false"/>
        <w:ind w:left="851" w:hanging="851"/>
        <w:rPr>
          <w:szCs w:val="27"/>
        </w:rPr>
      </w:pPr>
      <w:r>
        <w:rPr>
          <w:szCs w:val="27"/>
        </w:rPr>
      </w:r>
    </w:p>
    <w:p>
      <w:pPr>
        <w:pStyle w:val="F21"/>
        <w:overflowPunct w:val="true"/>
        <w:snapToGrid w:val="false"/>
        <w:ind w:left="851" w:hanging="851"/>
        <w:rPr>
          <w:szCs w:val="27"/>
        </w:rPr>
      </w:pPr>
      <w:r>
        <w:rPr>
          <w:rFonts w:eastAsia="華康中黑體"/>
          <w:b/>
          <w:szCs w:val="27"/>
        </w:rPr>
        <w:t>主席</w:t>
      </w:r>
      <w:r>
        <w:rPr>
          <w:szCs w:val="27"/>
        </w:rPr>
        <w:t>：反對的請舉手。</w:t>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rPr>
          <w:szCs w:val="27"/>
        </w:rPr>
      </w:pPr>
      <w:r>
        <w:rPr>
          <w:szCs w:val="27"/>
        </w:rPr>
        <w:t>(</w:t>
      </w:r>
      <w:r>
        <w:rPr>
          <w:szCs w:val="27"/>
        </w:rPr>
        <w:t>沒有議員舉手</w:t>
      </w:r>
      <w:r>
        <w:rPr>
          <w:szCs w:val="27"/>
        </w:rPr>
        <w:t>)</w:t>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ind w:left="851" w:hanging="851"/>
        <w:rPr>
          <w:rFonts w:eastAsia="華康中黑體"/>
          <w:b/>
          <w:b/>
          <w:szCs w:val="27"/>
        </w:rPr>
      </w:pPr>
      <w:r>
        <w:rPr>
          <w:rFonts w:eastAsia="華康中黑體"/>
          <w:b/>
          <w:szCs w:val="27"/>
        </w:rPr>
      </w:r>
    </w:p>
    <w:p>
      <w:pPr>
        <w:pStyle w:val="F21"/>
        <w:snapToGrid w:val="false"/>
        <w:rPr>
          <w:szCs w:val="27"/>
        </w:rPr>
      </w:pPr>
      <w:r>
        <w:rPr>
          <w:rFonts w:eastAsia="華康中黑體"/>
          <w:b/>
          <w:szCs w:val="27"/>
        </w:rPr>
        <w:t>主席</w:t>
      </w:r>
      <w:r>
        <w:rPr>
          <w:szCs w:val="27"/>
        </w:rPr>
        <w:t>：我認為議題獲得經由功能團體選舉產生及分區直接選舉產生的兩部分在席議員，分別以過半數贊成。我宣布議案獲得通過。</w:t>
      </w:r>
    </w:p>
    <w:p>
      <w:pPr>
        <w:pStyle w:val="F21"/>
        <w:rPr/>
      </w:pPr>
      <w:r>
        <w:rPr/>
      </w:r>
    </w:p>
    <w:p>
      <w:pPr>
        <w:pStyle w:val="F21"/>
        <w:rPr/>
      </w:pPr>
      <w:r>
        <w:rPr/>
      </w:r>
    </w:p>
    <w:p>
      <w:pPr>
        <w:pStyle w:val="F21"/>
        <w:rPr/>
      </w:pPr>
      <w:r>
        <w:rPr>
          <w:rFonts w:eastAsia="華康中黑體"/>
          <w:b/>
        </w:rPr>
        <w:t>主席</w:t>
      </w:r>
      <w:r>
        <w:rPr/>
        <w:t>：第四項議員議案：提振香港數理學術水平風氣，全力支援主辦國際數學大賽。</w:t>
      </w:r>
    </w:p>
    <w:p>
      <w:pPr>
        <w:pStyle w:val="F21"/>
        <w:rPr/>
      </w:pPr>
      <w:r>
        <w:rPr/>
      </w:r>
    </w:p>
    <w:p>
      <w:pPr>
        <w:pStyle w:val="F21"/>
        <w:rPr/>
      </w:pPr>
      <w:r>
        <w:rPr/>
        <w:tab/>
      </w:r>
      <w:r>
        <w:rPr/>
        <w:t>有意就議案辯論發言的議員請按下</w:t>
      </w:r>
      <w:r>
        <w:rPr>
          <w:rFonts w:cs="Times New Roman"/>
        </w:rPr>
        <w:t>“要求發言”按</w:t>
      </w:r>
      <w:r>
        <w:rPr/>
        <w:t>鈕。</w:t>
      </w:r>
    </w:p>
    <w:p>
      <w:pPr>
        <w:pStyle w:val="F21"/>
        <w:rPr/>
      </w:pPr>
      <w:r>
        <w:rPr/>
      </w:r>
    </w:p>
    <w:p>
      <w:pPr>
        <w:pStyle w:val="F21"/>
        <w:rPr/>
      </w:pPr>
      <w:r>
        <w:rPr/>
        <w:tab/>
      </w:r>
      <w:r>
        <w:rPr/>
        <w:t>我現在請葉劉淑儀議員發言及動議議案。</w:t>
      </w:r>
    </w:p>
    <w:p>
      <w:pPr>
        <w:pStyle w:val="F21"/>
        <w:rPr/>
      </w:pPr>
      <w:r>
        <w:rPr/>
      </w:r>
    </w:p>
    <w:p>
      <w:pPr>
        <w:pStyle w:val="F21"/>
        <w:rPr/>
      </w:pPr>
      <w:r>
        <w:rPr/>
      </w:r>
    </w:p>
    <w:p>
      <w:pPr>
        <w:pStyle w:val="F21"/>
        <w:rPr>
          <w:rFonts w:eastAsia="華康中黑體" w:cs="Times New Roman"/>
          <w:b/>
          <w:b/>
        </w:rPr>
      </w:pPr>
      <w:bookmarkStart w:id="98" w:name="mbm04"/>
      <w:r>
        <w:rPr>
          <w:rFonts w:cs="Times New Roman" w:eastAsia="華康中黑體"/>
          <w:b/>
        </w:rPr>
        <w:t>提振香港數理學術水平風氣，全力支援主辦國際數學大賽</w:t>
      </w:r>
    </w:p>
    <w:p>
      <w:pPr>
        <w:pStyle w:val="F21"/>
        <w:rPr>
          <w:rFonts w:cs="Times New Roman"/>
          <w:b/>
          <w:b/>
          <w:spacing w:val="0"/>
          <w:sz w:val="28"/>
          <w:lang w:val="en-GB"/>
        </w:rPr>
      </w:pPr>
      <w:bookmarkStart w:id="99" w:name="mbm04"/>
      <w:r>
        <w:rPr>
          <w:rFonts w:cs="Times New Roman"/>
          <w:b/>
          <w:spacing w:val="0"/>
          <w:sz w:val="28"/>
          <w:lang w:val="en-GB"/>
        </w:rPr>
        <w:t>BOOSTING AND REVIVING THE ACADEMIC STANDARD AND ATMOSPHERE OF HONG KONG'S MATHEMATICS AND THE SCIENCES, AND FULLY SUPPORTING THE HOSTING OF INTERNATIONAL MATHEMATICS COMPETITIONS</w:t>
      </w:r>
      <w:bookmarkEnd w:id="99"/>
    </w:p>
    <w:p>
      <w:pPr>
        <w:pStyle w:val="F21"/>
        <w:rPr/>
      </w:pPr>
      <w:r>
        <w:rPr/>
      </w:r>
    </w:p>
    <w:p>
      <w:pPr>
        <w:pStyle w:val="F21"/>
        <w:rPr/>
      </w:pPr>
      <w:r>
        <w:rPr>
          <w:rFonts w:ascii="華康中黑體" w:hAnsi="華康中黑體" w:cs="華康中黑體" w:eastAsia="華康中黑體"/>
          <w:b/>
        </w:rPr>
        <w:t>葉劉淑儀議員</w:t>
      </w:r>
      <w:r>
        <w:rPr/>
        <w:t>：主席，首先，我感到很感動，亦感謝</w:t>
      </w:r>
      <w:r>
        <w:rPr/>
        <w:t>6</w:t>
      </w:r>
      <w:r>
        <w:rPr/>
        <w:t>位同事，就這項“提振香港數理學術水平風氣，全力支援主辦國際數學大賽”的議案提出修正案，議案受到這麼多注視，真的令我感動及感激。特別是最初向各位同事“拉票”，要求支持這項議案時，很多人都表示不知道何謂國際數學奧林匹克</w:t>
      </w:r>
      <w:r>
        <w:rPr/>
        <w:t>(“</w:t>
      </w:r>
      <w:r>
        <w:rPr/>
        <w:t>奧數”</w:t>
      </w:r>
      <w:r>
        <w:rPr/>
        <w:t>)</w:t>
      </w:r>
      <w:r>
        <w:rPr/>
        <w:t>，甚至有人問我是否奧海城的數。</w:t>
      </w:r>
    </w:p>
    <w:p>
      <w:pPr>
        <w:pStyle w:val="F21"/>
        <w:rPr/>
      </w:pPr>
      <w:r>
        <w:rPr/>
      </w:r>
    </w:p>
    <w:p>
      <w:pPr>
        <w:pStyle w:val="F21"/>
        <w:rPr/>
      </w:pPr>
      <w:r>
        <w:rPr/>
        <w:tab/>
      </w:r>
      <w:r>
        <w:rPr/>
        <w:t>其實，奧數是指國際數學奧林匹克，是一項世界性數學大賽，與國際物理奧林匹克、國際化學奧林匹克、國際資訊奧林匹克、國際哲學奧林匹克等</w:t>
      </w:r>
      <w:r>
        <w:rPr/>
        <w:t>12</w:t>
      </w:r>
      <w:r>
        <w:rPr/>
        <w:t>項國際科學奧林匹克大賽並列，地位等同於體育界中全球矚目的奧運會。自</w:t>
      </w:r>
      <w:r>
        <w:rPr/>
        <w:t>1988</w:t>
      </w:r>
      <w:r>
        <w:rPr/>
        <w:t>年開始，香港每年都派出代表隊參加這項國際大賽，它並非部分人士以為的“一次過”賽事。其實，我們每年都有參加，而且香港亦曾經在</w:t>
      </w:r>
      <w:r>
        <w:rPr/>
        <w:t>1994</w:t>
      </w:r>
      <w:r>
        <w:rPr/>
        <w:t>年主辦這項大賽，我們很高興透過香港學術界數學教授的努力，今年親身到海外成功爭取</w:t>
      </w:r>
      <w:r>
        <w:rPr/>
        <w:t>2016</w:t>
      </w:r>
      <w:r>
        <w:rPr/>
        <w:t>年重新獲得主辦這項國際比賽的權利。其實與我們激烈競爭的，還有許多亞洲國家及地區，它們都希望成為主辦國家或地區。</w:t>
      </w:r>
    </w:p>
    <w:p>
      <w:pPr>
        <w:pStyle w:val="F21"/>
        <w:rPr/>
      </w:pPr>
      <w:r>
        <w:rPr/>
      </w:r>
    </w:p>
    <w:p>
      <w:pPr>
        <w:pStyle w:val="F21"/>
        <w:rPr/>
      </w:pPr>
      <w:r>
        <w:rPr/>
        <w:tab/>
      </w:r>
      <w:r>
        <w:rPr/>
        <w:t>其實，就這項活動，我們是在今年年中作宣布的。奧數的香港委員會在今年較早前宣布成功爭取主辦權，當時，我很感謝多位跨黨派的同事支持，出席一個新聞發布會，亦很感謝主席，出任籌備委員會的榮譽主席。因為主席是數學一級榮譽畢業生，我知道主席亦曾擔任奧數的訓練老師。此外，葉建源議員、盧偉國議員、莫乃光議員、謝偉銓議員及謝偉俊議員都是榮譽顧問，由此可見，香港主辦奧數，實在是一項國際盛事，獲得跨黨派的認同和重視。</w:t>
      </w:r>
    </w:p>
    <w:p>
      <w:pPr>
        <w:pStyle w:val="F21"/>
        <w:rPr/>
      </w:pPr>
      <w:r>
        <w:rPr/>
      </w:r>
    </w:p>
    <w:p>
      <w:pPr>
        <w:pStyle w:val="F21"/>
        <w:rPr/>
      </w:pPr>
      <w:r>
        <w:rPr/>
        <w:tab/>
      </w:r>
      <w:r>
        <w:rPr/>
        <w:t>作為一項國際盛事，其實奧數所牽涉的資源相對較少。正如各位都知道，最近財委會亦批准，我們明年將會主辦亞太經合組織的財政部長級會議，香港需要花費</w:t>
      </w:r>
      <w:r>
        <w:rPr/>
        <w:t>6,000</w:t>
      </w:r>
      <w:r>
        <w:rPr/>
        <w:t>多萬元，還要開設一個非常設的首長級職位統籌工作。然而主辦奧數，經籌備委員會的數學老師計算後，應該只需花費約</w:t>
      </w:r>
      <w:r>
        <w:rPr/>
        <w:t>2,000</w:t>
      </w:r>
      <w:r>
        <w:rPr/>
        <w:t>萬元。</w:t>
      </w:r>
    </w:p>
    <w:p>
      <w:pPr>
        <w:pStyle w:val="F21"/>
        <w:rPr/>
      </w:pPr>
      <w:r>
        <w:rPr/>
      </w:r>
    </w:p>
    <w:p>
      <w:pPr>
        <w:pStyle w:val="F21"/>
        <w:rPr/>
      </w:pPr>
      <w:r>
        <w:rPr/>
        <w:tab/>
      </w:r>
      <w:r>
        <w:rPr/>
        <w:t>為何有些傳媒說這麼“大陣象”，要提出議案，並列出多項措施，要求政府支持呢？這是因為主辦奧數等於主辦奧林匹克運動會，國際慣例是要主辦國家或地區，的而且確需要“包飲包食”。換言之，香港要負責所有來港參賽的學生、導師及其陪同人員的住宿及飲食，這筆費用的確不少。當然，香港的數學團隊往外國比賽時，對方同樣照顧我們，並且安排很多旅遊及文化交流活動，而每個主辦國家／地區，都會利用這個機會來推廣自己。</w:t>
      </w:r>
    </w:p>
    <w:p>
      <w:pPr>
        <w:pStyle w:val="F21"/>
        <w:rPr/>
      </w:pPr>
      <w:r>
        <w:rPr/>
      </w:r>
    </w:p>
    <w:p>
      <w:pPr>
        <w:pStyle w:val="F21"/>
        <w:rPr/>
      </w:pPr>
      <w:r>
        <w:rPr/>
        <w:tab/>
      </w:r>
      <w:r>
        <w:rPr/>
        <w:t>有人誤會奧數比賽只是一項數學比賽及只限於少數精英參加的活動，其實絕對不是。因為雖然參賽隊伍只有</w:t>
      </w:r>
      <w:r>
        <w:rPr/>
        <w:t>6</w:t>
      </w:r>
      <w:r>
        <w:rPr/>
        <w:t>人，但這</w:t>
      </w:r>
      <w:r>
        <w:rPr/>
        <w:t>6</w:t>
      </w:r>
      <w:r>
        <w:rPr/>
        <w:t>名香港隊員，是會從香港數百間中學選拔出來的。據我了解，每間學校都會參加。奧數的香港籌備委員會已經舉辦海報及標語設計比賽，鼓勵學校參加，所以所有學生都有機會參加。奧數所考的數學並非一般會考或</w:t>
      </w:r>
      <w:r>
        <w:rPr/>
        <w:t>DSE</w:t>
      </w:r>
      <w:r>
        <w:rPr/>
        <w:t>的數題，而是牽涉推理</w:t>
      </w:r>
      <w:r>
        <w:rPr/>
        <w:t>(deduction)</w:t>
      </w:r>
      <w:r>
        <w:rPr/>
        <w:t>、證明</w:t>
      </w:r>
      <w:r>
        <w:rPr/>
        <w:t>(proof)</w:t>
      </w:r>
      <w:r>
        <w:rPr/>
        <w:t>這種高階數學。它鍛鍊學生的邏輯思維及論證能力，所以推動這種參與有助提高香港學生的整體智力。</w:t>
      </w:r>
    </w:p>
    <w:p>
      <w:pPr>
        <w:pStyle w:val="F21"/>
        <w:rPr/>
      </w:pPr>
      <w:r>
        <w:rPr/>
      </w:r>
    </w:p>
    <w:p>
      <w:pPr>
        <w:pStyle w:val="F21"/>
        <w:rPr/>
      </w:pPr>
      <w:r>
        <w:rPr/>
        <w:tab/>
      </w:r>
      <w:r>
        <w:rPr/>
        <w:t>數學對一個社會的未來發展，的確是非常重要的。我們知道現時科技的“龍頭”公司：美國的</w:t>
      </w:r>
      <w:r>
        <w:rPr/>
        <w:t>Google</w:t>
      </w:r>
      <w:r>
        <w:rPr/>
        <w:t>、</w:t>
      </w:r>
      <w:r>
        <w:rPr/>
        <w:t>Apple</w:t>
      </w:r>
      <w:r>
        <w:rPr/>
        <w:t>，這些賺大錢的公司，如果它們的優才不懂數學，怎能寫出這麼多</w:t>
      </w:r>
      <w:r>
        <w:rPr/>
        <w:t>algorithm</w:t>
      </w:r>
      <w:r>
        <w:rPr/>
        <w:t>電腦程式？主席，我相信你也知道</w:t>
      </w:r>
      <w:r>
        <w:rPr/>
        <w:t>Google</w:t>
      </w:r>
      <w:r>
        <w:rPr/>
        <w:t>創辦人</w:t>
      </w:r>
      <w:r>
        <w:rPr/>
        <w:t>Sergey BRIN</w:t>
      </w:r>
      <w:r>
        <w:rPr/>
        <w:t>和他的同學，都是史丹福大學數學系的博士生。至於電腦硬件的半導體</w:t>
      </w:r>
      <w:r>
        <w:rPr/>
        <w:t>(semiconductor)</w:t>
      </w:r>
      <w:r>
        <w:rPr/>
        <w:t>，如果不懂物理和數學，亦無法發明一些高密度快速傳遞消息的半導體。又或是我們的日常生活中的：保險買賣、風險管理、工程基建、經濟分析、醫藥研究、天氣預測、科技創新、推敲演算或尖端發明；無論是上月球、探太空、樓宇買賣、建築測量，甚至政策研究，都需要數學知識。只有具備充分數學能力的人才，才能勝任，成為香港發展的“火車頭”，帶領香港向前推進。</w:t>
      </w:r>
    </w:p>
    <w:p>
      <w:pPr>
        <w:pStyle w:val="F21"/>
        <w:rPr/>
      </w:pPr>
      <w:r>
        <w:rPr/>
      </w:r>
    </w:p>
    <w:p>
      <w:pPr>
        <w:pStyle w:val="F21"/>
        <w:rPr/>
      </w:pPr>
      <w:r>
        <w:rPr/>
        <w:tab/>
      </w:r>
      <w:r>
        <w:rPr/>
        <w:t>主席，本會過往已經多次辯論，指出香港的經濟過度側重地產及金融，經濟結構過於狹窄，亦有很多同事贊成成立科技局，透過科技創新，推動香港的經濟轉型。要做到經濟轉型，我們便要從小培養學生，讓他們發揮推理證明的能力，鍛鍊邏輯思維是非常重要的。</w:t>
      </w:r>
    </w:p>
    <w:p>
      <w:pPr>
        <w:pStyle w:val="F21"/>
        <w:rPr/>
      </w:pPr>
      <w:r>
        <w:rPr/>
      </w:r>
    </w:p>
    <w:p>
      <w:pPr>
        <w:pStyle w:val="F21"/>
        <w:rPr/>
      </w:pPr>
      <w:r>
        <w:rPr/>
        <w:tab/>
      </w:r>
      <w:r>
        <w:rPr/>
        <w:t>我留意到各位同事提出的修正案，有些人覺得這項活動好像只重視精英學生，忽略了我們對基層學生的培養，實情並非如此。</w:t>
      </w:r>
    </w:p>
    <w:p>
      <w:pPr>
        <w:pStyle w:val="F21"/>
        <w:rPr/>
      </w:pPr>
      <w:r>
        <w:rPr/>
      </w:r>
    </w:p>
    <w:p>
      <w:pPr>
        <w:pStyle w:val="F21"/>
        <w:rPr/>
      </w:pPr>
      <w:r>
        <w:rPr/>
        <w:tab/>
      </w:r>
      <w:r>
        <w:rPr/>
        <w:t>主席，請容許我向各位同事展示一幅圖表，是最近《經濟學人》報道關於香港中學生數學水平的一篇文章。《經濟學人》指出，根據</w:t>
      </w:r>
      <w:r>
        <w:rPr/>
        <w:t>PISA</w:t>
      </w:r>
      <w:r>
        <w:rPr/>
        <w:t>國際</w:t>
      </w:r>
      <w:r>
        <w:rPr/>
        <w:t>15</w:t>
      </w:r>
      <w:r>
        <w:rPr/>
        <w:t xml:space="preserve">歲學生的考試能力 </w:t>
      </w:r>
      <w:r>
        <w:rPr>
          <w:rFonts w:ascii="Symbol" w:hAnsi="Symbol" w:cs="Symbol" w:eastAsia="Symbol"/>
        </w:rPr>
        <w:t></w:t>
      </w:r>
      <w:r>
        <w:rPr/>
        <w:t xml:space="preserve"> 我知道吳局長你都引以為榮，我收到你的電郵報佳音，香港的成績非常好 </w:t>
      </w:r>
      <w:r>
        <w:rPr>
          <w:rFonts w:ascii="Symbol" w:hAnsi="Symbol" w:cs="Symbol" w:eastAsia="Symbol"/>
        </w:rPr>
        <w:t></w:t>
      </w:r>
      <w:r>
        <w:rPr/>
        <w:t xml:space="preserve"> 根據</w:t>
      </w:r>
      <w:r>
        <w:rPr/>
        <w:t>15</w:t>
      </w:r>
      <w:r>
        <w:rPr/>
        <w:t>歲學生的數學成績，第一名，當然是我們偉大的祖國，但新加坡現在已經超越香港，香港都是名列前茅，我們是在前</w:t>
      </w:r>
      <w:r>
        <w:rPr/>
        <w:t>5</w:t>
      </w:r>
      <w:r>
        <w:rPr/>
        <w:t>名：第一、中國；第二、新加坡；第三、香港；第四、台灣；及第五、南韓。</w:t>
      </w:r>
    </w:p>
    <w:p>
      <w:pPr>
        <w:pStyle w:val="F21"/>
        <w:rPr/>
      </w:pPr>
      <w:r>
        <w:rPr/>
      </w:r>
    </w:p>
    <w:p>
      <w:pPr>
        <w:pStyle w:val="F21"/>
        <w:rPr/>
      </w:pPr>
      <w:r>
        <w:rPr/>
        <w:tab/>
      </w:r>
      <w:r>
        <w:rPr/>
        <w:t>所以，香港中學生的數學訓練在教育局和教育界各位老師的努力之下，基礎數學水平確實不差。但是，奧數水平又如何呢？的確有點參差和起伏。香港過去的成績相當不錯，我們在</w:t>
      </w:r>
      <w:r>
        <w:rPr/>
        <w:t>2007</w:t>
      </w:r>
      <w:r>
        <w:rPr/>
        <w:t>年的奧數比賽中，最好成績是第十二名。但是，之後一直都是第二十八、二十九、二十、十四、二十七名，今年是第三十一名。祖國則是第二、一、一、一名，最近兩年不是第二名，就是第一名。而新加坡的成績已見超前，</w:t>
      </w:r>
      <w:r>
        <w:rPr/>
        <w:t>2007</w:t>
      </w:r>
      <w:r>
        <w:rPr/>
        <w:t xml:space="preserve">年，新加坡是第三十六、三十二、三十、二十二名，最近兩年是全球排第七或第六名。泰國都有長足進步，甚至越南 </w:t>
      </w:r>
      <w:r>
        <w:rPr>
          <w:rFonts w:ascii="Symbol" w:hAnsi="Symbol" w:cs="Symbol" w:eastAsia="Symbol"/>
        </w:rPr>
        <w:t></w:t>
      </w:r>
      <w:r>
        <w:rPr/>
        <w:t xml:space="preserve"> 我慚愧地說，看一看這些數字，原來近</w:t>
      </w:r>
      <w:r>
        <w:rPr/>
        <w:t>3</w:t>
      </w:r>
      <w:r>
        <w:rPr/>
        <w:t xml:space="preserve">年的奧數比賽，其實是最近這兩年，泰國、越南、北韓都已經超越了香港，連北韓都超越香港 </w:t>
      </w:r>
      <w:r>
        <w:rPr>
          <w:rFonts w:ascii="Symbol" w:hAnsi="Symbol" w:cs="Symbol" w:eastAsia="Symbol"/>
        </w:rPr>
        <w:t></w:t>
      </w:r>
      <w:r>
        <w:rPr/>
        <w:t xml:space="preserve"> 因為我們對精英的培訓不足、訓練不足。所以，如果我們想培養頂尖人才，實在要透過奧數推動這些優質學生，多些發揮他們的潛能。</w:t>
      </w:r>
    </w:p>
    <w:p>
      <w:pPr>
        <w:pStyle w:val="F21"/>
        <w:spacing w:lineRule="atLeast" w:line="370"/>
        <w:rPr/>
      </w:pPr>
      <w:r>
        <w:rPr/>
      </w:r>
    </w:p>
    <w:p>
      <w:pPr>
        <w:pStyle w:val="F21"/>
        <w:spacing w:lineRule="atLeast" w:line="370"/>
        <w:rPr/>
      </w:pPr>
      <w:r>
        <w:rPr/>
        <w:tab/>
      </w:r>
      <w:r>
        <w:rPr/>
        <w:t>這項奧數比賽不單是從</w:t>
      </w:r>
      <w:r>
        <w:rPr/>
        <w:t>490</w:t>
      </w:r>
      <w:r>
        <w:rPr/>
        <w:t>間中學、</w:t>
      </w:r>
      <w:r>
        <w:rPr/>
        <w:t>42</w:t>
      </w:r>
      <w:r>
        <w:rPr/>
        <w:t>萬學生中進行選拔，各國代表隊都會到來香港，我們需要動員很多學生、青年人做義工，屆時有很多國際教育部長和其他政要出席。屆時，吳局長，你要“擔大旗”，你是主責官員。有人問，為何我提出這麼瑣碎的</w:t>
      </w:r>
      <w:r>
        <w:rPr/>
        <w:t>7</w:t>
      </w:r>
      <w:r>
        <w:rPr/>
        <w:t>項措施？因為我們這個委員會，包括我本人，聽到一些閒言閒語，不知孰真孰假，不少政府部門的人員見到我時都表示，你們委員會這樣做是行不通的，數學老師不懂得做組織工作。</w:t>
      </w:r>
    </w:p>
    <w:p>
      <w:pPr>
        <w:pStyle w:val="F21"/>
        <w:spacing w:lineRule="atLeast" w:line="370"/>
        <w:rPr/>
      </w:pPr>
      <w:r>
        <w:rPr/>
      </w:r>
    </w:p>
    <w:p>
      <w:pPr>
        <w:pStyle w:val="F21"/>
        <w:spacing w:lineRule="atLeast" w:line="370"/>
        <w:rPr/>
      </w:pPr>
      <w:r>
        <w:rPr/>
        <w:tab/>
      </w:r>
      <w:r>
        <w:rPr/>
        <w:t>當然，主席，數學老師是做研究和教學的，當然比不上馬會或貿發局這些有強大組織、資源、人力和物力的機構，所以，更加需要政府的支持。</w:t>
      </w:r>
    </w:p>
    <w:p>
      <w:pPr>
        <w:pStyle w:val="F21"/>
        <w:spacing w:lineRule="atLeast" w:line="370"/>
        <w:rPr/>
      </w:pPr>
      <w:r>
        <w:rPr/>
      </w:r>
    </w:p>
    <w:p>
      <w:pPr>
        <w:pStyle w:val="F21"/>
        <w:spacing w:lineRule="atLeast" w:line="370"/>
        <w:rPr/>
      </w:pPr>
      <w:r>
        <w:rPr/>
        <w:tab/>
      </w:r>
      <w:r>
        <w:rPr/>
        <w:t>到目前為止，政府表示，它只願意負責奧數比賽的開幕禮、歡迎晚宴、閉幕禮及閉幕晚宴，以及送出獎牌。而其他的，例如提供食宿、交通、紀念品、紀念</w:t>
      </w:r>
      <w:r>
        <w:rPr/>
        <w:t>T</w:t>
      </w:r>
      <w:r>
        <w:rPr/>
        <w:t>恤、附帶的文娛活動、旅遊參觀、認識香港等事項，全部都要靠這個委員會負責。所以，他們的責任實在很重，亦需要籌款。</w:t>
      </w:r>
    </w:p>
    <w:p>
      <w:pPr>
        <w:pStyle w:val="F21"/>
        <w:spacing w:lineRule="atLeast" w:line="370"/>
        <w:rPr/>
      </w:pPr>
      <w:r>
        <w:rPr/>
      </w:r>
    </w:p>
    <w:p>
      <w:pPr>
        <w:pStyle w:val="F21"/>
        <w:spacing w:lineRule="atLeast" w:line="370"/>
        <w:rPr/>
      </w:pPr>
      <w:r>
        <w:rPr/>
        <w:tab/>
      </w:r>
      <w:r>
        <w:rPr/>
        <w:t>此外，我們還留意到，外國非常重視這項活動，爭取到主辦權的地方，都是由國家元首、皇室要員或政府首腦出任贊助人。所以，我不厭其煩，我的議案第</w:t>
      </w:r>
      <w:r>
        <w:rPr/>
        <w:t>(</w:t>
      </w:r>
      <w:r>
        <w:rPr/>
        <w:t>一</w:t>
      </w:r>
      <w:r>
        <w:rPr/>
        <w:t>)</w:t>
      </w:r>
      <w:r>
        <w:rPr/>
        <w:t>項就是，要求特首當贊助人，“由行政長官擔任第五十七屆國際數學奧林匹克的贊助人”。當然，亦希望保安當局為參賽者和隨行人員提供必要的簽證協助，因為賽事明年在南非舉行，後年在泰國。由於有非洲國家主辦，相信到</w:t>
      </w:r>
      <w:r>
        <w:rPr/>
        <w:t>2016</w:t>
      </w:r>
      <w:r>
        <w:rPr/>
        <w:t>年會有很多非洲國家來香港，參加國家超過</w:t>
      </w:r>
      <w:r>
        <w:rPr/>
        <w:t>100</w:t>
      </w:r>
      <w:r>
        <w:rPr/>
        <w:t>個，實在需要很龐大的組織能力。</w:t>
      </w:r>
    </w:p>
    <w:p>
      <w:pPr>
        <w:pStyle w:val="F21"/>
        <w:spacing w:lineRule="atLeast" w:line="370"/>
        <w:rPr/>
      </w:pPr>
      <w:r>
        <w:rPr/>
      </w:r>
    </w:p>
    <w:p>
      <w:pPr>
        <w:pStyle w:val="F21"/>
        <w:spacing w:lineRule="atLeast" w:line="370"/>
        <w:rPr/>
      </w:pPr>
      <w:r>
        <w:rPr/>
      </w:r>
    </w:p>
    <w:p>
      <w:pPr>
        <w:pStyle w:val="F21"/>
        <w:spacing w:lineRule="atLeast" w:line="370"/>
        <w:rPr/>
      </w:pPr>
      <w:r>
        <w:rPr/>
        <w:t>(</w:t>
      </w:r>
      <w:r>
        <w:rPr/>
        <w:t>代理主席梁君彥議員代為主持會議</w:t>
      </w:r>
      <w:r>
        <w:rPr/>
        <w:t>)</w:t>
      </w:r>
    </w:p>
    <w:p>
      <w:pPr>
        <w:pStyle w:val="F21"/>
        <w:spacing w:lineRule="atLeast" w:line="370"/>
        <w:rPr/>
      </w:pPr>
      <w:r>
        <w:rPr/>
      </w:r>
    </w:p>
    <w:p>
      <w:pPr>
        <w:pStyle w:val="F21"/>
        <w:spacing w:lineRule="atLeast" w:line="370"/>
        <w:rPr/>
      </w:pPr>
      <w:r>
        <w:rPr/>
      </w:r>
    </w:p>
    <w:p>
      <w:pPr>
        <w:pStyle w:val="F21"/>
        <w:spacing w:lineRule="atLeast" w:line="370"/>
        <w:rPr/>
      </w:pPr>
      <w:r>
        <w:rPr/>
        <w:tab/>
      </w:r>
      <w:r>
        <w:rPr/>
        <w:t>我們希望政府支持，委派有關官員和獲奧數香港委員會提名的人士，以觀察員身份出席明年和後年的奧數比賽，讓他們觀摩外國如何主辦，為香港主辦第五十七界賽事提供意見和支援。</w:t>
      </w:r>
    </w:p>
    <w:p>
      <w:pPr>
        <w:pStyle w:val="F21"/>
        <w:rPr/>
      </w:pPr>
      <w:r>
        <w:rPr/>
      </w:r>
    </w:p>
    <w:p>
      <w:pPr>
        <w:pStyle w:val="F21"/>
        <w:spacing w:lineRule="atLeast" w:line="350"/>
        <w:rPr/>
      </w:pPr>
      <w:r>
        <w:rPr/>
        <w:tab/>
      </w:r>
      <w:r>
        <w:rPr/>
        <w:t>我希望政府加強宣傳，鼓勵各界全情投入這件盛事，以提高社會對學習數學的興趣，並且強化學生對數學的掌握，為發展香港未來高新科技產業培育和儲備人才。</w:t>
      </w:r>
    </w:p>
    <w:p>
      <w:pPr>
        <w:pStyle w:val="F21"/>
        <w:spacing w:lineRule="atLeast" w:line="350"/>
        <w:rPr/>
      </w:pPr>
      <w:r>
        <w:rPr/>
      </w:r>
    </w:p>
    <w:p>
      <w:pPr>
        <w:pStyle w:val="F21"/>
        <w:spacing w:lineRule="atLeast" w:line="350"/>
        <w:rPr/>
      </w:pPr>
      <w:r>
        <w:rPr/>
        <w:tab/>
      </w:r>
      <w:r>
        <w:rPr/>
        <w:t>尚餘數分鐘時間，我不想把時間用盡。我感謝教育局近來跟我們進行了數次會議，他們已經盡量提供幫助。但是，因為需要的款項頗多，達</w:t>
      </w:r>
      <w:r>
        <w:rPr/>
        <w:t>2,000</w:t>
      </w:r>
      <w:r>
        <w:rPr/>
        <w:t>萬元，希望政府各部門大力支持。</w:t>
      </w:r>
    </w:p>
    <w:p>
      <w:pPr>
        <w:pStyle w:val="F21"/>
        <w:spacing w:lineRule="atLeast" w:line="350"/>
        <w:rPr/>
      </w:pPr>
      <w:r>
        <w:rPr/>
      </w:r>
    </w:p>
    <w:p>
      <w:pPr>
        <w:pStyle w:val="F21"/>
        <w:spacing w:lineRule="atLeast" w:line="350"/>
        <w:rPr/>
      </w:pPr>
      <w:r>
        <w:rPr/>
        <w:tab/>
      </w:r>
      <w:r>
        <w:rPr/>
        <w:t>代理主席，我動議這項議案。</w:t>
      </w:r>
    </w:p>
    <w:p>
      <w:pPr>
        <w:pStyle w:val="F21"/>
        <w:spacing w:lineRule="atLeast" w:line="350"/>
        <w:rPr/>
      </w:pPr>
      <w:r>
        <w:rPr/>
      </w:r>
    </w:p>
    <w:p>
      <w:pPr>
        <w:pStyle w:val="F21"/>
        <w:spacing w:lineRule="atLeast" w:line="350"/>
        <w:rPr/>
      </w:pPr>
      <w:r>
        <w:rPr>
          <w:rFonts w:cs="Times New Roman" w:eastAsia="華康中黑體"/>
          <w:b/>
        </w:rPr>
        <w:t>葉劉淑儀議員動議的議案如下</w:t>
      </w:r>
      <w:r>
        <w:rPr/>
        <w:t>：</w:t>
      </w:r>
    </w:p>
    <w:p>
      <w:pPr>
        <w:pStyle w:val="F21"/>
        <w:spacing w:lineRule="atLeast" w:line="350"/>
        <w:rPr/>
      </w:pPr>
      <w:r>
        <w:rPr/>
      </w:r>
    </w:p>
    <w:p>
      <w:pPr>
        <w:pStyle w:val="F21"/>
        <w:spacing w:lineRule="atLeast" w:line="350"/>
        <w:ind w:left="709" w:hanging="142"/>
        <w:rPr>
          <w:rFonts w:cs="Times New Roman"/>
        </w:rPr>
      </w:pPr>
      <w:r>
        <w:rPr>
          <w:rFonts w:cs="Times New Roman"/>
        </w:rPr>
        <w:t>“</w:t>
      </w:r>
      <w:r>
        <w:rPr>
          <w:rFonts w:cs="Times New Roman"/>
        </w:rPr>
        <w:t>香港榮獲</w:t>
      </w:r>
      <w:r>
        <w:rPr>
          <w:rFonts w:cs="Times New Roman"/>
        </w:rPr>
        <w:t>2016</w:t>
      </w:r>
      <w:r>
        <w:rPr>
          <w:rFonts w:cs="Times New Roman"/>
        </w:rPr>
        <w:t>年第五十七屆國際數學奧林匹克主辦權，而國際數學奧林匹克作為數學界最高水平的國際賽事之一，除有助提升香港的國際聲譽及地位外，亦能重振本港學生一直引以為傲的數學水平，刺激學生的創意思維及求知慾，從而促進本港高新科技產業的發展；香港曾於</w:t>
      </w:r>
      <w:r>
        <w:rPr>
          <w:rFonts w:cs="Times New Roman"/>
        </w:rPr>
        <w:t>1994</w:t>
      </w:r>
      <w:r>
        <w:rPr>
          <w:rFonts w:cs="Times New Roman"/>
        </w:rPr>
        <w:t>年獲時任總督彭定康親自擔任贊助人，全力支持主辦第三十五屆國際數學奧林匹克，而本港代表隊自</w:t>
      </w:r>
      <w:r>
        <w:rPr>
          <w:rFonts w:cs="Times New Roman"/>
        </w:rPr>
        <w:t>1988</w:t>
      </w:r>
      <w:r>
        <w:rPr>
          <w:rFonts w:cs="Times New Roman"/>
        </w:rPr>
        <w:t>年參賽以來，成績一直位踞前列；就此，本會促請政府全力支持國際數學奧林匹克香港委員會籌辦第五十七屆國際數學奧林匹克；具體措施應包括：</w:t>
      </w:r>
    </w:p>
    <w:p>
      <w:pPr>
        <w:pStyle w:val="F21"/>
        <w:spacing w:lineRule="atLeast" w:line="350"/>
        <w:ind w:left="709" w:hanging="142"/>
        <w:rPr>
          <w:rFonts w:cs="Times New Roman"/>
        </w:rPr>
      </w:pPr>
      <w:r>
        <w:rPr>
          <w:rFonts w:cs="Times New Roman"/>
        </w:rPr>
      </w:r>
    </w:p>
    <w:p>
      <w:pPr>
        <w:pStyle w:val="F21"/>
        <w:spacing w:lineRule="atLeast" w:line="350"/>
        <w:ind w:left="1560" w:hanging="851"/>
        <w:rPr>
          <w:rFonts w:cs="Times New Roman"/>
        </w:rPr>
      </w:pPr>
      <w:r>
        <w:rPr>
          <w:rFonts w:cs="Times New Roman"/>
        </w:rPr>
        <w:t>(</w:t>
      </w:r>
      <w:r>
        <w:rPr>
          <w:rFonts w:cs="Times New Roman"/>
        </w:rPr>
        <w:t>一</w:t>
      </w:r>
      <w:r>
        <w:rPr>
          <w:rFonts w:cs="Times New Roman"/>
        </w:rPr>
        <w:t>)</w:t>
        <w:tab/>
      </w:r>
      <w:r>
        <w:rPr>
          <w:rFonts w:cs="Times New Roman"/>
        </w:rPr>
        <w:t>由於歷屆國際數學奧林匹克均由主辦國的元首、王室要員或當地政府首長以贊助人的身份主持賽事的開幕及閉幕典禮，故此香港亦應延續歷屆傳統，由行政長官擔任第五十七屆國際數學奧林匹克的贊助人，一盡地主之誼；</w:t>
      </w:r>
    </w:p>
    <w:p>
      <w:pPr>
        <w:pStyle w:val="F21"/>
        <w:spacing w:lineRule="atLeast" w:line="350"/>
        <w:ind w:left="1560" w:hanging="851"/>
        <w:rPr>
          <w:rFonts w:cs="Times New Roman"/>
        </w:rPr>
      </w:pPr>
      <w:r>
        <w:rPr>
          <w:rFonts w:cs="Times New Roman"/>
        </w:rPr>
      </w:r>
    </w:p>
    <w:p>
      <w:pPr>
        <w:pStyle w:val="F21"/>
        <w:spacing w:lineRule="atLeast" w:line="350"/>
        <w:ind w:left="1560" w:hanging="851"/>
        <w:rPr>
          <w:rFonts w:cs="Times New Roman"/>
        </w:rPr>
      </w:pPr>
      <w:r>
        <w:rPr>
          <w:rFonts w:cs="Times New Roman"/>
        </w:rPr>
        <w:t>(</w:t>
      </w:r>
      <w:r>
        <w:rPr>
          <w:rFonts w:cs="Times New Roman"/>
        </w:rPr>
        <w:t>二</w:t>
      </w:r>
      <w:r>
        <w:rPr>
          <w:rFonts w:cs="Times New Roman"/>
        </w:rPr>
        <w:t>)</w:t>
        <w:tab/>
      </w:r>
      <w:r>
        <w:rPr>
          <w:rFonts w:cs="Times New Roman"/>
        </w:rPr>
        <w:t>為各國參賽者及隨行人員的入境簽證事宜提供必要的協助；</w:t>
      </w:r>
    </w:p>
    <w:p>
      <w:pPr>
        <w:pStyle w:val="F21"/>
        <w:spacing w:lineRule="atLeast" w:line="350"/>
        <w:ind w:left="1560" w:hanging="851"/>
        <w:rPr>
          <w:rFonts w:cs="Times New Roman"/>
        </w:rPr>
      </w:pPr>
      <w:r>
        <w:rPr>
          <w:rFonts w:cs="Times New Roman"/>
        </w:rPr>
      </w:r>
    </w:p>
    <w:p>
      <w:pPr>
        <w:pStyle w:val="F21"/>
        <w:spacing w:lineRule="atLeast" w:line="350"/>
        <w:ind w:left="1560" w:hanging="851"/>
        <w:rPr>
          <w:rFonts w:cs="Times New Roman"/>
        </w:rPr>
      </w:pPr>
      <w:r>
        <w:rPr>
          <w:rFonts w:cs="Times New Roman"/>
        </w:rPr>
        <w:t>(</w:t>
      </w:r>
      <w:r>
        <w:rPr>
          <w:rFonts w:cs="Times New Roman"/>
        </w:rPr>
        <w:t>三</w:t>
      </w:r>
      <w:r>
        <w:rPr>
          <w:rFonts w:cs="Times New Roman"/>
        </w:rPr>
        <w:t>)</w:t>
        <w:tab/>
      </w:r>
      <w:r>
        <w:rPr>
          <w:rFonts w:cs="Times New Roman"/>
        </w:rPr>
        <w:t>遵照歷屆國際數學奧林匹克慣例，委派相關官員及獲國際數學奧林匹克香港委員會提名的人士以觀察員的身份，出席</w:t>
      </w:r>
      <w:r>
        <w:rPr>
          <w:rFonts w:cs="Times New Roman"/>
        </w:rPr>
        <w:t>2014</w:t>
      </w:r>
      <w:r>
        <w:rPr>
          <w:rFonts w:cs="Times New Roman"/>
        </w:rPr>
        <w:t>年第五十五屆及</w:t>
      </w:r>
      <w:r>
        <w:rPr>
          <w:rFonts w:cs="Times New Roman"/>
        </w:rPr>
        <w:t>2015</w:t>
      </w:r>
      <w:r>
        <w:rPr>
          <w:rFonts w:cs="Times New Roman"/>
        </w:rPr>
        <w:t>年第五十六屆國際數學奧林匹克，為香港主辦的第五十七屆賽事提供意見及支援；</w:t>
      </w:r>
    </w:p>
    <w:p>
      <w:pPr>
        <w:pStyle w:val="F21"/>
        <w:spacing w:lineRule="atLeast" w:line="350"/>
        <w:ind w:left="1560" w:hanging="851"/>
        <w:rPr>
          <w:rFonts w:cs="Times New Roman"/>
        </w:rPr>
      </w:pPr>
      <w:r>
        <w:rPr>
          <w:rFonts w:cs="Times New Roman"/>
        </w:rPr>
      </w:r>
    </w:p>
    <w:p>
      <w:pPr>
        <w:pStyle w:val="F21"/>
        <w:spacing w:lineRule="atLeast" w:line="350"/>
        <w:ind w:left="1560" w:hanging="851"/>
        <w:rPr>
          <w:rFonts w:cs="Times New Roman"/>
        </w:rPr>
      </w:pPr>
      <w:r>
        <w:rPr>
          <w:rFonts w:cs="Times New Roman"/>
        </w:rPr>
        <w:t>(</w:t>
      </w:r>
      <w:r>
        <w:rPr>
          <w:rFonts w:cs="Times New Roman"/>
        </w:rPr>
        <w:t>四</w:t>
      </w:r>
      <w:r>
        <w:rPr>
          <w:rFonts w:cs="Times New Roman"/>
        </w:rPr>
        <w:t>)</w:t>
        <w:tab/>
      </w:r>
      <w:r>
        <w:rPr>
          <w:rFonts w:cs="Times New Roman"/>
        </w:rPr>
        <w:t>宣傳並鼓勵社會各界全情投入此項盛事，以提升社會對學習數學的興趣，並藉此強化學生對數學的掌握，為發展本港高新科技產業培育及儲備人才；</w:t>
      </w:r>
    </w:p>
    <w:p>
      <w:pPr>
        <w:pStyle w:val="F21"/>
        <w:ind w:left="1560" w:hanging="851"/>
        <w:rPr>
          <w:rFonts w:cs="Times New Roman"/>
        </w:rPr>
      </w:pPr>
      <w:r>
        <w:rPr>
          <w:rFonts w:cs="Times New Roman"/>
        </w:rPr>
        <w:t>(</w:t>
      </w:r>
      <w:r>
        <w:rPr>
          <w:rFonts w:cs="Times New Roman"/>
        </w:rPr>
        <w:t>五</w:t>
      </w:r>
      <w:r>
        <w:rPr>
          <w:rFonts w:cs="Times New Roman"/>
        </w:rPr>
        <w:t>)</w:t>
        <w:tab/>
      </w:r>
      <w:r>
        <w:rPr>
          <w:rFonts w:cs="Times New Roman"/>
        </w:rPr>
        <w:t>除教育局原則上同意支持舉辦是次盛事及已同意贊助開幕、閉幕典禮及製作獎牌的費用外，政府亦應協助國際數學奧林匹克香港委員會申請盛事基金、優質教育基金及其他等財政資助，以獲得足夠資源為各國領隊、參賽者及隨行人員提供食宿、市內交通、紀念品及其他必需品，履行主辦方的義務；</w:t>
      </w:r>
      <w:r>
        <w:br w:type="page"/>
      </w:r>
    </w:p>
    <w:p>
      <w:pPr>
        <w:pStyle w:val="F21"/>
        <w:ind w:left="1560" w:hanging="851"/>
        <w:rPr>
          <w:rFonts w:cs="Times New Roman"/>
        </w:rPr>
      </w:pPr>
      <w:r>
        <w:rPr>
          <w:rFonts w:cs="Times New Roman"/>
        </w:rPr>
      </w:r>
    </w:p>
    <w:p>
      <w:pPr>
        <w:pStyle w:val="F21"/>
        <w:ind w:left="1560" w:hanging="851"/>
        <w:rPr>
          <w:rFonts w:cs="Times New Roman"/>
        </w:rPr>
      </w:pPr>
      <w:r>
        <w:rPr>
          <w:rFonts w:cs="Times New Roman"/>
        </w:rPr>
        <w:t>(</w:t>
      </w:r>
      <w:r>
        <w:rPr>
          <w:rFonts w:cs="Times New Roman"/>
        </w:rPr>
        <w:t>六</w:t>
      </w:r>
      <w:r>
        <w:rPr>
          <w:rFonts w:cs="Times New Roman"/>
        </w:rPr>
        <w:t>)</w:t>
        <w:tab/>
      </w:r>
      <w:r>
        <w:rPr>
          <w:rFonts w:cs="Times New Roman"/>
        </w:rPr>
        <w:t>協助國際數學奧林匹克香港委員會獲得旅遊資源，以為參賽各國參賽隊伍及隨行人員提供文娛活動，從而推廣香港文化及提升香港國際形象；及</w:t>
      </w:r>
    </w:p>
    <w:p>
      <w:pPr>
        <w:pStyle w:val="F21"/>
        <w:ind w:left="1560" w:hanging="851"/>
        <w:rPr>
          <w:rFonts w:cs="Times New Roman"/>
        </w:rPr>
      </w:pPr>
      <w:r>
        <w:rPr>
          <w:rFonts w:cs="Times New Roman"/>
        </w:rPr>
      </w:r>
    </w:p>
    <w:p>
      <w:pPr>
        <w:pStyle w:val="F21"/>
        <w:ind w:left="1560" w:hanging="851"/>
        <w:rPr>
          <w:rFonts w:cs="Times New Roman"/>
        </w:rPr>
      </w:pPr>
      <w:r>
        <w:rPr>
          <w:rFonts w:cs="Times New Roman"/>
        </w:rPr>
        <w:t>(</w:t>
      </w:r>
      <w:r>
        <w:rPr>
          <w:rFonts w:cs="Times New Roman"/>
        </w:rPr>
        <w:t>七</w:t>
      </w:r>
      <w:r>
        <w:rPr>
          <w:rFonts w:cs="Times New Roman"/>
        </w:rPr>
        <w:t>)</w:t>
        <w:tab/>
      </w:r>
      <w:r>
        <w:rPr>
          <w:rFonts w:cs="Times New Roman"/>
        </w:rPr>
        <w:t>繼續支持本港代表隊參加內地舉辦的各項數學比賽，促進兩地之間的文化及學術交流。”</w:t>
      </w:r>
    </w:p>
    <w:p>
      <w:pPr>
        <w:pStyle w:val="F21"/>
        <w:rPr/>
      </w:pPr>
      <w:r>
        <w:rPr/>
      </w:r>
    </w:p>
    <w:p>
      <w:pPr>
        <w:pStyle w:val="F21"/>
        <w:rPr/>
      </w:pPr>
      <w:r>
        <w:rPr/>
      </w:r>
    </w:p>
    <w:p>
      <w:pPr>
        <w:pStyle w:val="F21"/>
        <w:rPr/>
      </w:pPr>
      <w:r>
        <w:rPr>
          <w:rFonts w:eastAsia="華康中黑體"/>
          <w:b/>
        </w:rPr>
        <w:t>代理主席</w:t>
      </w:r>
      <w:r>
        <w:rPr/>
        <w:t>：我現在向各位提出的待議議題是：葉劉淑儀議員動議的議案，予以通過。</w:t>
      </w:r>
    </w:p>
    <w:p>
      <w:pPr>
        <w:pStyle w:val="F21"/>
        <w:rPr/>
      </w:pPr>
      <w:r>
        <w:rPr/>
      </w:r>
    </w:p>
    <w:p>
      <w:pPr>
        <w:pStyle w:val="F21"/>
        <w:rPr/>
      </w:pPr>
      <w:r>
        <w:rPr/>
      </w:r>
    </w:p>
    <w:p>
      <w:pPr>
        <w:pStyle w:val="F21"/>
        <w:rPr/>
      </w:pPr>
      <w:r>
        <w:rPr>
          <w:rFonts w:eastAsia="華康中黑體"/>
          <w:b/>
        </w:rPr>
        <w:t>代理主席</w:t>
      </w:r>
      <w:r>
        <w:rPr/>
        <w:t>：有</w:t>
      </w:r>
      <w:r>
        <w:rPr/>
        <w:t>6</w:t>
      </w:r>
      <w:r>
        <w:rPr/>
        <w:t>位議員要就這項議案動議修正案。本會現在就議案及</w:t>
      </w:r>
      <w:r>
        <w:rPr/>
        <w:t>6</w:t>
      </w:r>
      <w:r>
        <w:rPr/>
        <w:t>項修正案進行合併辯論。</w:t>
      </w:r>
    </w:p>
    <w:p>
      <w:pPr>
        <w:pStyle w:val="F21"/>
        <w:rPr/>
      </w:pPr>
      <w:r>
        <w:rPr/>
      </w:r>
    </w:p>
    <w:p>
      <w:pPr>
        <w:pStyle w:val="F21"/>
        <w:rPr/>
      </w:pPr>
      <w:r>
        <w:rPr/>
        <w:tab/>
      </w:r>
      <w:r>
        <w:rPr/>
        <w:t>我會先請葉建源議員發言，然後分別請張國柱議員、梁耀忠議員、梁繼昌議員、謝偉銓議員及莫乃光議員發言；但他們在現階段不可動議修正案。</w:t>
      </w:r>
    </w:p>
    <w:p>
      <w:pPr>
        <w:pStyle w:val="F21"/>
        <w:rPr/>
      </w:pPr>
      <w:r>
        <w:rPr/>
      </w:r>
    </w:p>
    <w:p>
      <w:pPr>
        <w:pStyle w:val="F21"/>
        <w:rPr/>
      </w:pPr>
      <w:r>
        <w:rPr/>
      </w:r>
    </w:p>
    <w:p>
      <w:pPr>
        <w:pStyle w:val="F21"/>
        <w:rPr>
          <w:szCs w:val="27"/>
        </w:rPr>
      </w:pPr>
      <w:r>
        <w:rPr>
          <w:rFonts w:cs="華康中黑體" w:eastAsia="華康中黑體"/>
          <w:b/>
          <w:szCs w:val="27"/>
        </w:rPr>
        <w:t>葉建源議員</w:t>
      </w:r>
      <w:r>
        <w:rPr>
          <w:szCs w:val="27"/>
        </w:rPr>
        <w:t>：代理主席，相信大家都很認同數學的重要性，因為學習數學不單要把數式做好，當中更牽涉推理、邏輯等很重要的能力。香港在數理方面的水平向來高踞世界前列，國際比賽及成績均證明香港學生這方面的成績是相當超卓的。這是幼稚園、小學、中學和大學的數學教師的功勞，實在值得我們向他們鼓掌和致敬。因為有他們的付出，我們才能有驕人的成績。</w:t>
      </w:r>
    </w:p>
    <w:p>
      <w:pPr>
        <w:pStyle w:val="F21"/>
        <w:rPr>
          <w:szCs w:val="27"/>
        </w:rPr>
      </w:pPr>
      <w:r>
        <w:rPr>
          <w:szCs w:val="27"/>
        </w:rPr>
      </w:r>
    </w:p>
    <w:p>
      <w:pPr>
        <w:pStyle w:val="F21"/>
        <w:rPr>
          <w:szCs w:val="27"/>
        </w:rPr>
      </w:pPr>
      <w:r>
        <w:rPr>
          <w:szCs w:val="27"/>
        </w:rPr>
        <w:tab/>
      </w:r>
      <w:r>
        <w:rPr>
          <w:szCs w:val="27"/>
        </w:rPr>
        <w:t>所以，今天這項“提振香港數理學術水平風氣，全力支援主辦國際數學大賽”議案是非常有意思的，而我亦十分同意國際數學奧林匹克大賽是一個精英平台，一個聚集各國精英互相切磋磨練的重要平台。然而，與此同時，我們亦需要明白，假如要提振香港數理學術水平，一定要同時關注中小學課程及評核制度。關於這方面，到目前為止有很多朋友均向我表示非常擔心，因為在不同環節的數學教學上都出現了不少問題，包括長遠而言可能會令學生對數學喪失興趣。</w:t>
      </w:r>
    </w:p>
    <w:p>
      <w:pPr>
        <w:pStyle w:val="F21"/>
        <w:rPr>
          <w:szCs w:val="27"/>
        </w:rPr>
      </w:pPr>
      <w:r>
        <w:rPr>
          <w:szCs w:val="27"/>
        </w:rPr>
      </w:r>
    </w:p>
    <w:p>
      <w:pPr>
        <w:pStyle w:val="F21"/>
        <w:rPr>
          <w:szCs w:val="27"/>
        </w:rPr>
      </w:pPr>
      <w:r>
        <w:rPr>
          <w:szCs w:val="27"/>
        </w:rPr>
        <w:tab/>
      </w:r>
      <w:r>
        <w:rPr>
          <w:szCs w:val="27"/>
        </w:rPr>
        <w:t>首先，我想談的是與小學、初中的學習心態很有關係的全港性系統評估</w:t>
      </w:r>
      <w:r>
        <w:rPr>
          <w:szCs w:val="27"/>
        </w:rPr>
        <w:t>(</w:t>
      </w:r>
      <w:r>
        <w:rPr>
          <w:szCs w:val="27"/>
        </w:rPr>
        <w:t>下稱“</w:t>
      </w:r>
      <w:r>
        <w:rPr>
          <w:szCs w:val="27"/>
        </w:rPr>
        <w:t>TSA”)</w:t>
      </w:r>
      <w:r>
        <w:rPr>
          <w:szCs w:val="27"/>
        </w:rPr>
        <w:t>。請大家看看我手上這幅圖，如果看得不清楚，看電視畫面上的可能會好一些。這幅圖是今年</w:t>
      </w:r>
      <w:r>
        <w:rPr>
          <w:szCs w:val="27"/>
        </w:rPr>
        <w:t>TSA</w:t>
      </w:r>
      <w:r>
        <w:rPr>
          <w:szCs w:val="27"/>
        </w:rPr>
        <w:t>的數學題目，大家不妨猜一猜，這究竟是哪一年級的題目？我可以告訴大家，這是三年級的題目。這條屬於三年級的題目顯示了兩幅圖，大家首先要明白的是這兩幅圖顯示的是一個相等關係，是一個天平，而當中不同的形狀其實是不同的符號。題目設有</w:t>
      </w:r>
      <w:r>
        <w:rPr>
          <w:szCs w:val="27"/>
        </w:rPr>
        <w:t>4</w:t>
      </w:r>
      <w:r>
        <w:rPr>
          <w:szCs w:val="27"/>
        </w:rPr>
        <w:t>項答案供大家選擇，答案究竟是</w:t>
      </w:r>
      <w:r>
        <w:rPr>
          <w:szCs w:val="27"/>
        </w:rPr>
        <w:t>A</w:t>
      </w:r>
      <w:r>
        <w:rPr>
          <w:szCs w:val="27"/>
        </w:rPr>
        <w:t>、</w:t>
      </w:r>
      <w:r>
        <w:rPr>
          <w:szCs w:val="27"/>
        </w:rPr>
        <w:t>B</w:t>
      </w:r>
      <w:r>
        <w:rPr>
          <w:szCs w:val="27"/>
        </w:rPr>
        <w:t>、</w:t>
      </w:r>
      <w:r>
        <w:rPr>
          <w:szCs w:val="27"/>
        </w:rPr>
        <w:t>C</w:t>
      </w:r>
      <w:r>
        <w:rPr>
          <w:szCs w:val="27"/>
        </w:rPr>
        <w:t>還是</w:t>
      </w:r>
      <w:r>
        <w:rPr>
          <w:szCs w:val="27"/>
        </w:rPr>
        <w:t>D</w:t>
      </w:r>
      <w:r>
        <w:rPr>
          <w:szCs w:val="27"/>
        </w:rPr>
        <w:t>呢？大家有否信心在</w:t>
      </w:r>
      <w:r>
        <w:rPr>
          <w:szCs w:val="27"/>
        </w:rPr>
        <w:t>1</w:t>
      </w:r>
      <w:r>
        <w:rPr>
          <w:szCs w:val="27"/>
        </w:rPr>
        <w:t>分鐘內回答這項問題？</w:t>
      </w:r>
    </w:p>
    <w:p>
      <w:pPr>
        <w:pStyle w:val="F21"/>
        <w:rPr>
          <w:szCs w:val="27"/>
        </w:rPr>
      </w:pPr>
      <w:r>
        <w:rPr>
          <w:szCs w:val="27"/>
        </w:rPr>
      </w:r>
    </w:p>
    <w:p>
      <w:pPr>
        <w:pStyle w:val="F21"/>
        <w:rPr>
          <w:szCs w:val="27"/>
        </w:rPr>
      </w:pPr>
      <w:r>
        <w:rPr>
          <w:szCs w:val="27"/>
        </w:rPr>
        <w:tab/>
      </w:r>
      <w:r>
        <w:rPr>
          <w:szCs w:val="27"/>
        </w:rPr>
        <w:t>我剛才在休息時跟任職教授的李國麟議員討論這題目，看看他能否把答案計算出來。他花了</w:t>
      </w:r>
      <w:r>
        <w:rPr>
          <w:szCs w:val="27"/>
        </w:rPr>
        <w:t>1</w:t>
      </w:r>
      <w:r>
        <w:rPr>
          <w:szCs w:val="27"/>
        </w:rPr>
        <w:t>分鐘時間計算，結果答案是錯誤的。然後，我又把題目交給剛剛到達會議廳的梁繼昌議員，他是一位會計師，當他看見這條題目時，不禁驚呼頭暈。但是，香港的小學三年級學生卻要在</w:t>
      </w:r>
      <w:r>
        <w:rPr>
          <w:szCs w:val="27"/>
        </w:rPr>
        <w:t>1</w:t>
      </w:r>
      <w:r>
        <w:rPr>
          <w:szCs w:val="27"/>
        </w:rPr>
        <w:t>分鐘時間內回答這條題目。我可以告訴大家，今年的評核報告指同學的表現很好，大部分同學的答案都是正確的。所以，其實李國麟議員和梁繼昌議員都需要深切反省，究竟他們過去是如何學習數學的。當然，我這樣說只是開玩笑而已。</w:t>
      </w:r>
    </w:p>
    <w:p>
      <w:pPr>
        <w:pStyle w:val="F21"/>
        <w:rPr>
          <w:szCs w:val="27"/>
        </w:rPr>
      </w:pPr>
      <w:r>
        <w:rPr>
          <w:szCs w:val="27"/>
        </w:rPr>
      </w:r>
    </w:p>
    <w:p>
      <w:pPr>
        <w:pStyle w:val="F21"/>
        <w:rPr>
          <w:szCs w:val="27"/>
        </w:rPr>
      </w:pPr>
      <w:r>
        <w:rPr>
          <w:szCs w:val="27"/>
        </w:rPr>
        <w:tab/>
      </w:r>
      <w:r>
        <w:rPr>
          <w:szCs w:val="27"/>
        </w:rPr>
        <w:t>不過，問題是為何會有這種情況出現，為何這種令人頭暈的題目，同學們竟然可以計算出正確答案？其實，原因很簡單，就是同學們均經歷了很長時間的操練。當他們看見這類題目，很快便會知道題目的要求，即使不明白答案是如何計算出來的，仍可透過猜測、勉強計算出答案。相信在座有不少議員在年輕時都曾有過這些經驗，而現時的</w:t>
      </w:r>
      <w:r>
        <w:rPr>
          <w:szCs w:val="27"/>
        </w:rPr>
        <w:t>TSA</w:t>
      </w:r>
      <w:r>
        <w:rPr>
          <w:szCs w:val="27"/>
        </w:rPr>
        <w:t>便導致同學要不斷進行操練。我手上還有另一條題目，例如這幅相對簡單的圖，但結果卻顯示大部分同學的表現比較差。</w:t>
      </w:r>
    </w:p>
    <w:p>
      <w:pPr>
        <w:pStyle w:val="F21"/>
        <w:rPr>
          <w:szCs w:val="27"/>
        </w:rPr>
      </w:pPr>
      <w:r>
        <w:rPr>
          <w:szCs w:val="27"/>
        </w:rPr>
      </w:r>
    </w:p>
    <w:p>
      <w:pPr>
        <w:pStyle w:val="F21"/>
        <w:rPr>
          <w:kern w:val="2"/>
          <w:szCs w:val="27"/>
        </w:rPr>
      </w:pPr>
      <w:r>
        <w:rPr>
          <w:szCs w:val="27"/>
        </w:rPr>
        <w:tab/>
      </w:r>
      <w:r>
        <w:rPr>
          <w:szCs w:val="27"/>
        </w:rPr>
        <w:t>我們的專家曾經進行研究，其實這條小三的題目，實際上是屬於高小的課程範圍，所以我們的評核機構事實上是在要求學生“超前做好”。這些操練有沒有成效呢？實際上是有的，但只是短期效用。通過長時間操練，學生看見這類題目或題型，已大致摸索到“路數”了。我們想要訓練的，便是學生的“路數”。但是，結果很多同學</w:t>
      </w:r>
      <w:r>
        <w:rPr>
          <w:szCs w:val="27"/>
        </w:rPr>
        <w:t>......</w:t>
      </w:r>
      <w:r>
        <w:rPr>
          <w:kern w:val="2"/>
          <w:szCs w:val="27"/>
        </w:rPr>
        <w:t>相信在座不少議員在畢業後，都不會再想接觸這類題目，並對此深痛惡絕。這便是數學教育為我們帶來的深遠、長遠的影響。</w:t>
      </w:r>
    </w:p>
    <w:p>
      <w:pPr>
        <w:pStyle w:val="F21"/>
        <w:rPr>
          <w:kern w:val="2"/>
          <w:szCs w:val="27"/>
        </w:rPr>
      </w:pPr>
      <w:r>
        <w:rPr>
          <w:kern w:val="2"/>
          <w:szCs w:val="27"/>
        </w:rPr>
      </w:r>
    </w:p>
    <w:p>
      <w:pPr>
        <w:pStyle w:val="F21"/>
        <w:rPr>
          <w:kern w:val="2"/>
          <w:szCs w:val="27"/>
        </w:rPr>
      </w:pPr>
      <w:r>
        <w:rPr>
          <w:kern w:val="2"/>
          <w:szCs w:val="27"/>
        </w:rPr>
        <w:tab/>
      </w:r>
      <w:r>
        <w:rPr>
          <w:kern w:val="2"/>
          <w:szCs w:val="27"/>
        </w:rPr>
        <w:t>小時候，他們可能計算到正確答案，但長遠來說卻喪失了興趣。現在我們說的是終身教育、終身學習，這便是數學的危機。那麼，</w:t>
      </w:r>
      <w:r>
        <w:rPr>
          <w:kern w:val="2"/>
          <w:szCs w:val="27"/>
        </w:rPr>
        <w:t>TSA</w:t>
      </w:r>
      <w:r>
        <w:rPr>
          <w:kern w:val="2"/>
          <w:szCs w:val="27"/>
        </w:rPr>
        <w:t>究竟為我們帶來一個怎樣的結局呢？我認為最少有六大禍害。</w:t>
      </w:r>
    </w:p>
    <w:p>
      <w:pPr>
        <w:pStyle w:val="F21"/>
        <w:rPr>
          <w:kern w:val="2"/>
          <w:szCs w:val="27"/>
        </w:rPr>
      </w:pPr>
      <w:r>
        <w:rPr>
          <w:kern w:val="2"/>
          <w:szCs w:val="27"/>
        </w:rPr>
      </w:r>
    </w:p>
    <w:p>
      <w:pPr>
        <w:pStyle w:val="F21"/>
        <w:rPr>
          <w:kern w:val="2"/>
          <w:szCs w:val="27"/>
        </w:rPr>
      </w:pPr>
      <w:r>
        <w:rPr>
          <w:kern w:val="2"/>
          <w:szCs w:val="27"/>
        </w:rPr>
        <w:tab/>
      </w:r>
      <w:r>
        <w:rPr>
          <w:kern w:val="2"/>
          <w:szCs w:val="27"/>
        </w:rPr>
        <w:t>首先，我們從上述例子得知，</w:t>
      </w:r>
      <w:r>
        <w:rPr>
          <w:kern w:val="2"/>
          <w:szCs w:val="27"/>
        </w:rPr>
        <w:t>TSA</w:t>
      </w:r>
      <w:r>
        <w:rPr>
          <w:kern w:val="2"/>
          <w:szCs w:val="27"/>
        </w:rPr>
        <w:t>題目越趨艱深，沒有切合學生的實際能力和需要，例如要求學生在數學科作業上懂得寫菱形的“菱”字。這個字其實是非常難寫的，而假如寫錯了，即使是數學題目，也會被扣分。隨之而來的是第二大禍害，因為題目越趨艱深，所以便要不斷操練。經調查後，我們發現</w:t>
      </w:r>
      <w:r>
        <w:rPr>
          <w:kern w:val="2"/>
          <w:szCs w:val="27"/>
        </w:rPr>
        <w:t>99%</w:t>
      </w:r>
      <w:r>
        <w:rPr>
          <w:kern w:val="2"/>
          <w:szCs w:val="27"/>
        </w:rPr>
        <w:t>的學校均會購買補充練習，這都是為操練而購買的。這種情況從小學一年級便開始，即是說一年級的學生已經要進行操練了。</w:t>
      </w:r>
    </w:p>
    <w:p>
      <w:pPr>
        <w:pStyle w:val="F21"/>
        <w:rPr>
          <w:kern w:val="2"/>
          <w:szCs w:val="27"/>
        </w:rPr>
      </w:pPr>
      <w:r>
        <w:rPr>
          <w:kern w:val="2"/>
          <w:szCs w:val="27"/>
        </w:rPr>
      </w:r>
    </w:p>
    <w:p>
      <w:pPr>
        <w:pStyle w:val="F21"/>
        <w:rPr>
          <w:kern w:val="2"/>
          <w:szCs w:val="27"/>
        </w:rPr>
      </w:pPr>
      <w:r>
        <w:rPr>
          <w:kern w:val="2"/>
          <w:szCs w:val="27"/>
        </w:rPr>
        <w:tab/>
      </w:r>
      <w:r>
        <w:rPr>
          <w:kern w:val="2"/>
          <w:szCs w:val="27"/>
        </w:rPr>
        <w:t>操練的結果引發第三個禍害，那便是補課。補課亦是自小學一年級開始，老師和學生均身受其害。至於第四個禍害，便是</w:t>
      </w:r>
      <w:r>
        <w:rPr>
          <w:kern w:val="2"/>
          <w:szCs w:val="27"/>
        </w:rPr>
        <w:t>TSA</w:t>
      </w:r>
      <w:r>
        <w:rPr>
          <w:kern w:val="2"/>
          <w:szCs w:val="27"/>
        </w:rPr>
        <w:t>在這情況下逐步變成整個校內課程和評核模式的指揮棒，我們不再以學生為本，變成以</w:t>
      </w:r>
      <w:r>
        <w:rPr>
          <w:kern w:val="2"/>
          <w:szCs w:val="27"/>
        </w:rPr>
        <w:t>TSA</w:t>
      </w:r>
      <w:r>
        <w:rPr>
          <w:kern w:val="2"/>
          <w:szCs w:val="27"/>
        </w:rPr>
        <w:t>為本、以</w:t>
      </w:r>
      <w:r>
        <w:rPr>
          <w:kern w:val="2"/>
          <w:szCs w:val="27"/>
        </w:rPr>
        <w:t>TSA</w:t>
      </w:r>
      <w:r>
        <w:rPr>
          <w:kern w:val="2"/>
          <w:szCs w:val="27"/>
        </w:rPr>
        <w:t>為標準，而這標準卻令很多能力較弱或較遲“發力”的學生，甚至一些有特殊需要的學生，往往嘗盡苦頭。第五個禍害，則是當局及辦學團體往往以</w:t>
      </w:r>
      <w:r>
        <w:rPr>
          <w:kern w:val="2"/>
          <w:szCs w:val="27"/>
        </w:rPr>
        <w:t>TSA</w:t>
      </w:r>
      <w:r>
        <w:rPr>
          <w:kern w:val="2"/>
          <w:szCs w:val="27"/>
        </w:rPr>
        <w:t>作標準來衡量各間學校的成績。當局向辦學團體施壓，辦學團體向校長施壓，校長向教師施壓，在層層施壓下，學生最終承受了全面壓力。</w:t>
      </w:r>
    </w:p>
    <w:p>
      <w:pPr>
        <w:pStyle w:val="F21"/>
        <w:rPr>
          <w:kern w:val="2"/>
          <w:szCs w:val="27"/>
        </w:rPr>
      </w:pPr>
      <w:r>
        <w:rPr>
          <w:kern w:val="2"/>
          <w:szCs w:val="27"/>
        </w:rPr>
      </w:r>
    </w:p>
    <w:p>
      <w:pPr>
        <w:pStyle w:val="F21"/>
        <w:rPr>
          <w:kern w:val="2"/>
          <w:szCs w:val="27"/>
        </w:rPr>
      </w:pPr>
      <w:r>
        <w:rPr>
          <w:kern w:val="2"/>
          <w:szCs w:val="27"/>
        </w:rPr>
        <w:tab/>
      </w:r>
      <w:r>
        <w:rPr>
          <w:kern w:val="2"/>
          <w:szCs w:val="27"/>
        </w:rPr>
        <w:t>最後一個非常嚴重的禍害是，在這種情況下，學生已失去了學習興趣，對數學望而生畏。我曾與一位小學教師聊天，他非常沉痛地告訴我，他們現在所做的，實際上是一種精神虐殺。他說這話時，是非常心痛的。我們看到現時的禍害相比我們以前經歷的升中試或學能測驗還要嚴重，因為學生自小學一年級、二年級開始便要經歷這件事。我們以為這樣做是要避免學生輸在起跑線上，但事實上卻是把他們的興趣扼殺於萌芽中。這是否我們最初想做的事呢？起初我們都以為</w:t>
      </w:r>
      <w:r>
        <w:rPr>
          <w:kern w:val="2"/>
          <w:szCs w:val="27"/>
        </w:rPr>
        <w:t>TSA</w:t>
      </w:r>
      <w:r>
        <w:rPr>
          <w:kern w:val="2"/>
          <w:szCs w:val="27"/>
        </w:rPr>
        <w:t>是一個沒有壓力的測驗，但實際到了最後，卻發現這是一個壓力十分沉重的測驗。</w:t>
      </w:r>
    </w:p>
    <w:p>
      <w:pPr>
        <w:pStyle w:val="F21"/>
        <w:rPr>
          <w:kern w:val="2"/>
          <w:szCs w:val="27"/>
        </w:rPr>
      </w:pPr>
      <w:r>
        <w:rPr>
          <w:kern w:val="2"/>
          <w:szCs w:val="27"/>
        </w:rPr>
      </w:r>
    </w:p>
    <w:p>
      <w:pPr>
        <w:pStyle w:val="F21"/>
        <w:rPr>
          <w:kern w:val="2"/>
          <w:szCs w:val="27"/>
        </w:rPr>
      </w:pPr>
      <w:r>
        <w:rPr>
          <w:kern w:val="2"/>
          <w:szCs w:val="27"/>
        </w:rPr>
        <w:tab/>
      </w:r>
      <w:r>
        <w:rPr>
          <w:kern w:val="2"/>
          <w:szCs w:val="27"/>
        </w:rPr>
        <w:t>這並非我的個人意見，在擬訂這次議案的修正案時，我曾向香港大學的梁貫成教授、香港中文大學的黃毅英教授及香港教育學院的馮振業教授徵求意見。他們均是現時香港數學教育的權威，而他們都十分支持我這項修正案，因為他們看到，現時所做的事情並不是在幫助學生。所以，我希望我們能夠即時將這個異化現象解決，否則便應該立即取消</w:t>
      </w:r>
      <w:r>
        <w:rPr>
          <w:kern w:val="2"/>
          <w:szCs w:val="27"/>
        </w:rPr>
        <w:t>TSA</w:t>
      </w:r>
      <w:r>
        <w:rPr>
          <w:kern w:val="2"/>
          <w:szCs w:val="27"/>
        </w:rPr>
        <w:t>，使香港的學校教育和學生能重回學習正軌。</w:t>
      </w:r>
    </w:p>
    <w:p>
      <w:pPr>
        <w:pStyle w:val="F21"/>
        <w:rPr>
          <w:kern w:val="2"/>
          <w:szCs w:val="27"/>
        </w:rPr>
      </w:pPr>
      <w:r>
        <w:rPr>
          <w:kern w:val="2"/>
          <w:szCs w:val="27"/>
        </w:rPr>
      </w:r>
    </w:p>
    <w:p>
      <w:pPr>
        <w:pStyle w:val="F21"/>
        <w:spacing w:lineRule="atLeast" w:line="380"/>
        <w:rPr>
          <w:kern w:val="2"/>
          <w:szCs w:val="27"/>
        </w:rPr>
      </w:pPr>
      <w:r>
        <w:rPr>
          <w:kern w:val="2"/>
          <w:szCs w:val="27"/>
        </w:rPr>
        <w:tab/>
      </w:r>
      <w:r>
        <w:rPr>
          <w:kern w:val="2"/>
          <w:szCs w:val="27"/>
        </w:rPr>
        <w:t>代理主席，另一點我想指出的是，我們同樣需要好好檢視初中的數學課程。這個課程已有長達</w:t>
      </w:r>
      <w:r>
        <w:rPr>
          <w:kern w:val="2"/>
          <w:szCs w:val="27"/>
        </w:rPr>
        <w:t>10</w:t>
      </w:r>
      <w:r>
        <w:rPr>
          <w:kern w:val="2"/>
          <w:szCs w:val="27"/>
        </w:rPr>
        <w:t>多年沒經檢討，這是很長的一段時間。然而，在整個新課程制度下，初中課程應如何向下與小學課程銜接、向上與高中課程銜接呢？我們感覺到教師們均認為有很大的問題，所以，希望政府在這方面能作出檢討。</w:t>
      </w:r>
    </w:p>
    <w:p>
      <w:pPr>
        <w:pStyle w:val="F21"/>
        <w:spacing w:lineRule="atLeast" w:line="380"/>
        <w:rPr>
          <w:kern w:val="2"/>
          <w:szCs w:val="27"/>
        </w:rPr>
      </w:pPr>
      <w:r>
        <w:rPr>
          <w:kern w:val="2"/>
          <w:szCs w:val="27"/>
        </w:rPr>
      </w:r>
    </w:p>
    <w:p>
      <w:pPr>
        <w:pStyle w:val="F21"/>
        <w:spacing w:lineRule="atLeast" w:line="380"/>
        <w:rPr>
          <w:kern w:val="2"/>
          <w:szCs w:val="27"/>
        </w:rPr>
      </w:pPr>
      <w:r>
        <w:rPr>
          <w:kern w:val="2"/>
          <w:szCs w:val="27"/>
        </w:rPr>
        <w:tab/>
      </w:r>
      <w:r>
        <w:rPr>
          <w:kern w:val="2"/>
          <w:szCs w:val="27"/>
        </w:rPr>
        <w:t>還有非常重要的一點，便是新高中課程開始後，數學分成了兩部分，一個屬於基本部分，另一個則是延伸部分。在這兩部分中，現在越來越少學生修讀延伸部分，以前很多學生都會修讀附加數學，現在卻越來越少。其實，長遠而言，這種情況會導致升讀大學的學生的數學能力</w:t>
      </w:r>
      <w:r>
        <w:rPr>
          <w:kern w:val="2"/>
          <w:szCs w:val="27"/>
        </w:rPr>
        <w:t>......</w:t>
      </w:r>
      <w:r>
        <w:rPr>
          <w:kern w:val="2"/>
          <w:szCs w:val="27"/>
        </w:rPr>
        <w:t>例如在修讀經濟或其他科目時，其數學能力能否應付課程需要，這會是一個很大的疑慮。因此，我一方面非常支持要辦好國際數學奧林匹克大賽，但假如我們真的要提振香港數理水平，便要同時好好的檢視中小學課程和考核</w:t>
      </w:r>
      <w:r>
        <w:rPr>
          <w:i/>
          <w:kern w:val="2"/>
          <w:szCs w:val="27"/>
        </w:rPr>
        <w:t>(</w:t>
      </w:r>
      <w:r>
        <w:rPr>
          <w:i/>
          <w:kern w:val="2"/>
          <w:szCs w:val="27"/>
        </w:rPr>
        <w:t>計時器響起</w:t>
      </w:r>
      <w:r>
        <w:rPr>
          <w:i/>
          <w:kern w:val="2"/>
          <w:szCs w:val="27"/>
        </w:rPr>
        <w:t>)</w:t>
      </w:r>
      <w:r>
        <w:rPr>
          <w:kern w:val="2"/>
          <w:szCs w:val="27"/>
        </w:rPr>
        <w:t>......</w:t>
      </w:r>
    </w:p>
    <w:p>
      <w:pPr>
        <w:pStyle w:val="F21"/>
        <w:spacing w:lineRule="atLeast" w:line="380"/>
        <w:rPr>
          <w:kern w:val="2"/>
          <w:szCs w:val="27"/>
        </w:rPr>
      </w:pPr>
      <w:r>
        <w:rPr>
          <w:kern w:val="2"/>
          <w:szCs w:val="27"/>
        </w:rPr>
      </w:r>
    </w:p>
    <w:p>
      <w:pPr>
        <w:pStyle w:val="F21"/>
        <w:spacing w:lineRule="atLeast" w:line="380"/>
        <w:rPr>
          <w:kern w:val="2"/>
          <w:szCs w:val="27"/>
        </w:rPr>
      </w:pPr>
      <w:r>
        <w:rPr>
          <w:kern w:val="2"/>
          <w:szCs w:val="27"/>
        </w:rPr>
      </w:r>
    </w:p>
    <w:p>
      <w:pPr>
        <w:pStyle w:val="F21"/>
        <w:overflowPunct w:val="true"/>
        <w:snapToGrid w:val="false"/>
        <w:spacing w:lineRule="atLeast" w:line="380"/>
        <w:rPr>
          <w:szCs w:val="27"/>
        </w:rPr>
      </w:pPr>
      <w:r>
        <w:rPr>
          <w:rFonts w:ascii="華康中黑體" w:hAnsi="華康中黑體" w:eastAsia="華康中黑體"/>
          <w:b/>
          <w:szCs w:val="27"/>
        </w:rPr>
        <w:t>代理主席</w:t>
      </w:r>
      <w:r>
        <w:rPr>
          <w:rFonts w:ascii="華康中黑體" w:hAnsi="華康中黑體"/>
          <w:szCs w:val="27"/>
        </w:rPr>
        <w:t>：</w:t>
      </w:r>
      <w:r>
        <w:rPr>
          <w:szCs w:val="27"/>
        </w:rPr>
        <w:t>發言時限到了。</w:t>
      </w:r>
    </w:p>
    <w:p>
      <w:pPr>
        <w:pStyle w:val="F21"/>
        <w:spacing w:lineRule="atLeast" w:line="380"/>
        <w:rPr/>
      </w:pPr>
      <w:r>
        <w:rPr/>
      </w:r>
    </w:p>
    <w:p>
      <w:pPr>
        <w:pStyle w:val="F21"/>
        <w:spacing w:lineRule="atLeast" w:line="380"/>
        <w:rPr/>
      </w:pPr>
      <w:r>
        <w:rPr/>
      </w:r>
    </w:p>
    <w:p>
      <w:pPr>
        <w:pStyle w:val="F21"/>
        <w:spacing w:lineRule="atLeast" w:line="380"/>
        <w:rPr/>
      </w:pPr>
      <w:r>
        <w:rPr>
          <w:rFonts w:eastAsia="華康中黑體"/>
          <w:b/>
        </w:rPr>
        <w:t>張國柱</w:t>
      </w:r>
      <w:r>
        <w:rPr>
          <w:rFonts w:ascii="華康中黑體" w:hAnsi="華康中黑體" w:cs="華康中黑體" w:eastAsia="華康中黑體"/>
          <w:b/>
        </w:rPr>
        <w:t>議員</w:t>
      </w:r>
      <w:r>
        <w:rPr/>
        <w:t>：代理主席，國際數學奧林匹克</w:t>
      </w:r>
      <w:r>
        <w:rPr/>
        <w:t>(“</w:t>
      </w:r>
      <w:r>
        <w:rPr/>
        <w:t>奧數”</w:t>
      </w:r>
      <w:r>
        <w:rPr/>
        <w:t>)</w:t>
      </w:r>
      <w:r>
        <w:rPr/>
        <w:t>競賽起源於蘇聯，</w:t>
      </w:r>
      <w:r>
        <w:rPr/>
        <w:t>1959</w:t>
      </w:r>
      <w:r>
        <w:rPr/>
        <w:t>年第一次在羅馬尼亞舉行。當時只有社會主義國家才可參加，</w:t>
      </w:r>
      <w:r>
        <w:rPr/>
        <w:t>10</w:t>
      </w:r>
      <w:r>
        <w:rPr/>
        <w:t>多年之後，資本主義國家才陸續加入。</w:t>
      </w:r>
    </w:p>
    <w:p>
      <w:pPr>
        <w:pStyle w:val="F21"/>
        <w:spacing w:lineRule="atLeast" w:line="380"/>
        <w:rPr/>
      </w:pPr>
      <w:r>
        <w:rPr/>
      </w:r>
    </w:p>
    <w:p>
      <w:pPr>
        <w:pStyle w:val="F21"/>
        <w:spacing w:lineRule="atLeast" w:line="380"/>
        <w:rPr/>
      </w:pPr>
      <w:r>
        <w:rPr/>
        <w:tab/>
      </w:r>
      <w:r>
        <w:rPr/>
        <w:t>這個機制是蘇聯數學家柯爾莫哥羅夫發起的。在當時的蘇聯，一些有天分又聰明的孩子，從中學起就會獲選進入一些特殊的數學學校接受訓練，探討數學難題。其實這項制度，是當時蘇聯在保留數學知識及人才時無辦法之中的一種辦法。當時共產蘇聯的教育制度，是每個人的學習經歷都是高度統一，缺乏創意，升學和就業的依據，都是根據階級地位及背景是否“夠紅”而決定。柯爾莫哥羅夫認為必須開闢一個制度空間，為社會留下科學的火種，所以堅持要讓天分好、動力強的學生，能夠走得更遠，進步得更快，在他的倡導下便出現了這些學校。這些學校有一種特色，就是學生學習音樂、詩歌、划船、遠足和滑雪，而且不需要被灌輸共產主義。由此可見，奧數的出現，其實是注重創意，保留孩子的活潑及自發性，是現代教育所推崇的教育價值。</w:t>
      </w:r>
    </w:p>
    <w:p>
      <w:pPr>
        <w:pStyle w:val="F21"/>
        <w:rPr/>
      </w:pPr>
      <w:r>
        <w:rPr/>
      </w:r>
    </w:p>
    <w:p>
      <w:pPr>
        <w:pStyle w:val="F21"/>
        <w:rPr/>
      </w:pPr>
      <w:r>
        <w:rPr/>
        <w:tab/>
      </w:r>
      <w:r>
        <w:rPr/>
        <w:t>今年</w:t>
      </w:r>
      <w:r>
        <w:rPr/>
        <w:t>7</w:t>
      </w:r>
      <w:r>
        <w:rPr/>
        <w:t>月，第五十四屆奧數在哥倫比亞聖瑪爾塔結束，有</w:t>
      </w:r>
      <w:r>
        <w:rPr/>
        <w:t>97</w:t>
      </w:r>
      <w:r>
        <w:rPr/>
        <w:t>個國家及地區，</w:t>
      </w:r>
      <w:r>
        <w:rPr/>
        <w:t>500</w:t>
      </w:r>
      <w:r>
        <w:rPr/>
        <w:t>多名學生參加比賽。中國內地派出的隊伍獲得團體總分第一名，他們派出</w:t>
      </w:r>
      <w:r>
        <w:rPr/>
        <w:t>6</w:t>
      </w:r>
      <w:r>
        <w:rPr/>
        <w:t>名隊員，獲得</w:t>
      </w:r>
      <w:r>
        <w:rPr/>
        <w:t>5</w:t>
      </w:r>
      <w:r>
        <w:rPr/>
        <w:t>金</w:t>
      </w:r>
      <w:r>
        <w:rPr/>
        <w:t>1</w:t>
      </w:r>
      <w:r>
        <w:rPr/>
        <w:t>銀的成績，其中一名隊員更獲得個人第一，與南韓的金牌數目並列第一。其實在過去的</w:t>
      </w:r>
      <w:r>
        <w:rPr/>
        <w:t>10</w:t>
      </w:r>
      <w:r>
        <w:rPr/>
        <w:t>多年，中國、美國和俄羅斯這</w:t>
      </w:r>
      <w:r>
        <w:rPr/>
        <w:t>3</w:t>
      </w:r>
      <w:r>
        <w:rPr/>
        <w:t>個國家一直是奧數最強的隊伍，每年總是在三甲之內你爭我奪。去年南韓突然殺入重圍得到冠軍，而今年中國重獲失去</w:t>
      </w:r>
      <w:r>
        <w:rPr/>
        <w:t>3</w:t>
      </w:r>
      <w:r>
        <w:rPr/>
        <w:t>年的冠軍，可見中國在奧數的實力非常強。但是，很奇怪，中國很多專家學者，多年來都對推動奧數很有保留，因為他們認為這對孩子的摧殘很大，這當然與中國內地教育制度不完善有很大的關係。很多如北京和成都等城市，多年來都“三令五申”，禁止將奧數與升學掛鈎。不過，即使被禁止，奧數培訓在中國內地仍然成街成巷，因為這是升上名校的必備條件之一，其中當然可能有利益輸送、互相勾結或社會腐敗在內。</w:t>
      </w:r>
    </w:p>
    <w:p>
      <w:pPr>
        <w:pStyle w:val="F21"/>
        <w:rPr/>
      </w:pPr>
      <w:r>
        <w:rPr/>
      </w:r>
    </w:p>
    <w:p>
      <w:pPr>
        <w:pStyle w:val="F21"/>
        <w:rPr/>
      </w:pPr>
      <w:r>
        <w:rPr/>
        <w:tab/>
      </w:r>
      <w:r>
        <w:rPr/>
        <w:t>或許我們先談談奧數的本質。數學家很多時都指出，奧數現時這種為了贏取獎牌的灌輸式數學教育，其實會破壞兒童對數學的興趣。這麼多年來，中國內地在參加奧數比賽中多次得到冠軍，但在國際代表數學界最高榮譽的獎項，即是有數學諾貝爾獎之稱的菲爾茲獎，截至目前為止只有兩位華人科學家獲得這個獎項，一位是來自香港，大家熟悉的丘成桐教授，另一位是澳洲的華裔數學家陶哲軒教授，嚴格來說他們都不是中國內地的數學家。丘成桐教授去年</w:t>
      </w:r>
      <w:r>
        <w:rPr/>
        <w:t>11</w:t>
      </w:r>
      <w:r>
        <w:rPr/>
        <w:t>月接受報章訪問，談到關於中國內地奧數禁止不絕的問題時認為，奧數發展到為了升學的需要而集中揣摩偏僻及古怪的題目，是很荒謬的事情。</w:t>
      </w:r>
    </w:p>
    <w:p>
      <w:pPr>
        <w:pStyle w:val="F21"/>
        <w:rPr/>
      </w:pPr>
      <w:r>
        <w:rPr/>
      </w:r>
    </w:p>
    <w:p>
      <w:pPr>
        <w:pStyle w:val="F21"/>
        <w:rPr/>
      </w:pPr>
      <w:r>
        <w:rPr/>
        <w:tab/>
      </w:r>
      <w:r>
        <w:rPr/>
        <w:t>在中國內地，奧數曾經作為數學人才培養的手段而引入，但在國內教育制度注重名校、應試和競爭等源於資源分配不平等的情況下，很快便發展成為另一個摧殘孩子成長的噩夢。又有人曾經詢問過曾在奧數中勝出的陶哲軒教授，為甚麼有些奧數金牌得主沒有在數學界做出成績，而只有他能夠呢？陶教授回答道，數學研究和奧數所需的條件不一樣，奧數就好像在可以預知的條件下參加短跑比賽，而數學研究則是現實生活的一場不可預知條件下的馬拉松比賽。這就是說，前者是為比賽而比賽，而後者是為生活，是人的成長。</w:t>
      </w:r>
    </w:p>
    <w:p>
      <w:pPr>
        <w:pStyle w:val="F21"/>
        <w:rPr/>
      </w:pPr>
      <w:r>
        <w:rPr/>
      </w:r>
    </w:p>
    <w:p>
      <w:pPr>
        <w:pStyle w:val="F21"/>
        <w:rPr/>
      </w:pPr>
      <w:r>
        <w:rPr/>
        <w:tab/>
      </w:r>
      <w:r>
        <w:rPr/>
        <w:t>話說回來，奧數其實也不能說是完全沒用的。</w:t>
      </w:r>
      <w:r>
        <w:rPr/>
        <w:t>1988</w:t>
      </w:r>
      <w:r>
        <w:rPr/>
        <w:t>年至今仍然擔任中國奧數代表隊教練的熊斌先生，培養出中國</w:t>
      </w:r>
      <w:r>
        <w:rPr/>
        <w:t>30</w:t>
      </w:r>
      <w:r>
        <w:rPr/>
        <w:t>多名奧數金牌得獎者，他對傳媒表示，奧數的訓練應該更容易培養出菲爾茲獎的得主，因為一般菲爾茲獎得獎者都曾參加奧數。但是，他不明白為何中國從</w:t>
      </w:r>
      <w:r>
        <w:rPr/>
        <w:t>1986</w:t>
      </w:r>
      <w:r>
        <w:rPr/>
        <w:t>年正式派隊參加，到目前為止，那些得獎者最後都在數學界無影無蹤？其實，大家都看到，不是奧數在本質上有甚麼太大的問題，就好像中國內地每次奧運會都奪得很多金牌，但整體國民的體質卻不太好，關鍵不是甚麼獎項，而是基礎決定了成敗，教育如是，體育亦如是。</w:t>
      </w:r>
    </w:p>
    <w:p>
      <w:pPr>
        <w:pStyle w:val="F21"/>
        <w:spacing w:lineRule="atLeast" w:line="380"/>
        <w:rPr/>
      </w:pPr>
      <w:r>
        <w:rPr/>
      </w:r>
    </w:p>
    <w:p>
      <w:pPr>
        <w:pStyle w:val="F21"/>
        <w:spacing w:lineRule="atLeast" w:line="380"/>
        <w:rPr/>
      </w:pPr>
      <w:r>
        <w:rPr/>
        <w:tab/>
      </w:r>
      <w:r>
        <w:rPr/>
        <w:t>同樣是奧數，美國與中國的水準很接近，但選手在比賽前的訓練卻很不同，他們重視的是日常教學。例如在美國波士頓附近一間名為</w:t>
      </w:r>
      <w:r>
        <w:rPr/>
        <w:t>Phillips Exeter Academy</w:t>
      </w:r>
      <w:r>
        <w:rPr/>
        <w:t>的私立高中，每年美國奧數代表隊的</w:t>
      </w:r>
      <w:r>
        <w:rPr/>
        <w:t>6</w:t>
      </w:r>
      <w:r>
        <w:rPr/>
        <w:t>名參賽者中，總有三、四名來自這間學校。這間學校的數學課很有特色，基本上是由學生教導學生，</w:t>
      </w:r>
      <w:r>
        <w:rPr/>
        <w:t>12</w:t>
      </w:r>
      <w:r>
        <w:rPr/>
        <w:t>名學生和</w:t>
      </w:r>
      <w:r>
        <w:rPr/>
        <w:t>1</w:t>
      </w:r>
      <w:r>
        <w:rPr/>
        <w:t>位老師共同圍坐一張桌。上課時，學生輪流在黑板講解一條題目的解法，老師在學生弄不清楚時才會說話，但老師亦不會直接解題，只是引導學生思考和討論，找出原理，建立他們的自信。</w:t>
      </w:r>
    </w:p>
    <w:p>
      <w:pPr>
        <w:pStyle w:val="F21"/>
        <w:spacing w:lineRule="atLeast" w:line="380"/>
        <w:rPr/>
      </w:pPr>
      <w:r>
        <w:rPr/>
      </w:r>
    </w:p>
    <w:p>
      <w:pPr>
        <w:pStyle w:val="F21"/>
        <w:spacing w:lineRule="atLeast" w:line="380"/>
        <w:rPr/>
      </w:pPr>
      <w:r>
        <w:rPr/>
        <w:tab/>
      </w:r>
      <w:r>
        <w:rPr/>
        <w:t>代理主席，我想指出的是，香港現在最需要的，是怎樣辦好基礎教育，不論數學、中文、英文或歷史也好。美國有小班教學，但我們爭取了十多二十年，仍然得個“桔”；美國有一種鼓勵創意、思考、反省和批判的教育方向，但我們就只有一種應試式、淘汰式，甚至是“灌輸洗腦式”的教育方向。今時今日的政府如果在香港大力推動奧數，或許可以多奪數面獎牌，威風數日，但這些龐大的資源投入，我不認為對香港整體的數學教育有甚麼好處，甚至只會加劇青少年升學的壓力。</w:t>
      </w:r>
    </w:p>
    <w:p>
      <w:pPr>
        <w:pStyle w:val="F21"/>
        <w:spacing w:lineRule="atLeast" w:line="380"/>
        <w:rPr/>
      </w:pPr>
      <w:r>
        <w:rPr/>
      </w:r>
    </w:p>
    <w:p>
      <w:pPr>
        <w:pStyle w:val="F21"/>
        <w:spacing w:lineRule="atLeast" w:line="380"/>
        <w:rPr/>
      </w:pPr>
      <w:r>
        <w:rPr/>
        <w:tab/>
      </w:r>
      <w:r>
        <w:rPr/>
        <w:t>明眼人都看得出，原議案真是慷香港人之慨，表示要運用公帑全數接待所有外國參加者和承擔一切費用，包括資助</w:t>
      </w:r>
      <w:r>
        <w:rPr/>
        <w:t>2014</w:t>
      </w:r>
      <w:r>
        <w:rPr/>
        <w:t>年及</w:t>
      </w:r>
      <w:r>
        <w:rPr/>
        <w:t>2015</w:t>
      </w:r>
      <w:r>
        <w:rPr/>
        <w:t>年的考察。這樣的“大花筒”建議，讓我們即時想起香港融合教育現時資源缺乏、千瘡百孔的苦況，當中的反差是非常大的。議員如果看到今天這項原議案的內容得到落實，這只會成為一盤大生意，得益的只會是一些有千絲萬縷利益關係的團體。</w:t>
      </w:r>
    </w:p>
    <w:p>
      <w:pPr>
        <w:pStyle w:val="F21"/>
        <w:spacing w:lineRule="atLeast" w:line="380"/>
        <w:rPr/>
      </w:pPr>
      <w:r>
        <w:rPr/>
      </w:r>
    </w:p>
    <w:p>
      <w:pPr>
        <w:pStyle w:val="F21"/>
        <w:spacing w:lineRule="atLeast" w:line="380"/>
        <w:rPr/>
      </w:pPr>
      <w:r>
        <w:rPr/>
        <w:tab/>
      </w:r>
      <w:r>
        <w:rPr/>
        <w:t>代理主席，要提升本港學生整體的學術水準，刺激學生的創意思維及求知慾，首先便要改善現時教育制度的弊端，為學生和老師鬆綁，促進平等教育機會，以及解決資源不足的問題。香港如果沒有良好的基礎教育系統，不論高新科技或是其他產業都會無從發展。因此，我要求政府馬上推行小班教學；就數理科教育而言，則鼓勵以另類學習模式，提高本港學生的數理及其他學科等學術科目的興趣，推行以人為本的啟發式教育，以有教無類為原則，為本港學生提供適切的教育。</w:t>
      </w:r>
    </w:p>
    <w:p>
      <w:pPr>
        <w:pStyle w:val="F21"/>
        <w:rPr/>
      </w:pPr>
      <w:r>
        <w:rPr/>
      </w:r>
    </w:p>
    <w:p>
      <w:pPr>
        <w:pStyle w:val="F21"/>
        <w:rPr/>
      </w:pPr>
      <w:r>
        <w:rPr/>
        <w:tab/>
      </w:r>
      <w:r>
        <w:rPr/>
        <w:t>代理主席，我謹此陳辭。</w:t>
      </w:r>
    </w:p>
    <w:p>
      <w:pPr>
        <w:pStyle w:val="F21"/>
        <w:rPr/>
      </w:pPr>
      <w:r>
        <w:rPr/>
      </w:r>
    </w:p>
    <w:p>
      <w:pPr>
        <w:pStyle w:val="F21"/>
        <w:rPr/>
      </w:pPr>
      <w:r>
        <w:rPr/>
      </w:r>
    </w:p>
    <w:p>
      <w:pPr>
        <w:pStyle w:val="F21"/>
        <w:rPr/>
      </w:pPr>
      <w:r>
        <w:rPr>
          <w:rFonts w:ascii="華康中黑體" w:hAnsi="華康中黑體" w:cs="華康中黑體" w:eastAsia="華康中黑體"/>
          <w:b/>
        </w:rPr>
        <w:t>梁耀忠議員</w:t>
      </w:r>
      <w:r>
        <w:rPr/>
        <w:t>：代理主席，葉劉淑儀</w:t>
      </w:r>
      <w:r>
        <w:rPr>
          <w:rFonts w:ascii="華康細明體" w:hAnsi="華康細明體"/>
        </w:rPr>
        <w:t>議員今天提出的議案是</w:t>
      </w:r>
      <w:r>
        <w:rPr/>
        <w:t>“提振香港數理學術水平風氣，全力支援主辦國際數學大賽”。經歸納之後，她的議案內容主要有兩大範疇。第一個範疇是希望特區政府能夠重視這項盛事，在行政以至金錢等各方面支援這項國際大賽。第二個範疇是藉着這項國際大賽，鼓勵社會各界全情投入，提升社會對學習數學的興趣、強化學生對數學的掌握，為本港未來發展新科技培育人才等。</w:t>
      </w:r>
    </w:p>
    <w:p>
      <w:pPr>
        <w:pStyle w:val="F21"/>
        <w:rPr/>
      </w:pPr>
      <w:r>
        <w:rPr/>
      </w:r>
    </w:p>
    <w:p>
      <w:pPr>
        <w:pStyle w:val="F21"/>
        <w:rPr/>
      </w:pPr>
      <w:r>
        <w:rPr/>
        <w:tab/>
      </w:r>
      <w:r>
        <w:rPr/>
        <w:t xml:space="preserve">對於議案這兩個範疇，我先就第一個說說我的意見。第一個範疇是希望特區政府能夠在行政上、金錢上作出支援。首先，政府在行政上提供支援是十分正常的，因為由民間舉辦國際活動實在十分困難，一些支援措施包括簡化入境手續等，我覺得是特區政府可以提供的。至於撥款方面的支援，我則有所保留，而且覺得不應該這樣做。為甚麼呢？不論我是否贊成舉辦這項大賽，事實上，香港過去曾舉辦有關活動 </w:t>
      </w:r>
      <w:r>
        <w:rPr>
          <w:rFonts w:ascii="Symbol" w:hAnsi="Symbol" w:cs="Symbol" w:eastAsia="Symbol"/>
        </w:rPr>
        <w:t></w:t>
      </w:r>
      <w:r>
        <w:rPr/>
        <w:t xml:space="preserve"> 正如葉劉淑儀</w:t>
      </w:r>
      <w:r>
        <w:rPr>
          <w:rFonts w:ascii="華康細明體" w:hAnsi="華康細明體"/>
        </w:rPr>
        <w:t>議員</w:t>
      </w:r>
      <w:r>
        <w:rPr/>
        <w:t>議案內容所說，香港曾於</w:t>
      </w:r>
      <w:r>
        <w:rPr/>
        <w:t>1994</w:t>
      </w:r>
      <w:r>
        <w:rPr/>
        <w:t xml:space="preserve">年舉辦此大賽 </w:t>
      </w:r>
      <w:r>
        <w:rPr>
          <w:rFonts w:ascii="Symbol" w:hAnsi="Symbol" w:cs="Symbol" w:eastAsia="Symbol"/>
        </w:rPr>
        <w:t></w:t>
      </w:r>
      <w:r>
        <w:rPr/>
        <w:t xml:space="preserve"> 我曾跟舉辦該次大賽的負責人了解，其實過去舉辦的構思跟現在的一模一樣，但上一次無須政府支援亦能成功舉辦，為何今次辦不到呢？我實在不明白。</w:t>
      </w:r>
    </w:p>
    <w:p>
      <w:pPr>
        <w:pStyle w:val="F21"/>
        <w:rPr/>
      </w:pPr>
      <w:r>
        <w:rPr/>
      </w:r>
    </w:p>
    <w:p>
      <w:pPr>
        <w:pStyle w:val="F21"/>
        <w:rPr/>
      </w:pPr>
      <w:r>
        <w:rPr/>
        <w:tab/>
      </w:r>
      <w:r>
        <w:rPr/>
        <w:t>舉辦該次大賽的朋友跟我說，當時得到很多民間團體的支援。那麼，為何今次不可以呢？我也曾跟很多出版社、基金組織討論過，他們說如果這個籌備委員會能夠公開呼籲，他們十分願意支持有關活動，金錢方面完全不成問題。正如葉劉淑儀</w:t>
      </w:r>
      <w:r>
        <w:rPr>
          <w:rFonts w:ascii="華康細明體" w:hAnsi="華康細明體"/>
        </w:rPr>
        <w:t>議員</w:t>
      </w:r>
      <w:r>
        <w:rPr/>
        <w:t>剛才也說過，經費只是區區</w:t>
      </w:r>
      <w:r>
        <w:rPr/>
        <w:t>2,000</w:t>
      </w:r>
      <w:r>
        <w:rPr/>
        <w:t>萬元而已。對小市民來說，</w:t>
      </w:r>
      <w:r>
        <w:rPr/>
        <w:t>2,000</w:t>
      </w:r>
      <w:r>
        <w:rPr/>
        <w:t>萬元當然是很大數目，但對財團來說，根本不是大問題；況且，這筆款項並不是由一個財團單獨負責，還有更多財團可以負責。所以，我不認為籌備委員會在政府以外無法籌集這筆經費。如果政府要提供支援，我反而覺得應該將這</w:t>
      </w:r>
      <w:r>
        <w:rPr/>
        <w:t>2,000</w:t>
      </w:r>
      <w:r>
        <w:rPr/>
        <w:t>萬元直接用作幫助學生學習數學，成效反而更大。所以，我覺得在籌辦這項國際大賽的過程中，政府只須在行政上作出支援，錢財方面的支援是沒有需要的。</w:t>
      </w:r>
    </w:p>
    <w:p>
      <w:pPr>
        <w:pStyle w:val="F21"/>
        <w:rPr/>
      </w:pPr>
      <w:r>
        <w:rPr/>
      </w:r>
    </w:p>
    <w:p>
      <w:pPr>
        <w:pStyle w:val="F21"/>
        <w:rPr/>
      </w:pPr>
      <w:r>
        <w:rPr/>
        <w:tab/>
      </w:r>
      <w:r>
        <w:rPr/>
        <w:t>至於第二個範疇，葉劉淑儀</w:t>
      </w:r>
      <w:r>
        <w:rPr>
          <w:rFonts w:ascii="華康細明體" w:hAnsi="華康細明體"/>
        </w:rPr>
        <w:t>議員</w:t>
      </w:r>
      <w:r>
        <w:rPr/>
        <w:t>強調，如果社會各界能夠全情投入，便可以提升學生對數學的掌握，以及為發展本港高科技產業培育人才等，對於這一點我實在有保留。首先，葉劉淑儀</w:t>
      </w:r>
      <w:r>
        <w:rPr>
          <w:rFonts w:ascii="華康細明體" w:hAnsi="華康細明體"/>
        </w:rPr>
        <w:t>議員</w:t>
      </w:r>
      <w:r>
        <w:rPr/>
        <w:t>剛才也說過，香港過去的數學基礎培訓並沒有</w:t>
      </w:r>
      <w:r>
        <w:rPr>
          <w:rFonts w:ascii="華康細明體" w:hAnsi="華康細明體"/>
        </w:rPr>
        <w:t>她</w:t>
      </w:r>
      <w:r>
        <w:rPr/>
        <w:t>所強調的情況，但學生的成績亦已名列第三位。剛才已經說過，</w:t>
      </w:r>
      <w:r>
        <w:rPr/>
        <w:t>PISA</w:t>
      </w:r>
      <w:r>
        <w:rPr/>
        <w:t>這個國際認可機構在世界各地進行測試，而香港的學生也名列前茅，排名第三位。但是，這成績並不是如葉劉淑儀</w:t>
      </w:r>
      <w:r>
        <w:rPr>
          <w:rFonts w:ascii="華康細明體" w:hAnsi="華康細明體"/>
        </w:rPr>
        <w:t>議員</w:t>
      </w:r>
      <w:r>
        <w:rPr/>
        <w:t>所說般經過推廣國際數學奧林匹克</w:t>
      </w:r>
      <w:r>
        <w:rPr/>
        <w:t>(“</w:t>
      </w:r>
      <w:r>
        <w:rPr/>
        <w:t>奧數”</w:t>
      </w:r>
      <w:r>
        <w:rPr/>
        <w:t>)</w:t>
      </w:r>
      <w:r>
        <w:rPr/>
        <w:t>而取得的。基本上，這是基於香港過去的教育培訓而取得的成果。所以，不管有沒有推廣奧數，也不會帶來很大的影響。</w:t>
      </w:r>
    </w:p>
    <w:p>
      <w:pPr>
        <w:pStyle w:val="F21"/>
        <w:rPr/>
      </w:pPr>
      <w:r>
        <w:rPr/>
      </w:r>
    </w:p>
    <w:p>
      <w:pPr>
        <w:pStyle w:val="F21"/>
        <w:rPr/>
      </w:pPr>
      <w:r>
        <w:rPr/>
        <w:tab/>
      </w:r>
      <w:r>
        <w:rPr/>
        <w:t>因此，我覺得葉劉淑儀</w:t>
      </w:r>
      <w:r>
        <w:rPr>
          <w:rFonts w:ascii="華康細明體" w:hAnsi="華康細明體"/>
        </w:rPr>
        <w:t>議員</w:t>
      </w:r>
      <w:r>
        <w:rPr/>
        <w:t>議案的第</w:t>
      </w:r>
      <w:r>
        <w:rPr/>
        <w:t>(</w:t>
      </w:r>
      <w:r>
        <w:rPr/>
        <w:t>四</w:t>
      </w:r>
      <w:r>
        <w:rPr/>
        <w:t>)</w:t>
      </w:r>
      <w:r>
        <w:rPr/>
        <w:t>點實在太誇張了，把奧數的成效誇大，還說可以將之普及至其他同學。代理主席，我從事教學</w:t>
      </w:r>
      <w:r>
        <w:rPr/>
        <w:t>33</w:t>
      </w:r>
      <w:r>
        <w:rPr/>
        <w:t>年，這</w:t>
      </w:r>
      <w:r>
        <w:rPr/>
        <w:t>33</w:t>
      </w:r>
      <w:r>
        <w:rPr/>
        <w:t>年來也是教數學科，我曾教導中一至中七的學生，並曾鼓勵同學或帶隊參加數學比賽，但坦白說，有多少學生受惠呢？我們作為老師的，做法一定是這樣：如果每班也派人出賽，便會選出每班最棒的學生；如果要每級派人出賽，便會選出全級最棒的學生；如果以全校計算派人出賽，當然會選全校最棒的學生參賽；揀選了參賽學生之後，便會培訓那些獲選的學生。怎麼會培訓其他學生呢？怎會為這個比賽培訓其他學生呢？根本不會這樣做，所以，其他學生根本不會受惠。再者，即使我們選出最棒的學生參賽，比賽完結後，他們大多數也是垂頭喪氣的。為甚麼呢？因為這些比賽的題目通常都非常艱深，並不是好像葉劉淑儀</w:t>
      </w:r>
      <w:r>
        <w:rPr>
          <w:rFonts w:ascii="華康細明體" w:hAnsi="華康細明體"/>
        </w:rPr>
        <w:t>議員</w:t>
      </w:r>
      <w:r>
        <w:rPr/>
        <w:t>所說般只考推理、證明等如此簡單的題目，很多真是並非一般學生能夠應付的。我可以大膽說一句，不少題目連很多中學老師也未必懂得計算。</w:t>
      </w:r>
    </w:p>
    <w:p>
      <w:pPr>
        <w:pStyle w:val="F21"/>
        <w:rPr/>
      </w:pPr>
      <w:r>
        <w:rPr/>
      </w:r>
    </w:p>
    <w:p>
      <w:pPr>
        <w:pStyle w:val="F21"/>
        <w:rPr/>
      </w:pPr>
      <w:r>
        <w:rPr/>
        <w:tab/>
      </w:r>
      <w:r>
        <w:rPr/>
        <w:t>我手邊有過去</w:t>
      </w:r>
      <w:r>
        <w:rPr/>
        <w:t>11</w:t>
      </w:r>
      <w:r>
        <w:rPr/>
        <w:t>年的奧數題目，但我不會好像葉建源議員般寫出來給大家看，因為題目實在太長了，無法寫出來讓大家看。這些題目的艱深程度，讓一般人看到也會愁眉深鎖，確實不懂得怎樣解答。在參與比賽的學生之中，當然有成功的學生，並非沒有，否則也沒有人獲獎。但是，失敗的學生往往會感到很氣餒，而很多時候氣餒會令他們有更大的挫敗感。這樣，要重新培育他們的興趣便會更為艱難。所以，我們不要只看正面而忽略負面的影響。因此，如果希望藉着推廣這項比賽提高學生對數學的掌握，我認為是不可能的，真的無法達到這個目的。</w:t>
      </w:r>
    </w:p>
    <w:p>
      <w:pPr>
        <w:pStyle w:val="F21"/>
        <w:rPr/>
      </w:pPr>
      <w:r>
        <w:rPr/>
      </w:r>
    </w:p>
    <w:p>
      <w:pPr>
        <w:pStyle w:val="F21"/>
        <w:rPr>
          <w:spacing w:val="18"/>
        </w:rPr>
      </w:pPr>
      <w:r>
        <w:rPr>
          <w:spacing w:val="18"/>
        </w:rPr>
        <w:tab/>
      </w:r>
      <w:r>
        <w:rPr>
          <w:spacing w:val="18"/>
        </w:rPr>
        <w:t>葉建源議員剛才提出，我們反而要集中關注</w:t>
      </w:r>
      <w:r>
        <w:rPr>
          <w:spacing w:val="18"/>
        </w:rPr>
        <w:t>TSA(</w:t>
      </w:r>
      <w:r>
        <w:rPr>
          <w:spacing w:val="18"/>
        </w:rPr>
        <w:t>即數學評估</w:t>
      </w:r>
      <w:r>
        <w:rPr>
          <w:spacing w:val="18"/>
        </w:rPr>
        <w:t>)</w:t>
      </w:r>
      <w:r>
        <w:rPr>
          <w:spacing w:val="18"/>
        </w:rPr>
        <w:t>的問題，因為這項評估扭曲了學生對數學的看法或參與。我當然同意葉建源議員這部分的意見，但我不明白為何他指出這些因素後，仍然支持這項奧數比賽，並要廣泛推廣。對此，我真的無法明白。這項國際賽事扭曲了很多事情，因為只有尖端的學生才能參與及發展，但一般學生根本無法做到。所以，我認為如果真的要提高目前學生對數學的認識及水平，其實張國柱議員剛才提出的建議，我是十分贊成和支持的。</w:t>
      </w:r>
    </w:p>
    <w:p>
      <w:pPr>
        <w:pStyle w:val="F21"/>
        <w:spacing w:lineRule="atLeast" w:line="350"/>
        <w:rPr/>
      </w:pPr>
      <w:r>
        <w:rPr/>
      </w:r>
    </w:p>
    <w:p>
      <w:pPr>
        <w:pStyle w:val="F21"/>
        <w:spacing w:lineRule="atLeast" w:line="350"/>
        <w:rPr/>
      </w:pPr>
      <w:r>
        <w:rPr/>
        <w:tab/>
      </w:r>
      <w:r>
        <w:rPr/>
        <w:t xml:space="preserve">事實上，現時學生的數學水平不太理想是甚麼原因導致的呢？其實原因有多方面，其中一個原因 </w:t>
      </w:r>
      <w:r>
        <w:rPr>
          <w:rFonts w:ascii="Symbol" w:hAnsi="Symbol" w:cs="Symbol" w:eastAsia="Symbol"/>
        </w:rPr>
        <w:t></w:t>
      </w:r>
      <w:r>
        <w:rPr/>
        <w:t xml:space="preserve"> 我在多年來的教學經驗中領悟出一個原因 </w:t>
      </w:r>
      <w:r>
        <w:rPr>
          <w:rFonts w:ascii="Symbol" w:hAnsi="Symbol" w:cs="Symbol" w:eastAsia="Symbol"/>
        </w:rPr>
        <w:t></w:t>
      </w:r>
      <w:r>
        <w:rPr/>
        <w:t xml:space="preserve"> 是課室內的同學的學習能力差異太大。學生的學習能力差異太大，會令老師教學非常困難，我不知道局長是否清楚這個問題。因為學習能力差異是現時小學和中學最嚴重的問題，所以我們要求小班教學。除了小班教學外，我們還期望 </w:t>
      </w:r>
      <w:r>
        <w:rPr>
          <w:rFonts w:ascii="Symbol" w:hAnsi="Symbol" w:cs="Symbol" w:eastAsia="Symbol"/>
        </w:rPr>
        <w:t></w:t>
      </w:r>
      <w:r>
        <w:rPr/>
        <w:t xml:space="preserve"> 局長也知道，現時很多學校亦已實行 </w:t>
      </w:r>
      <w:r>
        <w:rPr>
          <w:rFonts w:ascii="Symbol" w:hAnsi="Symbol" w:cs="Symbol" w:eastAsia="Symbol"/>
        </w:rPr>
        <w:t></w:t>
      </w:r>
      <w:r>
        <w:rPr/>
        <w:t xml:space="preserve"> 推行分組學習。為何要分組呢？就是為了遷就不同程度的學生，按程度教導他們。</w:t>
      </w:r>
    </w:p>
    <w:p>
      <w:pPr>
        <w:pStyle w:val="F21"/>
        <w:spacing w:lineRule="atLeast" w:line="350"/>
        <w:rPr/>
      </w:pPr>
      <w:r>
        <w:rPr/>
      </w:r>
    </w:p>
    <w:p>
      <w:pPr>
        <w:pStyle w:val="F21"/>
        <w:spacing w:lineRule="atLeast" w:line="350"/>
        <w:rPr/>
      </w:pPr>
      <w:r>
        <w:rPr/>
        <w:tab/>
      </w:r>
      <w:r>
        <w:rPr/>
        <w:t>事實上，代理主席，雖然我們推行免費教育多年，但很可惜，這制度對學生來說有如直升機一樣，無論成績是怎樣都能夠升級。學生在小一的成績不理想並不要緊，仍能升讀小二；小二的成績還是不理想，仍能升讀小三；如是者一直升讀更高班級。</w:t>
      </w:r>
    </w:p>
    <w:p>
      <w:pPr>
        <w:pStyle w:val="F21"/>
        <w:spacing w:lineRule="atLeast" w:line="350"/>
        <w:rPr/>
      </w:pPr>
      <w:r>
        <w:rPr/>
      </w:r>
    </w:p>
    <w:p>
      <w:pPr>
        <w:pStyle w:val="F21"/>
        <w:spacing w:lineRule="atLeast" w:line="350"/>
        <w:rPr/>
      </w:pPr>
      <w:r>
        <w:rPr/>
        <w:tab/>
      </w:r>
      <w:r>
        <w:rPr/>
        <w:t xml:space="preserve">代理主席，我告訴你，我有一些學生即使已升上中四／中五，卻連二分之一減三分之一也不懂，如何學習數學呢？他們是否對數學沒有興趣呢？沒錯，現在是沒有興趣，因為基礎不好。雖然他們的基礎不好，卻仍然不斷升級，要學習更艱深的東西，他們自然越感抗拒，不想再學習下去。所以，如果我們不重返源頭，從小逐步培育他們的能力 </w:t>
      </w:r>
      <w:r>
        <w:rPr>
          <w:rFonts w:ascii="Symbol" w:hAnsi="Symbol" w:cs="Symbol" w:eastAsia="Symbol"/>
        </w:rPr>
        <w:t></w:t>
      </w:r>
      <w:r>
        <w:rPr/>
        <w:t xml:space="preserve"> 張國柱議員剛才所說的基礎教育 </w:t>
      </w:r>
      <w:r>
        <w:rPr>
          <w:rFonts w:ascii="Symbol" w:hAnsi="Symbol" w:cs="Symbol" w:eastAsia="Symbol"/>
        </w:rPr>
        <w:t></w:t>
      </w:r>
      <w:r>
        <w:rPr/>
        <w:t xml:space="preserve"> 如果基礎打得不好，說甚麼也沒有意義。</w:t>
      </w:r>
    </w:p>
    <w:p>
      <w:pPr>
        <w:pStyle w:val="F21"/>
        <w:spacing w:lineRule="atLeast" w:line="350"/>
        <w:rPr/>
      </w:pPr>
      <w:r>
        <w:rPr/>
      </w:r>
    </w:p>
    <w:p>
      <w:pPr>
        <w:pStyle w:val="F21"/>
        <w:spacing w:lineRule="atLeast" w:line="350"/>
        <w:rPr/>
      </w:pPr>
      <w:r>
        <w:rPr/>
        <w:tab/>
      </w:r>
      <w:r>
        <w:rPr/>
        <w:t>我認為現時最重要的是辦好基礎教育，否則</w:t>
      </w:r>
      <w:r>
        <w:rPr>
          <w:i/>
        </w:rPr>
        <w:t>(</w:t>
      </w:r>
      <w:r>
        <w:rPr>
          <w:i/>
        </w:rPr>
        <w:t>計時器響起</w:t>
      </w:r>
      <w:r>
        <w:rPr>
          <w:i/>
        </w:rPr>
        <w:t>)</w:t>
      </w:r>
      <w:r>
        <w:rPr/>
        <w:t>......</w:t>
      </w:r>
    </w:p>
    <w:p>
      <w:pPr>
        <w:pStyle w:val="F21"/>
        <w:spacing w:lineRule="atLeast" w:line="350"/>
        <w:rPr/>
      </w:pPr>
      <w:r>
        <w:rPr/>
      </w:r>
    </w:p>
    <w:p>
      <w:pPr>
        <w:pStyle w:val="F21"/>
        <w:spacing w:lineRule="atLeast" w:line="350"/>
        <w:rPr/>
      </w:pPr>
      <w:r>
        <w:rPr/>
      </w:r>
    </w:p>
    <w:p>
      <w:pPr>
        <w:pStyle w:val="F21"/>
        <w:overflowPunct w:val="true"/>
        <w:snapToGrid w:val="false"/>
        <w:spacing w:lineRule="atLeast" w:line="350"/>
        <w:rPr>
          <w:szCs w:val="27"/>
        </w:rPr>
      </w:pPr>
      <w:r>
        <w:rPr>
          <w:rFonts w:ascii="華康中黑體" w:hAnsi="華康中黑體" w:eastAsia="華康中黑體"/>
          <w:b/>
          <w:szCs w:val="27"/>
        </w:rPr>
        <w:t>代理主席</w:t>
      </w:r>
      <w:r>
        <w:rPr>
          <w:rFonts w:ascii="華康中黑體" w:hAnsi="華康中黑體"/>
          <w:szCs w:val="27"/>
        </w:rPr>
        <w:t>：</w:t>
      </w:r>
      <w:r>
        <w:rPr>
          <w:szCs w:val="27"/>
        </w:rPr>
        <w:t>發言時限到了。</w:t>
      </w:r>
    </w:p>
    <w:p>
      <w:pPr>
        <w:pStyle w:val="F21"/>
        <w:overflowPunct w:val="true"/>
        <w:snapToGrid w:val="false"/>
        <w:spacing w:lineRule="atLeast" w:line="350"/>
        <w:rPr>
          <w:szCs w:val="27"/>
          <w:highlight w:val="yellow"/>
        </w:rPr>
      </w:pPr>
      <w:r>
        <w:rPr>
          <w:szCs w:val="27"/>
          <w:highlight w:val="yellow"/>
        </w:rPr>
      </w:r>
    </w:p>
    <w:p>
      <w:pPr>
        <w:pStyle w:val="F21"/>
        <w:overflowPunct w:val="true"/>
        <w:snapToGrid w:val="false"/>
        <w:spacing w:lineRule="atLeast" w:line="350"/>
        <w:rPr>
          <w:szCs w:val="27"/>
          <w:highlight w:val="yellow"/>
        </w:rPr>
      </w:pPr>
      <w:r>
        <w:rPr>
          <w:szCs w:val="27"/>
          <w:highlight w:val="yellow"/>
        </w:rPr>
      </w:r>
    </w:p>
    <w:p>
      <w:pPr>
        <w:pStyle w:val="F21"/>
        <w:spacing w:lineRule="atLeast" w:line="350"/>
        <w:rPr>
          <w:szCs w:val="27"/>
        </w:rPr>
      </w:pPr>
      <w:r>
        <w:rPr>
          <w:rFonts w:ascii="華康中黑體" w:hAnsi="華康中黑體" w:eastAsia="華康中黑體"/>
          <w:b/>
          <w:szCs w:val="27"/>
        </w:rPr>
        <w:t>梁耀忠議員</w:t>
      </w:r>
      <w:r>
        <w:rPr>
          <w:szCs w:val="27"/>
        </w:rPr>
        <w:t>：</w:t>
      </w:r>
      <w:r>
        <w:rPr>
          <w:szCs w:val="27"/>
        </w:rPr>
        <w:t>......</w:t>
      </w:r>
      <w:r>
        <w:rPr>
          <w:szCs w:val="27"/>
        </w:rPr>
        <w:t>舉辦任何盛事也於事無補</w:t>
      </w:r>
      <w:r>
        <w:rPr>
          <w:szCs w:val="27"/>
        </w:rPr>
        <w:t xml:space="preserve">...... </w:t>
      </w:r>
    </w:p>
    <w:p>
      <w:pPr>
        <w:pStyle w:val="F21"/>
        <w:spacing w:lineRule="atLeast" w:line="350"/>
        <w:rPr>
          <w:szCs w:val="27"/>
        </w:rPr>
      </w:pPr>
      <w:r>
        <w:rPr>
          <w:szCs w:val="27"/>
        </w:rPr>
      </w:r>
    </w:p>
    <w:p>
      <w:pPr>
        <w:pStyle w:val="F21"/>
        <w:spacing w:lineRule="atLeast" w:line="350"/>
        <w:rPr>
          <w:szCs w:val="27"/>
        </w:rPr>
      </w:pPr>
      <w:r>
        <w:rPr>
          <w:szCs w:val="27"/>
        </w:rPr>
      </w:r>
    </w:p>
    <w:p>
      <w:pPr>
        <w:pStyle w:val="F21"/>
        <w:spacing w:lineRule="atLeast" w:line="350"/>
        <w:rPr>
          <w:szCs w:val="27"/>
        </w:rPr>
      </w:pPr>
      <w:r>
        <w:rPr>
          <w:rFonts w:eastAsia="華康中黑體"/>
          <w:b/>
          <w:szCs w:val="27"/>
        </w:rPr>
        <w:t>代理主席</w:t>
      </w:r>
      <w:r>
        <w:rPr>
          <w:szCs w:val="27"/>
        </w:rPr>
        <w:t>：梁議員，發言時限到了。</w:t>
      </w:r>
    </w:p>
    <w:p>
      <w:pPr>
        <w:pStyle w:val="F21"/>
        <w:spacing w:lineRule="atLeast" w:line="350"/>
        <w:rPr/>
      </w:pPr>
      <w:r>
        <w:rPr/>
      </w:r>
    </w:p>
    <w:p>
      <w:pPr>
        <w:pStyle w:val="F21"/>
        <w:spacing w:lineRule="atLeast" w:line="350"/>
        <w:rPr/>
      </w:pPr>
      <w:r>
        <w:rPr/>
      </w:r>
    </w:p>
    <w:p>
      <w:pPr>
        <w:pStyle w:val="F21"/>
        <w:spacing w:lineRule="atLeast" w:line="350"/>
        <w:rPr/>
      </w:pPr>
      <w:r>
        <w:rPr>
          <w:rFonts w:ascii="華康中黑體" w:hAnsi="華康中黑體" w:eastAsia="華康中黑體"/>
          <w:b/>
        </w:rPr>
        <w:t>梁耀忠議員</w:t>
      </w:r>
      <w:r>
        <w:rPr/>
        <w:t>：代理主席，我謹此陳辭。</w:t>
      </w:r>
    </w:p>
    <w:p>
      <w:pPr>
        <w:pStyle w:val="F21"/>
        <w:spacing w:lineRule="atLeast" w:line="380"/>
        <w:rPr>
          <w:szCs w:val="27"/>
        </w:rPr>
      </w:pPr>
      <w:r>
        <w:rPr>
          <w:rFonts w:eastAsia="華康中黑體"/>
          <w:b/>
          <w:szCs w:val="27"/>
        </w:rPr>
        <w:t>梁繼昌議員</w:t>
      </w:r>
      <w:r>
        <w:rPr>
          <w:szCs w:val="27"/>
        </w:rPr>
        <w:t>：代理主席，葉劉淑儀議員提出“提振香港數理學術水平風氣，全力支援主辦國際數學大賽”的議案，就這兩點我是支持的。有國際盛事、國際盛會在香港主辦，又豈會不支持呢？但是，代理主席，我要花一點時間解釋為何我將葉劉淑儀議員的原議案大幅刪減。其實我要刪減的枝節是原議案的第</w:t>
      </w:r>
      <w:r>
        <w:rPr>
          <w:szCs w:val="27"/>
        </w:rPr>
        <w:t>(</w:t>
      </w:r>
      <w:r>
        <w:rPr>
          <w:szCs w:val="27"/>
        </w:rPr>
        <w:t>一</w:t>
      </w:r>
      <w:r>
        <w:rPr>
          <w:szCs w:val="27"/>
        </w:rPr>
        <w:t>)</w:t>
      </w:r>
      <w:r>
        <w:rPr>
          <w:szCs w:val="27"/>
        </w:rPr>
        <w:t>至第</w:t>
      </w:r>
      <w:r>
        <w:rPr>
          <w:szCs w:val="27"/>
        </w:rPr>
        <w:t>(</w:t>
      </w:r>
      <w:r>
        <w:rPr>
          <w:szCs w:val="27"/>
        </w:rPr>
        <w:t>七</w:t>
      </w:r>
      <w:r>
        <w:rPr>
          <w:szCs w:val="27"/>
        </w:rPr>
        <w:t>)</w:t>
      </w:r>
      <w:r>
        <w:rPr>
          <w:szCs w:val="27"/>
        </w:rPr>
        <w:t>點，我是想原議案的方向性和原則性更為突出。在我的修正案中也提到“本會促請政府為是次盛事所需的資源及行政提供協助，藉此推廣香港的數理學術氣氛”，我認為這樣已經足夠。</w:t>
      </w:r>
      <w:r>
        <w:br w:type="page"/>
      </w:r>
    </w:p>
    <w:p>
      <w:pPr>
        <w:pStyle w:val="F21"/>
        <w:spacing w:lineRule="atLeast" w:line="380"/>
        <w:rPr>
          <w:szCs w:val="27"/>
        </w:rPr>
      </w:pPr>
      <w:r>
        <w:rPr>
          <w:szCs w:val="27"/>
        </w:rPr>
      </w:r>
    </w:p>
    <w:p>
      <w:pPr>
        <w:pStyle w:val="F21"/>
        <w:spacing w:lineRule="atLeast" w:line="380"/>
        <w:rPr>
          <w:szCs w:val="27"/>
        </w:rPr>
      </w:pPr>
      <w:r>
        <w:rPr>
          <w:szCs w:val="27"/>
        </w:rPr>
        <w:tab/>
      </w:r>
      <w:r>
        <w:rPr>
          <w:szCs w:val="27"/>
        </w:rPr>
        <w:t>為何我要作出刪減呢？代理主席，我於今年</w:t>
      </w:r>
      <w:r>
        <w:rPr>
          <w:szCs w:val="27"/>
        </w:rPr>
        <w:t>6</w:t>
      </w:r>
      <w:r>
        <w:rPr>
          <w:szCs w:val="27"/>
        </w:rPr>
        <w:t>月在倫敦參加英國國會的訓練課程時，看過很多國家不同國會的議員議案。其實很多議員議案都是政策上、方向性、原則性的說法，並非好像現時很多同事的議案，可能有</w:t>
      </w:r>
      <w:r>
        <w:rPr>
          <w:szCs w:val="27"/>
        </w:rPr>
        <w:t>1 000</w:t>
      </w:r>
      <w:r>
        <w:rPr>
          <w:szCs w:val="27"/>
        </w:rPr>
        <w:t>字。如果在這</w:t>
      </w:r>
      <w:r>
        <w:rPr>
          <w:szCs w:val="27"/>
        </w:rPr>
        <w:t>1 000</w:t>
      </w:r>
      <w:r>
        <w:rPr>
          <w:szCs w:val="27"/>
        </w:rPr>
        <w:t>字有</w:t>
      </w:r>
      <w:r>
        <w:rPr>
          <w:szCs w:val="27"/>
        </w:rPr>
        <w:t>80%</w:t>
      </w:r>
      <w:r>
        <w:rPr>
          <w:szCs w:val="27"/>
        </w:rPr>
        <w:t>我是贊成這位同事的說法，我應該支持，還是不支持這項議案呢？</w:t>
      </w:r>
    </w:p>
    <w:p>
      <w:pPr>
        <w:pStyle w:val="F21"/>
        <w:spacing w:lineRule="atLeast" w:line="380"/>
        <w:rPr>
          <w:szCs w:val="27"/>
        </w:rPr>
      </w:pPr>
      <w:r>
        <w:rPr>
          <w:szCs w:val="27"/>
        </w:rPr>
      </w:r>
    </w:p>
    <w:p>
      <w:pPr>
        <w:pStyle w:val="F21"/>
        <w:spacing w:lineRule="atLeast" w:line="380"/>
        <w:rPr>
          <w:szCs w:val="27"/>
        </w:rPr>
      </w:pPr>
      <w:r>
        <w:rPr>
          <w:szCs w:val="27"/>
        </w:rPr>
        <w:tab/>
      </w:r>
      <w:r>
        <w:rPr>
          <w:szCs w:val="27"/>
        </w:rPr>
        <w:t>我上個月亦在議事規則委員會中就我上次在英國的考察旅程作出報告。我在報告其中一點請各位考慮是否應規範議員議案的字數問題，當然這是非常具爭議性的提議。在多個提議中，譚耀宗議員最近應該向各位提出一個提議，如果以後有修正案的再修訂，其實秘書處是否應該不接納呢？這個議題已在各位同事的桌上，有待定奪。</w:t>
      </w:r>
    </w:p>
    <w:p>
      <w:pPr>
        <w:pStyle w:val="F21"/>
        <w:spacing w:lineRule="atLeast" w:line="380"/>
        <w:rPr>
          <w:szCs w:val="27"/>
        </w:rPr>
      </w:pPr>
      <w:r>
        <w:rPr>
          <w:szCs w:val="27"/>
        </w:rPr>
      </w:r>
    </w:p>
    <w:p>
      <w:pPr>
        <w:pStyle w:val="F21"/>
        <w:spacing w:lineRule="atLeast" w:line="380"/>
        <w:rPr>
          <w:szCs w:val="27"/>
        </w:rPr>
      </w:pPr>
      <w:r>
        <w:rPr>
          <w:szCs w:val="27"/>
        </w:rPr>
        <w:tab/>
      </w:r>
      <w:r>
        <w:rPr>
          <w:szCs w:val="27"/>
        </w:rPr>
        <w:t>言歸正傳，說回香港學生的一般數學水平。很多同事剛才也提過一個國際評估計劃</w:t>
      </w:r>
      <w:r>
        <w:rPr>
          <w:szCs w:val="27"/>
        </w:rPr>
        <w:t>(Programme for International Student Assessment (PISA))</w:t>
      </w:r>
      <w:r>
        <w:rPr>
          <w:szCs w:val="27"/>
        </w:rPr>
        <w:t>的結果，在</w:t>
      </w:r>
      <w:r>
        <w:rPr>
          <w:szCs w:val="27"/>
        </w:rPr>
        <w:t>2012</w:t>
      </w:r>
      <w:r>
        <w:rPr>
          <w:szCs w:val="27"/>
        </w:rPr>
        <w:t>年，香港</w:t>
      </w:r>
      <w:r>
        <w:rPr>
          <w:szCs w:val="27"/>
        </w:rPr>
        <w:t>15</w:t>
      </w:r>
      <w:r>
        <w:rPr>
          <w:szCs w:val="27"/>
        </w:rPr>
        <w:t>歲學生的數學能力在</w:t>
      </w:r>
      <w:r>
        <w:rPr>
          <w:szCs w:val="27"/>
        </w:rPr>
        <w:t>65</w:t>
      </w:r>
      <w:r>
        <w:rPr>
          <w:szCs w:val="27"/>
        </w:rPr>
        <w:t>個國家及地區中排名第三，平均分數約為</w:t>
      </w:r>
      <w:r>
        <w:rPr>
          <w:szCs w:val="27"/>
        </w:rPr>
        <w:t>561</w:t>
      </w:r>
      <w:r>
        <w:rPr>
          <w:szCs w:val="27"/>
        </w:rPr>
        <w:t>分，而這分數自</w:t>
      </w:r>
      <w:r>
        <w:rPr>
          <w:szCs w:val="27"/>
        </w:rPr>
        <w:t>2006</w:t>
      </w:r>
      <w:r>
        <w:rPr>
          <w:szCs w:val="27"/>
        </w:rPr>
        <w:t>年起一直上升，提高了</w:t>
      </w:r>
      <w:r>
        <w:rPr>
          <w:szCs w:val="27"/>
        </w:rPr>
        <w:t>17</w:t>
      </w:r>
      <w:r>
        <w:rPr>
          <w:szCs w:val="27"/>
        </w:rPr>
        <w:t>分。當然，</w:t>
      </w:r>
      <w:r>
        <w:rPr>
          <w:szCs w:val="27"/>
        </w:rPr>
        <w:t>PISA</w:t>
      </w:r>
      <w:r>
        <w:rPr>
          <w:szCs w:val="27"/>
        </w:rPr>
        <w:t>的評估是有關傳統數學的能力。</w:t>
      </w:r>
    </w:p>
    <w:p>
      <w:pPr>
        <w:pStyle w:val="F21"/>
        <w:spacing w:lineRule="atLeast" w:line="380"/>
        <w:rPr>
          <w:szCs w:val="27"/>
        </w:rPr>
      </w:pPr>
      <w:r>
        <w:rPr>
          <w:szCs w:val="27"/>
        </w:rPr>
      </w:r>
    </w:p>
    <w:p>
      <w:pPr>
        <w:pStyle w:val="F21"/>
        <w:spacing w:lineRule="atLeast" w:line="370"/>
        <w:rPr>
          <w:szCs w:val="27"/>
        </w:rPr>
      </w:pPr>
      <w:r>
        <w:rPr>
          <w:szCs w:val="27"/>
        </w:rPr>
        <w:tab/>
      </w:r>
      <w:r>
        <w:rPr>
          <w:szCs w:val="27"/>
        </w:rPr>
        <w:t>香港學生的數理水平是高的。其實大家可以看到一些學生平時在香港的成績可能不太好，不太出色，但有時候他們到英國讀</w:t>
      </w:r>
      <w:r>
        <w:rPr>
          <w:szCs w:val="27"/>
        </w:rPr>
        <w:t>GCSE</w:t>
      </w:r>
      <w:r>
        <w:rPr>
          <w:szCs w:val="27"/>
        </w:rPr>
        <w:t>時，可能會取得很高分數。雖然我們的基礎數學水平不錯，但為甚麼在大學或高等教育選科時，數理科在近</w:t>
      </w:r>
      <w:r>
        <w:rPr>
          <w:szCs w:val="27"/>
        </w:rPr>
        <w:t>10</w:t>
      </w:r>
      <w:r>
        <w:rPr>
          <w:szCs w:val="27"/>
        </w:rPr>
        <w:t>年竟然都不是熱門的選修科目？代理主席，其實很簡單，這是由於市場經濟主導所致。因為大家都覺得唸數理科，在香港的出路不太多，我們不是德國、美國、日本，我們既沒有工業，亦沒有科研。在勞動市場上，唸數理最終可能從事甚麼呢？又是回到金融服務業，代理主席。我們可能從事如何設計衍生工具，甚至也有相關行業例如精算師，也需要數學知識。但是，在科研或應用數學上，職場的確沒有那麼多空缺，所以，要推動數理風氣，其實要從經濟多元化着手。</w:t>
      </w:r>
    </w:p>
    <w:p>
      <w:pPr>
        <w:pStyle w:val="F21"/>
        <w:spacing w:lineRule="atLeast" w:line="370"/>
        <w:rPr>
          <w:szCs w:val="27"/>
        </w:rPr>
      </w:pPr>
      <w:r>
        <w:rPr>
          <w:szCs w:val="27"/>
        </w:rPr>
      </w:r>
    </w:p>
    <w:p>
      <w:pPr>
        <w:pStyle w:val="F21"/>
        <w:spacing w:lineRule="atLeast" w:line="370"/>
        <w:rPr>
          <w:szCs w:val="27"/>
        </w:rPr>
      </w:pPr>
      <w:r>
        <w:rPr>
          <w:szCs w:val="27"/>
        </w:rPr>
        <w:tab/>
      </w:r>
      <w:r>
        <w:rPr>
          <w:szCs w:val="27"/>
        </w:rPr>
        <w:t>除了數理科，其實我想說的是，亦希望政府多加留意的便是傳統的人文學科</w:t>
      </w:r>
      <w:r>
        <w:rPr>
          <w:szCs w:val="27"/>
        </w:rPr>
        <w:t>(humanities)</w:t>
      </w:r>
      <w:r>
        <w:rPr>
          <w:szCs w:val="27"/>
        </w:rPr>
        <w:t>。</w:t>
      </w:r>
      <w:r>
        <w:rPr>
          <w:szCs w:val="27"/>
        </w:rPr>
        <w:t>Humanities</w:t>
      </w:r>
      <w:r>
        <w:rPr>
          <w:szCs w:val="27"/>
        </w:rPr>
        <w:t xml:space="preserve">包羅甚廣，最傳統的文史哲 </w:t>
      </w:r>
      <w:r>
        <w:rPr>
          <w:rFonts w:ascii="Symbol" w:hAnsi="Symbol" w:cs="Symbol" w:eastAsia="Symbol"/>
          <w:szCs w:val="27"/>
        </w:rPr>
        <w:t></w:t>
      </w:r>
      <w:r>
        <w:rPr>
          <w:szCs w:val="27"/>
        </w:rPr>
        <w:t xml:space="preserve"> 文學、歷史、哲學，亦包括藝術、音樂，亦包括現代人文科學、社會學、心理學、人類學和語言學。為甚麼我認為香港近十多二十年來，人文科學發展非常停滯不前呢？從一個數據可以看到 </w:t>
      </w:r>
      <w:r>
        <w:rPr>
          <w:rFonts w:ascii="Symbol" w:hAnsi="Symbol" w:cs="Symbol" w:eastAsia="Symbol"/>
          <w:szCs w:val="27"/>
        </w:rPr>
        <w:t></w:t>
      </w:r>
      <w:r>
        <w:rPr>
          <w:szCs w:val="27"/>
        </w:rPr>
        <w:t xml:space="preserve"> 香港八大大專院校的研究院研究課程的人數統計數字。在</w:t>
      </w:r>
      <w:r>
        <w:rPr>
          <w:szCs w:val="27"/>
        </w:rPr>
        <w:t>2012-2013</w:t>
      </w:r>
      <w:r>
        <w:rPr>
          <w:szCs w:val="27"/>
        </w:rPr>
        <w:t>年度，讀數理科，這是指研究課程，不是</w:t>
      </w:r>
      <w:r>
        <w:rPr>
          <w:szCs w:val="27"/>
        </w:rPr>
        <w:t>taught degree</w:t>
      </w:r>
      <w:r>
        <w:rPr>
          <w:szCs w:val="27"/>
        </w:rPr>
        <w:t>，而是研究課程，全日制學生有</w:t>
      </w:r>
      <w:r>
        <w:rPr>
          <w:szCs w:val="27"/>
        </w:rPr>
        <w:t>3 737</w:t>
      </w:r>
      <w:r>
        <w:rPr>
          <w:szCs w:val="27"/>
        </w:rPr>
        <w:t>人，是數理科的，本地學生佔</w:t>
      </w:r>
      <w:r>
        <w:rPr>
          <w:szCs w:val="27"/>
        </w:rPr>
        <w:t>644</w:t>
      </w:r>
      <w:r>
        <w:rPr>
          <w:szCs w:val="27"/>
        </w:rPr>
        <w:t>人。至於讀人文科學的研究院課程人數，全日制只有</w:t>
      </w:r>
      <w:r>
        <w:rPr>
          <w:szCs w:val="27"/>
        </w:rPr>
        <w:t>569</w:t>
      </w:r>
      <w:r>
        <w:rPr>
          <w:szCs w:val="27"/>
        </w:rPr>
        <w:t>人，本地學生只有</w:t>
      </w:r>
      <w:r>
        <w:rPr>
          <w:szCs w:val="27"/>
        </w:rPr>
        <w:t>190</w:t>
      </w:r>
      <w:r>
        <w:rPr>
          <w:szCs w:val="27"/>
        </w:rPr>
        <w:t>人。代理主席，這些數字是非常不堪。</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我為甚麼認為香港除發展數理科外，亦需要注重發展人文科學的教育呢？有</w:t>
      </w:r>
      <w:r>
        <w:rPr>
          <w:szCs w:val="27"/>
        </w:rPr>
        <w:t>3</w:t>
      </w:r>
      <w:r>
        <w:rPr>
          <w:szCs w:val="27"/>
        </w:rPr>
        <w:t>個原因。第一，注重人文科學是經濟多元化的必須條件。在</w:t>
      </w:r>
      <w:r>
        <w:rPr>
          <w:szCs w:val="27"/>
        </w:rPr>
        <w:t>2011</w:t>
      </w:r>
      <w:r>
        <w:rPr>
          <w:szCs w:val="27"/>
        </w:rPr>
        <w:t>年，香港的創意產業為香港帶來</w:t>
      </w:r>
      <w:r>
        <w:rPr>
          <w:szCs w:val="27"/>
        </w:rPr>
        <w:t>896</w:t>
      </w:r>
      <w:r>
        <w:rPr>
          <w:szCs w:val="27"/>
        </w:rPr>
        <w:t>億元的增加價值，大約佔本地生產總值的</w:t>
      </w:r>
      <w:r>
        <w:rPr>
          <w:szCs w:val="27"/>
        </w:rPr>
        <w:t>4.7%</w:t>
      </w:r>
      <w:r>
        <w:rPr>
          <w:szCs w:val="27"/>
        </w:rPr>
        <w:t>。當然，這些創意產業包羅萬有，包括軟件，也包括藝術、紅酒拍賣行業、工藝產品、電視和電台行政、設計及娛樂服務。要維持帶給香港的商機或商業價值，亦維持它不斷增長，香港必須在人文科學上投放更多資源。</w:t>
      </w:r>
    </w:p>
    <w:p>
      <w:pPr>
        <w:pStyle w:val="F21"/>
        <w:spacing w:lineRule="atLeast" w:line="370"/>
        <w:rPr>
          <w:szCs w:val="27"/>
        </w:rPr>
      </w:pPr>
      <w:r>
        <w:rPr>
          <w:szCs w:val="27"/>
        </w:rPr>
      </w:r>
    </w:p>
    <w:p>
      <w:pPr>
        <w:pStyle w:val="F21"/>
        <w:spacing w:lineRule="atLeast" w:line="370"/>
        <w:rPr>
          <w:szCs w:val="27"/>
        </w:rPr>
      </w:pPr>
      <w:r>
        <w:rPr>
          <w:szCs w:val="27"/>
        </w:rPr>
        <w:tab/>
      </w:r>
      <w:r>
        <w:rPr>
          <w:szCs w:val="27"/>
        </w:rPr>
        <w:t>香港是一個國際多元化的大都會，高地價和地少人多，這些原因令我們發展其他大型工業或科研產業較有局限性。然而，發展創意產業則無須太多土地資源和空間。政府統計處的數字亦顯示，</w:t>
      </w:r>
      <w:r>
        <w:rPr>
          <w:szCs w:val="27"/>
        </w:rPr>
        <w:t>2005</w:t>
      </w:r>
      <w:r>
        <w:rPr>
          <w:szCs w:val="27"/>
        </w:rPr>
        <w:t>年至</w:t>
      </w:r>
      <w:r>
        <w:rPr>
          <w:szCs w:val="27"/>
        </w:rPr>
        <w:t>2011</w:t>
      </w:r>
      <w:r>
        <w:rPr>
          <w:szCs w:val="27"/>
        </w:rPr>
        <w:t>年短短</w:t>
      </w:r>
      <w:r>
        <w:rPr>
          <w:szCs w:val="27"/>
        </w:rPr>
        <w:t>6</w:t>
      </w:r>
      <w:r>
        <w:rPr>
          <w:szCs w:val="27"/>
        </w:rPr>
        <w:t>年間，文化及創意的服務業輸出總額大幅增長</w:t>
      </w:r>
      <w:r>
        <w:rPr>
          <w:szCs w:val="27"/>
        </w:rPr>
        <w:t>78%</w:t>
      </w:r>
      <w:r>
        <w:rPr>
          <w:szCs w:val="27"/>
        </w:rPr>
        <w:t>，輸入總額亦有</w:t>
      </w:r>
      <w:r>
        <w:rPr>
          <w:szCs w:val="27"/>
        </w:rPr>
        <w:t>56%</w:t>
      </w:r>
      <w:r>
        <w:rPr>
          <w:szCs w:val="27"/>
        </w:rPr>
        <w:t>的大幅增長。由此可見，香港文化及創意產業的服務業極具發展潛質。</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二，代理主席，提倡人文科學，長遠而言其實可減少社會矛盾，以及促進社會和諧。因為人文科學幫助我們了解社會現象，藝術、音樂、哲學、社會學，這些都是與我們個人和社會的內涵和修養息息相關的。代理主席，在很多大學裏，即使唸數理科的學生也需要修讀人文科學。我們不了解我們的社會運作和社會現象，當然會有很多矛盾和不明白之處，令我們不能以更寬容的態度對待不同種族的人士，不同地方來的人士。</w:t>
      </w:r>
    </w:p>
    <w:p>
      <w:pPr>
        <w:pStyle w:val="F21"/>
        <w:rPr>
          <w:szCs w:val="27"/>
        </w:rPr>
      </w:pPr>
      <w:r>
        <w:rPr>
          <w:szCs w:val="27"/>
        </w:rPr>
      </w:r>
    </w:p>
    <w:p>
      <w:pPr>
        <w:pStyle w:val="F21"/>
        <w:rPr>
          <w:szCs w:val="27"/>
        </w:rPr>
      </w:pPr>
      <w:r>
        <w:rPr>
          <w:szCs w:val="27"/>
        </w:rPr>
        <w:tab/>
      </w:r>
      <w:r>
        <w:rPr>
          <w:szCs w:val="27"/>
        </w:rPr>
        <w:t>第三，大學教育不單是建立廣泛知識基礎的機構，還要培養對事物的批判性和獨立思考。這是非常重要的，除非我們的政府不想或很擔心大學生有獨立思考能力，而要他們變成磚牆上數百、數千塊的磚頭之一，否則，要培養獨立批判性和獨立思考能力，人文科學其實是非常重要的。</w:t>
      </w:r>
    </w:p>
    <w:p>
      <w:pPr>
        <w:pStyle w:val="F21"/>
        <w:rPr>
          <w:szCs w:val="27"/>
        </w:rPr>
      </w:pPr>
      <w:r>
        <w:rPr>
          <w:szCs w:val="27"/>
        </w:rPr>
      </w:r>
    </w:p>
    <w:p>
      <w:pPr>
        <w:pStyle w:val="F21"/>
        <w:rPr>
          <w:szCs w:val="27"/>
        </w:rPr>
      </w:pPr>
      <w:r>
        <w:rPr>
          <w:szCs w:val="27"/>
        </w:rPr>
        <w:tab/>
      </w:r>
      <w:r>
        <w:rPr>
          <w:szCs w:val="27"/>
        </w:rPr>
        <w:t>此外，由第三點，我可以推演另一種說法是，人文科學其實與政治人才的培養密不可分。通過人文科學教育，我們能有創意思考，花時間思考社會問題，從而培養出香港現時非常缺乏的政治人才。歷史上很多政治人物都具有人文文學修養，舉例而言，最近的有捷克總統</w:t>
      </w:r>
      <w:r>
        <w:rPr>
          <w:szCs w:val="27"/>
        </w:rPr>
        <w:t>Vaclav HAVEL</w:t>
      </w:r>
      <w:r>
        <w:rPr>
          <w:szCs w:val="27"/>
        </w:rPr>
        <w:t>，又或較早前的英國首相</w:t>
      </w:r>
      <w:r>
        <w:rPr>
          <w:szCs w:val="27"/>
        </w:rPr>
        <w:t>Winston CHURCHILL</w:t>
      </w:r>
      <w:r>
        <w:rPr>
          <w:szCs w:val="27"/>
        </w:rPr>
        <w:t>和</w:t>
      </w:r>
      <w:r>
        <w:rPr>
          <w:szCs w:val="27"/>
        </w:rPr>
        <w:t>Benjamin DISRAELI</w:t>
      </w:r>
      <w:r>
        <w:rPr>
          <w:szCs w:val="27"/>
        </w:rPr>
        <w:t>，全部都既是政治家，亦是文學家。代理主席，我希望在發展科學之餘，亦同時可以平行地發展人文科學。</w:t>
      </w:r>
    </w:p>
    <w:p>
      <w:pPr>
        <w:pStyle w:val="F21"/>
        <w:rPr>
          <w:szCs w:val="27"/>
        </w:rPr>
      </w:pPr>
      <w:r>
        <w:rPr>
          <w:szCs w:val="27"/>
        </w:rPr>
      </w:r>
    </w:p>
    <w:p>
      <w:pPr>
        <w:pStyle w:val="F21"/>
        <w:rPr>
          <w:szCs w:val="27"/>
        </w:rPr>
      </w:pPr>
      <w:r>
        <w:rPr>
          <w:szCs w:val="27"/>
        </w:rPr>
        <w:tab/>
      </w:r>
      <w:r>
        <w:rPr>
          <w:szCs w:val="27"/>
        </w:rPr>
        <w:t>代理主席，我謹此發言。</w:t>
      </w:r>
    </w:p>
    <w:p>
      <w:pPr>
        <w:pStyle w:val="F21"/>
        <w:rPr>
          <w:szCs w:val="27"/>
        </w:rPr>
      </w:pPr>
      <w:r>
        <w:rPr>
          <w:szCs w:val="27"/>
        </w:rPr>
      </w:r>
    </w:p>
    <w:p>
      <w:pPr>
        <w:pStyle w:val="F21"/>
        <w:rPr>
          <w:szCs w:val="27"/>
        </w:rPr>
      </w:pPr>
      <w:r>
        <w:rPr>
          <w:szCs w:val="27"/>
        </w:rPr>
      </w:r>
    </w:p>
    <w:p>
      <w:pPr>
        <w:pStyle w:val="F21"/>
        <w:rPr/>
      </w:pPr>
      <w:r>
        <w:rPr>
          <w:rFonts w:ascii="華康中黑體" w:hAnsi="華康中黑體" w:cs="華康中黑體" w:eastAsia="華康中黑體"/>
          <w:b/>
        </w:rPr>
        <w:t>謝偉銓議員</w:t>
      </w:r>
      <w:r>
        <w:rPr/>
        <w:t>：代理主席，首先，我祝賀香港成功申辦</w:t>
      </w:r>
      <w:r>
        <w:rPr/>
        <w:t>2016</w:t>
      </w:r>
      <w:r>
        <w:rPr/>
        <w:t>年第五十七屆國際數學奧林匹克大賽，期望香港可以做好“東道主”，再創佳績。今年</w:t>
      </w:r>
      <w:r>
        <w:rPr/>
        <w:t>8</w:t>
      </w:r>
      <w:r>
        <w:rPr/>
        <w:t>月，我非常榮幸獲邀擔任這次國際數學奧林匹克大賽籌委會的榮譽顧問，我希望香港藉着舉辦這項大型國際賽事，提升校園內學習數學科的風氣，以及學生對數理科的興趣，更希望可以改變現時香港較為側重金融、地產業發展，而忽略與數理科其他相關專業的產業發展，因為這樣做，是不利香港長遠發展的，尤其是在產業發展策略方面。</w:t>
      </w:r>
    </w:p>
    <w:p>
      <w:pPr>
        <w:pStyle w:val="F21"/>
        <w:rPr/>
      </w:pPr>
      <w:r>
        <w:rPr/>
      </w:r>
    </w:p>
    <w:p>
      <w:pPr>
        <w:pStyle w:val="F21"/>
        <w:rPr/>
      </w:pPr>
      <w:r>
        <w:rPr/>
        <w:tab/>
      </w:r>
      <w:r>
        <w:rPr/>
        <w:t>今天我提出的修正案，主要有</w:t>
      </w:r>
      <w:r>
        <w:rPr/>
        <w:t>4</w:t>
      </w:r>
      <w:r>
        <w:rPr/>
        <w:t>方面：第一，由民政事務局負責統籌及協調政府相關政策局和部門共同參與，並且適當調撥資源，致力宣傳並鼓勵社會各界全情投入此項國際盛事；第二，協助國際數學奧林匹克香港委員會向商務及經濟發展局申請創新及科技基金下“一般支援計劃”的資助及其他相關資助，藉此鼓勵和培養校園內學習數學的風氣，加強學生對數學的掌握，為發展本港高科技產業培育更多具有競爭力的人才；第三，參考外國政府出資培訓優秀數學人才的做法，協助國際數學奧林匹克香港委員會向教育局申請優質教育基金，資助在國際或內地數學賽事獲獎，或具備優秀數學潛質並獲得學校推薦的學生接受精英培訓；及第四，透過提供適切資助，鼓勵本港專業學會及團體，舉辦更多以學生為主要對象的推廣活動，提升學生對數理相關學科的認識和興趣，吸引更多學生報讀及參與有關科研項目，藉此加強社會對有關學術及專業發展的重視程度，提升數理學術水平。</w:t>
      </w:r>
    </w:p>
    <w:p>
      <w:pPr>
        <w:pStyle w:val="F21"/>
        <w:rPr/>
      </w:pPr>
      <w:r>
        <w:rPr/>
      </w:r>
    </w:p>
    <w:p>
      <w:pPr>
        <w:pStyle w:val="F21"/>
        <w:rPr/>
      </w:pPr>
      <w:r>
        <w:rPr/>
        <w:tab/>
      </w:r>
      <w:r>
        <w:rPr/>
        <w:t>過去在討論新發展區發展或舊區活化等發展項目的時候，我也曾經多次提出，政府應該成立一些跨政策局的工作小組，或由一個政策局負責統籌和協調各有關相關政策局和部門，參與有關項目的規劃、實施和執行工作，因為每個新發展計劃，往往涉及多個不同政策局和部門負責的範疇，環環相扣，互相影響，如果在規劃階段，各個相關範疇都能夠有充分和協作性的參與，相信對發展計劃的推行和落實都會有莫大裨益。同樣道理，今次香港主辦國際數學奧林匹克大賽，需要大量資源配合，要辦好這項大型的國際賽事，單靠民間團體自發性參與和籌集資金，對於主辦單位而言，會相當吃力和困難。所以，我希望政府能夠由民政事務局牽頭，並統籌其他相關政策局和部門，調撥資源，共同推廣、推動社會各界投入這項盛事。</w:t>
      </w:r>
    </w:p>
    <w:p>
      <w:pPr>
        <w:pStyle w:val="F21"/>
        <w:rPr/>
      </w:pPr>
      <w:r>
        <w:rPr/>
      </w:r>
    </w:p>
    <w:p>
      <w:pPr>
        <w:pStyle w:val="F21"/>
        <w:rPr/>
      </w:pPr>
      <w:r>
        <w:rPr/>
        <w:tab/>
      </w:r>
      <w:r>
        <w:rPr/>
        <w:t>除了辦好這次活動外，亦要鼓勵和培育校內學習數學的風氣，提高學生對數理科的學習興趣，有助培育更多對數理科有較好掌握，包括創新科技在內的相關人才。所以，我也建議政府協助國際數學奧林匹克香港委員會申請創新及科技基金下的“一般支援計劃”，因為該計劃為非研發項目而設，以支援有助提升本港產業和推動其發展的項目，以及有助培養創新科技風氣的項目。相信委員會如果能透過該計劃取得更多支援後，將有可能發展成為學校以外，另一個數學人才培育基地。</w:t>
      </w:r>
    </w:p>
    <w:p>
      <w:pPr>
        <w:pStyle w:val="F21"/>
        <w:rPr/>
      </w:pPr>
      <w:r>
        <w:rPr/>
      </w:r>
    </w:p>
    <w:p>
      <w:pPr>
        <w:pStyle w:val="F21"/>
        <w:rPr/>
      </w:pPr>
      <w:r>
        <w:rPr/>
        <w:tab/>
      </w:r>
      <w:r>
        <w:rPr/>
        <w:t>代理主席，</w:t>
      </w:r>
      <w:r>
        <w:rPr/>
        <w:t>1997</w:t>
      </w:r>
      <w:r>
        <w:rPr/>
        <w:t>年</w:t>
      </w:r>
      <w:r>
        <w:rPr/>
        <w:t>10</w:t>
      </w:r>
      <w:r>
        <w:rPr/>
        <w:t>月，行政長官在施政報告中宣布設立優質教育基金，用以資助各項有助推動香港優質教育的計劃。基金主要資助屬於基礎教育範圍內值得推行的非牟利創新計劃，包括促進有效學習的計劃、推廣均衡教育的計劃、施行校本管理的計劃、探索教育課題的研究計劃，以及應用資訊科技的計劃等。所以，我亦提出另一項建議，協助國際數學奧林匹克香港委員會向教育局申請優質教育基金，資助於國際或內地數學賽事獲獎，或具備優秀數學潛質並獲得學校推薦的學生接受精英培訓，進一步提升本港學生的數理水平和學習數學的風氣。</w:t>
      </w:r>
    </w:p>
    <w:p>
      <w:pPr>
        <w:pStyle w:val="F21"/>
        <w:rPr/>
      </w:pPr>
      <w:r>
        <w:rPr/>
      </w:r>
    </w:p>
    <w:p>
      <w:pPr>
        <w:pStyle w:val="F21"/>
        <w:rPr>
          <w:spacing w:val="22"/>
        </w:rPr>
      </w:pPr>
      <w:r>
        <w:rPr>
          <w:spacing w:val="22"/>
        </w:rPr>
        <w:tab/>
      </w:r>
      <w:r>
        <w:rPr>
          <w:spacing w:val="22"/>
        </w:rPr>
        <w:t>代理主席，數學知識除了可以運用於我們日常的生活外，很多行業和專業都需要具備有較佳數學能力的人才。現時不少專業學會和團體都會透過舉辦不同類型和規模的比賽，為相關人才提供更多訓練和實踐機會，從而提升個人和整個專業的水平。我以往曾參與一些專業學會和團體與這方面相關的活動，亦曾參與籌辦一些全港性和大專院校的比賽，但我察覺到，主辦這些比賽的專業學會或團體，往往需要自籌資金，一旦如果有關活動或比賽需要邀請海外專業人士參與並擔任評判，整個賽事活動所需要的經費便會增加很多，令主辦單位承受不少負擔和其他壓力。所以，我希望政府為專業學會和團體提供適切資助，鼓勵他們舉辦更多與數理科相關的推廣活動，提升學生對數理科的認識和興趣，從而吸引他們報讀及參與有關科研項目，進一步加強社會對有關學術及專業發展的重視程度，進而提升數理學術水平。</w:t>
      </w:r>
    </w:p>
    <w:p>
      <w:pPr>
        <w:pStyle w:val="F21"/>
        <w:rPr/>
      </w:pPr>
      <w:r>
        <w:rPr/>
      </w:r>
    </w:p>
    <w:p>
      <w:pPr>
        <w:pStyle w:val="F21"/>
        <w:rPr/>
      </w:pPr>
      <w:r>
        <w:rPr/>
        <w:tab/>
      </w:r>
      <w:r>
        <w:rPr/>
        <w:t>代理主席，我謹此陳辭，希望各位議員支持我的修正案。</w:t>
      </w:r>
    </w:p>
    <w:p>
      <w:pPr>
        <w:pStyle w:val="F21"/>
        <w:rPr/>
      </w:pPr>
      <w:r>
        <w:rPr/>
      </w:r>
    </w:p>
    <w:p>
      <w:pPr>
        <w:pStyle w:val="F21"/>
        <w:rPr/>
      </w:pPr>
      <w:r>
        <w:rPr/>
      </w:r>
    </w:p>
    <w:p>
      <w:pPr>
        <w:pStyle w:val="F21"/>
        <w:rPr/>
      </w:pPr>
      <w:r>
        <w:rPr>
          <w:rFonts w:ascii="華康中黑體" w:hAnsi="華康中黑體" w:cs="華康中黑體" w:eastAsia="華康中黑體"/>
          <w:b/>
        </w:rPr>
        <w:t>莫乃光議員</w:t>
      </w:r>
      <w:r>
        <w:rPr/>
        <w:t>：代理主席，我也要申報，我是</w:t>
      </w:r>
      <w:r>
        <w:rPr/>
        <w:t>2016</w:t>
      </w:r>
      <w:r>
        <w:rPr/>
        <w:t>年第五十七屆國際數學奧林匹克的其中一位顧問。</w:t>
      </w:r>
    </w:p>
    <w:p>
      <w:pPr>
        <w:pStyle w:val="F21"/>
        <w:rPr/>
      </w:pPr>
      <w:r>
        <w:rPr/>
      </w:r>
    </w:p>
    <w:p>
      <w:pPr>
        <w:pStyle w:val="F21"/>
        <w:rPr/>
      </w:pPr>
      <w:r>
        <w:rPr/>
        <w:tab/>
      </w:r>
      <w:r>
        <w:rPr/>
        <w:t>我支持葉劉淑儀議員的議案。我支持主辦這個數學比賽及支持這項議案的原因很簡單，在香港中學</w:t>
      </w:r>
      <w:r>
        <w:rPr/>
        <w:t>DSE</w:t>
      </w:r>
      <w:r>
        <w:rPr/>
        <w:t>文憑制度下無分文科、理科，產生的副作用便是很多高中生選科的數目少了，理科學科受到很大影響，學生已不可像我以前讀理科時那般選修</w:t>
      </w:r>
      <w:r>
        <w:rPr/>
        <w:t>Phy</w:t>
      </w:r>
      <w:r>
        <w:rPr/>
        <w:t>、</w:t>
      </w:r>
      <w:r>
        <w:rPr/>
        <w:t>Chem</w:t>
      </w:r>
      <w:r>
        <w:rPr/>
        <w:t>、</w:t>
      </w:r>
      <w:r>
        <w:rPr/>
        <w:t>Bi</w:t>
      </w:r>
      <w:r>
        <w:rPr/>
        <w:t>、</w:t>
      </w:r>
      <w:r>
        <w:rPr/>
        <w:t>A-Math</w:t>
      </w:r>
      <w:r>
        <w:rPr/>
        <w:t>，即修讀數、理、化、生物，選修全理科，新興的資訊及通訊科技科</w:t>
      </w:r>
      <w:r>
        <w:rPr/>
        <w:t>(</w:t>
      </w:r>
      <w:r>
        <w:rPr/>
        <w:t>即</w:t>
      </w:r>
      <w:r>
        <w:rPr/>
        <w:t>ICT</w:t>
      </w:r>
      <w:r>
        <w:rPr/>
        <w:t>或電腦科</w:t>
      </w:r>
      <w:r>
        <w:rPr/>
        <w:t>)</w:t>
      </w:r>
      <w:r>
        <w:rPr/>
        <w:t>，近年修讀的同學也少了近一半。</w:t>
      </w:r>
    </w:p>
    <w:p>
      <w:pPr>
        <w:pStyle w:val="F21"/>
        <w:rPr/>
      </w:pPr>
      <w:r>
        <w:rPr/>
      </w:r>
    </w:p>
    <w:p>
      <w:pPr>
        <w:pStyle w:val="F21"/>
        <w:rPr/>
      </w:pPr>
      <w:r>
        <w:rPr/>
        <w:tab/>
      </w:r>
      <w:r>
        <w:rPr/>
        <w:t>代理主席，現時很多先進國家也面對修讀</w:t>
      </w:r>
      <w:r>
        <w:rPr/>
        <w:t>STEM</w:t>
      </w:r>
      <w:r>
        <w:rPr/>
        <w:t>科目學生人數下降的問題，而且對這個趨勢十分關注。</w:t>
      </w:r>
      <w:r>
        <w:rPr/>
        <w:t>STEM</w:t>
      </w:r>
      <w:r>
        <w:rPr/>
        <w:t>的意思不是樹幹，而是</w:t>
      </w:r>
      <w:r>
        <w:rPr/>
        <w:t>Science</w:t>
      </w:r>
      <w:r>
        <w:rPr/>
        <w:t>、</w:t>
      </w:r>
      <w:r>
        <w:rPr/>
        <w:t>Technology</w:t>
      </w:r>
      <w:r>
        <w:rPr/>
        <w:t>、</w:t>
      </w:r>
      <w:r>
        <w:rPr/>
        <w:t>Engineering</w:t>
      </w:r>
      <w:r>
        <w:rPr/>
        <w:t>和</w:t>
      </w:r>
      <w:r>
        <w:rPr/>
        <w:t>Mathematics(</w:t>
      </w:r>
      <w:r>
        <w:rPr/>
        <w:t>科學、科技、工程和數學</w:t>
      </w:r>
      <w:r>
        <w:rPr/>
        <w:t>)</w:t>
      </w:r>
      <w:r>
        <w:rPr/>
        <w:t>。在現今科技世界，願意修讀科技的人反而越來越少，從事科技行業的人力，無論質和量亦嚴重不足，這是一大危機，亦浪費了我們在經濟上爭先的機會。美國總統奧巴馬在金融海嘯後曾多次指出，他不希望美國成績好的學生只修讀商科、金融，目標只是從事投機性行業，以為最能賺錢。近年，這現象在香港也十分嚴重，高中生爭相進大學修讀國際金融，情況已失衡至十分不健康的程度。</w:t>
      </w:r>
    </w:p>
    <w:p>
      <w:pPr>
        <w:pStyle w:val="F21"/>
        <w:rPr/>
      </w:pPr>
      <w:r>
        <w:rPr/>
      </w:r>
    </w:p>
    <w:p>
      <w:pPr>
        <w:pStyle w:val="F21"/>
        <w:rPr/>
      </w:pPr>
      <w:r>
        <w:rPr/>
        <w:tab/>
      </w:r>
      <w:r>
        <w:rPr/>
        <w:t>代理主席，這個數學比賽可以提高同學對數學的興趣，以及同輩間的認同。其實不僅數學，我亦支持香港舉辦更多不同的學術比賽，培育學生的思維發展及鼓勵創新，最重要是讓學生有奮鬥的目標和方向。</w:t>
      </w:r>
    </w:p>
    <w:p>
      <w:pPr>
        <w:pStyle w:val="F21"/>
        <w:rPr/>
      </w:pPr>
      <w:r>
        <w:rPr/>
      </w:r>
    </w:p>
    <w:p>
      <w:pPr>
        <w:pStyle w:val="F21"/>
        <w:rPr/>
      </w:pPr>
      <w:r>
        <w:rPr/>
        <w:tab/>
      </w:r>
      <w:r>
        <w:rPr/>
        <w:t>不過，我注意到有數位議員的修正案刪去原議案中就推動數學比賽而提出的多項具體建議。可能原議案較集中於數學科，令議員同事覺得原議案集中支持資優生，自然便提出反對。我認為這不要緊，大家今天有機會討論這事也是好的。正如張國柱議員的修正案所言，即使多了學生參加這些數學比賽，也不代表整體社會的數學能力便會相應提升。不過，這亦不代表不舉辦這些比賽便好，或這些比賽不值得支持，並不是這個意思。就像奧運，我們不認同中國和蘇聯那種訓練方式，但並不代表香港不應該派代表隊參賽，又或假如香港有能力，也不應該主辦奧運，因為如何訓練是人家的事。</w:t>
      </w:r>
    </w:p>
    <w:p>
      <w:pPr>
        <w:pStyle w:val="F21"/>
        <w:rPr/>
      </w:pPr>
      <w:r>
        <w:rPr/>
      </w:r>
    </w:p>
    <w:p>
      <w:pPr>
        <w:pStyle w:val="F21"/>
        <w:rPr/>
      </w:pPr>
      <w:r>
        <w:rPr/>
        <w:tab/>
      </w:r>
      <w:r>
        <w:rPr/>
        <w:t>舉辦比賽只是個開端，更重要的是透過比賽，引發政府和廣大社會對數理能力的關注，推動進一步的跟進工作。所以，我贊成葉建源議員的修正案，因為真的要從根本的教育制度和課程編排着手，不應該由考試主導，反而應該提升市民對數理的認知，以及在態度上更支持，我們才可以取得好成果。</w:t>
      </w:r>
    </w:p>
    <w:p>
      <w:pPr>
        <w:pStyle w:val="F21"/>
        <w:rPr/>
      </w:pPr>
      <w:r>
        <w:rPr/>
      </w:r>
    </w:p>
    <w:p>
      <w:pPr>
        <w:pStyle w:val="F21"/>
        <w:rPr/>
      </w:pPr>
      <w:r>
        <w:rPr/>
        <w:tab/>
      </w:r>
      <w:r>
        <w:rPr/>
        <w:t>我的修正案加入要求“落實《</w:t>
      </w:r>
      <w:r>
        <w:rPr/>
        <w:t>2014</w:t>
      </w:r>
      <w:r>
        <w:rPr/>
        <w:t>數碼</w:t>
      </w:r>
      <w:r>
        <w:rPr/>
        <w:t>21</w:t>
      </w:r>
      <w:r>
        <w:rPr/>
        <w:t>資訊科技策略》諮詢文件中的建議，將程式編製納入基礎教育，進一步提升中小學生的數理邏輯思維及解難能力，並協助他們靈活使用資訊及通訊科技，迎接未來的挑戰”。但我想解釋，這並不代表要把所有學生訓練成程式編寫員</w:t>
      </w:r>
      <w:r>
        <w:rPr/>
        <w:t>(programmer)</w:t>
      </w:r>
      <w:r>
        <w:rPr/>
        <w:t>，如果他們喜歡這種職業，那固然好，否則，最少他們日後不會自稱為“電腦盲”。科技發展不等人，正如我們剛才在質詢環節中提到的</w:t>
      </w:r>
      <w:r>
        <w:rPr/>
        <w:t>Bitcoin</w:t>
      </w:r>
      <w:r>
        <w:rPr/>
        <w:t>，可能將來會反轉全世界的金融秩序也說不定，這是一個最明顯的例子。但是，如果我們沒有認知或太保守，可能會不懂得平衡或處理風險，機會是不會等我們的。所以，我的修正案的目的是希望藉着對程式編製的關注，建立年輕人對科技的認知</w:t>
      </w:r>
      <w:r>
        <w:rPr/>
        <w:t>(literacy)</w:t>
      </w:r>
      <w:r>
        <w:rPr/>
        <w:t>。</w:t>
      </w:r>
    </w:p>
    <w:p>
      <w:pPr>
        <w:pStyle w:val="F21"/>
        <w:rPr/>
      </w:pPr>
      <w:r>
        <w:rPr/>
      </w:r>
    </w:p>
    <w:p>
      <w:pPr>
        <w:pStyle w:val="F21"/>
        <w:rPr/>
      </w:pPr>
      <w:r>
        <w:rPr/>
        <w:tab/>
      </w:r>
      <w:r>
        <w:rPr/>
        <w:t xml:space="preserve">不要以為現今的年輕人精於“打機”，便一定很聰明，懂得很多。中聯辦主任張曉明也曾指出，香港的年輕人不應只做高科技的使用者、消費者，而不願做高科技的創造者、創新者，即是說香港人 </w:t>
      </w:r>
      <w:r>
        <w:rPr>
          <w:rFonts w:ascii="Symbol" w:hAnsi="Symbol" w:cs="Symbol" w:eastAsia="Symbol"/>
        </w:rPr>
        <w:t></w:t>
      </w:r>
      <w:r>
        <w:rPr/>
        <w:t xml:space="preserve"> 特別是年輕人 </w:t>
      </w:r>
      <w:r>
        <w:rPr>
          <w:rFonts w:ascii="Symbol" w:hAnsi="Symbol" w:cs="Symbol" w:eastAsia="Symbol"/>
        </w:rPr>
        <w:t></w:t>
      </w:r>
      <w:r>
        <w:rPr/>
        <w:t xml:space="preserve"> 只懂得買，但香港的經濟卻沒有貨可賣。我認為張主任這個意見不算干預香港事務，只是道出大部分香港人也當局者迷的一個客觀事實。</w:t>
      </w:r>
    </w:p>
    <w:p>
      <w:pPr>
        <w:pStyle w:val="F21"/>
        <w:rPr/>
      </w:pPr>
      <w:r>
        <w:rPr/>
      </w:r>
    </w:p>
    <w:p>
      <w:pPr>
        <w:pStyle w:val="F21"/>
        <w:rPr/>
      </w:pPr>
      <w:r>
        <w:rPr/>
        <w:tab/>
      </w:r>
      <w:r>
        <w:rPr/>
        <w:t>編寫程式語言需要有數理邏輯思維，數學底子好便更好。要各級學生懂得編寫程式這提議並不是我提出的，美國的非牟利組織</w:t>
      </w:r>
      <w:r>
        <w:rPr/>
        <w:t>code.org</w:t>
      </w:r>
      <w:r>
        <w:rPr/>
        <w:t>在上星期剛舉辦了名為</w:t>
      </w:r>
      <w:r>
        <w:rPr/>
        <w:t>Hour of Code</w:t>
      </w:r>
      <w:r>
        <w:rPr/>
        <w:t>的活動，鼓勵各級學生抽</w:t>
      </w:r>
      <w:r>
        <w:rPr/>
        <w:t>1</w:t>
      </w:r>
      <w:r>
        <w:rPr/>
        <w:t>小時學習編寫程式，這活動得到奧巴馬總統支持，很多明星，包括在電影中飾演喬布斯的</w:t>
      </w:r>
      <w:r>
        <w:rPr/>
        <w:t>Ashton KUTCHER</w:t>
      </w:r>
      <w:r>
        <w:rPr/>
        <w:t>也有參與。這活動在首天已有</w:t>
      </w:r>
      <w:r>
        <w:rPr/>
        <w:t>300</w:t>
      </w:r>
      <w:r>
        <w:rPr/>
        <w:t>萬名學生參與，在</w:t>
      </w:r>
      <w:r>
        <w:rPr/>
        <w:t>1</w:t>
      </w:r>
      <w:r>
        <w:rPr/>
        <w:t>星期內，全球</w:t>
      </w:r>
      <w:r>
        <w:rPr/>
        <w:t>170</w:t>
      </w:r>
      <w:r>
        <w:rPr/>
        <w:t>個地區共有</w:t>
      </w:r>
      <w:r>
        <w:rPr/>
        <w:t>1 500</w:t>
      </w:r>
      <w:r>
        <w:rPr/>
        <w:t>萬名學生參與。</w:t>
      </w:r>
    </w:p>
    <w:p>
      <w:pPr>
        <w:pStyle w:val="F21"/>
        <w:spacing w:lineRule="atLeast" w:line="370"/>
        <w:rPr/>
      </w:pPr>
      <w:r>
        <w:rPr/>
      </w:r>
    </w:p>
    <w:p>
      <w:pPr>
        <w:pStyle w:val="F21"/>
        <w:spacing w:lineRule="atLeast" w:line="370"/>
        <w:rPr/>
      </w:pPr>
      <w:r>
        <w:rPr/>
        <w:tab/>
      </w:r>
      <w:r>
        <w:rPr/>
        <w:t>事實上，香港</w:t>
      </w:r>
      <w:r>
        <w:rPr/>
        <w:t>ICT</w:t>
      </w:r>
      <w:r>
        <w:rPr/>
        <w:t>科的課程指引過時。很多人都指出，電腦科已變成電腦歷史科，課程指引中的語言是我當年讀大學時所學的那一套，正確點說，我當年已不學那一套了。近日，教育局明知全香港只有一成學校的網絡和</w:t>
      </w:r>
      <w:r>
        <w:rPr/>
        <w:t>Wi-Fi</w:t>
      </w:r>
      <w:r>
        <w:rPr/>
        <w:t>基建足夠推行電子教學，卻只願意資助不足一成學校</w:t>
      </w:r>
      <w:r>
        <w:rPr/>
        <w:t>(100</w:t>
      </w:r>
      <w:r>
        <w:rPr/>
        <w:t>間學校</w:t>
      </w:r>
      <w:r>
        <w:rPr/>
        <w:t>)</w:t>
      </w:r>
      <w:r>
        <w:rPr/>
        <w:t>更新其網絡基建。政府有錢但不願意投資在年輕人身上，我不知道還要說甚麼，政府和局長才願意去做。我們仍然在爭拗應該在</w:t>
      </w:r>
      <w:r>
        <w:rPr/>
        <w:t>3</w:t>
      </w:r>
      <w:r>
        <w:rPr/>
        <w:t>年抑或</w:t>
      </w:r>
      <w:r>
        <w:rPr/>
        <w:t>5</w:t>
      </w:r>
      <w:r>
        <w:rPr/>
        <w:t>年內完成這項工作，我也不想像“打死狗講價”那般，但現時我們要與香港政府這個大財主講價，究竟道理何在呢？</w:t>
      </w:r>
    </w:p>
    <w:p>
      <w:pPr>
        <w:pStyle w:val="F21"/>
        <w:spacing w:lineRule="atLeast" w:line="370"/>
        <w:rPr/>
      </w:pPr>
      <w:r>
        <w:rPr/>
      </w:r>
    </w:p>
    <w:p>
      <w:pPr>
        <w:pStyle w:val="F21"/>
        <w:spacing w:lineRule="atLeast" w:line="370"/>
        <w:rPr/>
      </w:pPr>
      <w:r>
        <w:rPr/>
        <w:tab/>
      </w:r>
      <w:r>
        <w:rPr/>
        <w:t>我們一直視新加坡為對手，但在經濟和科研各方面，還不知道香港有否資格與人家競爭。新加坡有完善的吸引人才計劃，當地由中小學開始發掘人才，舉辦很多科普活動供學生參加，大學亦設有不同的獎學金和支援計劃，學生畢業後亦不愁出路。有別於香港，當地政府資助很多科研事業，在學術界和新加坡本土市場都有很多選擇。有些香港人反而要到新加坡找工作，因為除了當地人，外地人也可以透過不同的獎學金計劃到新加坡進修或工作。</w:t>
      </w:r>
    </w:p>
    <w:p>
      <w:pPr>
        <w:pStyle w:val="F21"/>
        <w:spacing w:lineRule="atLeast" w:line="370"/>
        <w:rPr/>
      </w:pPr>
      <w:r>
        <w:rPr/>
      </w:r>
    </w:p>
    <w:p>
      <w:pPr>
        <w:pStyle w:val="F21"/>
        <w:spacing w:lineRule="atLeast" w:line="370"/>
        <w:rPr/>
      </w:pPr>
      <w:r>
        <w:rPr/>
        <w:tab/>
      </w:r>
      <w:r>
        <w:rPr/>
        <w:t>我想說的是，人家如此着緊科研工作，我們的政府對於</w:t>
      </w:r>
      <w:r>
        <w:rPr/>
        <w:t>Google</w:t>
      </w:r>
      <w:r>
        <w:rPr/>
        <w:t>放棄在香港建立數據中心也愛理不理。香港的成本上升，人才又不夠，我們的競爭力怎會不跌呢？囉唆一點我也要說，政府必須盡快成立科技及通訊局，以統籌資訊科技政策，不要浪費本地培訓的數理、科研人才，否則，不管我們舉辦多少次比賽，風光過後也只是浪費機會。</w:t>
      </w:r>
    </w:p>
    <w:p>
      <w:pPr>
        <w:pStyle w:val="F21"/>
        <w:spacing w:lineRule="atLeast" w:line="370"/>
        <w:rPr/>
      </w:pPr>
      <w:r>
        <w:rPr/>
      </w:r>
    </w:p>
    <w:p>
      <w:pPr>
        <w:pStyle w:val="F21"/>
        <w:spacing w:lineRule="atLeast" w:line="380"/>
        <w:rPr/>
      </w:pPr>
      <w:r>
        <w:rPr/>
        <w:tab/>
      </w:r>
      <w:r>
        <w:rPr/>
        <w:t>最後，我想談談業界或公民社會團體希望吸引國際大型活動來港，但政府支援不足的問題。有些同事可能認為葉劉淑儀議員的原議案長篇大論，又要求政府做那麼多工夫，對此有些意見，但我對這種困難感同身受。多年來，我都希望協助吸引國際著名的大型資訊科技和互聯網會議在香港舉行，政府口裏說支持，但只是空談。香港本身供舉辦大型會議的設施已不夠，辦展覽還可以，但舉辦會議卻仍差很遠，新加坡的會議場地最少較我們多</w:t>
      </w:r>
      <w:r>
        <w:rPr/>
        <w:t>3</w:t>
      </w:r>
      <w:r>
        <w:rPr/>
        <w:t>倍。我們要求政府支持，政府說</w:t>
      </w:r>
      <w:r>
        <w:rPr>
          <w:rFonts w:cs="Times New Roman"/>
        </w:rPr>
        <w:t>“行”</w:t>
      </w:r>
      <w:r>
        <w:rPr/>
        <w:t>，叫我們成功申辦後始向政府申請資助，政府是否在開玩笑呢？我們的對手地區都是先確定了撥款，然後才提出申辦的。香港的做法如此官僚，沒有在一開始便輸掉，人家已很給我們面子，是我們走運，還如何與人家競爭呢？</w:t>
      </w:r>
    </w:p>
    <w:p>
      <w:pPr>
        <w:pStyle w:val="F21"/>
        <w:spacing w:lineRule="atLeast" w:line="380"/>
        <w:rPr/>
      </w:pPr>
      <w:r>
        <w:rPr/>
      </w:r>
    </w:p>
    <w:p>
      <w:pPr>
        <w:pStyle w:val="F21"/>
        <w:spacing w:lineRule="atLeast" w:line="380"/>
        <w:rPr/>
      </w:pPr>
      <w:r>
        <w:rPr/>
        <w:tab/>
      </w:r>
      <w:r>
        <w:rPr/>
        <w:t>要得到政府支援的國際盛事有很多，難道每次也要找葉劉淑儀議員提出議案辯論，要求政府支持嗎？如果是這樣，香港真的很沒面子。政府是否一定要全數付鈔呢？我認為也不一定，團體也應該自行尋找資助，但政府亦不可推卸責任。香港在支援基礎教育上確有不足，但這並不代表我們不可以同時支持其他有意義的項目。代理主席，我謹此陳辭，希望各位同事支持我的修正案和原議案。</w:t>
      </w:r>
    </w:p>
    <w:p>
      <w:pPr>
        <w:pStyle w:val="F21"/>
        <w:spacing w:lineRule="atLeast" w:line="380"/>
        <w:rPr/>
      </w:pPr>
      <w:r>
        <w:rPr/>
      </w:r>
    </w:p>
    <w:p>
      <w:pPr>
        <w:pStyle w:val="F21"/>
        <w:spacing w:lineRule="atLeast" w:line="380"/>
        <w:rPr/>
      </w:pPr>
      <w:r>
        <w:rPr/>
        <w:tab/>
      </w:r>
      <w:r>
        <w:rPr/>
        <w:t>多謝代理主席。</w:t>
      </w:r>
    </w:p>
    <w:p>
      <w:pPr>
        <w:pStyle w:val="F21"/>
        <w:spacing w:lineRule="atLeast" w:line="380"/>
        <w:rPr/>
      </w:pPr>
      <w:r>
        <w:rPr/>
      </w:r>
    </w:p>
    <w:p>
      <w:pPr>
        <w:pStyle w:val="F21"/>
        <w:spacing w:lineRule="atLeast" w:line="380"/>
        <w:rPr/>
      </w:pPr>
      <w:r>
        <w:rPr/>
      </w:r>
    </w:p>
    <w:p>
      <w:pPr>
        <w:pStyle w:val="F21"/>
        <w:spacing w:lineRule="atLeast" w:line="380"/>
        <w:rPr/>
      </w:pPr>
      <w:r>
        <w:rPr>
          <w:rFonts w:ascii="華康中黑體" w:hAnsi="華康中黑體" w:cs="華康中黑體" w:eastAsia="華康中黑體"/>
          <w:b/>
        </w:rPr>
        <w:t>教育局局長</w:t>
      </w:r>
      <w:r>
        <w:rPr/>
        <w:t>：代理主席，首先我感謝葉劉淑儀議員就“提振香港數理學術水平風氣，全力支援主辦國際數學大賽”提出議案及</w:t>
      </w:r>
      <w:r>
        <w:rPr/>
        <w:t>6</w:t>
      </w:r>
      <w:r>
        <w:rPr/>
        <w:t>位議員提出修正案。</w:t>
      </w:r>
    </w:p>
    <w:p>
      <w:pPr>
        <w:pStyle w:val="F21"/>
        <w:spacing w:lineRule="atLeast" w:line="380"/>
        <w:rPr/>
      </w:pPr>
      <w:r>
        <w:rPr/>
      </w:r>
    </w:p>
    <w:p>
      <w:pPr>
        <w:pStyle w:val="F21"/>
        <w:spacing w:lineRule="atLeast" w:line="380"/>
        <w:rPr/>
      </w:pPr>
      <w:r>
        <w:rPr/>
        <w:tab/>
      </w:r>
      <w:r>
        <w:rPr/>
        <w:t>為了提升香港的競爭力和學生多元智能的全人發展機會，特區政府向來積極關注教育發展，並透過支持不同的活動，以培育更多本地人才。其中數理、科學和科技方面的精英尤為突出。教育局已承諾支持國際數學奧林匹克香港委員會</w:t>
      </w:r>
      <w:r>
        <w:rPr/>
        <w:t>(“</w:t>
      </w:r>
      <w:r>
        <w:rPr/>
        <w:t>委員會”</w:t>
      </w:r>
      <w:r>
        <w:rPr/>
        <w:t>)</w:t>
      </w:r>
      <w:r>
        <w:rPr/>
        <w:t>籌辦第五十七屆國際數學奧林匹克競賽的工作，藉此機會推動學校數理教育，發掘更多優秀人才。</w:t>
      </w:r>
    </w:p>
    <w:p>
      <w:pPr>
        <w:pStyle w:val="F21"/>
        <w:spacing w:lineRule="atLeast" w:line="380"/>
        <w:rPr/>
      </w:pPr>
      <w:r>
        <w:rPr/>
      </w:r>
    </w:p>
    <w:p>
      <w:pPr>
        <w:pStyle w:val="F21"/>
        <w:spacing w:lineRule="atLeast" w:line="380"/>
        <w:rPr/>
      </w:pPr>
      <w:r>
        <w:rPr/>
        <w:tab/>
      </w:r>
      <w:r>
        <w:rPr/>
        <w:t>委員會主席岑嘉評教授在</w:t>
      </w:r>
      <w:r>
        <w:rPr/>
        <w:t>2012</w:t>
      </w:r>
      <w:r>
        <w:rPr/>
        <w:t>年</w:t>
      </w:r>
      <w:r>
        <w:rPr/>
        <w:t>7</w:t>
      </w:r>
      <w:r>
        <w:rPr/>
        <w:t>月向國際數學奧林匹克顧問委員會提出香港申辦</w:t>
      </w:r>
      <w:r>
        <w:rPr/>
        <w:t>2016</w:t>
      </w:r>
      <w:r>
        <w:rPr/>
        <w:t>年第五十七屆國際數學奧林匹克競賽，並獲接納。其後，委員會邀請教育局擔當該競賽活動的支持機構，教育局即時答允，並按委員會於</w:t>
      </w:r>
      <w:r>
        <w:rPr/>
        <w:t>2012</w:t>
      </w:r>
      <w:r>
        <w:rPr/>
        <w:t>年</w:t>
      </w:r>
      <w:r>
        <w:rPr/>
        <w:t>11</w:t>
      </w:r>
      <w:r>
        <w:rPr/>
        <w:t>月提出的要求，資助該活動的開幕與閉幕典禮的宴會或酒會等費用，以及印刷品、獎牌等費用。教育局得知委員會亦正就活動的其他開支，向不同團體或機構籌募經費和贊助，部分項目亦已取得相關的進展。</w:t>
      </w:r>
    </w:p>
    <w:p>
      <w:pPr>
        <w:pStyle w:val="F21"/>
        <w:spacing w:lineRule="atLeast" w:line="380"/>
        <w:rPr/>
      </w:pPr>
      <w:r>
        <w:rPr/>
      </w:r>
    </w:p>
    <w:p>
      <w:pPr>
        <w:pStyle w:val="F21"/>
        <w:spacing w:lineRule="atLeast" w:line="370"/>
        <w:rPr/>
      </w:pPr>
      <w:r>
        <w:rPr/>
        <w:tab/>
      </w:r>
      <w:r>
        <w:rPr/>
        <w:t>為香港培育人才，教育局一直致力推動課程改革，強調學生的全人發展。我們由</w:t>
      </w:r>
      <w:r>
        <w:rPr/>
        <w:t>2009</w:t>
      </w:r>
      <w:r>
        <w:rPr/>
        <w:t>年起實施新高中課程，把數學科和通識教育科納入為核心科目，讓所有中學生都可以接受數、理及人文教育的相關學習經歷直至中六。另一方面，教育局為學校提供多方面支援，例如透過教師專業培訓課程、製作學與教資源、提供學生延伸學習機會、與不同團體合辦各類型比賽等，以提升所有學生的學習興趣和能力。多年來，香港學生參與各項國際比賽，屢屢取得佳績。</w:t>
      </w:r>
    </w:p>
    <w:p>
      <w:pPr>
        <w:pStyle w:val="F21"/>
        <w:spacing w:lineRule="atLeast" w:line="370"/>
        <w:rPr/>
      </w:pPr>
      <w:r>
        <w:rPr/>
      </w:r>
    </w:p>
    <w:p>
      <w:pPr>
        <w:pStyle w:val="F21"/>
        <w:spacing w:lineRule="atLeast" w:line="370"/>
        <w:rPr/>
      </w:pPr>
      <w:r>
        <w:rPr/>
        <w:tab/>
      </w:r>
      <w:r>
        <w:rPr/>
        <w:t>代理主席，我再次多謝議員對學校數理教育發展的關注，並提供了很多寶貴意見。待聽取其他議員的意見後，我將會詳細介紹教育局如何支持委員會籌辦</w:t>
      </w:r>
      <w:r>
        <w:rPr/>
        <w:t>2016</w:t>
      </w:r>
      <w:r>
        <w:rPr/>
        <w:t>年第五十七屆國際數學奧林匹克競賽的工作，以及推動學校數理教育發展的措施，營造數理教育的氣氛。</w:t>
      </w:r>
    </w:p>
    <w:p>
      <w:pPr>
        <w:pStyle w:val="F21"/>
        <w:spacing w:lineRule="atLeast" w:line="370"/>
        <w:rPr/>
      </w:pPr>
      <w:r>
        <w:rPr/>
      </w:r>
    </w:p>
    <w:p>
      <w:pPr>
        <w:pStyle w:val="F21"/>
        <w:spacing w:lineRule="atLeast" w:line="370"/>
        <w:rPr/>
      </w:pPr>
      <w:r>
        <w:rPr/>
        <w:tab/>
      </w:r>
      <w:r>
        <w:rPr/>
        <w:t>多謝代理主席。</w:t>
      </w:r>
    </w:p>
    <w:p>
      <w:pPr>
        <w:pStyle w:val="F21"/>
        <w:spacing w:lineRule="atLeast" w:line="370"/>
        <w:rPr/>
      </w:pPr>
      <w:r>
        <w:rPr/>
      </w:r>
    </w:p>
    <w:p>
      <w:pPr>
        <w:pStyle w:val="F21"/>
        <w:spacing w:lineRule="atLeast" w:line="370"/>
        <w:rPr/>
      </w:pPr>
      <w:r>
        <w:rPr/>
      </w:r>
    </w:p>
    <w:p>
      <w:pPr>
        <w:pStyle w:val="F21"/>
        <w:spacing w:lineRule="atLeast" w:line="370"/>
        <w:rPr>
          <w:szCs w:val="27"/>
        </w:rPr>
      </w:pPr>
      <w:r>
        <w:rPr>
          <w:rFonts w:ascii="華康中黑體" w:hAnsi="華康中黑體" w:cs="華康中黑體" w:eastAsia="華康中黑體"/>
          <w:b/>
          <w:szCs w:val="27"/>
        </w:rPr>
        <w:t>馬逢國議員</w:t>
      </w:r>
      <w:r>
        <w:rPr>
          <w:szCs w:val="27"/>
        </w:rPr>
        <w:t>：代理主席，首先感謝並支持葉劉淑儀議員提出這項議案。以我所知，香港的學生過往在國際數學奧林匹克大賽的表現通常名列前茅，而香港奪得</w:t>
      </w:r>
      <w:r>
        <w:rPr>
          <w:szCs w:val="27"/>
        </w:rPr>
        <w:t>2016</w:t>
      </w:r>
      <w:r>
        <w:rPr>
          <w:szCs w:val="27"/>
        </w:rPr>
        <w:t>年的主辦權，勢必可鼓勵學生加倍努力，爭取更佳表現。因此，我贊成當局全力支持國際數學奧林匹克香港委員會籌辦第五十七屆國際數學奧林匹克賽事。</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肯定香港主辦國際數學奧林匹克大賽，將可帶動香港研習數學的風氣。賽事主要針對一些精英學生，由挑選學生參賽到為比賽而設的特別訓練，以至最終參賽，均局限於一些數學水平較高的學生，一般學生難有機會參與，所以在提升學生的整體數理水平及學習數學的興趣方面，單單舉辦數學比賽並不足夠。</w:t>
      </w:r>
    </w:p>
    <w:p>
      <w:pPr>
        <w:pStyle w:val="F21"/>
        <w:spacing w:lineRule="atLeast" w:line="370"/>
        <w:rPr>
          <w:szCs w:val="27"/>
        </w:rPr>
      </w:pPr>
      <w:r>
        <w:rPr>
          <w:szCs w:val="27"/>
        </w:rPr>
      </w:r>
    </w:p>
    <w:p>
      <w:pPr>
        <w:pStyle w:val="F21"/>
        <w:spacing w:lineRule="atLeast" w:line="370"/>
        <w:rPr>
          <w:szCs w:val="27"/>
        </w:rPr>
      </w:pPr>
      <w:r>
        <w:rPr>
          <w:szCs w:val="27"/>
        </w:rPr>
        <w:tab/>
      </w:r>
      <w:r>
        <w:rPr>
          <w:szCs w:val="27"/>
        </w:rPr>
        <w:t>另一方面，香港的產業長久以來集中在金融及服務業，以致社會風氣過分重視商科，而文科和數理之類的科目則被家長及學生視為既無前途，亦無“錢途”的“水泡”科目。選修學生越來越少，相關學額亦相對減少，形成一個惡性循環，很多學生在離開中學後便再無機會及動機學習數學。故此，我認為政府除了協助籌辦今次比賽之外，還要做更多工作，以推動數理學術的風氣。</w:t>
      </w:r>
    </w:p>
    <w:p>
      <w:pPr>
        <w:pStyle w:val="F21"/>
        <w:spacing w:lineRule="atLeast" w:line="370"/>
        <w:rPr>
          <w:szCs w:val="27"/>
        </w:rPr>
      </w:pPr>
      <w:r>
        <w:rPr>
          <w:szCs w:val="27"/>
        </w:rPr>
      </w:r>
    </w:p>
    <w:p>
      <w:pPr>
        <w:pStyle w:val="F21"/>
        <w:spacing w:lineRule="atLeast" w:line="370"/>
        <w:rPr>
          <w:szCs w:val="27"/>
        </w:rPr>
      </w:pPr>
      <w:r>
        <w:rPr>
          <w:szCs w:val="27"/>
        </w:rPr>
        <w:tab/>
      </w:r>
      <w:r>
        <w:rPr>
          <w:szCs w:val="27"/>
        </w:rPr>
        <w:t>就上述兩個問題，我建議政府除支援成績優異的學生參加國際賽事，鼓勵學生多作學術交流之外，亦要檢討目前的數學敎育，特別是課程內容，並增撥所需資源，以提高不同水平學生對學習數學的興趣，改變社會不重視數理的風氣。</w:t>
      </w:r>
    </w:p>
    <w:p>
      <w:pPr>
        <w:pStyle w:val="F21"/>
        <w:rPr>
          <w:szCs w:val="27"/>
        </w:rPr>
      </w:pPr>
      <w:r>
        <w:rPr>
          <w:szCs w:val="27"/>
        </w:rPr>
      </w:r>
    </w:p>
    <w:p>
      <w:pPr>
        <w:pStyle w:val="F21"/>
        <w:spacing w:lineRule="atLeast" w:line="370"/>
        <w:rPr>
          <w:szCs w:val="27"/>
        </w:rPr>
      </w:pPr>
      <w:r>
        <w:rPr>
          <w:szCs w:val="27"/>
        </w:rPr>
        <w:tab/>
      </w:r>
      <w:r>
        <w:rPr>
          <w:szCs w:val="27"/>
        </w:rPr>
        <w:t>此外，我希望當局以是次賽事作為契機，整合一套用於籌辦各類型國際賽事及活動的政策。例如葉劉淑儀議員在原議案中提到，由行政長官擔任第五十七屆國際數學奧林匹克的贊助人、為各國參賽者及隨行人員的入境簽證事宜提供協助、委派相關官員及獲國際數學奧林匹克香港委員會提名的人士以觀察員身份出席接下來的</w:t>
      </w:r>
      <w:r>
        <w:rPr>
          <w:szCs w:val="27"/>
        </w:rPr>
        <w:t>2014</w:t>
      </w:r>
      <w:r>
        <w:rPr>
          <w:szCs w:val="27"/>
        </w:rPr>
        <w:t>年及</w:t>
      </w:r>
      <w:r>
        <w:rPr>
          <w:szCs w:val="27"/>
        </w:rPr>
        <w:t>2015</w:t>
      </w:r>
      <w:r>
        <w:rPr>
          <w:szCs w:val="27"/>
        </w:rPr>
        <w:t>年賽事，為香港其後主辦的賽事提供意見及支援等，都是政府在支援有關項目時，須在尊重大會傳統和慣例的前提下進行的準備工作。這些工作都涉及一定的政府資源，但我相信很多同事包括我本人均認為要支持推動這些大型國際活動。</w:t>
      </w:r>
    </w:p>
    <w:p>
      <w:pPr>
        <w:pStyle w:val="F21"/>
        <w:spacing w:lineRule="atLeast" w:line="370"/>
        <w:rPr>
          <w:szCs w:val="27"/>
        </w:rPr>
      </w:pPr>
      <w:r>
        <w:rPr>
          <w:szCs w:val="27"/>
        </w:rPr>
      </w:r>
    </w:p>
    <w:p>
      <w:pPr>
        <w:pStyle w:val="F21"/>
        <w:spacing w:lineRule="atLeast" w:line="370"/>
        <w:rPr>
          <w:szCs w:val="27"/>
        </w:rPr>
      </w:pPr>
      <w:r>
        <w:rPr>
          <w:szCs w:val="27"/>
        </w:rPr>
        <w:tab/>
      </w:r>
      <w:r>
        <w:rPr>
          <w:szCs w:val="27"/>
        </w:rPr>
        <w:t>不過，當我們要求政府支持類似活動時，政府應以甚麼原則考慮是否支持活動和對活動的投入程度，又或是否每項活動均須由立法會議員提出議案，要求政府跟進呢？數年前，我曾參與組織主辦全國中學生作文大賽的總決賽，因香港在輪辦制度下是當年賽事的主辦城市。在活動中，我雖然曾與政府多番接觸，但所得支持可謂少之又少，在經濟上更幾乎可說是零支持。</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我有感而發，是因為想提出兩個與我所屬業界有關的例子，第一個是亞太影展。香港作為該活動的發起地區之一，在其</w:t>
      </w:r>
      <w:r>
        <w:rPr>
          <w:szCs w:val="27"/>
        </w:rPr>
        <w:t>56</w:t>
      </w:r>
      <w:r>
        <w:rPr>
          <w:szCs w:val="27"/>
        </w:rPr>
        <w:t>年歷史中只曾主辦一屆，而且已是</w:t>
      </w:r>
      <w:r>
        <w:rPr>
          <w:szCs w:val="27"/>
        </w:rPr>
        <w:t>40</w:t>
      </w:r>
      <w:r>
        <w:rPr>
          <w:szCs w:val="27"/>
        </w:rPr>
        <w:t>年前的事情。在香港回歸</w:t>
      </w:r>
      <w:r>
        <w:rPr>
          <w:szCs w:val="27"/>
        </w:rPr>
        <w:t>10</w:t>
      </w:r>
      <w:r>
        <w:rPr>
          <w:szCs w:val="27"/>
        </w:rPr>
        <w:t>周年時，香港在業界支持下本來再有機會爭取主辦當年的活動，可是，經與政府多番接觸後，政府最後只願意作出數額極少、約相等於其儲備若干分之一的經濟支持。至於主辦機構的要求，例如來賓需接受貴賓形式的接待、出入境要走特別通道、在活動進行期間要以額外警力支持，均得不到政府當局的承諾，所以最終亦不能成事。</w:t>
      </w:r>
    </w:p>
    <w:p>
      <w:pPr>
        <w:pStyle w:val="F21"/>
        <w:spacing w:lineRule="atLeast" w:line="370"/>
        <w:rPr>
          <w:szCs w:val="27"/>
        </w:rPr>
      </w:pPr>
      <w:r>
        <w:rPr>
          <w:szCs w:val="27"/>
        </w:rPr>
      </w:r>
    </w:p>
    <w:p>
      <w:pPr>
        <w:pStyle w:val="F21"/>
        <w:spacing w:lineRule="atLeast" w:line="370"/>
        <w:rPr>
          <w:szCs w:val="27"/>
        </w:rPr>
      </w:pPr>
      <w:r>
        <w:rPr>
          <w:szCs w:val="27"/>
        </w:rPr>
        <w:tab/>
      </w:r>
      <w:r>
        <w:rPr>
          <w:szCs w:val="27"/>
        </w:rPr>
        <w:t>香港作為一個電影工業重鎮，在回歸</w:t>
      </w:r>
      <w:r>
        <w:rPr>
          <w:szCs w:val="27"/>
        </w:rPr>
        <w:t>10</w:t>
      </w:r>
      <w:r>
        <w:rPr>
          <w:szCs w:val="27"/>
        </w:rPr>
        <w:t>周年時正值行業的低潮，本來正需要舉辦這類活動以提升、提振士氣，但結果卻無法爭取得到。反觀過往兩年，鄰近城市澳門卻非常主動，連續兩年爭取接辦這項大型活動。他們本身並沒有很強大的電影行業，但都能作出這種考慮，並作出非常仔細的安排。這項活動剛於數天前結束，一些曾參與其事的業界朋友回港後表示，活動規模宏大，接待規格極高，澳門政府甚至考慮爭取在澳門設立永久場地，讓這項活動立足於澳門。</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我想提出的另一例子是，體育業界本來希望爭取在明年舉辦首屆世界電能車方程式</w:t>
      </w:r>
      <w:r>
        <w:rPr>
          <w:szCs w:val="27"/>
        </w:rPr>
        <w:t>(</w:t>
      </w:r>
      <w:r>
        <w:rPr>
          <w:szCs w:val="27"/>
        </w:rPr>
        <w:t>即</w:t>
      </w:r>
      <w:r>
        <w:rPr>
          <w:szCs w:val="27"/>
        </w:rPr>
        <w:t>Formula E)</w:t>
      </w:r>
      <w:r>
        <w:rPr>
          <w:szCs w:val="27"/>
        </w:rPr>
        <w:t>比賽。該項賽事在全球挑選了</w:t>
      </w:r>
      <w:r>
        <w:rPr>
          <w:szCs w:val="27"/>
        </w:rPr>
        <w:t>10</w:t>
      </w:r>
      <w:r>
        <w:rPr>
          <w:szCs w:val="27"/>
        </w:rPr>
        <w:t>個城市作為首屆巡迴賽事場地，包括北京、洛杉磯、邁阿密、蒙地卡羅、柏林和倫敦等。香港原本大有機會成為第三站賽事的主辦城市，可惜最終被國際汽車聯會放棄，改以巴西里約熱內盧取代。與亞太影展一樣，舉辦這項盛事既有特定意義，對業界來說亦非常重要。而且，這項賽事特別提倡環保電能汽車文化，不但能提升香港的國際形象，亦能促進旅遊業等相關產業，創造可觀經濟效益。雖然今次無法舉辦，但我認為機會猶在，並希望政府能採取更積極的態度，主動配合及加強各方面措施，提升香港的城市魅力，讓市民有更多機會參與其事。</w:t>
      </w:r>
    </w:p>
    <w:p>
      <w:pPr>
        <w:pStyle w:val="F21"/>
        <w:spacing w:lineRule="atLeast" w:line="370"/>
        <w:rPr>
          <w:szCs w:val="27"/>
        </w:rPr>
      </w:pPr>
      <w:r>
        <w:rPr>
          <w:szCs w:val="27"/>
        </w:rPr>
      </w:r>
    </w:p>
    <w:p>
      <w:pPr>
        <w:pStyle w:val="F21"/>
        <w:spacing w:lineRule="atLeast" w:line="370"/>
        <w:rPr>
          <w:szCs w:val="27"/>
        </w:rPr>
      </w:pPr>
      <w:r>
        <w:rPr>
          <w:szCs w:val="27"/>
        </w:rPr>
        <w:tab/>
      </w:r>
      <w:r>
        <w:rPr>
          <w:szCs w:val="27"/>
        </w:rPr>
        <w:t>最後，我希望政府能制訂相關政策，確定以後如何能更加主動參與這些賽事，提升本地的贊助及參與程度，以及確立相關考慮準則。</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我謹此陳辭，支持原議案及葉建源</w:t>
      </w:r>
      <w:r>
        <w:rPr>
          <w:rFonts w:ascii="華康細明體" w:hAnsi="華康細明體"/>
          <w:szCs w:val="27"/>
        </w:rPr>
        <w:t>議員</w:t>
      </w:r>
      <w:r>
        <w:rPr>
          <w:szCs w:val="27"/>
        </w:rPr>
        <w:t>、謝偉銓</w:t>
      </w:r>
      <w:r>
        <w:rPr>
          <w:rFonts w:ascii="華康細明體" w:hAnsi="華康細明體"/>
          <w:szCs w:val="27"/>
        </w:rPr>
        <w:t>議員</w:t>
      </w:r>
      <w:r>
        <w:rPr>
          <w:szCs w:val="27"/>
        </w:rPr>
        <w:t>及莫乃光</w:t>
      </w:r>
      <w:r>
        <w:rPr>
          <w:rFonts w:ascii="華康細明體" w:hAnsi="華康細明體"/>
          <w:szCs w:val="27"/>
        </w:rPr>
        <w:t>議員</w:t>
      </w:r>
      <w:r>
        <w:rPr>
          <w:szCs w:val="27"/>
        </w:rPr>
        <w:t>的修正案。多謝代理主席。</w:t>
      </w:r>
    </w:p>
    <w:p>
      <w:pPr>
        <w:pStyle w:val="F21"/>
        <w:spacing w:lineRule="atLeast" w:line="370"/>
        <w:rPr>
          <w:szCs w:val="27"/>
        </w:rPr>
      </w:pPr>
      <w:r>
        <w:rPr>
          <w:szCs w:val="27"/>
        </w:rPr>
      </w:r>
    </w:p>
    <w:p>
      <w:pPr>
        <w:pStyle w:val="F21"/>
        <w:spacing w:lineRule="atLeast" w:line="370"/>
        <w:rPr/>
      </w:pPr>
      <w:r>
        <w:rPr/>
      </w:r>
    </w:p>
    <w:p>
      <w:pPr>
        <w:pStyle w:val="F21"/>
        <w:spacing w:lineRule="atLeast" w:line="370"/>
        <w:rPr>
          <w:szCs w:val="27"/>
        </w:rPr>
      </w:pPr>
      <w:r>
        <w:rPr>
          <w:rFonts w:ascii="華康中黑體" w:hAnsi="華康中黑體" w:cs="華康中黑體" w:eastAsia="華康中黑體"/>
          <w:b/>
          <w:szCs w:val="27"/>
        </w:rPr>
        <w:t>廖長江議員</w:t>
      </w:r>
      <w:r>
        <w:rPr>
          <w:szCs w:val="27"/>
        </w:rPr>
        <w:t>：代理主席，多謝葉劉淑儀</w:t>
      </w:r>
      <w:r>
        <w:rPr>
          <w:rFonts w:ascii="華康細明體" w:hAnsi="華康細明體"/>
          <w:szCs w:val="27"/>
        </w:rPr>
        <w:t>議員今天</w:t>
      </w:r>
      <w:r>
        <w:rPr>
          <w:szCs w:val="27"/>
        </w:rPr>
        <w:t>提出這項議案，讓我們可以再次審視數學對人類和社會發展的巨大貢獻。古往今來，數學一向被視為解開生命奧秘的知識之源，</w:t>
      </w:r>
      <w:r>
        <w:rPr>
          <w:szCs w:val="27"/>
        </w:rPr>
        <w:t>13</w:t>
      </w:r>
      <w:r>
        <w:rPr>
          <w:szCs w:val="27"/>
        </w:rPr>
        <w:t>世紀英國數學家培根曾說：“數學是科學的大門和鑰匙。”被譽為“現代科學之父”的伽利略亦說：“大自然的書是用數學的語言寫成的。”此外，</w:t>
      </w:r>
      <w:r>
        <w:rPr>
          <w:szCs w:val="27"/>
        </w:rPr>
        <w:t>17</w:t>
      </w:r>
      <w:r>
        <w:rPr>
          <w:szCs w:val="27"/>
        </w:rPr>
        <w:t>世紀英國數學家巴羅，亦即牛頓的老師曾讚揚數學是“科學不可動搖的基石，促進人類事業進步的豐富泉源。”</w:t>
      </w:r>
    </w:p>
    <w:p>
      <w:pPr>
        <w:pStyle w:val="F21"/>
        <w:spacing w:lineRule="atLeast" w:line="370"/>
        <w:rPr>
          <w:szCs w:val="27"/>
        </w:rPr>
      </w:pPr>
      <w:r>
        <w:rPr>
          <w:szCs w:val="27"/>
        </w:rPr>
      </w:r>
    </w:p>
    <w:p>
      <w:pPr>
        <w:pStyle w:val="F21"/>
        <w:spacing w:lineRule="atLeast" w:line="370"/>
        <w:rPr>
          <w:szCs w:val="27"/>
        </w:rPr>
      </w:pPr>
      <w:r>
        <w:rPr>
          <w:szCs w:val="27"/>
        </w:rPr>
        <w:tab/>
      </w:r>
      <w:r>
        <w:rPr>
          <w:szCs w:val="27"/>
        </w:rPr>
        <w:t>很多人以為數學只觸及天文地理或科學科技，既遙不可及，亦深奧難明，這其實是一大誤解。數學與個人心智的發展和人類文明的進步可謂息息相關，更重要的是，它可以訓練我們有良好的邏輯思維，亦即合理的推理和思考能力，通過對事物的觀察、比較、分析、綜合、抽象、概括、歸納等，掌握事物的本質，並進行合理的判斷。通過數學的思考辯證訓練，我們有能力判斷甚麼是問題的核心，甚麼則不然。這種思維和能力對任何職業甚至是日常生活都適用，包括我的老本行法律。</w:t>
      </w:r>
    </w:p>
    <w:p>
      <w:pPr>
        <w:pStyle w:val="F21"/>
        <w:spacing w:lineRule="atLeast" w:line="370"/>
        <w:rPr>
          <w:szCs w:val="27"/>
        </w:rPr>
      </w:pPr>
      <w:r>
        <w:rPr>
          <w:szCs w:val="27"/>
        </w:rPr>
      </w:r>
    </w:p>
    <w:p>
      <w:pPr>
        <w:pStyle w:val="F21"/>
        <w:spacing w:lineRule="atLeast" w:line="370"/>
        <w:rPr>
          <w:szCs w:val="27"/>
        </w:rPr>
      </w:pPr>
      <w:r>
        <w:rPr>
          <w:szCs w:val="27"/>
        </w:rPr>
        <w:tab/>
      </w:r>
      <w:r>
        <w:rPr>
          <w:szCs w:val="27"/>
        </w:rPr>
        <w:t>此外，數學對經濟發展亦尤為重要。我曾多次批評香港的產業過於單一化，影響長遠競爭力及持續發展。加強數學的教育培訓將有助香港發展多元化高增值產業，因為現時很多高端行業如創新科技、環保科學、航運保險業等都渴求數學專才。</w:t>
      </w:r>
    </w:p>
    <w:p>
      <w:pPr>
        <w:pStyle w:val="F21"/>
        <w:rPr>
          <w:szCs w:val="27"/>
        </w:rPr>
      </w:pPr>
      <w:r>
        <w:rPr>
          <w:szCs w:val="27"/>
        </w:rPr>
      </w:r>
    </w:p>
    <w:p>
      <w:pPr>
        <w:pStyle w:val="F21"/>
        <w:spacing w:lineRule="atLeast" w:line="390"/>
        <w:rPr>
          <w:szCs w:val="27"/>
        </w:rPr>
      </w:pPr>
      <w:r>
        <w:rPr>
          <w:szCs w:val="27"/>
        </w:rPr>
        <w:tab/>
      </w:r>
      <w:r>
        <w:rPr>
          <w:szCs w:val="27"/>
        </w:rPr>
        <w:t>故此，今次香港繼</w:t>
      </w:r>
      <w:r>
        <w:rPr>
          <w:szCs w:val="27"/>
        </w:rPr>
        <w:t>1994</w:t>
      </w:r>
      <w:r>
        <w:rPr>
          <w:szCs w:val="27"/>
        </w:rPr>
        <w:t>年後，再次成功申辦</w:t>
      </w:r>
      <w:r>
        <w:rPr>
          <w:szCs w:val="27"/>
        </w:rPr>
        <w:t>2016</w:t>
      </w:r>
      <w:r>
        <w:rPr>
          <w:szCs w:val="27"/>
        </w:rPr>
        <w:t>年第五十七屆國際數學奧林匹克，讓超過</w:t>
      </w:r>
      <w:r>
        <w:rPr>
          <w:szCs w:val="27"/>
        </w:rPr>
        <w:t>100</w:t>
      </w:r>
      <w:r>
        <w:rPr>
          <w:szCs w:val="27"/>
        </w:rPr>
        <w:t>個國家的數學精英雲集香港交流切磋，我認為是值得支持的。因為這項國際數學競賽可作為一個拋磚引玉的平台，藉此帶動廣大同學甚至普羅大眾對數學和科學的關注和興趣，為教育和科技發展營造良好氛圍，因此我們不應視這項數學盛事是只為一小部分尖子而設。當然，我更關注的是，希望政府能制訂長遠的數學教育培訓及科研支援政策，目標是在校園和社區內提升全城對學習數學的重視和風氣，而不是只講求分數，依靠死記和操練，更重要的是要啟發學生對數理的認識和應用。</w:t>
      </w:r>
    </w:p>
    <w:p>
      <w:pPr>
        <w:pStyle w:val="F21"/>
        <w:spacing w:lineRule="atLeast" w:line="390"/>
        <w:rPr>
          <w:szCs w:val="27"/>
        </w:rPr>
      </w:pPr>
      <w:r>
        <w:rPr>
          <w:szCs w:val="27"/>
        </w:rPr>
      </w:r>
    </w:p>
    <w:p>
      <w:pPr>
        <w:pStyle w:val="F21"/>
        <w:spacing w:lineRule="atLeast" w:line="390"/>
        <w:rPr>
          <w:szCs w:val="27"/>
        </w:rPr>
      </w:pPr>
      <w:r>
        <w:rPr>
          <w:szCs w:val="27"/>
        </w:rPr>
        <w:tab/>
      </w:r>
      <w:r>
        <w:rPr>
          <w:szCs w:val="27"/>
        </w:rPr>
        <w:t>事實上，香港學生的全球數學排名一直名列前茅。最近，由經濟合作與發展組織</w:t>
      </w:r>
      <w:r>
        <w:rPr>
          <w:szCs w:val="27"/>
        </w:rPr>
        <w:t>(</w:t>
      </w:r>
      <w:r>
        <w:rPr>
          <w:szCs w:val="27"/>
        </w:rPr>
        <w:t>下稱“</w:t>
      </w:r>
      <w:r>
        <w:rPr>
          <w:szCs w:val="27"/>
        </w:rPr>
        <w:t>OECD”)</w:t>
      </w:r>
      <w:r>
        <w:rPr>
          <w:szCs w:val="27"/>
        </w:rPr>
        <w:t>策劃，</w:t>
      </w:r>
      <w:r>
        <w:rPr>
          <w:szCs w:val="27"/>
        </w:rPr>
        <w:t>3</w:t>
      </w:r>
      <w:r>
        <w:rPr>
          <w:szCs w:val="27"/>
        </w:rPr>
        <w:t>年一度的學生能力國際評估計劃</w:t>
      </w:r>
      <w:r>
        <w:rPr>
          <w:szCs w:val="27"/>
        </w:rPr>
        <w:t>(</w:t>
      </w:r>
      <w:r>
        <w:rPr>
          <w:szCs w:val="27"/>
        </w:rPr>
        <w:t>下稱“</w:t>
      </w:r>
      <w:r>
        <w:rPr>
          <w:szCs w:val="27"/>
        </w:rPr>
        <w:t>PISA”)</w:t>
      </w:r>
      <w:r>
        <w:rPr>
          <w:szCs w:val="27"/>
        </w:rPr>
        <w:t>公布了</w:t>
      </w:r>
      <w:r>
        <w:rPr>
          <w:szCs w:val="27"/>
        </w:rPr>
        <w:t>2012</w:t>
      </w:r>
      <w:r>
        <w:rPr>
          <w:szCs w:val="27"/>
        </w:rPr>
        <w:t>年的全球測試結果。香港學生的數學成績在全球排名第三，僅次於上海和新加坡。然而，這項優異排名的背後卻有不少隱憂，葉劉淑儀</w:t>
      </w:r>
      <w:r>
        <w:rPr>
          <w:rFonts w:ascii="華康細明體" w:hAnsi="華康細明體"/>
          <w:szCs w:val="27"/>
        </w:rPr>
        <w:t>議員剛才</w:t>
      </w:r>
      <w:r>
        <w:rPr>
          <w:szCs w:val="27"/>
        </w:rPr>
        <w:t>已有提及。首先，本港尖子比例較其他前列地區有所不足，因香港的數學尖子佔</w:t>
      </w:r>
      <w:r>
        <w:rPr>
          <w:szCs w:val="27"/>
        </w:rPr>
        <w:t>12.3%</w:t>
      </w:r>
      <w:r>
        <w:rPr>
          <w:szCs w:val="27"/>
        </w:rPr>
        <w:t>，而台灣、新加坡及上海則分別有</w:t>
      </w:r>
      <w:r>
        <w:rPr>
          <w:szCs w:val="27"/>
        </w:rPr>
        <w:t>18%</w:t>
      </w:r>
      <w:r>
        <w:rPr>
          <w:szCs w:val="27"/>
        </w:rPr>
        <w:t>、</w:t>
      </w:r>
      <w:r>
        <w:rPr>
          <w:szCs w:val="27"/>
        </w:rPr>
        <w:t>19%</w:t>
      </w:r>
      <w:r>
        <w:rPr>
          <w:szCs w:val="27"/>
        </w:rPr>
        <w:t>及</w:t>
      </w:r>
      <w:r>
        <w:rPr>
          <w:szCs w:val="27"/>
        </w:rPr>
        <w:t>30.8%</w:t>
      </w:r>
      <w:r>
        <w:rPr>
          <w:szCs w:val="27"/>
        </w:rPr>
        <w:t>。其次，香港學生在數學方面的自我觀低於</w:t>
      </w:r>
      <w:r>
        <w:rPr>
          <w:szCs w:val="27"/>
        </w:rPr>
        <w:t>OECD</w:t>
      </w:r>
      <w:r>
        <w:rPr>
          <w:szCs w:val="27"/>
        </w:rPr>
        <w:t>的平均值，而對學習數學的焦慮感亦較</w:t>
      </w:r>
      <w:r>
        <w:rPr>
          <w:szCs w:val="27"/>
        </w:rPr>
        <w:t>OECD</w:t>
      </w:r>
      <w:r>
        <w:rPr>
          <w:szCs w:val="27"/>
        </w:rPr>
        <w:t>的平均值為高。這些數字都反映出香港教育偏向考試主導式的操練，令學生焦慮感大增，學習動機則大減。</w:t>
      </w:r>
    </w:p>
    <w:p>
      <w:pPr>
        <w:pStyle w:val="F21"/>
        <w:spacing w:lineRule="atLeast" w:line="390"/>
        <w:rPr>
          <w:szCs w:val="27"/>
        </w:rPr>
      </w:pPr>
      <w:r>
        <w:rPr>
          <w:szCs w:val="27"/>
        </w:rPr>
      </w:r>
    </w:p>
    <w:p>
      <w:pPr>
        <w:pStyle w:val="F21"/>
        <w:spacing w:lineRule="atLeast" w:line="390"/>
        <w:rPr>
          <w:szCs w:val="27"/>
        </w:rPr>
      </w:pPr>
      <w:r>
        <w:rPr>
          <w:szCs w:val="27"/>
        </w:rPr>
        <w:tab/>
      </w:r>
      <w:r>
        <w:rPr>
          <w:szCs w:val="27"/>
        </w:rPr>
        <w:t>代理主席，</w:t>
      </w:r>
      <w:r>
        <w:rPr>
          <w:szCs w:val="27"/>
        </w:rPr>
        <w:t>PISA</w:t>
      </w:r>
      <w:r>
        <w:rPr>
          <w:szCs w:val="27"/>
        </w:rPr>
        <w:t>的評估證明，香港不乏數學資優生，但為甚麼香港的科研成就如此貧乏？國際級數學大師丘成桐曾經評論現時學生的通病，指出不少學生學習解決別人的問題，卻失去發現問題的能力，然而數學研究最重視的正是發現問題的存在。被譽為“投資鬼才”的美國金融家</w:t>
      </w:r>
      <w:r>
        <w:rPr>
          <w:szCs w:val="27"/>
        </w:rPr>
        <w:t>Bernard BARUCH</w:t>
      </w:r>
      <w:r>
        <w:rPr>
          <w:szCs w:val="27"/>
        </w:rPr>
        <w:t>有一句名言：“無數人看見蘋果掉下來，但只有牛頓問為甚麼。”我期望政府檢討現時的數學課程設計，鼓勵和啟發更多學生去發現問題，以及培育提問“為甚麼”的興趣和能力。</w:t>
      </w:r>
    </w:p>
    <w:p>
      <w:pPr>
        <w:pStyle w:val="F21"/>
        <w:spacing w:lineRule="atLeast" w:line="390"/>
        <w:rPr>
          <w:szCs w:val="27"/>
        </w:rPr>
      </w:pPr>
      <w:r>
        <w:rPr>
          <w:szCs w:val="27"/>
        </w:rPr>
      </w:r>
    </w:p>
    <w:p>
      <w:pPr>
        <w:pStyle w:val="F21"/>
        <w:spacing w:lineRule="atLeast" w:line="390"/>
        <w:rPr>
          <w:szCs w:val="27"/>
        </w:rPr>
      </w:pPr>
      <w:r>
        <w:rPr>
          <w:szCs w:val="27"/>
        </w:rPr>
        <w:tab/>
      </w:r>
      <w:r>
        <w:rPr>
          <w:szCs w:val="27"/>
        </w:rPr>
        <w:t>對於葉建源</w:t>
      </w:r>
      <w:r>
        <w:rPr>
          <w:rFonts w:ascii="華康細明體" w:hAnsi="華康細明體"/>
          <w:szCs w:val="27"/>
        </w:rPr>
        <w:t>議員</w:t>
      </w:r>
      <w:r>
        <w:rPr>
          <w:szCs w:val="27"/>
        </w:rPr>
        <w:t>的修正案，我認同現時於小三、小六及中三推行的中、英、數學科的全港性系統評估</w:t>
      </w:r>
      <w:r>
        <w:rPr>
          <w:szCs w:val="27"/>
        </w:rPr>
        <w:t>(</w:t>
      </w:r>
      <w:r>
        <w:rPr>
          <w:szCs w:val="27"/>
        </w:rPr>
        <w:t>下稱“</w:t>
      </w:r>
      <w:r>
        <w:rPr>
          <w:szCs w:val="27"/>
        </w:rPr>
        <w:t>TSA”)</w:t>
      </w:r>
      <w:r>
        <w:rPr>
          <w:szCs w:val="27"/>
        </w:rPr>
        <w:t>有很多弊病，需要當局進行檢討。根據調查所得，由於</w:t>
      </w:r>
      <w:r>
        <w:rPr>
          <w:szCs w:val="27"/>
        </w:rPr>
        <w:t>TSA</w:t>
      </w:r>
      <w:r>
        <w:rPr>
          <w:szCs w:val="27"/>
        </w:rPr>
        <w:t>是對每間學校的學生是否達標進行評估，學校為了提升其達標率，往往對學生進行過多與學校課程無關的操練，可能已到了本末倒置的地步，甚至妨礙了學生本身的學習。然而，由於葉劉淑儀</w:t>
      </w:r>
      <w:r>
        <w:rPr>
          <w:rFonts w:ascii="華康細明體" w:hAnsi="華康細明體"/>
          <w:szCs w:val="27"/>
        </w:rPr>
        <w:t>議員</w:t>
      </w:r>
      <w:r>
        <w:rPr>
          <w:szCs w:val="27"/>
        </w:rPr>
        <w:t>議案的主題是國際數學奧林匹克大賽，我期望未來有機會在</w:t>
      </w:r>
      <w:r>
        <w:rPr>
          <w:szCs w:val="27"/>
        </w:rPr>
        <w:t>TSA</w:t>
      </w:r>
      <w:r>
        <w:rPr>
          <w:szCs w:val="27"/>
        </w:rPr>
        <w:t>這個議題上有更深入的探討。</w:t>
      </w:r>
    </w:p>
    <w:p>
      <w:pPr>
        <w:pStyle w:val="F21"/>
        <w:spacing w:lineRule="atLeast" w:line="390"/>
        <w:rPr>
          <w:szCs w:val="27"/>
        </w:rPr>
      </w:pPr>
      <w:r>
        <w:rPr>
          <w:szCs w:val="27"/>
        </w:rPr>
      </w:r>
    </w:p>
    <w:p>
      <w:pPr>
        <w:pStyle w:val="F21"/>
        <w:spacing w:lineRule="atLeast" w:line="390"/>
        <w:rPr>
          <w:szCs w:val="27"/>
        </w:rPr>
      </w:pPr>
      <w:r>
        <w:rPr>
          <w:szCs w:val="27"/>
        </w:rPr>
      </w:r>
    </w:p>
    <w:p>
      <w:pPr>
        <w:pStyle w:val="F21"/>
        <w:overflowPunct w:val="true"/>
        <w:snapToGrid w:val="false"/>
        <w:spacing w:lineRule="atLeast" w:line="390"/>
        <w:rPr/>
      </w:pPr>
      <w:r>
        <w:rPr/>
        <w:t>(</w:t>
      </w:r>
      <w:r>
        <w:rPr/>
        <w:t>主席恢復主持會議</w:t>
      </w:r>
      <w:r>
        <w:rPr/>
        <w:t>)</w:t>
      </w:r>
    </w:p>
    <w:p>
      <w:pPr>
        <w:pStyle w:val="F21"/>
        <w:spacing w:lineRule="atLeast" w:line="390"/>
        <w:rPr>
          <w:szCs w:val="27"/>
        </w:rPr>
      </w:pPr>
      <w:r>
        <w:rPr>
          <w:szCs w:val="27"/>
        </w:rPr>
      </w:r>
    </w:p>
    <w:p>
      <w:pPr>
        <w:pStyle w:val="F21"/>
        <w:spacing w:lineRule="atLeast" w:line="390"/>
        <w:rPr>
          <w:szCs w:val="27"/>
        </w:rPr>
      </w:pPr>
      <w:r>
        <w:rPr>
          <w:szCs w:val="27"/>
        </w:rPr>
      </w:r>
    </w:p>
    <w:p>
      <w:pPr>
        <w:pStyle w:val="F21"/>
        <w:spacing w:lineRule="atLeast" w:line="390"/>
        <w:rPr>
          <w:szCs w:val="27"/>
        </w:rPr>
      </w:pPr>
      <w:r>
        <w:rPr>
          <w:szCs w:val="27"/>
        </w:rPr>
        <w:tab/>
      </w:r>
      <w:r>
        <w:rPr>
          <w:szCs w:val="27"/>
        </w:rPr>
        <w:t>主席，我謹此陳辭。</w:t>
      </w:r>
    </w:p>
    <w:p>
      <w:pPr>
        <w:pStyle w:val="F21"/>
        <w:rPr/>
      </w:pPr>
      <w:r>
        <w:rPr/>
      </w:r>
    </w:p>
    <w:p>
      <w:pPr>
        <w:pStyle w:val="F21"/>
        <w:rPr/>
      </w:pPr>
      <w:r>
        <w:rPr/>
      </w:r>
    </w:p>
    <w:p>
      <w:pPr>
        <w:pStyle w:val="Normal"/>
        <w:overflowPunct w:val="true"/>
        <w:rPr>
          <w:szCs w:val="28"/>
        </w:rPr>
      </w:pPr>
      <w:r>
        <w:rPr>
          <w:b/>
          <w:szCs w:val="28"/>
        </w:rPr>
        <w:t>MS CLAUDIA MO</w:t>
      </w:r>
      <w:r>
        <w:rPr>
          <w:szCs w:val="28"/>
        </w:rPr>
        <w:t xml:space="preserve">: President, I am, in particular, speaking in support of Mr </w:t>
      </w:r>
      <w:r>
        <w:rPr>
          <w:caps/>
          <w:szCs w:val="28"/>
        </w:rPr>
        <w:t>Ip</w:t>
      </w:r>
      <w:r>
        <w:rPr>
          <w:szCs w:val="28"/>
        </w:rPr>
        <w:t xml:space="preserve"> Kin-yuen's amendment to the original motion.  I agree with his lamentation over the TSA system within our education structure.  </w:t>
      </w:r>
    </w:p>
    <w:p>
      <w:pPr>
        <w:pStyle w:val="Normal"/>
        <w:overflowPunct w:val="true"/>
        <w:rPr>
          <w:szCs w:val="28"/>
        </w:rPr>
      </w:pPr>
      <w:r>
        <w:rPr>
          <w:szCs w:val="28"/>
        </w:rPr>
      </w:r>
    </w:p>
    <w:p>
      <w:pPr>
        <w:pStyle w:val="Normal"/>
        <w:overflowPunct w:val="true"/>
        <w:rPr>
          <w:szCs w:val="28"/>
        </w:rPr>
      </w:pPr>
      <w:r>
        <w:rPr>
          <w:szCs w:val="28"/>
        </w:rPr>
        <w:tab/>
        <w:t xml:space="preserve">This TSA business is awful, it is scary.  I am speaking basically on behalf of my friends who are primary school teachers.  They are full of guilt feelings.  They say they feel awful almost on a daily basis, because day after day, they just keep practising rote learning with their students ― rote learning, parroting information, repeating what they have learnt.  I am not saying that repetition is necessarily bad, but if that's how we train our kids, there is plenty for us to worry about when they grow up.  </w:t>
      </w:r>
    </w:p>
    <w:p>
      <w:pPr>
        <w:pStyle w:val="Normal"/>
        <w:overflowPunct w:val="true"/>
        <w:rPr>
          <w:szCs w:val="28"/>
        </w:rPr>
      </w:pPr>
      <w:r>
        <w:rPr>
          <w:szCs w:val="28"/>
        </w:rPr>
      </w:r>
    </w:p>
    <w:p>
      <w:pPr>
        <w:pStyle w:val="Normal"/>
        <w:overflowPunct w:val="true"/>
        <w:rPr>
          <w:szCs w:val="28"/>
        </w:rPr>
      </w:pPr>
      <w:r>
        <w:rPr>
          <w:szCs w:val="28"/>
        </w:rPr>
        <w:tab/>
        <w:t xml:space="preserve">This memorization and the stress in our education is getting just unbearable, not just with the children and the teachers, but also the parents.  Ask any parent who sends his kid to one of those local schools which just drill the children day after day in Mathematics, Chinese and English.  I was given all these test examples for a Primary Three TSA kid ― there could be one 20-page English test for an eight-year-old kid to complete in 25 minutes.  Are you kidding?  So, they are drilled to recognize the modes of tests: if it comes out this way, you have to give this model answer.  Our kids are so used to just memorizing information which we call knowledge.  </w:t>
      </w:r>
    </w:p>
    <w:p>
      <w:pPr>
        <w:pStyle w:val="Normal"/>
        <w:overflowPunct w:val="true"/>
        <w:rPr>
          <w:szCs w:val="28"/>
        </w:rPr>
      </w:pPr>
      <w:r>
        <w:rPr>
          <w:szCs w:val="28"/>
        </w:rPr>
      </w:r>
    </w:p>
    <w:p>
      <w:pPr>
        <w:pStyle w:val="Normal"/>
        <w:overflowPunct w:val="true"/>
        <w:rPr>
          <w:szCs w:val="28"/>
        </w:rPr>
      </w:pPr>
      <w:r>
        <w:rPr>
          <w:szCs w:val="28"/>
        </w:rPr>
        <w:tab/>
        <w:t xml:space="preserve">But so what?  Nowadays, we all use computers.  With this Google search machine, any knowledge is practically just one click away.  What are we doing with our children when we just ask them to repeat what they have learned?  Things are so repetitive, so boring, to the point that our kids are numbed.  If you go out to ask any 10 children, I should think nine out of 10 will tell you that they are not particularly keen about reading.  Indeed, some international organizations have carried out some studies.  I have here </w:t>
      </w:r>
      <w:r>
        <w:rPr>
          <w:szCs w:val="28"/>
          <w:lang w:val="en-US"/>
        </w:rPr>
        <w:t xml:space="preserve">with me </w:t>
      </w:r>
      <w:r>
        <w:rPr>
          <w:szCs w:val="28"/>
        </w:rPr>
        <w:t>the Progress in International Reading Literacy Study (PIRLS) which, back in 2011, ranked Hong Kong kids the lowest of all in 35 territories or countries.  According to the study, even by the time our kids go to university, they would take reading as some horrendous chores.</w:t>
      </w:r>
    </w:p>
    <w:p>
      <w:pPr>
        <w:pStyle w:val="Normal"/>
        <w:overflowPunct w:val="true"/>
        <w:rPr>
          <w:szCs w:val="28"/>
        </w:rPr>
      </w:pPr>
      <w:r>
        <w:rPr>
          <w:szCs w:val="28"/>
        </w:rPr>
      </w:r>
    </w:p>
    <w:p>
      <w:pPr>
        <w:pStyle w:val="Normal"/>
        <w:overflowPunct w:val="true"/>
        <w:rPr>
          <w:szCs w:val="28"/>
        </w:rPr>
      </w:pPr>
      <w:r>
        <w:rPr>
          <w:szCs w:val="28"/>
        </w:rPr>
        <w:tab/>
        <w:t>I do part-time teaching at local universities and I have been doing that for 13 or 12 years.  I could assure you that the above finding is quite true: university students in Hong Kong do not particularly like reading any more.  Audio, they may like; visual, they may like; audio-visual, they like better.  They do not read because a large part of their interest in reading has been hampered or snuffed almost by this education system.  Secretary, you are quite new in this job and I am not taking you personally responsible for what has gone wrong, but something has to be done.</w:t>
      </w:r>
    </w:p>
    <w:p>
      <w:pPr>
        <w:pStyle w:val="Normal"/>
        <w:overflowPunct w:val="true"/>
        <w:rPr>
          <w:szCs w:val="28"/>
        </w:rPr>
      </w:pPr>
      <w:r>
        <w:rPr>
          <w:szCs w:val="28"/>
        </w:rPr>
      </w:r>
    </w:p>
    <w:p>
      <w:pPr>
        <w:pStyle w:val="Normal"/>
        <w:overflowPunct w:val="true"/>
        <w:rPr>
          <w:szCs w:val="28"/>
        </w:rPr>
      </w:pPr>
      <w:r>
        <w:rPr>
          <w:szCs w:val="28"/>
        </w:rPr>
        <w:tab/>
        <w:t xml:space="preserve">Our primary school teachers, in particular those who are doing the TSA say they have to do it because it is a matter of school reputation.  The school principal will kill them if the kids' performance in English, Chinese or Mathematics does not reach the particular level required for them to stay in some popular Band 1 schools.  Nowadays, we ask our young people not only to think out of the box but also to live out of the box.  We ask them to learn something that is out of the ordinary. </w:t>
      </w:r>
    </w:p>
    <w:p>
      <w:pPr>
        <w:pStyle w:val="Normal"/>
        <w:overflowPunct w:val="true"/>
        <w:rPr>
          <w:szCs w:val="28"/>
        </w:rPr>
      </w:pPr>
      <w:r>
        <w:rPr>
          <w:szCs w:val="28"/>
        </w:rPr>
      </w:r>
    </w:p>
    <w:p>
      <w:pPr>
        <w:pStyle w:val="Normal"/>
        <w:overflowPunct w:val="true"/>
        <w:rPr>
          <w:szCs w:val="28"/>
        </w:rPr>
      </w:pPr>
      <w:r>
        <w:rPr>
          <w:szCs w:val="28"/>
        </w:rPr>
        <w:tab/>
        <w:t>President, I remember you have had an article published in the newspaper, telling the young they can afford to be nonconformists, to be out of the box.  They are allowed to be unusual, to be out of the ordinary.  But then we seem to be training our kids day after day, year after year inside a box.  Thank you.</w:t>
      </w:r>
    </w:p>
    <w:p>
      <w:pPr>
        <w:pStyle w:val="Normal"/>
        <w:overflowPunct w:val="true"/>
        <w:rPr/>
      </w:pPr>
      <w:r>
        <w:rPr/>
      </w:r>
    </w:p>
    <w:p>
      <w:pPr>
        <w:pStyle w:val="F21"/>
        <w:rPr/>
      </w:pPr>
      <w:r>
        <w:rPr/>
      </w:r>
    </w:p>
    <w:p>
      <w:pPr>
        <w:pStyle w:val="F21"/>
        <w:rPr>
          <w:szCs w:val="27"/>
        </w:rPr>
      </w:pPr>
      <w:r>
        <w:rPr>
          <w:rFonts w:ascii="華康中黑體" w:hAnsi="華康中黑體" w:cs="華康中黑體" w:eastAsia="華康中黑體"/>
          <w:b/>
          <w:szCs w:val="27"/>
        </w:rPr>
        <w:t>黃碧雲議員</w:t>
      </w:r>
      <w:r>
        <w:rPr>
          <w:szCs w:val="27"/>
        </w:rPr>
        <w:t>：主席，作為教育工作者，我贊成政府與學校及民間團體合作，盡力提振香港的數理學術水平；但對於葉劉淑儀議員提出的原議案，民主黨有兩點質疑。</w:t>
      </w:r>
    </w:p>
    <w:p>
      <w:pPr>
        <w:pStyle w:val="F21"/>
        <w:rPr>
          <w:szCs w:val="27"/>
        </w:rPr>
      </w:pPr>
      <w:r>
        <w:rPr>
          <w:szCs w:val="27"/>
        </w:rPr>
      </w:r>
    </w:p>
    <w:p>
      <w:pPr>
        <w:pStyle w:val="F21"/>
        <w:rPr>
          <w:szCs w:val="27"/>
        </w:rPr>
      </w:pPr>
      <w:r>
        <w:rPr>
          <w:szCs w:val="27"/>
        </w:rPr>
        <w:tab/>
      </w:r>
      <w:r>
        <w:rPr>
          <w:szCs w:val="27"/>
        </w:rPr>
        <w:t>第一，原議案的第</w:t>
      </w:r>
      <w:r>
        <w:rPr>
          <w:szCs w:val="27"/>
        </w:rPr>
        <w:t>(</w:t>
      </w:r>
      <w:r>
        <w:rPr>
          <w:szCs w:val="27"/>
        </w:rPr>
        <w:t>五</w:t>
      </w:r>
      <w:r>
        <w:rPr>
          <w:szCs w:val="27"/>
        </w:rPr>
        <w:t>)</w:t>
      </w:r>
      <w:r>
        <w:rPr>
          <w:szCs w:val="27"/>
        </w:rPr>
        <w:t>點提出，“政府亦應協助國際數學奧林匹克香港委員會申請盛事基金、優質教育基金及其他等財政資助，以獲得足夠資源為各國領隊、參賽者及隨行人員提供食宿、市內交通、紀念品及其他必需品，履行主辦方的義務”。對於這一點，我們的質疑是優質教育基金究竟是否為這類型的活動而設？根據政府優質教育基金的部分描述，這些基金是為本地學生而設，以鼓勵設立創新的學習計劃，從而提升學習水平。為這次賽事的參加者提供食宿、市內交通及紀念品等，究竟是否符合申請優質教育基金的資助對象及資助範圍？我希望稍後局長可以作出解答，我們對於這項安排有所質疑和保留。</w:t>
      </w:r>
    </w:p>
    <w:p>
      <w:pPr>
        <w:pStyle w:val="F21"/>
        <w:rPr>
          <w:szCs w:val="27"/>
        </w:rPr>
      </w:pPr>
      <w:r>
        <w:rPr>
          <w:szCs w:val="27"/>
        </w:rPr>
      </w:r>
    </w:p>
    <w:p>
      <w:pPr>
        <w:pStyle w:val="F21"/>
        <w:rPr>
          <w:szCs w:val="27"/>
        </w:rPr>
      </w:pPr>
      <w:r>
        <w:rPr>
          <w:szCs w:val="27"/>
        </w:rPr>
        <w:tab/>
      </w:r>
      <w:r>
        <w:rPr>
          <w:szCs w:val="27"/>
        </w:rPr>
        <w:t>第二點，葉劉淑儀議員原議案的第</w:t>
      </w:r>
      <w:r>
        <w:rPr>
          <w:szCs w:val="27"/>
        </w:rPr>
        <w:t>(</w:t>
      </w:r>
      <w:r>
        <w:rPr>
          <w:szCs w:val="27"/>
        </w:rPr>
        <w:t>六</w:t>
      </w:r>
      <w:r>
        <w:rPr>
          <w:szCs w:val="27"/>
        </w:rPr>
        <w:t>)</w:t>
      </w:r>
      <w:r>
        <w:rPr>
          <w:szCs w:val="27"/>
        </w:rPr>
        <w:t>點提出，要為“各國參賽隊伍及隨行人員提供文娛活動，從而推廣香港文化及提升香港國際形象”。關於這點，民主黨也有保留。為奧數參賽者和人員提供文娛活動，對於推動數理學術水平，究竟是否必需呢？同時，議案亦沒有清楚列明該類文娛活動究竟規模要多大，開支要多少才為合理。如果我們支持這樣的議案，是否等於開出一張空頭支票，帶他們聽粵曲也可，唱卡拉</w:t>
      </w:r>
      <w:r>
        <w:rPr>
          <w:szCs w:val="27"/>
        </w:rPr>
        <w:t>OK</w:t>
      </w:r>
      <w:r>
        <w:rPr>
          <w:szCs w:val="27"/>
        </w:rPr>
        <w:t>也可，看齣電影也可，究竟是怎樣的活動？我希望局長稍後能說清楚，究竟他們能否這樣資助上述文娛活動。</w:t>
      </w:r>
    </w:p>
    <w:p>
      <w:pPr>
        <w:pStyle w:val="F21"/>
        <w:rPr>
          <w:szCs w:val="27"/>
        </w:rPr>
      </w:pPr>
      <w:r>
        <w:rPr>
          <w:szCs w:val="27"/>
        </w:rPr>
      </w:r>
    </w:p>
    <w:p>
      <w:pPr>
        <w:pStyle w:val="F21"/>
        <w:rPr>
          <w:szCs w:val="27"/>
        </w:rPr>
      </w:pPr>
      <w:r>
        <w:rPr>
          <w:szCs w:val="27"/>
        </w:rPr>
        <w:tab/>
      </w:r>
      <w:r>
        <w:rPr>
          <w:szCs w:val="27"/>
        </w:rPr>
        <w:t>接下來，我比較有興趣集中談談葉建源議員修正案的第</w:t>
      </w:r>
      <w:r>
        <w:rPr>
          <w:szCs w:val="27"/>
        </w:rPr>
        <w:t>(</w:t>
      </w:r>
      <w:r>
        <w:rPr>
          <w:szCs w:val="27"/>
        </w:rPr>
        <w:t>一</w:t>
      </w:r>
      <w:r>
        <w:rPr>
          <w:szCs w:val="27"/>
        </w:rPr>
        <w:t>)</w:t>
      </w:r>
      <w:r>
        <w:rPr>
          <w:szCs w:val="27"/>
        </w:rPr>
        <w:t>點，關於全港性系統評估</w:t>
      </w:r>
      <w:r>
        <w:rPr>
          <w:szCs w:val="27"/>
        </w:rPr>
        <w:t>(</w:t>
      </w:r>
      <w:r>
        <w:rPr>
          <w:szCs w:val="27"/>
        </w:rPr>
        <w:t>下稱“</w:t>
      </w:r>
      <w:r>
        <w:rPr>
          <w:szCs w:val="27"/>
        </w:rPr>
        <w:t>TSA”)</w:t>
      </w:r>
      <w:r>
        <w:rPr>
          <w:szCs w:val="27"/>
        </w:rPr>
        <w:t>。其實早前在立法會，當張超雄議員提出香港需要成立兒童事務委員會時，在該項議案辯論中我也發言予以支持取消</w:t>
      </w:r>
      <w:r>
        <w:rPr>
          <w:szCs w:val="27"/>
        </w:rPr>
        <w:t>TSA</w:t>
      </w:r>
      <w:r>
        <w:rPr>
          <w:szCs w:val="27"/>
        </w:rPr>
        <w:t>。我當日的發言重點是呼籲局方盡快取消</w:t>
      </w:r>
      <w:r>
        <w:rPr>
          <w:szCs w:val="27"/>
        </w:rPr>
        <w:t>TSA</w:t>
      </w:r>
      <w:r>
        <w:rPr>
          <w:szCs w:val="27"/>
        </w:rPr>
        <w:t>這個安排。當年政府推出</w:t>
      </w:r>
      <w:r>
        <w:rPr>
          <w:szCs w:val="27"/>
        </w:rPr>
        <w:t>TSA</w:t>
      </w:r>
      <w:r>
        <w:rPr>
          <w:szCs w:val="27"/>
        </w:rPr>
        <w:t>時曾經強調，</w:t>
      </w:r>
      <w:r>
        <w:rPr>
          <w:szCs w:val="27"/>
        </w:rPr>
        <w:t>TSA</w:t>
      </w:r>
      <w:r>
        <w:rPr>
          <w:szCs w:val="27"/>
        </w:rPr>
        <w:t>只是一個低風險的評估活動，其目的只是用來量度在每個學習階段結束時，全港學生能否普遍擁有一定的中、英、數</w:t>
      </w:r>
      <w:r>
        <w:rPr>
          <w:szCs w:val="27"/>
        </w:rPr>
        <w:t>3</w:t>
      </w:r>
      <w:r>
        <w:rPr>
          <w:szCs w:val="27"/>
        </w:rPr>
        <w:t>方面的基本能力，並且將這些結果作為教師檢討其教學效能時的參考。不過，事實上，我在上次的辯論中也提出，</w:t>
      </w:r>
      <w:r>
        <w:rPr>
          <w:szCs w:val="27"/>
        </w:rPr>
        <w:t>TSA</w:t>
      </w:r>
      <w:r>
        <w:rPr>
          <w:szCs w:val="27"/>
        </w:rPr>
        <w:t>在過去實際運作時出現的情況令人非常憂慮。</w:t>
      </w:r>
      <w:r>
        <w:rPr>
          <w:szCs w:val="27"/>
        </w:rPr>
        <w:t>TSA</w:t>
      </w:r>
      <w:r>
        <w:rPr>
          <w:szCs w:val="27"/>
        </w:rPr>
        <w:t>嚴重地異化，成為高風險的“評核怪獸”，大大加劇學校之間不必要的競爭；雖然不是所有學校也這樣催谷學生操練</w:t>
      </w:r>
      <w:r>
        <w:rPr>
          <w:szCs w:val="27"/>
        </w:rPr>
        <w:t>TSA</w:t>
      </w:r>
      <w:r>
        <w:rPr>
          <w:szCs w:val="27"/>
        </w:rPr>
        <w:t>的試題，但我們知道的確有不少學校為了應付評估而不斷催谷操練學生，令學生承受巨大考試壓力。事實上，很少教師會認真地閱讀</w:t>
      </w:r>
      <w:r>
        <w:rPr>
          <w:szCs w:val="27"/>
        </w:rPr>
        <w:t>TSA</w:t>
      </w:r>
      <w:r>
        <w:rPr>
          <w:szCs w:val="27"/>
        </w:rPr>
        <w:t>評估結果，作為其教與學的參考和調整。</w:t>
      </w:r>
    </w:p>
    <w:p>
      <w:pPr>
        <w:pStyle w:val="F21"/>
        <w:rPr>
          <w:szCs w:val="27"/>
        </w:rPr>
      </w:pPr>
      <w:r>
        <w:rPr>
          <w:szCs w:val="27"/>
        </w:rPr>
      </w:r>
    </w:p>
    <w:p>
      <w:pPr>
        <w:pStyle w:val="F21"/>
        <w:rPr>
          <w:szCs w:val="27"/>
        </w:rPr>
      </w:pPr>
      <w:r>
        <w:rPr>
          <w:szCs w:val="27"/>
        </w:rPr>
        <w:tab/>
      </w:r>
      <w:r>
        <w:rPr>
          <w:szCs w:val="27"/>
        </w:rPr>
        <w:t>在香港教育專業人員協會的一項研究發現，學校為準備</w:t>
      </w:r>
      <w:r>
        <w:rPr>
          <w:szCs w:val="27"/>
        </w:rPr>
        <w:t>TSA</w:t>
      </w:r>
      <w:r>
        <w:rPr>
          <w:szCs w:val="27"/>
        </w:rPr>
        <w:t>而補課的情況相當普遍，部分學校的操練甚至由小學一年級便已開始，那些小朋友只有</w:t>
      </w:r>
      <w:r>
        <w:rPr>
          <w:szCs w:val="27"/>
        </w:rPr>
        <w:t>6</w:t>
      </w:r>
      <w:r>
        <w:rPr>
          <w:szCs w:val="27"/>
        </w:rPr>
        <w:t>歲。在課前、課後、星期六、星期日、學校假期，甚至在小息和午膳時間，均有學校利用或偷取這些時間作為</w:t>
      </w:r>
      <w:r>
        <w:rPr>
          <w:szCs w:val="27"/>
        </w:rPr>
        <w:t>TSA</w:t>
      </w:r>
      <w:r>
        <w:rPr>
          <w:szCs w:val="27"/>
        </w:rPr>
        <w:t>的補課堂。這種操練的情況在應考的小三及小六年級特別顯著，因為這個考試是在小三、小六和中一時進行。調查顯示，小三每周平均的補課時間相當於額外增加</w:t>
      </w:r>
      <w:r>
        <w:rPr>
          <w:szCs w:val="27"/>
        </w:rPr>
        <w:t>5</w:t>
      </w:r>
      <w:r>
        <w:rPr>
          <w:szCs w:val="27"/>
        </w:rPr>
        <w:t>個教節，小六則為</w:t>
      </w:r>
      <w:r>
        <w:rPr>
          <w:szCs w:val="27"/>
        </w:rPr>
        <w:t>5.6</w:t>
      </w:r>
      <w:r>
        <w:rPr>
          <w:szCs w:val="27"/>
        </w:rPr>
        <w:t>個教節。此外，亦有學校把</w:t>
      </w:r>
      <w:r>
        <w:rPr>
          <w:szCs w:val="27"/>
        </w:rPr>
        <w:t>TSA</w:t>
      </w:r>
      <w:r>
        <w:rPr>
          <w:szCs w:val="27"/>
        </w:rPr>
        <w:t>訓練納入正規課堂，例如增加其原來中、英、數科目的教節，變相利用這些中、英、數的新增教節來進行</w:t>
      </w:r>
      <w:r>
        <w:rPr>
          <w:szCs w:val="27"/>
        </w:rPr>
        <w:t>TSA</w:t>
      </w:r>
      <w:r>
        <w:rPr>
          <w:szCs w:val="27"/>
        </w:rPr>
        <w:t>補課，以致減少如德育課等其他學科，以及課外活動的時間，終於變成學生要天天坐在課室內操練，其他的課外活動時間便因而減少。此外，幾乎所有學校均會為</w:t>
      </w:r>
      <w:r>
        <w:rPr>
          <w:szCs w:val="27"/>
        </w:rPr>
        <w:t>TSA</w:t>
      </w:r>
      <w:r>
        <w:rPr>
          <w:szCs w:val="27"/>
        </w:rPr>
        <w:t>而要求學生購買補充練習，調查推算在</w:t>
      </w:r>
      <w:r>
        <w:rPr>
          <w:szCs w:val="27"/>
        </w:rPr>
        <w:t>6</w:t>
      </w:r>
      <w:r>
        <w:rPr>
          <w:szCs w:val="27"/>
        </w:rPr>
        <w:t>年的小學階段，每位小學生因為</w:t>
      </w:r>
      <w:r>
        <w:rPr>
          <w:szCs w:val="27"/>
        </w:rPr>
        <w:t>TSA</w:t>
      </w:r>
      <w:r>
        <w:rPr>
          <w:szCs w:val="27"/>
        </w:rPr>
        <w:t>而平均購買了</w:t>
      </w:r>
      <w:r>
        <w:rPr>
          <w:szCs w:val="27"/>
        </w:rPr>
        <w:t>16</w:t>
      </w:r>
      <w:r>
        <w:rPr>
          <w:szCs w:val="27"/>
        </w:rPr>
        <w:t>本補充練習，數量十分驚人。</w:t>
      </w:r>
      <w:r>
        <w:rPr>
          <w:szCs w:val="27"/>
        </w:rPr>
        <w:t>TSA</w:t>
      </w:r>
      <w:r>
        <w:rPr>
          <w:szCs w:val="27"/>
        </w:rPr>
        <w:t>帶來過度操練，不但令學生身心疲累，亦令他們失去學習的興趣。</w:t>
      </w:r>
    </w:p>
    <w:p>
      <w:pPr>
        <w:pStyle w:val="F21"/>
        <w:rPr>
          <w:szCs w:val="27"/>
        </w:rPr>
      </w:pPr>
      <w:r>
        <w:rPr>
          <w:szCs w:val="27"/>
        </w:rPr>
      </w:r>
    </w:p>
    <w:p>
      <w:pPr>
        <w:pStyle w:val="F21"/>
        <w:tabs>
          <w:tab w:val="left" w:pos="480" w:leader="none"/>
          <w:tab w:val="left" w:pos="567" w:leader="none"/>
        </w:tabs>
        <w:rPr>
          <w:szCs w:val="27"/>
        </w:rPr>
      </w:pPr>
      <w:r>
        <w:rPr>
          <w:szCs w:val="27"/>
        </w:rPr>
        <w:tab/>
      </w:r>
      <w:r>
        <w:rPr>
          <w:szCs w:val="27"/>
        </w:rPr>
        <w:t>事實上，</w:t>
      </w:r>
      <w:r>
        <w:rPr>
          <w:szCs w:val="27"/>
        </w:rPr>
        <w:t>TSA</w:t>
      </w:r>
      <w:r>
        <w:rPr>
          <w:szCs w:val="27"/>
        </w:rPr>
        <w:t>已經由教育局原本所指的低風險評估，變成“高風險評估的怪獸”，教育局應該負上最大的責任。然而，教育當局反覆強調</w:t>
      </w:r>
      <w:r>
        <w:rPr>
          <w:szCs w:val="27"/>
        </w:rPr>
        <w:t>TSA</w:t>
      </w:r>
      <w:r>
        <w:rPr>
          <w:szCs w:val="27"/>
        </w:rPr>
        <w:t>是低風險評估，事實上無視了</w:t>
      </w:r>
      <w:r>
        <w:rPr>
          <w:szCs w:val="27"/>
        </w:rPr>
        <w:t>TSA</w:t>
      </w:r>
      <w:r>
        <w:rPr>
          <w:szCs w:val="27"/>
        </w:rPr>
        <w:t>嚴重異化的現象。主席，我希望再次呼籲教育局立即取消由小一便開始催谷的</w:t>
      </w:r>
      <w:r>
        <w:rPr>
          <w:szCs w:val="27"/>
        </w:rPr>
        <w:t>TSA</w:t>
      </w:r>
      <w:r>
        <w:rPr>
          <w:szCs w:val="27"/>
        </w:rPr>
        <w:t>，令未來的小學生無須再受“</w:t>
      </w:r>
      <w:r>
        <w:rPr>
          <w:szCs w:val="27"/>
        </w:rPr>
        <w:t>TSA</w:t>
      </w:r>
      <w:r>
        <w:rPr>
          <w:szCs w:val="27"/>
        </w:rPr>
        <w:t>怪獸”折磨。</w:t>
      </w:r>
    </w:p>
    <w:p>
      <w:pPr>
        <w:pStyle w:val="F21"/>
        <w:tabs>
          <w:tab w:val="left" w:pos="480" w:leader="none"/>
          <w:tab w:val="left" w:pos="567" w:leader="none"/>
        </w:tabs>
        <w:rPr>
          <w:szCs w:val="27"/>
        </w:rPr>
      </w:pPr>
      <w:r>
        <w:rPr>
          <w:szCs w:val="27"/>
        </w:rPr>
      </w:r>
    </w:p>
    <w:p>
      <w:pPr>
        <w:pStyle w:val="F21"/>
        <w:tabs>
          <w:tab w:val="left" w:pos="480" w:leader="none"/>
          <w:tab w:val="left" w:pos="567" w:leader="none"/>
        </w:tabs>
        <w:ind w:firstLine="567"/>
        <w:rPr>
          <w:szCs w:val="27"/>
        </w:rPr>
      </w:pPr>
      <w:r>
        <w:rPr>
          <w:szCs w:val="27"/>
        </w:rPr>
        <w:t>主席，我謹此陳辭，支持所有相關的修正案。</w:t>
      </w:r>
    </w:p>
    <w:p>
      <w:pPr>
        <w:pStyle w:val="F21"/>
        <w:rPr/>
      </w:pPr>
      <w:r>
        <w:rPr/>
      </w:r>
    </w:p>
    <w:p>
      <w:pPr>
        <w:pStyle w:val="F21"/>
        <w:rPr/>
      </w:pPr>
      <w:r>
        <w:rPr/>
      </w:r>
    </w:p>
    <w:p>
      <w:pPr>
        <w:pStyle w:val="F21"/>
        <w:rPr>
          <w:szCs w:val="27"/>
        </w:rPr>
      </w:pPr>
      <w:r>
        <w:rPr>
          <w:rFonts w:ascii="華康中黑體" w:hAnsi="華康中黑體" w:cs="華康中黑體" w:eastAsia="華康中黑體"/>
          <w:b/>
          <w:szCs w:val="27"/>
        </w:rPr>
        <w:t>單仲偕議員</w:t>
      </w:r>
      <w:r>
        <w:rPr>
          <w:szCs w:val="27"/>
        </w:rPr>
        <w:t>：主席，黃碧雲</w:t>
      </w:r>
      <w:r>
        <w:rPr>
          <w:rFonts w:ascii="華康細明體" w:hAnsi="華康細明體"/>
          <w:szCs w:val="27"/>
        </w:rPr>
        <w:t>議員</w:t>
      </w:r>
      <w:r>
        <w:rPr>
          <w:szCs w:val="27"/>
        </w:rPr>
        <w:t>剛才已經指出民主黨對這項議案的一些質疑。我現在想繼續談談我對這項議案的一些意見或質疑。</w:t>
      </w:r>
    </w:p>
    <w:p>
      <w:pPr>
        <w:pStyle w:val="F21"/>
        <w:rPr>
          <w:szCs w:val="27"/>
        </w:rPr>
      </w:pPr>
      <w:r>
        <w:rPr>
          <w:szCs w:val="27"/>
        </w:rPr>
      </w:r>
    </w:p>
    <w:p>
      <w:pPr>
        <w:pStyle w:val="F21"/>
        <w:rPr>
          <w:szCs w:val="27"/>
        </w:rPr>
      </w:pPr>
      <w:r>
        <w:rPr>
          <w:szCs w:val="27"/>
        </w:rPr>
        <w:tab/>
      </w:r>
      <w:r>
        <w:rPr>
          <w:szCs w:val="27"/>
        </w:rPr>
        <w:t>在原議案的第</w:t>
      </w:r>
      <w:r>
        <w:rPr>
          <w:szCs w:val="27"/>
        </w:rPr>
        <w:t>(</w:t>
      </w:r>
      <w:r>
        <w:rPr>
          <w:szCs w:val="27"/>
        </w:rPr>
        <w:t>一</w:t>
      </w:r>
      <w:r>
        <w:rPr>
          <w:szCs w:val="27"/>
        </w:rPr>
        <w:t>)</w:t>
      </w:r>
      <w:r>
        <w:rPr>
          <w:szCs w:val="27"/>
        </w:rPr>
        <w:t>部分，葉劉淑儀議員說具體措施應包括：“由於歷屆國際數學奧林匹克均由主辦國的元首、王室要員或當地政府首長以贊助人的身份主持賽事的開幕及閉幕典禮，故此香港亦應延續歷屆傳統，由行政長官擔任第五十七屆國際數學奧林匹克的贊助人，一盡地主之誼”。主席，我覺得這很奇怪。這項議案是由</w:t>
      </w:r>
      <w:r>
        <w:rPr>
          <w:rFonts w:ascii="華康細明體" w:hAnsi="華康細明體"/>
          <w:szCs w:val="27"/>
        </w:rPr>
        <w:t>葉劉淑儀議員</w:t>
      </w:r>
      <w:r>
        <w:rPr>
          <w:szCs w:val="27"/>
        </w:rPr>
        <w:t>提出，她是資深的前公務員，亦是現任行政會議成員，我相信她很多時候可以接觸行政長官及教育部門。如果</w:t>
      </w:r>
      <w:r>
        <w:rPr>
          <w:rFonts w:ascii="華康細明體" w:hAnsi="華康細明體"/>
          <w:szCs w:val="27"/>
        </w:rPr>
        <w:t>葉劉淑儀議員</w:t>
      </w:r>
      <w:r>
        <w:rPr>
          <w:szCs w:val="27"/>
        </w:rPr>
        <w:t>已經邀請特首擔任贊助人但遭拒絕，是否還要由立法會通過這項議案，迫使梁振英擔任贊助人嗎？又或不說迫使，是否需要立法會以“花轎”邀請梁振英擔任贊助人？</w:t>
      </w:r>
    </w:p>
    <w:p>
      <w:pPr>
        <w:pStyle w:val="F21"/>
        <w:rPr>
          <w:szCs w:val="27"/>
        </w:rPr>
      </w:pPr>
      <w:r>
        <w:rPr>
          <w:szCs w:val="27"/>
        </w:rPr>
      </w:r>
    </w:p>
    <w:p>
      <w:pPr>
        <w:pStyle w:val="F21"/>
        <w:rPr>
          <w:szCs w:val="27"/>
        </w:rPr>
      </w:pPr>
      <w:r>
        <w:rPr>
          <w:szCs w:val="27"/>
        </w:rPr>
        <w:tab/>
      </w:r>
      <w:r>
        <w:rPr>
          <w:szCs w:val="27"/>
        </w:rPr>
        <w:t>議案本身的精神其實很簡單，大家均支持國際數學奧林匹克。香港有幸成為第五十七屆國際數學奧林匹克的主辦城市，我們應該給予資助及合適的支持，這樣便可以了，但葉劉淑儀議員卻具體要求行政長官擔任贊助人，又要立法會強迫或邀請他擔任贊助人，但兩者其實也不合適。是否有必要由立法會強迫梁振英擔任贊助人？他是行政長官，如果他不擔任，立法會能夠強迫他嗎？如果我們能夠強迫他我便開心了，我會強迫他多發一個電視台牌照，但我們做不到。我不明白為甚麼要通過這項議案，還要具體要求他擔任贊助人和提及彭定康年代。</w:t>
      </w:r>
    </w:p>
    <w:p>
      <w:pPr>
        <w:pStyle w:val="F21"/>
        <w:rPr>
          <w:szCs w:val="27"/>
        </w:rPr>
      </w:pPr>
      <w:r>
        <w:rPr>
          <w:szCs w:val="27"/>
        </w:rPr>
      </w:r>
    </w:p>
    <w:p>
      <w:pPr>
        <w:pStyle w:val="F21"/>
        <w:rPr>
          <w:szCs w:val="27"/>
        </w:rPr>
      </w:pPr>
      <w:r>
        <w:rPr>
          <w:szCs w:val="27"/>
        </w:rPr>
        <w:tab/>
      </w:r>
      <w:r>
        <w:rPr>
          <w:szCs w:val="27"/>
        </w:rPr>
        <w:t>主席，我不想上綱上線，我只是覺得這項議案很奇怪。為甚麼要具體提出提供娛樂、紀念品、市內交通、服務等？香港並非首次舉辦國際賽事，政府便曾舉辦奧林匹克的馬術項目，我們一定要如此具體地要求政府把相關的工作做得如此細緻嗎？我希望</w:t>
      </w:r>
      <w:r>
        <w:rPr>
          <w:rFonts w:ascii="華康細明體" w:hAnsi="華康細明體"/>
          <w:szCs w:val="27"/>
        </w:rPr>
        <w:t>葉劉淑儀議員</w:t>
      </w:r>
      <w:r>
        <w:rPr>
          <w:szCs w:val="27"/>
        </w:rPr>
        <w:t>稍後回應時能詳細解釋為甚麼要在議案中註明。是否因為她曾經迫使行政長官但他不理會？抑或是要立法會邀請他呢？</w:t>
      </w:r>
    </w:p>
    <w:p>
      <w:pPr>
        <w:pStyle w:val="F21"/>
        <w:rPr>
          <w:szCs w:val="27"/>
        </w:rPr>
      </w:pPr>
      <w:r>
        <w:rPr>
          <w:szCs w:val="27"/>
        </w:rPr>
      </w:r>
    </w:p>
    <w:p>
      <w:pPr>
        <w:pStyle w:val="F21"/>
        <w:rPr>
          <w:szCs w:val="27"/>
        </w:rPr>
      </w:pPr>
      <w:r>
        <w:rPr>
          <w:szCs w:val="27"/>
        </w:rPr>
        <w:tab/>
      </w:r>
      <w:r>
        <w:rPr>
          <w:szCs w:val="27"/>
        </w:rPr>
        <w:t>至於其他修正案，我最支持梁繼昌</w:t>
      </w:r>
      <w:r>
        <w:rPr>
          <w:rFonts w:ascii="華康細明體" w:hAnsi="華康細明體"/>
          <w:szCs w:val="27"/>
        </w:rPr>
        <w:t>議員</w:t>
      </w:r>
      <w:r>
        <w:rPr>
          <w:szCs w:val="27"/>
        </w:rPr>
        <w:t>的修正案，因為當中的建議比較好。我們覺得年青時應該有均衡發展。當然，我們有拔尖計劃，但立法會應否又要辯論文學、地理、英語呢？我們曾辯論英語水平；我們的中文水平亦曾下降；我支持發展數學，但梁繼昌議員的修正案亦說得很清楚，我們支持舉辦國際數學奧林匹克之餘，亦不應忽略人民科學的重要性。政府應該以政策鼓勵、支持各界舉辦不同類型的大型學術活動和知識推廣，這才是所謂的全面發展。在現今的社會，可能有人精於數學，有人精於語文，我們不可偏重任何一方，應該要均衡發展，讓年青一代有奮進的機會。</w:t>
      </w:r>
    </w:p>
    <w:p>
      <w:pPr>
        <w:pStyle w:val="F21"/>
        <w:rPr>
          <w:szCs w:val="27"/>
        </w:rPr>
      </w:pPr>
      <w:r>
        <w:rPr>
          <w:szCs w:val="27"/>
        </w:rPr>
      </w:r>
    </w:p>
    <w:p>
      <w:pPr>
        <w:pStyle w:val="F21"/>
        <w:rPr>
          <w:szCs w:val="27"/>
        </w:rPr>
      </w:pPr>
      <w:r>
        <w:rPr>
          <w:szCs w:val="27"/>
        </w:rPr>
        <w:tab/>
      </w:r>
      <w:r>
        <w:rPr>
          <w:szCs w:val="27"/>
        </w:rPr>
        <w:t>主席，我謹此陳辭，民主黨支持原議案。我們實際上都支持香港舉辦國際數學奧林匹克，我只是奇怪為甚麼</w:t>
      </w:r>
      <w:r>
        <w:rPr>
          <w:rFonts w:ascii="華康細明體" w:hAnsi="華康細明體"/>
          <w:szCs w:val="27"/>
        </w:rPr>
        <w:t>葉劉淑儀議員</w:t>
      </w:r>
      <w:r>
        <w:rPr>
          <w:szCs w:val="27"/>
        </w:rPr>
        <w:t xml:space="preserve">想強迫，或想由立法會邀請梁振英擔任贊助人。   </w:t>
      </w:r>
    </w:p>
    <w:p>
      <w:pPr>
        <w:pStyle w:val="F21"/>
        <w:rPr>
          <w:szCs w:val="27"/>
        </w:rPr>
      </w:pPr>
      <w:r>
        <w:rPr>
          <w:szCs w:val="27"/>
        </w:rPr>
      </w:r>
    </w:p>
    <w:p>
      <w:pPr>
        <w:pStyle w:val="F21"/>
        <w:rPr/>
      </w:pPr>
      <w:r>
        <w:rPr/>
      </w:r>
    </w:p>
    <w:p>
      <w:pPr>
        <w:pStyle w:val="F21"/>
        <w:rPr/>
      </w:pPr>
      <w:r>
        <w:rPr>
          <w:rFonts w:ascii="華康中黑體" w:hAnsi="華康中黑體" w:cs="華康中黑體" w:eastAsia="華康中黑體"/>
          <w:b/>
        </w:rPr>
        <w:t>盧偉國議員</w:t>
      </w:r>
      <w:r>
        <w:rPr/>
        <w:t>：主席，香港能夠獲得</w:t>
      </w:r>
      <w:r>
        <w:rPr/>
        <w:t>2016</w:t>
      </w:r>
      <w:r>
        <w:rPr/>
        <w:t>年第五十七屆國際數學奧林匹克</w:t>
      </w:r>
      <w:r>
        <w:rPr/>
        <w:t>(“</w:t>
      </w:r>
      <w:r>
        <w:rPr/>
        <w:t>奧數”</w:t>
      </w:r>
      <w:r>
        <w:rPr/>
        <w:t>)</w:t>
      </w:r>
      <w:r>
        <w:rPr/>
        <w:t>主辦權，我認為是值得支持的。我亦應邀出任籌委會的榮譽顧問，特此先行申報。</w:t>
      </w:r>
    </w:p>
    <w:p>
      <w:pPr>
        <w:pStyle w:val="F21"/>
        <w:rPr/>
      </w:pPr>
      <w:r>
        <w:rPr/>
      </w:r>
    </w:p>
    <w:p>
      <w:pPr>
        <w:pStyle w:val="F21"/>
        <w:rPr/>
      </w:pPr>
      <w:r>
        <w:rPr/>
        <w:tab/>
      </w:r>
      <w:r>
        <w:rPr/>
        <w:t>主席，奧數是世界性的中學生數學競賽，為全球的年青數學精英提供一個交流及切磋的平台。本港代表隊自</w:t>
      </w:r>
      <w:r>
        <w:rPr/>
        <w:t>1988</w:t>
      </w:r>
      <w:r>
        <w:rPr/>
        <w:t>年參賽以來，每年都獲得獎牌，成績相當優異。因此，葉劉淑儀議員提出本議案，支持香港主辦這項國際數學比賽，基本精神是值得支持的。</w:t>
      </w:r>
    </w:p>
    <w:p>
      <w:pPr>
        <w:pStyle w:val="F21"/>
        <w:rPr/>
      </w:pPr>
      <w:r>
        <w:rPr/>
      </w:r>
    </w:p>
    <w:p>
      <w:pPr>
        <w:pStyle w:val="F21"/>
        <w:rPr/>
      </w:pPr>
      <w:r>
        <w:rPr/>
        <w:tab/>
      </w:r>
      <w:r>
        <w:rPr/>
        <w:t>香港在</w:t>
      </w:r>
      <w:r>
        <w:rPr/>
        <w:t>1994</w:t>
      </w:r>
      <w:r>
        <w:rPr/>
        <w:t>年曾經在各方的支持和努力下，成功主辦第三十五屆奧數。再次舉辦可讓世界各地的參加者見證，香港回歸中國，並且落實“一國兩制”後，仍然具備舉辦國際盛事的能力和優勢。不過，我亦注意到一些不同的意見，認為由立法會代表某個非官方的民間團體，向特區政府提出贊助的要求是否恰當？是否會影響相關民間團體本來應該享有的獨立自主權？此例一開，會否引來更多仿效個案？我認為這些質疑不無道理。再者，本會的議員議案是否有需要具體討論這麼多細節？其實在過往的辯論中，我也聽到有很多同事對這方面有所保留。</w:t>
      </w:r>
    </w:p>
    <w:p>
      <w:pPr>
        <w:pStyle w:val="F21"/>
        <w:spacing w:lineRule="atLeast" w:line="371"/>
        <w:rPr/>
      </w:pPr>
      <w:r>
        <w:rPr/>
      </w:r>
    </w:p>
    <w:p>
      <w:pPr>
        <w:pStyle w:val="F21"/>
        <w:spacing w:lineRule="atLeast" w:line="371"/>
        <w:rPr/>
      </w:pPr>
      <w:r>
        <w:rPr/>
        <w:tab/>
      </w:r>
      <w:r>
        <w:rPr/>
        <w:t>但是，鑒於主辦奧數涉及龐大開支，我認為特區政府在可能的範圍內，應該為這項盛事提供某些必要的資源和行政協助，宣傳並鼓勵社會各界支持這項盛事，藉此鼓勵及培養校園內學習數學的風氣，以及加強學生對數學的掌握，進而提升學生對數理科的認識和興趣。</w:t>
      </w:r>
    </w:p>
    <w:p>
      <w:pPr>
        <w:pStyle w:val="F21"/>
        <w:spacing w:lineRule="atLeast" w:line="371"/>
        <w:rPr/>
      </w:pPr>
      <w:r>
        <w:rPr/>
      </w:r>
    </w:p>
    <w:p>
      <w:pPr>
        <w:pStyle w:val="F21"/>
        <w:spacing w:lineRule="atLeast" w:line="371"/>
        <w:rPr/>
      </w:pPr>
      <w:r>
        <w:rPr/>
        <w:tab/>
      </w:r>
      <w:r>
        <w:rPr/>
        <w:t>主席，小學和中學階段的數理科目訓練，對於培養學生的數理邏輯思維，是極為重要的。《</w:t>
      </w:r>
      <w:r>
        <w:rPr/>
        <w:t>2014</w:t>
      </w:r>
      <w:r>
        <w:rPr/>
        <w:t>數碼</w:t>
      </w:r>
      <w:r>
        <w:rPr/>
        <w:t>21</w:t>
      </w:r>
      <w:r>
        <w:rPr/>
        <w:t>資訊科技策略》諮詢文件剛在</w:t>
      </w:r>
      <w:r>
        <w:rPr/>
        <w:t>11</w:t>
      </w:r>
      <w:r>
        <w:rPr/>
        <w:t>月</w:t>
      </w:r>
      <w:r>
        <w:rPr/>
        <w:t>30</w:t>
      </w:r>
      <w:r>
        <w:rPr/>
        <w:t>日完成公眾諮詢，諮詢文件提及的一些建議，亦包括將程式編製納入基礎教育。</w:t>
      </w:r>
    </w:p>
    <w:p>
      <w:pPr>
        <w:pStyle w:val="F21"/>
        <w:spacing w:lineRule="atLeast" w:line="371"/>
        <w:rPr/>
      </w:pPr>
      <w:r>
        <w:rPr/>
      </w:r>
    </w:p>
    <w:p>
      <w:pPr>
        <w:pStyle w:val="F21"/>
        <w:spacing w:lineRule="atLeast" w:line="371"/>
        <w:rPr/>
      </w:pPr>
      <w:r>
        <w:rPr/>
        <w:tab/>
      </w:r>
      <w:r>
        <w:rPr/>
        <w:t>我曾經與一羣科技和工程業界的朋友，就該份諮詢文件召開研討會，大家不約而同表示，儘管教育局最近公布的“科技教育學習領域課程”，明確建議學校在初中普通電腦科所佔時間中，撥出最少</w:t>
      </w:r>
      <w:r>
        <w:rPr/>
        <w:t>30%</w:t>
      </w:r>
      <w:r>
        <w:rPr/>
        <w:t>用來闡釋程式編製的概念，但這樣仍然是不足夠的。業界朋友建議，應該從小學階段便由淺入深地讓學生接觸基本的程式編製技巧，藉此培育學生的邏輯思維、數學運算及有條不紊的思考方法，讓他們了解現代電腦及資訊科技學習，並不限於電腦知識及文字處理程式。</w:t>
      </w:r>
    </w:p>
    <w:p>
      <w:pPr>
        <w:pStyle w:val="F21"/>
        <w:spacing w:lineRule="atLeast" w:line="371"/>
        <w:rPr/>
      </w:pPr>
      <w:r>
        <w:rPr/>
      </w:r>
    </w:p>
    <w:p>
      <w:pPr>
        <w:pStyle w:val="F21"/>
        <w:spacing w:lineRule="atLeast" w:line="371"/>
        <w:rPr/>
      </w:pPr>
      <w:r>
        <w:rPr/>
        <w:tab/>
      </w:r>
      <w:r>
        <w:rPr/>
        <w:t>我們應該積極誘發不同年齡階段學生的求知慾，鼓勵他們運用程式編製的技巧，解決一些實際的問題。當中的演算方法及邏輯思維，可以幫助他們應付日後在生活上和工作上遇到的複雜問題，亦令他們慣於利用資訊科技，為他們將來選修與理科、科技及工程相關的科目，作好準備。此外，加強數理邏輯思維能力，對選修不同專業的同學也有幫助，不單是對數理科同學而言，其實文科學生也同樣受惠。</w:t>
      </w:r>
    </w:p>
    <w:p>
      <w:pPr>
        <w:pStyle w:val="F21"/>
        <w:spacing w:lineRule="atLeast" w:line="371"/>
        <w:rPr/>
      </w:pPr>
      <w:r>
        <w:rPr/>
      </w:r>
    </w:p>
    <w:p>
      <w:pPr>
        <w:pStyle w:val="F21"/>
        <w:spacing w:lineRule="atLeast" w:line="371"/>
        <w:rPr/>
      </w:pPr>
      <w:r>
        <w:rPr/>
        <w:tab/>
      </w:r>
      <w:r>
        <w:rPr/>
        <w:t>展望未來，香港的出路在於發展知識型經濟，科技亦有助於促進經濟繁榮及締造更優質的生活。增加房屋供應及落實其他大型基建項目，更會增加對規劃、建造及工程專業人才的渴求。但是，不難想像，假如本地學生的數學科基礎薄弱，肯定會妨礙他們在大學選修與工程及科技相關的學科，人才的供求便有可能出現嚴重脫節。</w:t>
      </w:r>
    </w:p>
    <w:p>
      <w:pPr>
        <w:pStyle w:val="F21"/>
        <w:rPr/>
      </w:pPr>
      <w:r>
        <w:rPr/>
      </w:r>
    </w:p>
    <w:p>
      <w:pPr>
        <w:pStyle w:val="F21"/>
        <w:spacing w:lineRule="atLeast" w:line="370"/>
        <w:rPr/>
      </w:pPr>
      <w:r>
        <w:rPr/>
        <w:tab/>
      </w:r>
      <w:r>
        <w:rPr/>
        <w:t>主席，因此我認為，為了提升中、小學生的數理邏輯思維能力，特區政府不能一曝十寒，只局限於支援本地學生參與每年一度的奧數，而應該將目光擴闊，與本地各專業團體合作，恆常地舉辦課外推廣活動，提升學生對數理相關學科的認識和興趣，藉此帶動市民對科技的認知，改變香港社會“重財技，不重科技”的意識形態，吸引更多學生選修與科技和工程等專業的科目，為香港培育及儲備更多具競爭力的人才。</w:t>
      </w:r>
    </w:p>
    <w:p>
      <w:pPr>
        <w:pStyle w:val="F21"/>
        <w:spacing w:lineRule="atLeast" w:line="370"/>
        <w:rPr/>
      </w:pPr>
      <w:r>
        <w:rPr/>
      </w:r>
    </w:p>
    <w:p>
      <w:pPr>
        <w:pStyle w:val="F21"/>
        <w:spacing w:lineRule="atLeast" w:line="370"/>
        <w:rPr/>
      </w:pPr>
      <w:r>
        <w:rPr/>
        <w:tab/>
      </w:r>
      <w:r>
        <w:rPr/>
        <w:t>主席，我謹此陳辭。</w:t>
      </w:r>
    </w:p>
    <w:p>
      <w:pPr>
        <w:pStyle w:val="F21"/>
        <w:spacing w:lineRule="atLeast" w:line="370"/>
        <w:rPr/>
      </w:pPr>
      <w:r>
        <w:rPr/>
      </w:r>
    </w:p>
    <w:p>
      <w:pPr>
        <w:pStyle w:val="F21"/>
        <w:spacing w:lineRule="atLeast" w:line="370"/>
        <w:rPr/>
      </w:pPr>
      <w:r>
        <w:rPr/>
      </w:r>
    </w:p>
    <w:p>
      <w:pPr>
        <w:pStyle w:val="F21"/>
        <w:spacing w:lineRule="atLeast" w:line="370"/>
        <w:rPr/>
      </w:pPr>
      <w:r>
        <w:rPr>
          <w:rFonts w:ascii="華康中黑體" w:hAnsi="華康中黑體" w:eastAsia="華康中黑體"/>
          <w:b/>
        </w:rPr>
        <w:t>主席</w:t>
      </w:r>
      <w:r>
        <w:rPr>
          <w:rFonts w:ascii="華康中黑體" w:hAnsi="華康中黑體"/>
        </w:rPr>
        <w:t>：</w:t>
      </w:r>
      <w:r>
        <w:rPr/>
        <w:t>是否有其他議員想發言？</w:t>
      </w:r>
    </w:p>
    <w:p>
      <w:pPr>
        <w:pStyle w:val="F21"/>
        <w:spacing w:lineRule="atLeast" w:line="370"/>
        <w:rPr/>
      </w:pPr>
      <w:r>
        <w:rPr/>
      </w:r>
    </w:p>
    <w:p>
      <w:pPr>
        <w:pStyle w:val="F21"/>
        <w:spacing w:lineRule="atLeast" w:line="370"/>
        <w:rPr/>
      </w:pPr>
      <w:r>
        <w:rPr/>
      </w:r>
    </w:p>
    <w:p>
      <w:pPr>
        <w:pStyle w:val="F21"/>
        <w:spacing w:lineRule="atLeast" w:line="370"/>
        <w:rPr>
          <w:szCs w:val="27"/>
        </w:rPr>
      </w:pPr>
      <w:r>
        <w:rPr>
          <w:rFonts w:ascii="華康中黑體" w:hAnsi="華康中黑體" w:cs="華康中黑體" w:eastAsia="華康中黑體"/>
          <w:b/>
          <w:szCs w:val="27"/>
        </w:rPr>
        <w:t>梁國雄議員</w:t>
      </w:r>
      <w:r>
        <w:rPr>
          <w:szCs w:val="27"/>
        </w:rPr>
        <w:t>：主席，“一節淡三墟”，這個立法會不就香港人所關心的政改或其他議題發言，開始越說越遠。其實這個議題在任何大學辯論比賽中也會出現。</w:t>
      </w:r>
    </w:p>
    <w:p>
      <w:pPr>
        <w:pStyle w:val="F21"/>
        <w:spacing w:lineRule="atLeast" w:line="370"/>
        <w:rPr>
          <w:szCs w:val="27"/>
        </w:rPr>
      </w:pPr>
      <w:r>
        <w:rPr>
          <w:szCs w:val="27"/>
        </w:rPr>
      </w:r>
    </w:p>
    <w:p>
      <w:pPr>
        <w:pStyle w:val="F21"/>
        <w:spacing w:lineRule="atLeast" w:line="370"/>
        <w:rPr>
          <w:rFonts w:ascii="華康細明體" w:hAnsi="華康細明體"/>
          <w:szCs w:val="27"/>
        </w:rPr>
      </w:pPr>
      <w:r>
        <w:rPr>
          <w:szCs w:val="27"/>
        </w:rPr>
        <w:tab/>
      </w:r>
      <w:r>
        <w:rPr>
          <w:szCs w:val="27"/>
        </w:rPr>
        <w:t>有人致電給我，希望我支持葉劉淑儀</w:t>
      </w:r>
      <w:r>
        <w:rPr>
          <w:rFonts w:ascii="華康細明體" w:hAnsi="華康細明體"/>
          <w:szCs w:val="27"/>
        </w:rPr>
        <w:t>議員</w:t>
      </w:r>
      <w:r>
        <w:rPr>
          <w:szCs w:val="27"/>
        </w:rPr>
        <w:t>的議案。我個人對於是否主辦這個數學比賽沒有甚麼特別意見。我發言，只是因為聽到各位議員的發言後，深深為這個議會感到非常悲哀。其實，葉劉淑儀</w:t>
      </w:r>
      <w:r>
        <w:rPr>
          <w:rFonts w:ascii="華康細明體" w:hAnsi="華康細明體"/>
          <w:szCs w:val="27"/>
        </w:rPr>
        <w:t>議員提出的內容，政府內部已可辦得到，或商界也可辦得到，因為香港實在太富有。</w:t>
      </w:r>
    </w:p>
    <w:p>
      <w:pPr>
        <w:pStyle w:val="F21"/>
        <w:spacing w:lineRule="atLeast" w:line="370"/>
        <w:rPr>
          <w:rFonts w:ascii="華康細明體" w:hAnsi="華康細明體"/>
          <w:szCs w:val="27"/>
        </w:rPr>
      </w:pPr>
      <w:r>
        <w:rPr>
          <w:rFonts w:ascii="華康細明體" w:hAnsi="華康細明體"/>
          <w:szCs w:val="27"/>
        </w:rPr>
      </w:r>
    </w:p>
    <w:p>
      <w:pPr>
        <w:pStyle w:val="F21"/>
        <w:spacing w:lineRule="atLeast" w:line="370"/>
        <w:rPr>
          <w:szCs w:val="27"/>
        </w:rPr>
      </w:pPr>
      <w:r>
        <w:rPr>
          <w:rFonts w:ascii="華康細明體" w:hAnsi="華康細明體"/>
          <w:szCs w:val="27"/>
        </w:rPr>
        <w:tab/>
      </w:r>
      <w:r>
        <w:rPr>
          <w:rFonts w:ascii="華康細明體" w:hAnsi="華康細明體"/>
          <w:szCs w:val="27"/>
        </w:rPr>
        <w:t xml:space="preserve">我支持香港主辦無家者世界盃，但沒有人提出，而我也不會提出。為甚麼呢？因為一年只有一次提出議案的機會，還有很多重要的東西要說。我覺得當大家歌頌數學時 </w:t>
      </w:r>
      <w:r>
        <w:rPr>
          <w:rFonts w:ascii="Symbol" w:hAnsi="Symbol" w:cs="Symbol" w:eastAsia="Symbol"/>
        </w:rPr>
        <w:t></w:t>
      </w:r>
      <w:r>
        <w:rPr>
          <w:rFonts w:ascii="華康細明體" w:hAnsi="華康細明體"/>
          <w:szCs w:val="27"/>
        </w:rPr>
        <w:t xml:space="preserve"> 大家也知道數學，主席是唸數學的必定知道 </w:t>
      </w:r>
      <w:r>
        <w:rPr>
          <w:rFonts w:ascii="Symbol" w:hAnsi="Symbol" w:cs="Symbol" w:eastAsia="Symbol"/>
        </w:rPr>
        <w:t></w:t>
      </w:r>
      <w:r>
        <w:rPr>
          <w:rFonts w:ascii="華康細明體" w:hAnsi="華康細明體"/>
        </w:rPr>
        <w:t xml:space="preserve"> </w:t>
      </w:r>
      <w:r>
        <w:rPr>
          <w:rFonts w:ascii="華康細明體" w:hAnsi="華康細明體"/>
          <w:szCs w:val="27"/>
        </w:rPr>
        <w:t>數學是不能</w:t>
      </w:r>
      <w:r>
        <w:rPr>
          <w:szCs w:val="27"/>
        </w:rPr>
        <w:t>耍賴的，是就是，不是就不是，知道便知道，不知道便不知道，知之為知之，不知為不知。當我們這個議會歌頌數學時，有人叫我們理性一點。大家也知道，理性是數學的根本，如果沒有理性，便無須有數學，只要相信上帝已經安排好一切，相信他在</w:t>
      </w:r>
      <w:r>
        <w:rPr>
          <w:szCs w:val="27"/>
        </w:rPr>
        <w:t>6</w:t>
      </w:r>
      <w:r>
        <w:rPr>
          <w:szCs w:val="27"/>
        </w:rPr>
        <w:t>日內創造了世界，然後第七日休息，相信這個世界早有安排，便不用理會其他了。所以，科學和數學對於宗教的盲信或由此衍生的君權神授是最猛烈的攻擊。</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剛才聽到議員提及笛卡兒。他是數學家、微積分之父，但大家又是否知道，為何笛卡兒那麼空閒呢？便是因為他為了要逃避宗教迫害而避居荷蘭這個信奉新教的小國。所以，當我在這裏聽到大家說數學如此重要，大家要促成這項盛事時，我便不禁懷疑為何立法會的殿堂，由大會以至到各委員會，全部也在提倡非理性的事情呢？“阿爺”說了誰人當特首，便是誰人當特首。君權神授，對嗎？現在這位“上帝”已經比較好，會跟大家開會，或派遣一羣天使，決定大家將來做人、做鬼或做豬。主席，當議員在歌頌數學時，他們有沒有想過，數學本身跟專制是相反的呢？</w:t>
      </w:r>
    </w:p>
    <w:p>
      <w:pPr>
        <w:pStyle w:val="F21"/>
        <w:spacing w:lineRule="atLeast" w:line="370"/>
        <w:rPr>
          <w:szCs w:val="27"/>
        </w:rPr>
      </w:pPr>
      <w:r>
        <w:rPr>
          <w:szCs w:val="27"/>
        </w:rPr>
      </w:r>
    </w:p>
    <w:p>
      <w:pPr>
        <w:pStyle w:val="F21"/>
        <w:spacing w:lineRule="atLeast" w:line="370"/>
        <w:rPr>
          <w:szCs w:val="27"/>
        </w:rPr>
      </w:pPr>
      <w:r>
        <w:rPr>
          <w:szCs w:val="27"/>
        </w:rPr>
        <w:tab/>
      </w:r>
      <w:r>
        <w:rPr>
          <w:szCs w:val="27"/>
        </w:rPr>
        <w:t>有議員提及伽利略作例子。主席也知道，教廷冤枉了他</w:t>
      </w:r>
      <w:r>
        <w:rPr>
          <w:szCs w:val="27"/>
        </w:rPr>
        <w:t>300</w:t>
      </w:r>
      <w:r>
        <w:rPr>
          <w:szCs w:val="27"/>
        </w:rPr>
        <w:t>年，然後才煞有介事的說替他平反，說伽利略原來是正確的。主席，太悲傷了。我們教小朋友學習數學、學理性、學理智。我相信主席也讀過《幾何原本》，不用為用，眾用所基，即不是學了幾何，量度這樣、量度那樣，做一個論證題便可得出幾何的精髓，而是要學習中間的邏輯和理性。</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主席，葉劉淑儀</w:t>
      </w:r>
      <w:r>
        <w:rPr>
          <w:rFonts w:ascii="華康細明體" w:hAnsi="華康細明體"/>
          <w:szCs w:val="27"/>
        </w:rPr>
        <w:t>議員</w:t>
      </w:r>
      <w:r>
        <w:rPr>
          <w:szCs w:val="27"/>
        </w:rPr>
        <w:t>叫梁振英當奧數嘉賓。老實說，千萬不要這樣做。主席，數學是不能容納謊言的，對嗎？在數學範疇內，是便是，不是就不是，不能說“我認為我沒有證實過三角形的內角的總和是</w:t>
      </w:r>
      <w:r>
        <w:rPr>
          <w:szCs w:val="27"/>
        </w:rPr>
        <w:t>180</w:t>
      </w:r>
      <w:r>
        <w:rPr>
          <w:szCs w:val="27"/>
        </w:rPr>
        <w:t>度”便可以解脫的，對嗎？錯就錯，對就對，現在要叫我們這位國際笑柄，以及說謊說得出神入化的特首當奧數比賽的嘉賓，的確是一個最大的諷刺。所以，單是這一點，我便不會支持葉劉淑儀</w:t>
      </w:r>
      <w:r>
        <w:rPr>
          <w:rFonts w:ascii="華康細明體" w:hAnsi="華康細明體"/>
          <w:szCs w:val="27"/>
        </w:rPr>
        <w:t>議員</w:t>
      </w:r>
      <w:r>
        <w:rPr>
          <w:szCs w:val="27"/>
        </w:rPr>
        <w:t>叫梁振英當奧數嘉賓。主席，老實說，如果有世界謊話大賽，我便會提出議案，要求梁振英出席擔任嘉賓。</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們在這裏談教育，談這樣、談那樣，或談別人如何辦教育，但我們有否討論過，為何我們的教育經費佔國民生產總值的比率，是全世界發展國家之中最低的呢？我們有否考慮過，為何我們的大學入學率，全資大學學位的入學率不足</w:t>
      </w:r>
      <w:r>
        <w:rPr>
          <w:szCs w:val="27"/>
        </w:rPr>
        <w:t>20%</w:t>
      </w:r>
      <w:r>
        <w:rPr>
          <w:szCs w:val="27"/>
        </w:rPr>
        <w:t>？當我們說拔尖的時候，有否談保底？我在這裏發言，沒有興趣掃掉大家的興致，或抹煞尖子，我認為這個世界真的有天才，但如果天才的發揮，是要建築在其他人的痛苦身上，我是不會答應的。</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我們的議會淪落至討論中學生的辯論題目，這當然是淪落的，誰還會尊重立法會？一件如此細小的事項也要討論，簡直是殺雞用牛刀。我也曾問你，你的太太殺雞時會否用牛刀？是不會的。今天的辯論，根本便是立法會的墮落和醜聞。</w:t>
      </w:r>
    </w:p>
    <w:p>
      <w:pPr>
        <w:pStyle w:val="F21"/>
        <w:rPr>
          <w:szCs w:val="27"/>
        </w:rPr>
      </w:pPr>
      <w:r>
        <w:rPr>
          <w:szCs w:val="27"/>
        </w:rPr>
      </w:r>
    </w:p>
    <w:p>
      <w:pPr>
        <w:pStyle w:val="F21"/>
        <w:tabs>
          <w:tab w:val="left" w:pos="480" w:leader="none"/>
          <w:tab w:val="left" w:pos="567" w:leader="none"/>
        </w:tabs>
        <w:spacing w:lineRule="atLeast" w:line="370"/>
        <w:rPr>
          <w:szCs w:val="27"/>
        </w:rPr>
      </w:pPr>
      <w:r>
        <w:rPr>
          <w:rFonts w:ascii="華康中黑體" w:hAnsi="華康中黑體" w:cs="華康中黑體" w:eastAsia="華康中黑體"/>
          <w:b/>
          <w:szCs w:val="27"/>
        </w:rPr>
        <w:t>陳恒鑌議員</w:t>
      </w:r>
      <w:r>
        <w:rPr>
          <w:szCs w:val="27"/>
        </w:rPr>
        <w:t>：主席，今天我們辯論國際數學奧林匹克</w:t>
      </w:r>
      <w:r>
        <w:rPr>
          <w:szCs w:val="27"/>
        </w:rPr>
        <w:t>(“</w:t>
      </w:r>
      <w:r>
        <w:rPr>
          <w:szCs w:val="27"/>
        </w:rPr>
        <w:t>奧</w:t>
      </w:r>
      <w:r>
        <w:rPr>
          <w:rFonts w:ascii="華康細明體" w:hAnsi="華康細明體"/>
          <w:szCs w:val="27"/>
        </w:rPr>
        <w:t>數</w:t>
      </w:r>
      <w:r>
        <w:rPr>
          <w:szCs w:val="27"/>
        </w:rPr>
        <w:t>”</w:t>
      </w:r>
      <w:r>
        <w:rPr>
          <w:szCs w:val="27"/>
        </w:rPr>
        <w:t>)</w:t>
      </w:r>
      <w:r>
        <w:rPr>
          <w:szCs w:val="27"/>
        </w:rPr>
        <w:t>，想不到梁議員竟然可以聯繫到這麼多政治議題，我覺得這種東拉西扯的技術甚是高超。</w:t>
      </w:r>
      <w:r>
        <w:br w:type="page"/>
      </w:r>
    </w:p>
    <w:p>
      <w:pPr>
        <w:pStyle w:val="F21"/>
        <w:tabs>
          <w:tab w:val="left" w:pos="480" w:leader="none"/>
          <w:tab w:val="left" w:pos="567" w:leader="none"/>
        </w:tabs>
        <w:spacing w:lineRule="atLeast" w:line="370"/>
        <w:rPr>
          <w:szCs w:val="27"/>
        </w:rPr>
      </w:pPr>
      <w:r>
        <w:rPr>
          <w:szCs w:val="27"/>
        </w:rPr>
      </w:r>
    </w:p>
    <w:p>
      <w:pPr>
        <w:pStyle w:val="F21"/>
        <w:spacing w:lineRule="atLeast" w:line="370"/>
        <w:rPr>
          <w:szCs w:val="27"/>
        </w:rPr>
      </w:pPr>
      <w:r>
        <w:rPr>
          <w:szCs w:val="27"/>
        </w:rPr>
        <w:tab/>
      </w:r>
      <w:r>
        <w:rPr>
          <w:szCs w:val="27"/>
        </w:rPr>
        <w:t>主席，你作為數學奇才，今天這項辯論你沒有機會參與，的確可惜。奧數這項比賽，在學術界</w:t>
      </w:r>
      <w:r>
        <w:rPr>
          <w:szCs w:val="27"/>
        </w:rPr>
        <w:t>......</w:t>
      </w:r>
    </w:p>
    <w:p>
      <w:pPr>
        <w:pStyle w:val="F21"/>
        <w:tabs>
          <w:tab w:val="left" w:pos="480" w:leader="none"/>
          <w:tab w:val="left" w:pos="567" w:leader="none"/>
        </w:tabs>
        <w:spacing w:lineRule="atLeast" w:line="370"/>
        <w:rPr>
          <w:rFonts w:ascii="華康細明體" w:hAnsi="華康細明體"/>
          <w:szCs w:val="27"/>
        </w:rPr>
      </w:pPr>
      <w:r>
        <w:rPr>
          <w:rFonts w:ascii="華康細明體" w:hAnsi="華康細明體"/>
          <w:szCs w:val="27"/>
        </w:rPr>
      </w:r>
    </w:p>
    <w:p>
      <w:pPr>
        <w:pStyle w:val="F21"/>
        <w:overflowPunct w:val="true"/>
        <w:snapToGrid w:val="false"/>
        <w:spacing w:lineRule="atLeast" w:line="370"/>
        <w:rPr/>
      </w:pPr>
      <w:r>
        <w:rPr/>
        <w:t>(</w:t>
      </w:r>
      <w:r>
        <w:rPr/>
        <w:t>梁國雄議員站起來</w:t>
      </w:r>
      <w:r>
        <w:rPr/>
        <w:t>)</w:t>
      </w:r>
    </w:p>
    <w:p>
      <w:pPr>
        <w:pStyle w:val="Normal"/>
        <w:widowControl/>
        <w:spacing w:lineRule="atLeast" w:line="370"/>
        <w:jc w:val="left"/>
        <w:rPr>
          <w:spacing w:val="20"/>
          <w:sz w:val="27"/>
        </w:rPr>
      </w:pPr>
      <w:r>
        <w:rPr>
          <w:spacing w:val="20"/>
          <w:sz w:val="27"/>
        </w:rPr>
      </w:r>
    </w:p>
    <w:p>
      <w:pPr>
        <w:pStyle w:val="Normal"/>
        <w:widowControl/>
        <w:spacing w:lineRule="atLeast" w:line="370"/>
        <w:jc w:val="left"/>
        <w:rPr>
          <w:spacing w:val="20"/>
          <w:sz w:val="27"/>
        </w:rPr>
      </w:pPr>
      <w:r>
        <w:rPr>
          <w:spacing w:val="20"/>
          <w:sz w:val="27"/>
        </w:rPr>
      </w:r>
    </w:p>
    <w:p>
      <w:pPr>
        <w:pStyle w:val="F21"/>
        <w:spacing w:lineRule="atLeast" w:line="370"/>
        <w:rPr>
          <w:szCs w:val="27"/>
        </w:rPr>
      </w:pPr>
      <w:r>
        <w:rPr>
          <w:rFonts w:eastAsia="華康中黑體"/>
          <w:b/>
          <w:szCs w:val="27"/>
        </w:rPr>
        <w:t>主席</w:t>
      </w:r>
      <w:r>
        <w:rPr>
          <w:szCs w:val="27"/>
        </w:rPr>
        <w:t>：陳議員，請稍等。梁議員，你有甚麼問題？</w:t>
      </w:r>
    </w:p>
    <w:p>
      <w:pPr>
        <w:pStyle w:val="F21"/>
        <w:spacing w:lineRule="atLeast" w:line="370"/>
        <w:rPr>
          <w:szCs w:val="27"/>
        </w:rPr>
      </w:pPr>
      <w:r>
        <w:rPr>
          <w:szCs w:val="27"/>
        </w:rPr>
      </w:r>
    </w:p>
    <w:p>
      <w:pPr>
        <w:pStyle w:val="F21"/>
        <w:spacing w:lineRule="atLeast" w:line="370"/>
        <w:rPr>
          <w:szCs w:val="27"/>
        </w:rPr>
      </w:pPr>
      <w:r>
        <w:rPr>
          <w:szCs w:val="27"/>
        </w:rPr>
      </w:r>
    </w:p>
    <w:p>
      <w:pPr>
        <w:pStyle w:val="F21"/>
        <w:tabs>
          <w:tab w:val="left" w:pos="480" w:leader="none"/>
          <w:tab w:val="left" w:pos="567" w:leader="none"/>
        </w:tabs>
        <w:spacing w:lineRule="atLeast" w:line="370"/>
        <w:rPr>
          <w:szCs w:val="27"/>
        </w:rPr>
      </w:pPr>
      <w:r>
        <w:rPr>
          <w:rFonts w:ascii="華康中黑體" w:hAnsi="華康中黑體" w:cs="華康中黑體" w:eastAsia="華康中黑體"/>
          <w:b/>
          <w:szCs w:val="27"/>
        </w:rPr>
        <w:t>梁國雄議員</w:t>
      </w:r>
      <w:r>
        <w:rPr>
          <w:szCs w:val="27"/>
        </w:rPr>
        <w:t>：我沒有說他是奇才。我說</w:t>
      </w:r>
      <w:r>
        <w:rPr>
          <w:szCs w:val="27"/>
        </w:rPr>
        <w:t>......</w:t>
      </w:r>
    </w:p>
    <w:p>
      <w:pPr>
        <w:pStyle w:val="F21"/>
        <w:tabs>
          <w:tab w:val="left" w:pos="480" w:leader="none"/>
          <w:tab w:val="left" w:pos="567" w:leader="none"/>
        </w:tabs>
        <w:spacing w:lineRule="atLeast" w:line="370"/>
        <w:rPr>
          <w:szCs w:val="27"/>
        </w:rPr>
      </w:pPr>
      <w:r>
        <w:rPr>
          <w:szCs w:val="27"/>
        </w:rPr>
      </w:r>
    </w:p>
    <w:p>
      <w:pPr>
        <w:pStyle w:val="F21"/>
        <w:tabs>
          <w:tab w:val="left" w:pos="480" w:leader="none"/>
          <w:tab w:val="left" w:pos="567" w:leader="none"/>
        </w:tabs>
        <w:spacing w:lineRule="atLeast" w:line="370"/>
        <w:rPr>
          <w:szCs w:val="27"/>
        </w:rPr>
      </w:pPr>
      <w:r>
        <w:rPr>
          <w:szCs w:val="27"/>
        </w:rPr>
      </w:r>
    </w:p>
    <w:p>
      <w:pPr>
        <w:pStyle w:val="F21"/>
        <w:spacing w:lineRule="atLeast" w:line="370"/>
        <w:ind w:left="931" w:hanging="931"/>
        <w:rPr>
          <w:szCs w:val="27"/>
        </w:rPr>
      </w:pPr>
      <w:r>
        <w:rPr>
          <w:rFonts w:eastAsia="華康中黑體"/>
          <w:b/>
          <w:szCs w:val="27"/>
        </w:rPr>
        <w:t>主席</w:t>
      </w:r>
      <w:r>
        <w:rPr>
          <w:szCs w:val="27"/>
        </w:rPr>
        <w:t>：梁議員，在其他議員發言時，你不應坐着大聲叫喊。</w:t>
      </w:r>
    </w:p>
    <w:p>
      <w:pPr>
        <w:pStyle w:val="F21"/>
        <w:spacing w:lineRule="atLeast" w:line="370"/>
        <w:ind w:left="931" w:hanging="931"/>
        <w:rPr>
          <w:szCs w:val="27"/>
        </w:rPr>
      </w:pPr>
      <w:r>
        <w:rPr>
          <w:szCs w:val="27"/>
        </w:rPr>
      </w:r>
    </w:p>
    <w:p>
      <w:pPr>
        <w:pStyle w:val="F21"/>
        <w:spacing w:lineRule="atLeast" w:line="370"/>
        <w:ind w:left="931" w:hanging="931"/>
        <w:rPr>
          <w:szCs w:val="27"/>
        </w:rPr>
      </w:pPr>
      <w:r>
        <w:rPr>
          <w:szCs w:val="27"/>
        </w:rPr>
      </w:r>
    </w:p>
    <w:p>
      <w:pPr>
        <w:pStyle w:val="F21"/>
        <w:tabs>
          <w:tab w:val="left" w:pos="480" w:leader="none"/>
          <w:tab w:val="left" w:pos="567" w:leader="none"/>
        </w:tabs>
        <w:spacing w:lineRule="atLeast" w:line="370"/>
        <w:rPr>
          <w:szCs w:val="27"/>
        </w:rPr>
      </w:pPr>
      <w:r>
        <w:rPr>
          <w:rFonts w:ascii="華康中黑體" w:hAnsi="華康中黑體" w:cs="華康中黑體" w:eastAsia="華康中黑體"/>
          <w:b/>
          <w:szCs w:val="27"/>
        </w:rPr>
        <w:t>梁國雄議員</w:t>
      </w:r>
      <w:r>
        <w:rPr>
          <w:szCs w:val="27"/>
        </w:rPr>
        <w:t>：知道，不好意思。</w:t>
      </w:r>
    </w:p>
    <w:p>
      <w:pPr>
        <w:pStyle w:val="F21"/>
        <w:tabs>
          <w:tab w:val="left" w:pos="480" w:leader="none"/>
          <w:tab w:val="left" w:pos="567" w:leader="none"/>
        </w:tabs>
        <w:spacing w:lineRule="atLeast" w:line="370"/>
        <w:rPr>
          <w:szCs w:val="27"/>
        </w:rPr>
      </w:pPr>
      <w:r>
        <w:rPr>
          <w:szCs w:val="27"/>
        </w:rPr>
      </w:r>
    </w:p>
    <w:p>
      <w:pPr>
        <w:pStyle w:val="F21"/>
        <w:tabs>
          <w:tab w:val="left" w:pos="480" w:leader="none"/>
          <w:tab w:val="left" w:pos="567" w:leader="none"/>
        </w:tabs>
        <w:spacing w:lineRule="atLeast" w:line="370"/>
        <w:rPr>
          <w:szCs w:val="27"/>
        </w:rPr>
      </w:pPr>
      <w:r>
        <w:rPr>
          <w:szCs w:val="27"/>
        </w:rPr>
      </w:r>
    </w:p>
    <w:p>
      <w:pPr>
        <w:pStyle w:val="F21"/>
        <w:spacing w:lineRule="atLeast" w:line="370"/>
        <w:rPr/>
      </w:pPr>
      <w:r>
        <w:rPr>
          <w:rFonts w:ascii="華康中黑體" w:hAnsi="華康中黑體" w:cs="華康中黑體" w:eastAsia="華康中黑體"/>
          <w:b/>
        </w:rPr>
        <w:t>主席</w:t>
      </w:r>
      <w:r>
        <w:rPr>
          <w:rFonts w:ascii="華康中黑體" w:hAnsi="華康中黑體" w:cs="華康中黑體"/>
        </w:rPr>
        <w:t>：</w:t>
      </w:r>
      <w:r>
        <w:rPr/>
        <w:t>請你保持肅靜，坐下。</w:t>
      </w:r>
    </w:p>
    <w:p>
      <w:pPr>
        <w:pStyle w:val="F21"/>
        <w:tabs>
          <w:tab w:val="left" w:pos="480" w:leader="none"/>
          <w:tab w:val="left" w:pos="567" w:leader="none"/>
        </w:tabs>
        <w:spacing w:lineRule="atLeast" w:line="370"/>
        <w:rPr/>
      </w:pPr>
      <w:r>
        <w:rPr/>
      </w:r>
    </w:p>
    <w:p>
      <w:pPr>
        <w:pStyle w:val="F21"/>
        <w:tabs>
          <w:tab w:val="left" w:pos="480" w:leader="none"/>
          <w:tab w:val="left" w:pos="567" w:leader="none"/>
        </w:tabs>
        <w:spacing w:lineRule="atLeast" w:line="370"/>
        <w:rPr/>
      </w:pPr>
      <w:r>
        <w:rPr/>
      </w:r>
    </w:p>
    <w:p>
      <w:pPr>
        <w:pStyle w:val="F21"/>
        <w:tabs>
          <w:tab w:val="left" w:pos="480" w:leader="none"/>
          <w:tab w:val="left" w:pos="567" w:leader="none"/>
        </w:tabs>
        <w:spacing w:lineRule="atLeast" w:line="370"/>
        <w:rPr/>
      </w:pPr>
      <w:r>
        <w:rPr>
          <w:rFonts w:ascii="華康中黑體" w:hAnsi="華康中黑體" w:cs="華康中黑體" w:eastAsia="華康中黑體"/>
          <w:b/>
          <w:szCs w:val="27"/>
        </w:rPr>
        <w:t>梁國雄議員</w:t>
      </w:r>
      <w:r>
        <w:rPr>
          <w:szCs w:val="27"/>
        </w:rPr>
        <w:t>：</w:t>
      </w:r>
      <w:r>
        <w:rPr/>
        <w:t>知道，我只是聽得有點礙耳而已。</w:t>
      </w:r>
    </w:p>
    <w:p>
      <w:pPr>
        <w:pStyle w:val="F21"/>
        <w:tabs>
          <w:tab w:val="left" w:pos="480" w:leader="none"/>
          <w:tab w:val="left" w:pos="567" w:leader="none"/>
        </w:tabs>
        <w:spacing w:lineRule="atLeast" w:line="370"/>
        <w:rPr/>
      </w:pPr>
      <w:r>
        <w:rPr/>
      </w:r>
    </w:p>
    <w:p>
      <w:pPr>
        <w:pStyle w:val="F21"/>
        <w:tabs>
          <w:tab w:val="left" w:pos="480" w:leader="none"/>
          <w:tab w:val="left" w:pos="567" w:leader="none"/>
        </w:tabs>
        <w:spacing w:lineRule="atLeast" w:line="370"/>
        <w:rPr>
          <w:rFonts w:ascii="華康中黑體" w:hAnsi="華康中黑體" w:eastAsia="華康中黑體" w:cs="華康中黑體"/>
          <w:b/>
          <w:b/>
          <w:szCs w:val="27"/>
        </w:rPr>
      </w:pPr>
      <w:r>
        <w:rPr>
          <w:rFonts w:eastAsia="華康中黑體" w:cs="華康中黑體" w:ascii="華康中黑體" w:hAnsi="華康中黑體"/>
          <w:b/>
          <w:szCs w:val="27"/>
        </w:rPr>
      </w:r>
    </w:p>
    <w:p>
      <w:pPr>
        <w:pStyle w:val="F21"/>
        <w:tabs>
          <w:tab w:val="left" w:pos="480" w:leader="none"/>
          <w:tab w:val="left" w:pos="567" w:leader="none"/>
        </w:tabs>
        <w:spacing w:lineRule="atLeast" w:line="370"/>
        <w:rPr>
          <w:szCs w:val="27"/>
        </w:rPr>
      </w:pPr>
      <w:r>
        <w:rPr>
          <w:rFonts w:ascii="華康中黑體" w:hAnsi="華康中黑體" w:cs="華康中黑體" w:eastAsia="華康中黑體"/>
          <w:b/>
          <w:szCs w:val="27"/>
        </w:rPr>
        <w:t>陳恒鑌議員</w:t>
      </w:r>
      <w:r>
        <w:rPr>
          <w:szCs w:val="27"/>
        </w:rPr>
        <w:t>：這項比賽在學界極具意義，因為可以匯聚全球各地的年青數學精英一同切磋數學，當中亦有不少選手日後可能成為頂尖數學家，所以這項比賽的影響力實在不容忽視。這次香港能夠取得</w:t>
      </w:r>
      <w:r>
        <w:rPr>
          <w:szCs w:val="27"/>
        </w:rPr>
        <w:t>2016</w:t>
      </w:r>
      <w:r>
        <w:rPr>
          <w:szCs w:val="27"/>
        </w:rPr>
        <w:t>年第五十七屆奧數的主辦權，實在是一件令人雀躍和鼓舞的事，所以民建聯支持葉劉淑儀議員這項議案。現時距離這項比賽還有兩年時間，應該有充分時間作好準備，所以我希望政府和社會各界鼎力支持這次比賽，促使這項盛事能夠舉行，並且藉此機會提升香港的數理學術水平，加強香港的人才培育。</w:t>
      </w:r>
    </w:p>
    <w:p>
      <w:pPr>
        <w:pStyle w:val="F21"/>
        <w:tabs>
          <w:tab w:val="left" w:pos="480" w:leader="none"/>
          <w:tab w:val="left" w:pos="567" w:leader="none"/>
        </w:tabs>
        <w:rPr>
          <w:szCs w:val="27"/>
        </w:rPr>
      </w:pPr>
      <w:r>
        <w:rPr>
          <w:szCs w:val="27"/>
        </w:rPr>
      </w:r>
    </w:p>
    <w:p>
      <w:pPr>
        <w:pStyle w:val="F21"/>
        <w:rPr>
          <w:szCs w:val="27"/>
        </w:rPr>
      </w:pPr>
      <w:r>
        <w:rPr>
          <w:szCs w:val="27"/>
        </w:rPr>
        <w:tab/>
      </w:r>
      <w:r>
        <w:rPr>
          <w:szCs w:val="27"/>
        </w:rPr>
        <w:t>自</w:t>
      </w:r>
      <w:r>
        <w:rPr>
          <w:szCs w:val="27"/>
        </w:rPr>
        <w:t>1988</w:t>
      </w:r>
      <w:r>
        <w:rPr>
          <w:szCs w:val="27"/>
        </w:rPr>
        <w:t>年起，香港每年均有派隊參加奧數比賽，今年我們在哥倫比亞舉行的奧數比賽中取得</w:t>
      </w:r>
      <w:r>
        <w:rPr>
          <w:szCs w:val="27"/>
        </w:rPr>
        <w:t>1</w:t>
      </w:r>
      <w:r>
        <w:rPr>
          <w:szCs w:val="27"/>
        </w:rPr>
        <w:t>銀</w:t>
      </w:r>
      <w:r>
        <w:rPr>
          <w:szCs w:val="27"/>
        </w:rPr>
        <w:t>5</w:t>
      </w:r>
      <w:r>
        <w:rPr>
          <w:szCs w:val="27"/>
        </w:rPr>
        <w:t>銅的獎牌，在</w:t>
      </w:r>
      <w:r>
        <w:rPr>
          <w:szCs w:val="27"/>
        </w:rPr>
        <w:t>97</w:t>
      </w:r>
      <w:r>
        <w:rPr>
          <w:szCs w:val="27"/>
        </w:rPr>
        <w:t>隊中我們排第三十一名。說到派隊參賽，我以前就讀的母校自</w:t>
      </w:r>
      <w:r>
        <w:rPr>
          <w:szCs w:val="27"/>
        </w:rPr>
        <w:t>90</w:t>
      </w:r>
      <w:r>
        <w:rPr>
          <w:szCs w:val="27"/>
        </w:rPr>
        <w:t>年代開始，便已經派出同學參加奧數比賽，當中參加比賽的同學都得到非常好的成績，有亞洲第一及世界前數名等，我們均非常鼓舞。得知他們獲獎，全校都非常開心，亦帶動整個校園學習數學的氣氛。</w:t>
      </w:r>
    </w:p>
    <w:p>
      <w:pPr>
        <w:pStyle w:val="F21"/>
        <w:rPr>
          <w:szCs w:val="27"/>
        </w:rPr>
      </w:pPr>
      <w:r>
        <w:rPr>
          <w:szCs w:val="27"/>
        </w:rPr>
      </w:r>
    </w:p>
    <w:p>
      <w:pPr>
        <w:pStyle w:val="F21"/>
        <w:rPr>
          <w:szCs w:val="27"/>
        </w:rPr>
      </w:pPr>
      <w:r>
        <w:rPr>
          <w:szCs w:val="27"/>
        </w:rPr>
        <w:tab/>
      </w:r>
      <w:r>
        <w:rPr>
          <w:szCs w:val="27"/>
        </w:rPr>
        <w:t>我記得當年數學學會招收的會員人數激增，隨後數年我們都有派隊參加，而母校所派出的隊伍都取得很好的成績。奧數在校園裏，似乎可以帶動一種學習數學的氣氛，而我們的老師亦因為要提升大家學習數學的興趣，便會提供一些比較特別的題目讓我們思考。</w:t>
      </w:r>
    </w:p>
    <w:p>
      <w:pPr>
        <w:pStyle w:val="F21"/>
        <w:rPr>
          <w:szCs w:val="27"/>
        </w:rPr>
      </w:pPr>
      <w:r>
        <w:rPr>
          <w:szCs w:val="27"/>
        </w:rPr>
      </w:r>
    </w:p>
    <w:p>
      <w:pPr>
        <w:pStyle w:val="F21"/>
        <w:rPr>
          <w:szCs w:val="27"/>
        </w:rPr>
      </w:pPr>
      <w:r>
        <w:rPr>
          <w:szCs w:val="27"/>
        </w:rPr>
        <w:tab/>
      </w:r>
      <w:r>
        <w:rPr>
          <w:szCs w:val="27"/>
        </w:rPr>
        <w:t>剛才有議員表示有關的議題很是奇怪。但是，正正因為有這些奇怪題目，而我們又能夠破解，我相信喜歡數學的人便會知道當中的樂趣。母校亦覺得透過學生參加這些比賽，能夠有效提升學習數學的氣氛。</w:t>
      </w:r>
    </w:p>
    <w:p>
      <w:pPr>
        <w:pStyle w:val="F21"/>
        <w:rPr>
          <w:szCs w:val="27"/>
        </w:rPr>
      </w:pPr>
      <w:r>
        <w:rPr>
          <w:szCs w:val="27"/>
        </w:rPr>
      </w:r>
    </w:p>
    <w:p>
      <w:pPr>
        <w:pStyle w:val="F21"/>
        <w:rPr>
          <w:szCs w:val="27"/>
        </w:rPr>
      </w:pPr>
      <w:r>
        <w:rPr>
          <w:szCs w:val="27"/>
        </w:rPr>
        <w:tab/>
      </w:r>
      <w:r>
        <w:rPr>
          <w:szCs w:val="27"/>
        </w:rPr>
        <w:t>雖然香港每年只派出</w:t>
      </w:r>
      <w:r>
        <w:rPr>
          <w:szCs w:val="27"/>
        </w:rPr>
        <w:t>6</w:t>
      </w:r>
      <w:r>
        <w:rPr>
          <w:szCs w:val="27"/>
        </w:rPr>
        <w:t>名同學參賽，但在比賽前接受訓練的學生人數，其實數以千計。此外，由奧數而衍生出的其他類型數學比賽，其實不計其數。我們覺得奧數所練習的內容不是重點，反而是帶動這種學習數學的氣氛，會令同學對數學更加關注，這才是更加重要。</w:t>
      </w:r>
    </w:p>
    <w:p>
      <w:pPr>
        <w:pStyle w:val="F21"/>
        <w:rPr>
          <w:szCs w:val="27"/>
        </w:rPr>
      </w:pPr>
      <w:r>
        <w:rPr>
          <w:szCs w:val="27"/>
        </w:rPr>
      </w:r>
    </w:p>
    <w:p>
      <w:pPr>
        <w:pStyle w:val="F21"/>
        <w:rPr>
          <w:szCs w:val="27"/>
        </w:rPr>
      </w:pPr>
      <w:r>
        <w:rPr>
          <w:szCs w:val="27"/>
        </w:rPr>
        <w:tab/>
      </w:r>
      <w:r>
        <w:rPr>
          <w:szCs w:val="27"/>
        </w:rPr>
        <w:t>剛才梁耀忠議員表示，這些少數人的玩意，大多數人都不會參與。其實這正正為對數學有興趣的同學提供一個機會，讓他們可以表現其一技所長。我們覺得作為一個文明社會，我們應該讓學生發揮其一技之長。</w:t>
      </w:r>
    </w:p>
    <w:p>
      <w:pPr>
        <w:pStyle w:val="F21"/>
        <w:rPr>
          <w:szCs w:val="27"/>
        </w:rPr>
      </w:pPr>
      <w:r>
        <w:rPr>
          <w:szCs w:val="27"/>
        </w:rPr>
      </w:r>
    </w:p>
    <w:p>
      <w:pPr>
        <w:pStyle w:val="F21"/>
        <w:rPr>
          <w:szCs w:val="27"/>
        </w:rPr>
      </w:pPr>
      <w:r>
        <w:rPr>
          <w:szCs w:val="27"/>
        </w:rPr>
        <w:tab/>
      </w:r>
      <w:r>
        <w:rPr>
          <w:szCs w:val="27"/>
        </w:rPr>
        <w:t>香港作為一個國際城市，應該培育學生具備國際視野，這對於學生應對各種挑戰是非常重要的。因此，我們鼓勵學生參加奧數，正正就是讓他們有機會接觸國際盛事，擴闊他們的視野。其實學生不論取得甚麼成績，只要他們有機會參加，我相信這會提升他們的自信心，亦會對他們學習其他科目事半功倍。</w:t>
      </w:r>
    </w:p>
    <w:p>
      <w:pPr>
        <w:pStyle w:val="F21"/>
        <w:rPr>
          <w:szCs w:val="27"/>
        </w:rPr>
      </w:pPr>
      <w:r>
        <w:rPr>
          <w:szCs w:val="27"/>
        </w:rPr>
      </w:r>
    </w:p>
    <w:p>
      <w:pPr>
        <w:pStyle w:val="F21"/>
        <w:rPr>
          <w:szCs w:val="27"/>
        </w:rPr>
      </w:pPr>
      <w:r>
        <w:rPr>
          <w:szCs w:val="27"/>
        </w:rPr>
        <w:tab/>
      </w:r>
      <w:r>
        <w:rPr>
          <w:szCs w:val="27"/>
        </w:rPr>
        <w:t>早前，經濟合作與發展組織公布了“</w:t>
      </w:r>
      <w:r>
        <w:rPr>
          <w:szCs w:val="27"/>
        </w:rPr>
        <w:t>2012</w:t>
      </w:r>
      <w:r>
        <w:rPr>
          <w:szCs w:val="27"/>
        </w:rPr>
        <w:t>學生能力國際評估計劃”的結果，香港在</w:t>
      </w:r>
      <w:r>
        <w:rPr>
          <w:szCs w:val="27"/>
        </w:rPr>
        <w:t>65</w:t>
      </w:r>
      <w:r>
        <w:rPr>
          <w:szCs w:val="27"/>
        </w:rPr>
        <w:t>個國家或地區中排名第三，我們的數學水平絕不遜色。此外，如果我們有機會舉辦這些數學比賽，我相信未來我們的數學水平會有提升，而不會降低，亦不會令學生只是做一些呆板的操練。</w:t>
      </w:r>
    </w:p>
    <w:p>
      <w:pPr>
        <w:pStyle w:val="F21"/>
        <w:tabs>
          <w:tab w:val="left" w:pos="480" w:leader="none"/>
          <w:tab w:val="left" w:pos="567" w:leader="none"/>
        </w:tabs>
        <w:rPr>
          <w:szCs w:val="27"/>
        </w:rPr>
      </w:pPr>
      <w:r>
        <w:rPr>
          <w:szCs w:val="27"/>
        </w:rPr>
      </w:r>
    </w:p>
    <w:p>
      <w:pPr>
        <w:pStyle w:val="F21"/>
        <w:rPr>
          <w:szCs w:val="27"/>
        </w:rPr>
      </w:pPr>
      <w:r>
        <w:rPr>
          <w:szCs w:val="27"/>
        </w:rPr>
        <w:tab/>
      </w:r>
      <w:r>
        <w:rPr>
          <w:szCs w:val="27"/>
        </w:rPr>
        <w:t>葉建源議員提出了一條沒有甚麼人懂得回答的三年級數學題目，其實提出這條題目沒有甚麼意思，因為很多時學習數學的朋友都知道，數學是要操練的，看慣了這類題目，便會很容易解答。我這裏有一條數學題：凡修讀理科的人都知道的</w:t>
      </w:r>
      <w:r>
        <w:rPr>
          <w:szCs w:val="27"/>
        </w:rPr>
        <w:t>integration</w:t>
      </w:r>
      <w:r>
        <w:rPr>
          <w:szCs w:val="27"/>
        </w:rPr>
        <w:t>，我們以前一看便知道答案；但是，我剛才在</w:t>
      </w:r>
      <w:r>
        <w:rPr>
          <w:szCs w:val="27"/>
        </w:rPr>
        <w:t>Ante-Chamber</w:t>
      </w:r>
      <w:r>
        <w:rPr>
          <w:szCs w:val="27"/>
        </w:rPr>
        <w:t>問一些唸理科的議員，他們也表示記不起了，以前卻是懂的。</w:t>
      </w:r>
    </w:p>
    <w:p>
      <w:pPr>
        <w:pStyle w:val="F21"/>
        <w:rPr>
          <w:szCs w:val="27"/>
        </w:rPr>
      </w:pPr>
      <w:r>
        <w:rPr>
          <w:szCs w:val="27"/>
        </w:rPr>
      </w:r>
    </w:p>
    <w:p>
      <w:pPr>
        <w:pStyle w:val="F21"/>
        <w:rPr>
          <w:szCs w:val="27"/>
        </w:rPr>
      </w:pPr>
      <w:r>
        <w:rPr>
          <w:szCs w:val="27"/>
        </w:rPr>
        <w:tab/>
      </w:r>
      <w:r>
        <w:rPr>
          <w:szCs w:val="27"/>
        </w:rPr>
        <w:t>事實上，有時同學在學習一些東西，他們經常操練後便一定會很簡單地得到答案，而不會好像葉議員所說般，他們操練得很淒慘，因而應該把全港性系統評估取消。所以，就葉議員的修正案中提及的全港性系統評估，民建聯認為該評估有其必要，雖然有不足之處，但由於這是一種檢視各學校水平的工具，我們不贊成廢除有關評估。因此，我們會對葉建源議員的修正案投棄權票。</w:t>
      </w:r>
    </w:p>
    <w:p>
      <w:pPr>
        <w:pStyle w:val="F21"/>
        <w:rPr>
          <w:szCs w:val="27"/>
        </w:rPr>
      </w:pPr>
      <w:r>
        <w:rPr>
          <w:szCs w:val="27"/>
        </w:rPr>
      </w:r>
    </w:p>
    <w:p>
      <w:pPr>
        <w:pStyle w:val="F21"/>
        <w:rPr>
          <w:szCs w:val="27"/>
        </w:rPr>
      </w:pPr>
      <w:r>
        <w:rPr>
          <w:szCs w:val="27"/>
        </w:rPr>
        <w:tab/>
      </w:r>
      <w:r>
        <w:rPr>
          <w:szCs w:val="27"/>
        </w:rPr>
        <w:t>張國柱議員、梁耀忠議員及梁繼昌議員的修正案刪除了原議案的大部分內容，有些甚至把整項議案的焦點轉移，我們並不贊同這種做法，所以我們會投反對票。至於謝偉銓議員及莫乃光議員的修正案，由於它們提出了有建設性的建議，我們會予以支持。</w:t>
      </w:r>
    </w:p>
    <w:p>
      <w:pPr>
        <w:pStyle w:val="F21"/>
        <w:rPr>
          <w:szCs w:val="27"/>
        </w:rPr>
      </w:pPr>
      <w:r>
        <w:rPr>
          <w:szCs w:val="27"/>
        </w:rPr>
      </w:r>
    </w:p>
    <w:p>
      <w:pPr>
        <w:pStyle w:val="F21"/>
        <w:rPr>
          <w:szCs w:val="27"/>
        </w:rPr>
      </w:pPr>
      <w:r>
        <w:rPr>
          <w:szCs w:val="27"/>
        </w:rPr>
        <w:tab/>
      </w:r>
      <w:r>
        <w:rPr>
          <w:szCs w:val="27"/>
        </w:rPr>
        <w:t>主席，我謹此陳辭。</w:t>
      </w:r>
    </w:p>
    <w:p>
      <w:pPr>
        <w:pStyle w:val="F21"/>
        <w:rPr/>
      </w:pPr>
      <w:r>
        <w:rPr/>
      </w:r>
    </w:p>
    <w:p>
      <w:pPr>
        <w:pStyle w:val="F21"/>
        <w:rPr/>
      </w:pPr>
      <w:r>
        <w:rPr/>
      </w:r>
    </w:p>
    <w:p>
      <w:pPr>
        <w:pStyle w:val="F21"/>
        <w:spacing w:lineRule="atLeast" w:line="370"/>
        <w:rPr>
          <w:szCs w:val="27"/>
        </w:rPr>
      </w:pPr>
      <w:r>
        <w:rPr>
          <w:rFonts w:cs="華康中黑體" w:eastAsia="華康中黑體"/>
          <w:b/>
          <w:szCs w:val="27"/>
        </w:rPr>
        <w:t>姚思榮議員</w:t>
      </w:r>
      <w:r>
        <w:rPr>
          <w:szCs w:val="27"/>
        </w:rPr>
        <w:t>：主席，我首先申報，我就職的公司有可能參加第五十七屆國際數學奧林匹克競賽接待的投標及報價。</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香港作為國際知名的城市，有必要定期舉辦不同形式的賽事和活動，以宣傳香港大都會的形象，給世界各地的朋友體驗香港在國際盛事中的策劃統籌能力、公關接待能力，對香港的旅遊業及零售業亦會帶來直接的幫助。多年來，政府及各有關的團體都會不遺餘力地爭取一些高層次、專業性的活動在香港舉行，社會各界都會支持及配合，效果亦相當明顯。</w:t>
      </w:r>
    </w:p>
    <w:p>
      <w:pPr>
        <w:pStyle w:val="F21"/>
        <w:spacing w:lineRule="atLeast" w:line="370"/>
        <w:rPr>
          <w:szCs w:val="27"/>
        </w:rPr>
      </w:pPr>
      <w:r>
        <w:rPr>
          <w:szCs w:val="27"/>
        </w:rPr>
      </w:r>
    </w:p>
    <w:p>
      <w:pPr>
        <w:pStyle w:val="F21"/>
        <w:spacing w:lineRule="atLeast" w:line="370"/>
        <w:rPr>
          <w:szCs w:val="27"/>
        </w:rPr>
      </w:pPr>
      <w:r>
        <w:rPr>
          <w:szCs w:val="27"/>
        </w:rPr>
        <w:tab/>
        <w:t>2016</w:t>
      </w:r>
      <w:r>
        <w:rPr>
          <w:szCs w:val="27"/>
        </w:rPr>
        <w:t>年</w:t>
      </w:r>
      <w:r>
        <w:rPr>
          <w:szCs w:val="27"/>
        </w:rPr>
        <w:t>7</w:t>
      </w:r>
      <w:r>
        <w:rPr>
          <w:szCs w:val="27"/>
        </w:rPr>
        <w:t>月，國際數學奧林匹克競賽</w:t>
      </w:r>
      <w:r>
        <w:rPr>
          <w:szCs w:val="27"/>
        </w:rPr>
        <w:t>(“</w:t>
      </w:r>
      <w:r>
        <w:rPr>
          <w:szCs w:val="27"/>
        </w:rPr>
        <w:t>奧數”</w:t>
      </w:r>
      <w:r>
        <w:rPr>
          <w:szCs w:val="27"/>
        </w:rPr>
        <w:t>)</w:t>
      </w:r>
      <w:r>
        <w:rPr>
          <w:szCs w:val="27"/>
        </w:rPr>
        <w:t>將由香港主辦，這是世界公認為水平最高的中學數學競賽，也是國際上最有影響的學科競賽之一，屆時預計會有超過</w:t>
      </w:r>
      <w:r>
        <w:rPr>
          <w:szCs w:val="27"/>
        </w:rPr>
        <w:t>100</w:t>
      </w:r>
      <w:r>
        <w:rPr>
          <w:szCs w:val="27"/>
        </w:rPr>
        <w:t>個國家、</w:t>
      </w:r>
      <w:r>
        <w:rPr>
          <w:szCs w:val="27"/>
        </w:rPr>
        <w:t>1 000</w:t>
      </w:r>
      <w:r>
        <w:rPr>
          <w:szCs w:val="27"/>
        </w:rPr>
        <w:t>多名參賽者及隨員來港。奧數比賽能在香港舉行，將會得到國際傳媒廣泛報道，有助提升香港在國際的整體形象、學術地位及知名度，令參與者、參賽學生及其家長一起感受到香港的城市魅力和好客文化。與此同時，借助本次賽事向香港的學生及家長傳達正面推廣數學科的信息，提振重視學習數學的風氣，無論在短、中、長期都會對香港各方面尤其是學界都會有正面的影響，希望政府能夠向賽事投入資源，盡好地主之誼，讓賽事能夠順利舉行，充分利用好這次宣傳香港的機會。</w:t>
      </w:r>
    </w:p>
    <w:p>
      <w:pPr>
        <w:pStyle w:val="F21"/>
        <w:spacing w:lineRule="atLeast" w:line="370"/>
        <w:rPr>
          <w:szCs w:val="27"/>
        </w:rPr>
      </w:pPr>
      <w:r>
        <w:rPr>
          <w:szCs w:val="27"/>
        </w:rPr>
      </w:r>
    </w:p>
    <w:p>
      <w:pPr>
        <w:pStyle w:val="F21"/>
        <w:spacing w:lineRule="atLeast" w:line="370"/>
        <w:rPr>
          <w:szCs w:val="27"/>
        </w:rPr>
      </w:pPr>
      <w:r>
        <w:rPr>
          <w:szCs w:val="27"/>
        </w:rPr>
        <w:tab/>
      </w:r>
      <w:r>
        <w:rPr>
          <w:szCs w:val="27"/>
        </w:rPr>
        <w:t>主席，要籌備好此次活動，我認為要注意以下幾個問題：</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第一，政府要支持。按以往組織同類活動的經驗，單靠主辦方一己之力，要達致明顯的成效，會有一定的困難。我同意葉劉淑儀</w:t>
      </w:r>
      <w:r>
        <w:rPr>
          <w:rFonts w:ascii="華康細明體" w:hAnsi="華康細明體"/>
          <w:szCs w:val="27"/>
        </w:rPr>
        <w:t>議員</w:t>
      </w:r>
      <w:r>
        <w:rPr>
          <w:szCs w:val="27"/>
        </w:rPr>
        <w:t>的意見，歷屆的賽事要做到有聲有色，主辦國一般會請當地重量級的人士擔任贊助人，香港</w:t>
      </w:r>
      <w:r>
        <w:rPr>
          <w:szCs w:val="27"/>
        </w:rPr>
        <w:t>1994</w:t>
      </w:r>
      <w:r>
        <w:rPr>
          <w:szCs w:val="27"/>
        </w:rPr>
        <w:t>年主辦此項賽事的時候，也是由時任總督彭定康先生親自擔任贊助人。如行政長官能擔任此次奧數比賽贊助人，既顯示政府對奧數比賽的重視程度，亦有利鼓勵各方積極參與及贊助，政府各部門更會着力支持這項賽事，賽事成功的機會就會更大。</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第二，在開支方面要實事求是。記得上一次香港主辦奧數時便遇到籌款困難，籌委會一度考慮放棄主辦，項目差點流產。</w:t>
      </w:r>
      <w:r>
        <w:rPr>
          <w:szCs w:val="27"/>
        </w:rPr>
        <w:t>1980</w:t>
      </w:r>
      <w:r>
        <w:rPr>
          <w:szCs w:val="27"/>
        </w:rPr>
        <w:t>年蒙古主辦時，就是因為無法支付比賽費用，比賽停辦一年。借鑒之前的經驗，香港再次舉辦此項賽事，應該堅持量入為出的精神，應盡量壓縮各項開支，做好預算，避免出現財政問題。奧數比賽面向的是中學生，又是學術性的交流活動，賽事的安排應該以專業、安全、優質、節約為原則，遊覽活動主要是讓參賽者體驗香港的地道特色，接待規格切忌奢華。</w:t>
      </w:r>
    </w:p>
    <w:p>
      <w:pPr>
        <w:pStyle w:val="F21"/>
        <w:spacing w:lineRule="atLeast" w:line="370"/>
        <w:rPr>
          <w:szCs w:val="27"/>
        </w:rPr>
      </w:pPr>
      <w:r>
        <w:rPr>
          <w:szCs w:val="27"/>
        </w:rPr>
      </w:r>
    </w:p>
    <w:p>
      <w:pPr>
        <w:pStyle w:val="F21"/>
        <w:spacing w:lineRule="atLeast" w:line="370"/>
        <w:rPr>
          <w:szCs w:val="27"/>
        </w:rPr>
      </w:pPr>
      <w:r>
        <w:rPr>
          <w:szCs w:val="27"/>
        </w:rPr>
        <w:tab/>
      </w:r>
      <w:r>
        <w:rPr>
          <w:szCs w:val="27"/>
        </w:rPr>
        <w:t>根據主辦機構的預算，整項賽事約花費</w:t>
      </w:r>
      <w:r>
        <w:rPr>
          <w:szCs w:val="27"/>
        </w:rPr>
        <w:t>2,000</w:t>
      </w:r>
      <w:r>
        <w:rPr>
          <w:szCs w:val="27"/>
        </w:rPr>
        <w:t>萬元。雖然得到教育局同意贊助開幕、閉幕典禮和製作獎牌等費用，目前仍有較大的財政缺口。我同意賽事除要力爭各方贊助外，政府亦應協助主辦機構申請盛事基金，作為起動費用，讓主辦機構有資金、有時間落實未來一系列的動員和組織工作。</w:t>
      </w:r>
    </w:p>
    <w:p>
      <w:pPr>
        <w:pStyle w:val="F21"/>
        <w:spacing w:lineRule="atLeast" w:line="370"/>
        <w:rPr>
          <w:szCs w:val="27"/>
        </w:rPr>
      </w:pPr>
      <w:r>
        <w:rPr>
          <w:szCs w:val="27"/>
        </w:rPr>
      </w:r>
    </w:p>
    <w:p>
      <w:pPr>
        <w:pStyle w:val="F21"/>
        <w:spacing w:lineRule="atLeast" w:line="370"/>
        <w:rPr>
          <w:szCs w:val="27"/>
        </w:rPr>
      </w:pPr>
      <w:r>
        <w:rPr>
          <w:szCs w:val="27"/>
        </w:rPr>
        <w:tab/>
      </w:r>
      <w:r>
        <w:rPr>
          <w:szCs w:val="27"/>
        </w:rPr>
        <w:t>第三，要充分利用社會及政府的資源。大家知道，各國參賽者及隨行人員在香港期間，難免會參加各項文娛及旅遊活動，如果主辦機構能主動爭取，其實有很多現成的資源可以考慮，例如：對於政府有投資的景點，包括迪士尼、海洋公園、昂坪</w:t>
      </w:r>
      <w:r>
        <w:rPr>
          <w:szCs w:val="27"/>
        </w:rPr>
        <w:t>360</w:t>
      </w:r>
      <w:r>
        <w:rPr>
          <w:szCs w:val="27"/>
        </w:rPr>
        <w:t>、濕地公園等，嘗試向對方要求提供活動場地及門票贊助；康文署可以協助舉辦戲曲及音樂會等專場表現；香港博物館和展覽館可以因應當時的主題，安排相關的專題展覽。如果能成功取得各有關單位支持，不僅可以減輕主辦機構成本，參與各方為達宣傳之效亦會積極配合，有利整項活動的進行。</w:t>
      </w:r>
    </w:p>
    <w:p>
      <w:pPr>
        <w:pStyle w:val="F21"/>
        <w:rPr>
          <w:szCs w:val="27"/>
        </w:rPr>
      </w:pPr>
      <w:r>
        <w:rPr>
          <w:szCs w:val="27"/>
        </w:rPr>
      </w:r>
    </w:p>
    <w:p>
      <w:pPr>
        <w:pStyle w:val="F21"/>
        <w:rPr>
          <w:szCs w:val="27"/>
        </w:rPr>
      </w:pPr>
      <w:r>
        <w:rPr>
          <w:szCs w:val="27"/>
        </w:rPr>
        <w:tab/>
      </w:r>
      <w:r>
        <w:rPr>
          <w:szCs w:val="27"/>
        </w:rPr>
        <w:t>主席，我會支持葉劉淑儀</w:t>
      </w:r>
      <w:r>
        <w:rPr>
          <w:rFonts w:ascii="華康細明體" w:hAnsi="華康細明體"/>
          <w:szCs w:val="27"/>
        </w:rPr>
        <w:t>議員</w:t>
      </w:r>
      <w:r>
        <w:rPr>
          <w:szCs w:val="27"/>
        </w:rPr>
        <w:t>的原議案，預祝數學大賽能成功舉辦。</w:t>
      </w:r>
    </w:p>
    <w:p>
      <w:pPr>
        <w:pStyle w:val="F21"/>
        <w:rPr>
          <w:szCs w:val="27"/>
        </w:rPr>
      </w:pPr>
      <w:r>
        <w:rPr>
          <w:szCs w:val="27"/>
        </w:rPr>
      </w:r>
    </w:p>
    <w:p>
      <w:pPr>
        <w:pStyle w:val="F21"/>
        <w:rPr>
          <w:szCs w:val="27"/>
        </w:rPr>
      </w:pPr>
      <w:r>
        <w:rPr>
          <w:szCs w:val="27"/>
        </w:rPr>
        <w:tab/>
      </w:r>
      <w:r>
        <w:rPr>
          <w:szCs w:val="27"/>
        </w:rPr>
        <w:t>我謹此陳辭。</w:t>
      </w:r>
    </w:p>
    <w:p>
      <w:pPr>
        <w:pStyle w:val="F21"/>
        <w:rPr>
          <w:szCs w:val="27"/>
        </w:rPr>
      </w:pPr>
      <w:r>
        <w:rPr>
          <w:szCs w:val="27"/>
        </w:rPr>
      </w:r>
    </w:p>
    <w:p>
      <w:pPr>
        <w:pStyle w:val="F21"/>
        <w:rPr>
          <w:szCs w:val="27"/>
        </w:rPr>
      </w:pPr>
      <w:r>
        <w:rPr>
          <w:szCs w:val="27"/>
        </w:rPr>
      </w:r>
    </w:p>
    <w:p>
      <w:pPr>
        <w:pStyle w:val="F21"/>
        <w:rPr/>
      </w:pPr>
      <w:r>
        <w:rPr>
          <w:rFonts w:ascii="華康中黑體" w:hAnsi="華康中黑體" w:eastAsia="華康中黑體"/>
          <w:b/>
        </w:rPr>
        <w:t>主席</w:t>
      </w:r>
      <w:r>
        <w:rPr>
          <w:rFonts w:ascii="華康中黑體" w:hAnsi="華康中黑體"/>
        </w:rPr>
        <w:t>：</w:t>
      </w:r>
      <w:r>
        <w:rPr/>
        <w:t>是否有其他議員想發言？</w:t>
      </w:r>
    </w:p>
    <w:p>
      <w:pPr>
        <w:pStyle w:val="F21"/>
        <w:rPr/>
      </w:pPr>
      <w:r>
        <w:rPr/>
      </w:r>
    </w:p>
    <w:p>
      <w:pPr>
        <w:pStyle w:val="F21"/>
        <w:rPr/>
      </w:pPr>
      <w:r>
        <w:rPr/>
      </w:r>
    </w:p>
    <w:p>
      <w:pPr>
        <w:pStyle w:val="F21"/>
        <w:spacing w:lineRule="atLeast" w:line="370"/>
        <w:rPr>
          <w:szCs w:val="27"/>
        </w:rPr>
      </w:pPr>
      <w:r>
        <w:rPr>
          <w:rFonts w:eastAsia="華康中黑體"/>
          <w:b/>
          <w:szCs w:val="27"/>
        </w:rPr>
        <w:t>李慧琼議員</w:t>
      </w:r>
      <w:r>
        <w:rPr>
          <w:szCs w:val="27"/>
        </w:rPr>
        <w:t>：主席，關於民建聯對這項議案的立場，陳恒鑌議員已經提述，我不再重複。我想發言的原因是因為要回應葉建源議員修正案中提到的</w:t>
      </w:r>
      <w:r>
        <w:rPr>
          <w:rFonts w:ascii="華康細明體" w:hAnsi="華康細明體"/>
          <w:szCs w:val="27"/>
        </w:rPr>
        <w:t>全港性系統評估</w:t>
      </w:r>
      <w:r>
        <w:rPr>
          <w:szCs w:val="27"/>
        </w:rPr>
        <w:t>(TSA)</w:t>
      </w:r>
      <w:r>
        <w:rPr>
          <w:szCs w:val="27"/>
        </w:rPr>
        <w:t>，我對此深有感受。首次認識</w:t>
      </w:r>
      <w:r>
        <w:rPr>
          <w:szCs w:val="27"/>
        </w:rPr>
        <w:t>TSA</w:t>
      </w:r>
      <w:r>
        <w:rPr>
          <w:szCs w:val="27"/>
        </w:rPr>
        <w:t>是小女唸二年級時，每逢長假期校方均會要求學生完成中、英、數最少各一份</w:t>
      </w:r>
      <w:r>
        <w:rPr>
          <w:szCs w:val="27"/>
        </w:rPr>
        <w:t>TSA</w:t>
      </w:r>
      <w:r>
        <w:rPr>
          <w:szCs w:val="27"/>
        </w:rPr>
        <w:t>測驗卷。這些</w:t>
      </w:r>
      <w:r>
        <w:rPr>
          <w:szCs w:val="27"/>
        </w:rPr>
        <w:t>TSA</w:t>
      </w:r>
      <w:r>
        <w:rPr>
          <w:szCs w:val="27"/>
        </w:rPr>
        <w:t>測驗卷的內容正如毛孟靜議員或其他議員剛才所說，真的非常深奧，如果沒有家長陪同，要一名小學二年級學生在</w:t>
      </w:r>
      <w:r>
        <w:rPr>
          <w:szCs w:val="27"/>
        </w:rPr>
        <w:t>30</w:t>
      </w:r>
      <w:r>
        <w:rPr>
          <w:szCs w:val="27"/>
        </w:rPr>
        <w:t>分鐘內完成當中好像有</w:t>
      </w:r>
      <w:r>
        <w:rPr>
          <w:szCs w:val="27"/>
        </w:rPr>
        <w:t>30</w:t>
      </w:r>
      <w:r>
        <w:rPr>
          <w:szCs w:val="27"/>
        </w:rPr>
        <w:t>條的題目，我認為並無可能。對一名小學生而言，我根本不認為這是一個合理的設計。</w:t>
      </w:r>
    </w:p>
    <w:p>
      <w:pPr>
        <w:pStyle w:val="F21"/>
        <w:spacing w:lineRule="atLeast" w:line="370"/>
        <w:rPr>
          <w:szCs w:val="27"/>
        </w:rPr>
      </w:pPr>
      <w:r>
        <w:rPr>
          <w:szCs w:val="27"/>
        </w:rPr>
      </w:r>
    </w:p>
    <w:p>
      <w:pPr>
        <w:pStyle w:val="F21"/>
        <w:spacing w:lineRule="atLeast" w:line="370"/>
        <w:rPr>
          <w:szCs w:val="27"/>
        </w:rPr>
      </w:pPr>
      <w:r>
        <w:rPr>
          <w:szCs w:val="27"/>
        </w:rPr>
        <w:tab/>
      </w:r>
      <w:r>
        <w:rPr>
          <w:szCs w:val="27"/>
        </w:rPr>
        <w:t>我當時並沒有深究為何會有</w:t>
      </w:r>
      <w:r>
        <w:rPr>
          <w:szCs w:val="27"/>
        </w:rPr>
        <w:t>TSA</w:t>
      </w:r>
      <w:r>
        <w:rPr>
          <w:szCs w:val="27"/>
        </w:rPr>
        <w:t>的存在。記得我小時候是參加學能測驗，而眾所周知，學能測驗講求操練，這亦是最終將之取消並引入</w:t>
      </w:r>
      <w:r>
        <w:rPr>
          <w:szCs w:val="27"/>
        </w:rPr>
        <w:t>TSA</w:t>
      </w:r>
      <w:r>
        <w:rPr>
          <w:szCs w:val="27"/>
        </w:rPr>
        <w:t>的原因。然而，在</w:t>
      </w:r>
      <w:r>
        <w:rPr>
          <w:szCs w:val="27"/>
        </w:rPr>
        <w:t>TSA</w:t>
      </w:r>
      <w:r>
        <w:rPr>
          <w:szCs w:val="27"/>
        </w:rPr>
        <w:t>出現後的今天，學校卻又如常操練，而且並非單純為訓練學生應考而操練，因為校董會檢視</w:t>
      </w:r>
      <w:r>
        <w:rPr>
          <w:szCs w:val="27"/>
        </w:rPr>
        <w:t>TSA</w:t>
      </w:r>
      <w:r>
        <w:rPr>
          <w:szCs w:val="27"/>
        </w:rPr>
        <w:t>的成績，而這方面的成績也等同老師和校長的成績表，所以相當重要，校方非常緊張。</w:t>
      </w:r>
    </w:p>
    <w:p>
      <w:pPr>
        <w:pStyle w:val="F21"/>
        <w:spacing w:lineRule="atLeast" w:line="370"/>
        <w:rPr>
          <w:szCs w:val="27"/>
        </w:rPr>
      </w:pPr>
      <w:r>
        <w:rPr>
          <w:szCs w:val="27"/>
        </w:rPr>
      </w:r>
    </w:p>
    <w:p>
      <w:pPr>
        <w:pStyle w:val="F21"/>
        <w:spacing w:lineRule="atLeast" w:line="370"/>
        <w:rPr>
          <w:szCs w:val="27"/>
        </w:rPr>
      </w:pPr>
      <w:r>
        <w:rPr>
          <w:szCs w:val="27"/>
        </w:rPr>
        <w:tab/>
      </w:r>
      <w:r>
        <w:rPr>
          <w:szCs w:val="27"/>
        </w:rPr>
        <w:t>上述原因直接導致學生現時除基本考試外，還要經常接受操練以成為</w:t>
      </w:r>
      <w:r>
        <w:rPr>
          <w:szCs w:val="27"/>
        </w:rPr>
        <w:t>TSA</w:t>
      </w:r>
      <w:r>
        <w:rPr>
          <w:szCs w:val="27"/>
        </w:rPr>
        <w:t>作業專才。記得我了解這情況後，每次遇上教育局的官員時都會問為何會有</w:t>
      </w:r>
      <w:r>
        <w:rPr>
          <w:szCs w:val="27"/>
        </w:rPr>
        <w:t>TSA</w:t>
      </w:r>
      <w:r>
        <w:rPr>
          <w:szCs w:val="27"/>
        </w:rPr>
        <w:t>的出現，以及是否有必要訂出內容如此艱深的試卷。當時的教育局尚未由吳局長帶領，因我已就這問題研究了好一陣子，而官員給我的答覆是不用緊張，因</w:t>
      </w:r>
      <w:r>
        <w:rPr>
          <w:szCs w:val="27"/>
        </w:rPr>
        <w:t>TSA</w:t>
      </w:r>
      <w:r>
        <w:rPr>
          <w:szCs w:val="27"/>
        </w:rPr>
        <w:t>不會影響學生的成績，只是用作評估學生的水平。這其實也是好事，因我亦認為應有某些評估工具，但事實上，</w:t>
      </w:r>
      <w:r>
        <w:rPr>
          <w:szCs w:val="27"/>
        </w:rPr>
        <w:t>TSA</w:t>
      </w:r>
      <w:r>
        <w:rPr>
          <w:szCs w:val="27"/>
        </w:rPr>
        <w:t>在進入學校後的確變了質，成為一種操練。</w:t>
      </w:r>
    </w:p>
    <w:p>
      <w:pPr>
        <w:pStyle w:val="F21"/>
        <w:rPr>
          <w:szCs w:val="27"/>
        </w:rPr>
      </w:pPr>
      <w:r>
        <w:rPr>
          <w:szCs w:val="27"/>
        </w:rPr>
      </w:r>
    </w:p>
    <w:p>
      <w:pPr>
        <w:pStyle w:val="F21"/>
        <w:spacing w:lineRule="atLeast" w:line="350"/>
        <w:rPr>
          <w:szCs w:val="27"/>
        </w:rPr>
      </w:pPr>
      <w:r>
        <w:rPr>
          <w:szCs w:val="27"/>
        </w:rPr>
        <w:tab/>
      </w:r>
      <w:r>
        <w:rPr>
          <w:szCs w:val="27"/>
        </w:rPr>
        <w:t>自得知</w:t>
      </w:r>
      <w:r>
        <w:rPr>
          <w:szCs w:val="27"/>
        </w:rPr>
        <w:t>TSA</w:t>
      </w:r>
      <w:r>
        <w:rPr>
          <w:szCs w:val="27"/>
        </w:rPr>
        <w:t>原來不會影響小朋友的成績後，我便叫女兒不用如此緊張，因為做不到其實也相當合理。以我的判斷，如無人從旁輔導，以她當時唸三年級的程度來說，根本不可能完成。不過，我相信並非人人像我般有機會向教育局澄清</w:t>
      </w:r>
      <w:r>
        <w:rPr>
          <w:szCs w:val="27"/>
        </w:rPr>
        <w:t>TSA</w:t>
      </w:r>
      <w:r>
        <w:rPr>
          <w:szCs w:val="27"/>
        </w:rPr>
        <w:t>的真正目的。在家長的心目中，這是相當重要的，我甚至有一種感覺，就是學校重視</w:t>
      </w:r>
      <w:r>
        <w:rPr>
          <w:szCs w:val="27"/>
        </w:rPr>
        <w:t>TSA</w:t>
      </w:r>
      <w:r>
        <w:rPr>
          <w:szCs w:val="27"/>
        </w:rPr>
        <w:t>的操練遠較其他考試為甚。當我進一步了解</w:t>
      </w:r>
      <w:r>
        <w:rPr>
          <w:szCs w:val="27"/>
        </w:rPr>
        <w:t>TSA</w:t>
      </w:r>
      <w:r>
        <w:rPr>
          <w:szCs w:val="27"/>
        </w:rPr>
        <w:t>的作用後，我更明白，由於校長十分着緊</w:t>
      </w:r>
      <w:r>
        <w:rPr>
          <w:szCs w:val="27"/>
        </w:rPr>
        <w:t>TSA</w:t>
      </w:r>
      <w:r>
        <w:rPr>
          <w:szCs w:val="27"/>
        </w:rPr>
        <w:t>的成績，於是自然迫令老師加緊操練，老師自然會因此花更多時間，甚至撥出額外的補課時間進行</w:t>
      </w:r>
      <w:r>
        <w:rPr>
          <w:szCs w:val="27"/>
        </w:rPr>
        <w:t>TSA</w:t>
      </w:r>
      <w:r>
        <w:rPr>
          <w:szCs w:val="27"/>
        </w:rPr>
        <w:t>操練。在層層相扣之下，小朋友便經常要接受</w:t>
      </w:r>
      <w:r>
        <w:rPr>
          <w:szCs w:val="27"/>
        </w:rPr>
        <w:t>TSA</w:t>
      </w:r>
      <w:r>
        <w:rPr>
          <w:szCs w:val="27"/>
        </w:rPr>
        <w:t>操練。</w:t>
      </w:r>
    </w:p>
    <w:p>
      <w:pPr>
        <w:pStyle w:val="F21"/>
        <w:spacing w:lineRule="atLeast" w:line="350"/>
        <w:rPr>
          <w:szCs w:val="27"/>
        </w:rPr>
      </w:pPr>
      <w:r>
        <w:rPr>
          <w:szCs w:val="27"/>
        </w:rPr>
      </w:r>
    </w:p>
    <w:p>
      <w:pPr>
        <w:pStyle w:val="F21"/>
        <w:spacing w:lineRule="atLeast" w:line="350"/>
        <w:rPr>
          <w:szCs w:val="27"/>
        </w:rPr>
      </w:pPr>
      <w:r>
        <w:rPr>
          <w:szCs w:val="27"/>
        </w:rPr>
        <w:tab/>
      </w:r>
      <w:r>
        <w:rPr>
          <w:szCs w:val="27"/>
        </w:rPr>
        <w:t>我曾就今天的議案內容作出思考，也當然認為</w:t>
      </w:r>
      <w:r>
        <w:rPr>
          <w:szCs w:val="27"/>
        </w:rPr>
        <w:t>TSA</w:t>
      </w:r>
      <w:r>
        <w:rPr>
          <w:szCs w:val="27"/>
        </w:rPr>
        <w:t>到了今天已然變質，這亦是學生和家長的一大壓力來源，但是否因此便可將它取消，而不對學生作出任何評估呢？在現階段而言，我認為並非如此，但卻真的很希望教育局局長能親身審視此事，了解一下學校或坊間的</w:t>
      </w:r>
      <w:r>
        <w:rPr>
          <w:szCs w:val="27"/>
        </w:rPr>
        <w:t>TSA</w:t>
      </w:r>
      <w:r>
        <w:rPr>
          <w:szCs w:val="27"/>
        </w:rPr>
        <w:t>測驗卷的艱深程度究竟到了甚麼地步，尤其是為三年級學生而設的測驗卷，是否真的適合讓這個年紀的小朋友去做？</w:t>
      </w:r>
    </w:p>
    <w:p>
      <w:pPr>
        <w:pStyle w:val="F21"/>
        <w:spacing w:lineRule="atLeast" w:line="350"/>
        <w:rPr>
          <w:szCs w:val="27"/>
        </w:rPr>
      </w:pPr>
      <w:r>
        <w:rPr>
          <w:szCs w:val="27"/>
        </w:rPr>
      </w:r>
    </w:p>
    <w:p>
      <w:pPr>
        <w:pStyle w:val="F21"/>
        <w:spacing w:lineRule="atLeast" w:line="350"/>
        <w:rPr>
          <w:szCs w:val="27"/>
        </w:rPr>
      </w:pPr>
      <w:r>
        <w:rPr>
          <w:szCs w:val="27"/>
        </w:rPr>
        <w:tab/>
      </w:r>
      <w:r>
        <w:rPr>
          <w:szCs w:val="27"/>
        </w:rPr>
        <w:t>我實際上沒有真正看過由教育局發出的</w:t>
      </w:r>
      <w:r>
        <w:rPr>
          <w:szCs w:val="27"/>
        </w:rPr>
        <w:t>TSA</w:t>
      </w:r>
      <w:r>
        <w:rPr>
          <w:szCs w:val="27"/>
        </w:rPr>
        <w:t>試卷，但不知為何，有人告訴我為吸引學校購買，出版商一定要設計一些水平越來越高的</w:t>
      </w:r>
      <w:r>
        <w:rPr>
          <w:szCs w:val="27"/>
        </w:rPr>
        <w:t>TSA</w:t>
      </w:r>
      <w:r>
        <w:rPr>
          <w:szCs w:val="27"/>
        </w:rPr>
        <w:t>習作，因此便導致現時的</w:t>
      </w:r>
      <w:r>
        <w:rPr>
          <w:szCs w:val="27"/>
        </w:rPr>
        <w:t>TSA</w:t>
      </w:r>
      <w:r>
        <w:rPr>
          <w:szCs w:val="27"/>
        </w:rPr>
        <w:t>習作越見艱深。我認為這問題必須嚴肅處理，因我總在想，當局要有一套客觀評估準則，這本來是正確的，但是否要另想辦法呢？現在每一年級的學生均要考試，當局可否以這些考試評核學生的水平？又或例如為三年級或六年級學生設計一套程度比較統一的考試，這樣既可讓當局了解學生的水平，而學校亦不用再分開就</w:t>
      </w:r>
      <w:r>
        <w:rPr>
          <w:szCs w:val="27"/>
        </w:rPr>
        <w:t>TSA</w:t>
      </w:r>
      <w:r>
        <w:rPr>
          <w:szCs w:val="27"/>
        </w:rPr>
        <w:t>進行操練，導致學生須接受雙重操練。我希望局長真的能細想如何處理當局需要客觀評估工具，而又不致令學生和家長面對現時這種我認為屬不必要壓力的問題。</w:t>
      </w:r>
    </w:p>
    <w:p>
      <w:pPr>
        <w:pStyle w:val="F21"/>
        <w:spacing w:lineRule="atLeast" w:line="350"/>
        <w:rPr>
          <w:szCs w:val="27"/>
        </w:rPr>
      </w:pPr>
      <w:r>
        <w:rPr>
          <w:szCs w:val="27"/>
        </w:rPr>
      </w:r>
    </w:p>
    <w:p>
      <w:pPr>
        <w:pStyle w:val="F21"/>
        <w:spacing w:lineRule="atLeast" w:line="350"/>
        <w:rPr>
          <w:szCs w:val="27"/>
        </w:rPr>
      </w:pPr>
      <w:r>
        <w:rPr>
          <w:szCs w:val="27"/>
        </w:rPr>
        <w:tab/>
      </w:r>
      <w:r>
        <w:rPr>
          <w:szCs w:val="27"/>
        </w:rPr>
        <w:t>談到</w:t>
      </w:r>
      <w:r>
        <w:rPr>
          <w:szCs w:val="27"/>
        </w:rPr>
        <w:t>TSA</w:t>
      </w:r>
      <w:r>
        <w:rPr>
          <w:szCs w:val="27"/>
        </w:rPr>
        <w:t>，也要一提六年級的情況，因我認為這更需要關注。除</w:t>
      </w:r>
      <w:r>
        <w:rPr>
          <w:szCs w:val="27"/>
        </w:rPr>
        <w:t>TSA</w:t>
      </w:r>
      <w:r>
        <w:rPr>
          <w:szCs w:val="27"/>
        </w:rPr>
        <w:t>外，由於學生升讀中一時要接受</w:t>
      </w:r>
      <w:r>
        <w:rPr>
          <w:szCs w:val="27"/>
        </w:rPr>
        <w:t>Pre-S1</w:t>
      </w:r>
      <w:r>
        <w:rPr>
          <w:szCs w:val="27"/>
        </w:rPr>
        <w:t>測驗，而測驗結果會直接影響師弟師妹的成績，所以據我所知，有些學校除了為六年級學生進行</w:t>
      </w:r>
      <w:r>
        <w:rPr>
          <w:szCs w:val="27"/>
        </w:rPr>
        <w:t>TSA</w:t>
      </w:r>
      <w:r>
        <w:rPr>
          <w:szCs w:val="27"/>
        </w:rPr>
        <w:t>操練之外，還要分別就學校本身的考試及升讀中一的測驗進行操練。局長，為何要有</w:t>
      </w:r>
      <w:r>
        <w:rPr>
          <w:szCs w:val="27"/>
        </w:rPr>
        <w:t>3</w:t>
      </w:r>
      <w:r>
        <w:rPr>
          <w:szCs w:val="27"/>
        </w:rPr>
        <w:t>套操練？你可知這些操練會不斷要求學生完成各種習作？我不抗拒習作，但卻真的不明白為何要有</w:t>
      </w:r>
      <w:r>
        <w:rPr>
          <w:szCs w:val="27"/>
        </w:rPr>
        <w:t>3</w:t>
      </w:r>
      <w:r>
        <w:rPr>
          <w:szCs w:val="27"/>
        </w:rPr>
        <w:t>套習作，而且題目越來越艱深。我懇請局長稍後回應時談談你對</w:t>
      </w:r>
      <w:r>
        <w:rPr>
          <w:szCs w:val="27"/>
        </w:rPr>
        <w:t>TSA</w:t>
      </w:r>
      <w:r>
        <w:rPr>
          <w:szCs w:val="27"/>
        </w:rPr>
        <w:t>的觀察，以及交代當局如何處理現時這些來自家長及學校的投訴。</w:t>
      </w:r>
    </w:p>
    <w:p>
      <w:pPr>
        <w:pStyle w:val="F21"/>
        <w:spacing w:lineRule="atLeast" w:line="350"/>
        <w:rPr>
          <w:szCs w:val="27"/>
        </w:rPr>
      </w:pPr>
      <w:r>
        <w:rPr>
          <w:szCs w:val="27"/>
        </w:rPr>
      </w:r>
    </w:p>
    <w:p>
      <w:pPr>
        <w:pStyle w:val="F21"/>
        <w:spacing w:lineRule="atLeast" w:line="350"/>
        <w:rPr>
          <w:szCs w:val="27"/>
        </w:rPr>
      </w:pPr>
      <w:r>
        <w:rPr>
          <w:szCs w:val="27"/>
        </w:rPr>
        <w:tab/>
      </w:r>
      <w:r>
        <w:rPr>
          <w:szCs w:val="27"/>
        </w:rPr>
        <w:t xml:space="preserve">我謹此陳辭。 </w:t>
      </w:r>
    </w:p>
    <w:p>
      <w:pPr>
        <w:pStyle w:val="F21"/>
        <w:spacing w:lineRule="atLeast" w:line="380"/>
        <w:rPr/>
      </w:pPr>
      <w:r>
        <w:rPr>
          <w:rFonts w:ascii="華康中黑體" w:hAnsi="華康中黑體" w:cs="華康中黑體" w:eastAsia="華康中黑體"/>
          <w:b/>
        </w:rPr>
        <w:t>李卓人議員</w:t>
      </w:r>
      <w:r>
        <w:rPr/>
        <w:t>：主席，初見這項議案時，我的腦海浮現了“怪獸家長”這</w:t>
      </w:r>
      <w:r>
        <w:rPr/>
        <w:t>4</w:t>
      </w:r>
      <w:r>
        <w:rPr/>
        <w:t>個字，因我感到其內容像是想催谷些甚麼似的。從“怪獸家長”，我不禁又想到這是否已變成“怪獸議員”？我絕無冒犯葉劉淑儀議員之意，但我當時確有此想法，並非事後才出現。</w:t>
      </w:r>
      <w:r>
        <w:br w:type="page"/>
      </w:r>
    </w:p>
    <w:p>
      <w:pPr>
        <w:pStyle w:val="F21"/>
        <w:spacing w:lineRule="atLeast" w:line="380"/>
        <w:rPr/>
      </w:pPr>
      <w:r>
        <w:rPr/>
      </w:r>
    </w:p>
    <w:p>
      <w:pPr>
        <w:pStyle w:val="F21"/>
        <w:spacing w:lineRule="atLeast" w:line="380"/>
        <w:rPr/>
      </w:pPr>
      <w:r>
        <w:rPr/>
        <w:tab/>
        <w:t>“</w:t>
      </w:r>
      <w:r>
        <w:rPr/>
        <w:t>怪獸家長”會催谷小孩子的學習，但我知道葉劉淑儀議員的議案只是希望辦一場盛事，因數學奧林匹克確是饒有意義的競賽。但是，她忽略了另一問題，那就是在催谷、宣傳和吹捧精英時，會對其他非精英的孩子構成莫大壓力，同時也令家長備受壓力。因為家長會感到別人的孩子是精英，而自己的孩子卻不然，不知如何是好。</w:t>
      </w:r>
    </w:p>
    <w:p>
      <w:pPr>
        <w:pStyle w:val="F21"/>
        <w:spacing w:lineRule="atLeast" w:line="380"/>
        <w:rPr/>
      </w:pPr>
      <w:r>
        <w:rPr/>
      </w:r>
    </w:p>
    <w:p>
      <w:pPr>
        <w:pStyle w:val="F21"/>
        <w:spacing w:lineRule="atLeast" w:line="380"/>
        <w:rPr/>
      </w:pPr>
      <w:r>
        <w:rPr/>
        <w:tab/>
      </w:r>
      <w:r>
        <w:rPr/>
        <w:t>我很不希望出現這種情況，因香港已是一個“壓力鍋”，各位議員以至整個社會，是否可不再為孩子們加添壓力，令他們從小便承受巨大壓力。其實精英是無需培育的，他們會自然而然地露出鋒芒，只要他對數學有興趣，自然會顯露其天分。正如主席你這類精英，數學成績彪炳，試問你小時候須否受人催谷？一定不用如此，只要你對這一學科有興趣，自然會出線。所以，我們可否不要製造這麼多壓力，催谷非精英的學生，讓他們成為精英？</w:t>
      </w:r>
    </w:p>
    <w:p>
      <w:pPr>
        <w:pStyle w:val="F21"/>
        <w:spacing w:lineRule="atLeast" w:line="380"/>
        <w:rPr/>
      </w:pPr>
      <w:r>
        <w:rPr/>
      </w:r>
    </w:p>
    <w:p>
      <w:pPr>
        <w:pStyle w:val="F21"/>
        <w:spacing w:lineRule="atLeast" w:line="380"/>
        <w:rPr/>
      </w:pPr>
      <w:r>
        <w:rPr/>
        <w:tab/>
      </w:r>
      <w:r>
        <w:rPr/>
        <w:t>說到精英，其實人人各有不同長處，即使不是數學方面的精英，也可在其他範疇成為精英，例如文科的精英、其他方面的精英，甚至烹飪精英。人人志趣不同，我們不能把所有人調校至同一模式。所以，我很擔心今天這項議案會催谷這種精英心態，對非精英造成重大壓力。這是工黨最不希望見到的局面，因此我們會反對原議案。</w:t>
      </w:r>
    </w:p>
    <w:p>
      <w:pPr>
        <w:pStyle w:val="F21"/>
        <w:spacing w:lineRule="atLeast" w:line="380"/>
        <w:rPr/>
      </w:pPr>
      <w:r>
        <w:rPr/>
      </w:r>
    </w:p>
    <w:p>
      <w:pPr>
        <w:pStyle w:val="F21"/>
        <w:spacing w:lineRule="atLeast" w:line="380"/>
        <w:rPr/>
      </w:pPr>
      <w:r>
        <w:rPr/>
        <w:tab/>
      </w:r>
      <w:r>
        <w:rPr/>
        <w:t>然而，在另一方面，我們卻絕對支持葉建源議員的修正案。陳恒鑌議員剛才代表民建聯表示反對這項修正案，但李慧琼議員的發言卻全屬支持之言，因為她也是</w:t>
      </w:r>
      <w:r>
        <w:rPr/>
        <w:t>TSA</w:t>
      </w:r>
      <w:r>
        <w:rPr/>
        <w:t>的受害者，不明白為何要有這個制度。當年廢除學能測驗的原因，是不希望讓小學生被催谷得這麼可憐，但料不到政府現在卻倒退至最初的情況，不但要操練一次，而是分別在三年級及六年級考核兩次，令小學生涯變得比以前更加痛苦。我不明白為何要這樣做，但局長稍後當然會解釋，他們並非以此釐定學生的成績。然而，不以此釐定學生成績，卻以此訂定學校水平，則只會更加糟糕，因這是借刀殺人的行為，借校長的刀來殺掉教師和小學生。</w:t>
      </w:r>
    </w:p>
    <w:p>
      <w:pPr>
        <w:pStyle w:val="F21"/>
        <w:spacing w:lineRule="atLeast" w:line="380"/>
        <w:rPr/>
      </w:pPr>
      <w:r>
        <w:rPr/>
      </w:r>
    </w:p>
    <w:p>
      <w:pPr>
        <w:pStyle w:val="F21"/>
        <w:spacing w:lineRule="atLeast" w:line="380"/>
        <w:rPr/>
      </w:pPr>
      <w:r>
        <w:rPr/>
        <w:tab/>
      </w:r>
      <w:r>
        <w:rPr/>
        <w:t>當校內人人皆處於“壓力鍋”內，當校長和教師都受壓，這種壓力便會層層下移至小孩子身上，試問這樣做又有何意義？小孩子從小失去快樂童年，為的是要接受操練，但操練究竟是否最佳方法？現在有很多資源較餘裕的家長都選擇把孩子送入國際學校就讀，原因之一是國際學校不會操練學生。為甚麼在沒有操練的情況下，家長仍喜歡把子女送進學校就讀呢？因為他們想讓子女擁有在快樂學習環境下成長的機會，這比起操練他們優勝，因為學習有賴孩子自身的奮發。只要他有興趣，能啟發出他的興趣，他自然會努力。</w:t>
      </w:r>
    </w:p>
    <w:p>
      <w:pPr>
        <w:pStyle w:val="F21"/>
        <w:spacing w:lineRule="atLeast" w:line="380"/>
        <w:rPr/>
      </w:pPr>
      <w:r>
        <w:rPr/>
      </w:r>
    </w:p>
    <w:p>
      <w:pPr>
        <w:pStyle w:val="F21"/>
        <w:spacing w:lineRule="atLeast" w:line="380"/>
        <w:rPr/>
      </w:pPr>
      <w:r>
        <w:rPr/>
        <w:tab/>
      </w:r>
      <w:r>
        <w:rPr/>
        <w:t>敢問現在的</w:t>
      </w:r>
      <w:r>
        <w:rPr/>
        <w:t>TSA</w:t>
      </w:r>
      <w:r>
        <w:rPr/>
        <w:t>制度能否啟發學生興趣？不單不能，甚至可能打壓了他們的興趣，因為他們本來快快樂樂上學去，最後卻憂憂愁愁地回家，只因當天要完成很多習作，要接受操練。為何要弄至如斯田地？這究竟是為了甚麼？可能有人會說，這是為了香港教育的將來，因這是十分重要的，可培育學生成為日後的社會棟樑。然而，這樣做事實上只會“倒米”。</w:t>
      </w:r>
    </w:p>
    <w:p>
      <w:pPr>
        <w:pStyle w:val="F21"/>
        <w:spacing w:lineRule="atLeast" w:line="380"/>
        <w:rPr/>
      </w:pPr>
      <w:r>
        <w:rPr/>
      </w:r>
    </w:p>
    <w:p>
      <w:pPr>
        <w:pStyle w:val="F21"/>
        <w:spacing w:lineRule="atLeast" w:line="380"/>
        <w:rPr/>
      </w:pPr>
      <w:r>
        <w:rPr/>
        <w:tab/>
      </w:r>
      <w:r>
        <w:rPr/>
        <w:t>家長選擇把子女送往國際學校就讀，其實已是在用腳投票，告訴政府現在力求催谷學生那一套已經行不通，既不受歡迎，也沒有成效。我衷心希望大家能夠還小孩子一個更快樂的學習環境，因為香港小學生的功課委實太多，我個人認為根本不應把任何功課帶回家。當然，香港社會的另一問題是沒有親子生活，因父母經常不能回家吃飯。但是，理想的情況應是學生不用把功課帶回家，晚上是親子時間，可讓父母和子女擁有進行感情交流的機會，不論是一起玩耍，還是進行某些活動，總之是要建立彼此的關係。然而，香港卻並非如此，大家回家後便只有爭吵，一方要做功課，另一方則要催谷他做功課，弄得大家都不開心。但願</w:t>
      </w:r>
      <w:r>
        <w:rPr/>
        <w:t>TSA</w:t>
      </w:r>
      <w:r>
        <w:rPr/>
        <w:t>這罪惡之源能盡快廢除。</w:t>
      </w:r>
      <w:r>
        <w:rPr>
          <w:i/>
        </w:rPr>
        <w:t>(</w:t>
      </w:r>
      <w:r>
        <w:rPr>
          <w:i/>
        </w:rPr>
        <w:t>計時器響起</w:t>
      </w:r>
      <w:r>
        <w:rPr>
          <w:i/>
        </w:rPr>
        <w:t>)</w:t>
      </w:r>
    </w:p>
    <w:p>
      <w:pPr>
        <w:pStyle w:val="F21"/>
        <w:spacing w:lineRule="atLeast" w:line="380"/>
        <w:rPr/>
      </w:pPr>
      <w:r>
        <w:rPr/>
      </w:r>
    </w:p>
    <w:p>
      <w:pPr>
        <w:pStyle w:val="F21"/>
        <w:spacing w:lineRule="atLeast" w:line="380"/>
        <w:rPr/>
      </w:pPr>
      <w:r>
        <w:rPr/>
      </w:r>
    </w:p>
    <w:p>
      <w:pPr>
        <w:pStyle w:val="F21"/>
        <w:spacing w:lineRule="atLeast" w:line="380"/>
        <w:rPr>
          <w:szCs w:val="27"/>
        </w:rPr>
      </w:pPr>
      <w:r>
        <w:rPr>
          <w:rFonts w:ascii="華康中黑體" w:hAnsi="華康中黑體" w:eastAsia="華康中黑體"/>
          <w:b/>
          <w:szCs w:val="27"/>
        </w:rPr>
        <w:t>主席</w:t>
      </w:r>
      <w:r>
        <w:rPr>
          <w:rFonts w:ascii="華康中黑體" w:hAnsi="華康中黑體"/>
          <w:szCs w:val="27"/>
        </w:rPr>
        <w:t>：</w:t>
      </w:r>
      <w:r>
        <w:rPr>
          <w:szCs w:val="27"/>
        </w:rPr>
        <w:t>李議員，發言時限到了。</w:t>
      </w:r>
    </w:p>
    <w:p>
      <w:pPr>
        <w:pStyle w:val="F21"/>
        <w:spacing w:lineRule="atLeast" w:line="380"/>
        <w:rPr>
          <w:szCs w:val="27"/>
        </w:rPr>
      </w:pPr>
      <w:r>
        <w:rPr>
          <w:szCs w:val="27"/>
        </w:rPr>
      </w:r>
    </w:p>
    <w:p>
      <w:pPr>
        <w:pStyle w:val="F21"/>
        <w:spacing w:lineRule="atLeast" w:line="380"/>
        <w:rPr/>
      </w:pPr>
      <w:r>
        <w:rPr/>
        <w:t>(</w:t>
      </w:r>
      <w:r>
        <w:rPr/>
        <w:t>李卓人議員坐下</w:t>
      </w:r>
      <w:r>
        <w:rPr/>
        <w:t>)</w:t>
      </w:r>
    </w:p>
    <w:p>
      <w:pPr>
        <w:pStyle w:val="F21"/>
        <w:spacing w:lineRule="atLeast" w:line="380"/>
        <w:rPr>
          <w:szCs w:val="27"/>
        </w:rPr>
      </w:pPr>
      <w:r>
        <w:rPr>
          <w:szCs w:val="27"/>
        </w:rPr>
      </w:r>
    </w:p>
    <w:p>
      <w:pPr>
        <w:pStyle w:val="F21"/>
        <w:spacing w:lineRule="atLeast" w:line="380"/>
        <w:rPr>
          <w:szCs w:val="27"/>
        </w:rPr>
      </w:pPr>
      <w:r>
        <w:rPr>
          <w:szCs w:val="27"/>
        </w:rPr>
      </w:r>
    </w:p>
    <w:p>
      <w:pPr>
        <w:pStyle w:val="F21"/>
        <w:spacing w:lineRule="atLeast" w:line="380"/>
        <w:rPr>
          <w:szCs w:val="27"/>
        </w:rPr>
      </w:pPr>
      <w:r>
        <w:rPr>
          <w:rFonts w:ascii="華康中黑體" w:hAnsi="華康中黑體" w:eastAsia="華康中黑體"/>
          <w:b/>
          <w:szCs w:val="27"/>
        </w:rPr>
        <w:t>主席</w:t>
      </w:r>
      <w:r>
        <w:rPr>
          <w:rFonts w:ascii="華康中黑體" w:hAnsi="華康中黑體"/>
          <w:szCs w:val="27"/>
        </w:rPr>
        <w:t>：</w:t>
      </w:r>
      <w:r>
        <w:rPr>
          <w:szCs w:val="27"/>
        </w:rPr>
        <w:t>現在已經過了晚上</w:t>
      </w:r>
      <w:r>
        <w:rPr>
          <w:szCs w:val="27"/>
        </w:rPr>
        <w:t>9</w:t>
      </w:r>
      <w:r>
        <w:rPr>
          <w:szCs w:val="27"/>
        </w:rPr>
        <w:t>時</w:t>
      </w:r>
      <w:r>
        <w:rPr>
          <w:szCs w:val="27"/>
        </w:rPr>
        <w:t>30</w:t>
      </w:r>
      <w:r>
        <w:rPr>
          <w:szCs w:val="27"/>
        </w:rPr>
        <w:t>分。會議將會繼續進行，直至完成議程上所有事項為止。</w:t>
      </w:r>
    </w:p>
    <w:p>
      <w:pPr>
        <w:pStyle w:val="F21"/>
        <w:rPr/>
      </w:pPr>
      <w:r>
        <w:rPr/>
      </w:r>
    </w:p>
    <w:p>
      <w:pPr>
        <w:pStyle w:val="F21"/>
        <w:spacing w:lineRule="atLeast" w:line="380"/>
        <w:rPr>
          <w:szCs w:val="27"/>
        </w:rPr>
      </w:pPr>
      <w:r>
        <w:rPr>
          <w:rFonts w:eastAsia="華康中黑體"/>
          <w:b/>
          <w:szCs w:val="27"/>
        </w:rPr>
        <w:t>蔣麗芸議員</w:t>
      </w:r>
      <w:r>
        <w:rPr>
          <w:szCs w:val="27"/>
        </w:rPr>
        <w:t>：主席，我首先要申報，在過去一屆的數學奧林匹克</w:t>
      </w:r>
      <w:r>
        <w:rPr>
          <w:szCs w:val="27"/>
        </w:rPr>
        <w:t>(“</w:t>
      </w:r>
      <w:r>
        <w:rPr>
          <w:szCs w:val="27"/>
        </w:rPr>
        <w:t>奧數”</w:t>
      </w:r>
      <w:r>
        <w:rPr>
          <w:szCs w:val="27"/>
        </w:rPr>
        <w:t>)</w:t>
      </w:r>
      <w:r>
        <w:rPr>
          <w:szCs w:val="27"/>
        </w:rPr>
        <w:t>比賽，我以私人名義贊助了</w:t>
      </w:r>
      <w:r>
        <w:rPr>
          <w:szCs w:val="27"/>
        </w:rPr>
        <w:t>10</w:t>
      </w:r>
      <w:r>
        <w:rPr>
          <w:szCs w:val="27"/>
        </w:rPr>
        <w:t>多位參賽同學的獎學金。我提供贊助的最主要原因，是我認為數學對香港的未來發展，以及對青年人和新一代均非常重要。雖然我的贊助可以說是沒有任何回報，但我認為這對我們的下一代是非常重要的。所以，我今天亦很感謝葉劉淑儀議員提出這項議案。</w:t>
      </w:r>
      <w:r>
        <w:br w:type="page"/>
      </w:r>
    </w:p>
    <w:p>
      <w:pPr>
        <w:pStyle w:val="F21"/>
        <w:spacing w:lineRule="atLeast" w:line="380"/>
        <w:rPr>
          <w:szCs w:val="27"/>
        </w:rPr>
      </w:pPr>
      <w:r>
        <w:rPr>
          <w:szCs w:val="27"/>
        </w:rPr>
      </w:r>
    </w:p>
    <w:p>
      <w:pPr>
        <w:pStyle w:val="F21"/>
        <w:spacing w:lineRule="atLeast" w:line="380"/>
        <w:rPr>
          <w:szCs w:val="27"/>
        </w:rPr>
      </w:pPr>
      <w:r>
        <w:rPr>
          <w:szCs w:val="27"/>
        </w:rPr>
        <w:tab/>
      </w:r>
      <w:r>
        <w:rPr>
          <w:szCs w:val="27"/>
        </w:rPr>
        <w:t xml:space="preserve">我在此想回應兩位議員的發言。第一位是李卓人議員 </w:t>
      </w:r>
      <w:r>
        <w:rPr>
          <w:rFonts w:ascii="Symbol" w:hAnsi="Symbol" w:cs="Symbol" w:eastAsia="Symbol"/>
        </w:rPr>
        <w:t></w:t>
      </w:r>
      <w:r>
        <w:rPr>
          <w:szCs w:val="27"/>
        </w:rPr>
        <w:t xml:space="preserve"> 他離席了，發言後便離席 </w:t>
      </w:r>
      <w:r>
        <w:rPr>
          <w:rFonts w:ascii="Symbol" w:hAnsi="Symbol" w:cs="Symbol" w:eastAsia="Symbol"/>
        </w:rPr>
        <w:t></w:t>
      </w:r>
      <w:r>
        <w:rPr>
          <w:szCs w:val="27"/>
        </w:rPr>
        <w:t xml:space="preserve"> 他剛才說民建聯不會支持葉建源議員的修正案。沒錯，我們不支持葉建源議員的修正案，因為我們現在討論的是主辦奧數，但葉建源議員說的卻是</w:t>
      </w:r>
      <w:r>
        <w:rPr>
          <w:szCs w:val="27"/>
        </w:rPr>
        <w:t>TSA</w:t>
      </w:r>
      <w:r>
        <w:rPr>
          <w:szCs w:val="27"/>
        </w:rPr>
        <w:t>，根本是兩回事。陳恒鑌議員剛才發言已很清楚表示，我們會支持葉劉淑儀議員的原議案。</w:t>
      </w:r>
    </w:p>
    <w:p>
      <w:pPr>
        <w:pStyle w:val="F21"/>
        <w:spacing w:lineRule="atLeast" w:line="380"/>
        <w:rPr>
          <w:szCs w:val="27"/>
        </w:rPr>
      </w:pPr>
      <w:r>
        <w:rPr>
          <w:szCs w:val="27"/>
        </w:rPr>
      </w:r>
    </w:p>
    <w:p>
      <w:pPr>
        <w:pStyle w:val="F21"/>
        <w:spacing w:lineRule="atLeast" w:line="380"/>
        <w:rPr>
          <w:szCs w:val="27"/>
        </w:rPr>
      </w:pPr>
      <w:r>
        <w:rPr>
          <w:szCs w:val="27"/>
        </w:rPr>
        <w:tab/>
      </w:r>
      <w:r>
        <w:rPr>
          <w:szCs w:val="27"/>
        </w:rPr>
        <w:t>主席，我上次看到一羣參賽的香港數學精英，他們真的很雀躍，很高興。他們說原來你很多年前曾經抽出很多寶貴的私人時間，為這羣準備參與奧數比賽的香港學生補習，教他們一些技術和數學知識，他們非常感謝你。</w:t>
      </w:r>
    </w:p>
    <w:p>
      <w:pPr>
        <w:pStyle w:val="F21"/>
        <w:spacing w:lineRule="atLeast" w:line="380"/>
        <w:rPr>
          <w:szCs w:val="27"/>
        </w:rPr>
      </w:pPr>
      <w:r>
        <w:rPr>
          <w:szCs w:val="27"/>
        </w:rPr>
      </w:r>
    </w:p>
    <w:p>
      <w:pPr>
        <w:pStyle w:val="F21"/>
        <w:spacing w:lineRule="atLeast" w:line="380"/>
        <w:rPr>
          <w:szCs w:val="27"/>
        </w:rPr>
      </w:pPr>
      <w:r>
        <w:rPr>
          <w:szCs w:val="27"/>
        </w:rPr>
        <w:tab/>
      </w:r>
      <w:r>
        <w:rPr>
          <w:szCs w:val="27"/>
        </w:rPr>
        <w:t>此外，我也想回應單仲偕議員，他表示葉劉淑儀議員提出這項議案是希望脅迫政府當贊助人。我猜想單仲偕議員多半是不支持學生參加這個數學比賽。然而，他為何說葉劉淑儀議員提出這項議案旨在脅迫政府當贊助人呢？贊助學生是發自內心的行動，我也是發自內心提供贊助，雖然我的贊助金額微薄，但我是發自內心，以行動表達。葉劉淑儀議員今次亦是以行動表達，她利用一個寶貴的議案時段為學生爭取一件事。很明顯，她的目的不是要政府拿一、兩千萬元出來，錢不是最重要的問題，最重要的是希望政府能夠更關注此事。當然，如果政府繼而能夠支持及提供贊助，相信社會上會有更多人關注、重視香港的數學發展。</w:t>
      </w:r>
    </w:p>
    <w:p>
      <w:pPr>
        <w:pStyle w:val="F21"/>
        <w:spacing w:lineRule="atLeast" w:line="380"/>
        <w:rPr>
          <w:szCs w:val="27"/>
        </w:rPr>
      </w:pPr>
      <w:r>
        <w:rPr>
          <w:szCs w:val="27"/>
        </w:rPr>
      </w:r>
    </w:p>
    <w:p>
      <w:pPr>
        <w:pStyle w:val="F21"/>
        <w:spacing w:lineRule="atLeast" w:line="380"/>
        <w:rPr>
          <w:szCs w:val="27"/>
        </w:rPr>
      </w:pPr>
      <w:r>
        <w:rPr>
          <w:szCs w:val="27"/>
        </w:rPr>
        <w:tab/>
      </w:r>
      <w:r>
        <w:rPr>
          <w:szCs w:val="27"/>
        </w:rPr>
        <w:t>另一方面，香港作為東道主，要把比賽辦得得體，有</w:t>
      </w:r>
      <w:r>
        <w:rPr>
          <w:szCs w:val="27"/>
        </w:rPr>
        <w:t>100</w:t>
      </w:r>
      <w:r>
        <w:rPr>
          <w:szCs w:val="27"/>
        </w:rPr>
        <w:t>多個國家的代表來港，我們應盡地主之誼。香港是一個國際都會，總不成把比賽辦得不三不四，不知所謂吧，因為這次中文大學岑教授能夠取得</w:t>
      </w:r>
      <w:r>
        <w:rPr>
          <w:szCs w:val="27"/>
        </w:rPr>
        <w:t>2016</w:t>
      </w:r>
      <w:r>
        <w:rPr>
          <w:szCs w:val="27"/>
        </w:rPr>
        <w:t xml:space="preserve">年的比賽主辦權是很難得的。眾所周知，數學非常重要，特別是大家現時仍在就香港的未來發展，努力研究、摸索高增值產業究竟應該何去何從。但是，最低限度有一點大家是很清晰的，就是對於現時其中一個重點發展的產業 </w:t>
      </w:r>
      <w:r>
        <w:rPr>
          <w:rFonts w:ascii="Symbol" w:hAnsi="Symbol" w:cs="Symbol" w:eastAsia="Symbol"/>
        </w:rPr>
        <w:t></w:t>
      </w:r>
      <w:r>
        <w:rPr>
          <w:szCs w:val="27"/>
        </w:rPr>
        <w:t xml:space="preserve"> 金融業，或未來在科學工程、醫學、經濟學等領域的發展，數學都是很重要，都是不可或缺的。以剛登陸月球的“嫦娥三號”探測器為例，所攜</w:t>
      </w:r>
      <w:r>
        <w:rPr>
          <w:szCs w:val="27"/>
          <w:lang w:val="en-HK"/>
        </w:rPr>
        <w:t>帶</w:t>
      </w:r>
      <w:r>
        <w:rPr>
          <w:szCs w:val="27"/>
        </w:rPr>
        <w:t>的“玉兔”月球車上的</w:t>
      </w:r>
      <w:r>
        <w:rPr>
          <w:szCs w:val="27"/>
        </w:rPr>
        <w:t>camera</w:t>
      </w:r>
      <w:r>
        <w:rPr>
          <w:szCs w:val="27"/>
        </w:rPr>
        <w:t>是香港理工大學的發明，而這也是離不開數學的根基。</w:t>
      </w:r>
    </w:p>
    <w:p>
      <w:pPr>
        <w:pStyle w:val="F21"/>
        <w:rPr>
          <w:szCs w:val="27"/>
        </w:rPr>
      </w:pPr>
      <w:r>
        <w:rPr>
          <w:szCs w:val="27"/>
        </w:rPr>
      </w:r>
    </w:p>
    <w:p>
      <w:pPr>
        <w:pStyle w:val="F21"/>
        <w:rPr>
          <w:szCs w:val="27"/>
        </w:rPr>
      </w:pPr>
      <w:r>
        <w:rPr>
          <w:szCs w:val="27"/>
        </w:rPr>
        <w:tab/>
      </w:r>
      <w:r>
        <w:rPr>
          <w:szCs w:val="27"/>
        </w:rPr>
        <w:t>故此，我希望香港作為國際都會，既然每年也舉辦很多盛事，例如電影節，動漫節，連沙灘排球賽、文化、運動等的盛事也有，那麼政府可否在那些盛事之外，全力支持學生，得體地為青年人舉辦一次國際盛事呢？所以，我希望通過今次香港取得</w:t>
      </w:r>
      <w:r>
        <w:rPr>
          <w:szCs w:val="27"/>
        </w:rPr>
        <w:t>2016</w:t>
      </w:r>
      <w:r>
        <w:rPr>
          <w:szCs w:val="27"/>
        </w:rPr>
        <w:t>年的奧數主辦權，能夠真正帶動全香港對數學和科技的熱情，以及希望社會各界重視香港數學的發展。</w:t>
      </w:r>
    </w:p>
    <w:p>
      <w:pPr>
        <w:pStyle w:val="F21"/>
        <w:rPr>
          <w:szCs w:val="27"/>
        </w:rPr>
      </w:pPr>
      <w:r>
        <w:rPr>
          <w:szCs w:val="27"/>
        </w:rPr>
      </w:r>
    </w:p>
    <w:p>
      <w:pPr>
        <w:pStyle w:val="F21"/>
        <w:rPr>
          <w:szCs w:val="27"/>
        </w:rPr>
      </w:pPr>
      <w:r>
        <w:rPr>
          <w:szCs w:val="27"/>
        </w:rPr>
        <w:tab/>
      </w:r>
      <w:r>
        <w:rPr>
          <w:szCs w:val="27"/>
        </w:rPr>
        <w:t>我謹此陳辭，多謝主席。</w:t>
      </w:r>
    </w:p>
    <w:p>
      <w:pPr>
        <w:pStyle w:val="F21"/>
        <w:spacing w:lineRule="atLeast" w:line="370"/>
        <w:rPr>
          <w:szCs w:val="27"/>
        </w:rPr>
      </w:pPr>
      <w:r>
        <w:rPr>
          <w:szCs w:val="27"/>
        </w:rPr>
      </w:r>
    </w:p>
    <w:p>
      <w:pPr>
        <w:pStyle w:val="F21"/>
        <w:spacing w:lineRule="atLeast" w:line="370"/>
        <w:rPr>
          <w:szCs w:val="27"/>
        </w:rPr>
      </w:pPr>
      <w:r>
        <w:rPr>
          <w:szCs w:val="27"/>
        </w:rPr>
      </w:r>
    </w:p>
    <w:p>
      <w:pPr>
        <w:pStyle w:val="F21"/>
        <w:spacing w:lineRule="atLeast" w:line="370"/>
        <w:rPr>
          <w:szCs w:val="27"/>
        </w:rPr>
      </w:pPr>
      <w:r>
        <w:rPr>
          <w:rFonts w:ascii="華康中黑體" w:hAnsi="華康中黑體" w:cs="華康中黑體" w:eastAsia="華康中黑體"/>
          <w:b/>
          <w:szCs w:val="27"/>
        </w:rPr>
        <w:t>吳亮星議員</w:t>
      </w:r>
      <w:r>
        <w:rPr>
          <w:szCs w:val="27"/>
        </w:rPr>
        <w:t>：主席，葉劉淑儀議員提出為香港作為</w:t>
      </w:r>
      <w:r>
        <w:rPr>
          <w:szCs w:val="27"/>
        </w:rPr>
        <w:t>2016</w:t>
      </w:r>
      <w:r>
        <w:rPr>
          <w:szCs w:val="27"/>
        </w:rPr>
        <w:t>年國際數學奧林匹克</w:t>
      </w:r>
      <w:r>
        <w:rPr>
          <w:szCs w:val="27"/>
        </w:rPr>
        <w:t>(“</w:t>
      </w:r>
      <w:r>
        <w:rPr>
          <w:szCs w:val="27"/>
        </w:rPr>
        <w:t>奧數”</w:t>
      </w:r>
      <w:r>
        <w:rPr>
          <w:szCs w:val="27"/>
        </w:rPr>
        <w:t>)</w:t>
      </w:r>
      <w:r>
        <w:rPr>
          <w:szCs w:val="27"/>
        </w:rPr>
        <w:t>的主辦者作好準備的議案，可算是理所當然並且非常及時的。這項由創立至今已經有</w:t>
      </w:r>
      <w:r>
        <w:rPr>
          <w:szCs w:val="27"/>
        </w:rPr>
        <w:t>80</w:t>
      </w:r>
      <w:r>
        <w:rPr>
          <w:szCs w:val="27"/>
        </w:rPr>
        <w:t>年的國際賽事，近年參與的國家和地區已超過</w:t>
      </w:r>
      <w:r>
        <w:rPr>
          <w:szCs w:val="27"/>
        </w:rPr>
        <w:t>100</w:t>
      </w:r>
      <w:r>
        <w:rPr>
          <w:szCs w:val="27"/>
        </w:rPr>
        <w:t>個。香港自</w:t>
      </w:r>
      <w:r>
        <w:rPr>
          <w:szCs w:val="27"/>
        </w:rPr>
        <w:t>1988</w:t>
      </w:r>
      <w:r>
        <w:rPr>
          <w:szCs w:val="27"/>
        </w:rPr>
        <w:t>年起每年均派隊參加有關競賽，近年取得的成積也是有目共睹的；而中國內地則比香港更早參與，於</w:t>
      </w:r>
      <w:r>
        <w:rPr>
          <w:szCs w:val="27"/>
        </w:rPr>
        <w:t>1986</w:t>
      </w:r>
      <w:r>
        <w:rPr>
          <w:szCs w:val="27"/>
        </w:rPr>
        <w:t>年便首次派學生參賽，至今共取得</w:t>
      </w:r>
      <w:r>
        <w:rPr>
          <w:szCs w:val="27"/>
        </w:rPr>
        <w:t>18</w:t>
      </w:r>
      <w:r>
        <w:rPr>
          <w:szCs w:val="27"/>
        </w:rPr>
        <w:t>屆總分第一的佳績，可見這與國內重視基礎教育以外的學術競賽直接有關，亦與國家實力的提升同步實現。</w:t>
      </w:r>
    </w:p>
    <w:p>
      <w:pPr>
        <w:pStyle w:val="F21"/>
        <w:spacing w:lineRule="atLeast" w:line="370"/>
        <w:rPr>
          <w:szCs w:val="27"/>
        </w:rPr>
      </w:pPr>
      <w:r>
        <w:rPr>
          <w:szCs w:val="27"/>
        </w:rPr>
      </w:r>
    </w:p>
    <w:p>
      <w:pPr>
        <w:pStyle w:val="F21"/>
        <w:spacing w:lineRule="atLeast" w:line="370"/>
        <w:rPr>
          <w:szCs w:val="27"/>
        </w:rPr>
      </w:pPr>
      <w:r>
        <w:rPr>
          <w:szCs w:val="27"/>
        </w:rPr>
        <w:tab/>
      </w:r>
      <w:r>
        <w:rPr>
          <w:szCs w:val="27"/>
        </w:rPr>
        <w:t>香港近年在體育運動競賽方面亦取得好成績，以一個只有</w:t>
      </w:r>
      <w:r>
        <w:rPr>
          <w:szCs w:val="27"/>
        </w:rPr>
        <w:t>700</w:t>
      </w:r>
      <w:r>
        <w:rPr>
          <w:szCs w:val="27"/>
        </w:rPr>
        <w:t>多萬人口的城市來說可算不俗，這相當程度上體現了香港存在一定的活力和進取精神。香港作為一個主要的國際金融中心，人才和智力資源的發展屬於絕對不容忽視的元素。正如今次主辦國際奧數競賽的籌委之一奧數香港委員會主席岑嘉評教授對香港學生歷屆所取得的成績表達的意見</w:t>
      </w:r>
      <w:r>
        <w:rPr>
          <w:szCs w:val="27"/>
        </w:rPr>
        <w:t>(</w:t>
      </w:r>
      <w:r>
        <w:rPr>
          <w:szCs w:val="27"/>
        </w:rPr>
        <w:t>我引述</w:t>
      </w:r>
      <w:r>
        <w:rPr>
          <w:szCs w:val="27"/>
        </w:rPr>
        <w:t>)</w:t>
      </w:r>
      <w:r>
        <w:rPr>
          <w:szCs w:val="27"/>
        </w:rPr>
        <w:t>：“香港學生的成就，說明了香港年輕學生當中，有不少對數學有潛質的尖子，如果我們能把數學普及，對學生作出適當的培養，自然可以提高香港人的素質，為香港將來發展成高科技城市奠下良好基礎。”</w:t>
      </w:r>
      <w:r>
        <w:rPr>
          <w:szCs w:val="27"/>
        </w:rPr>
        <w:t>(</w:t>
      </w:r>
      <w:r>
        <w:rPr>
          <w:szCs w:val="27"/>
        </w:rPr>
        <w:t>引述完畢</w:t>
      </w:r>
      <w:r>
        <w:rPr>
          <w:szCs w:val="27"/>
        </w:rPr>
        <w:t>)</w:t>
      </w:r>
    </w:p>
    <w:p>
      <w:pPr>
        <w:pStyle w:val="F21"/>
        <w:spacing w:lineRule="atLeast" w:line="370"/>
        <w:rPr>
          <w:szCs w:val="27"/>
        </w:rPr>
      </w:pPr>
      <w:r>
        <w:rPr>
          <w:szCs w:val="27"/>
        </w:rPr>
      </w:r>
    </w:p>
    <w:p>
      <w:pPr>
        <w:pStyle w:val="F21"/>
        <w:spacing w:lineRule="atLeast" w:line="380"/>
        <w:rPr>
          <w:szCs w:val="27"/>
        </w:rPr>
      </w:pPr>
      <w:r>
        <w:rPr>
          <w:szCs w:val="27"/>
        </w:rPr>
        <w:tab/>
      </w:r>
      <w:r>
        <w:rPr>
          <w:szCs w:val="27"/>
        </w:rPr>
        <w:t>與現時一般學校的數學課程內容不同，奧數着重培養個人的邏輯思維能力及對知識的靈活運用，激發學生數學思維，開發智力和創造力。本人從一些在中學時曾熱衷參加奧數競賽，及後又以優異成績進入大學的青少年人的分享中，得悉他們對學習奧數都有極高的評價，認為對青少年日後的學術發展有莫大的裨益。從近兩年的奧數成績排名可以觀察到，有不少參賽國家已從後趕上，因此我們必須有足夠的自知之明。政府應該利用未來兩年做好準備工作，除了一般的宣傳推廣外，亦應從加強發掘、引導和激勵等方面推動有關工作，而教育局和學校更必須充分合作，聯手辦好這次重要而難得的盛事。</w:t>
      </w:r>
    </w:p>
    <w:p>
      <w:pPr>
        <w:pStyle w:val="F21"/>
        <w:rPr>
          <w:szCs w:val="27"/>
        </w:rPr>
      </w:pPr>
      <w:r>
        <w:rPr>
          <w:szCs w:val="27"/>
        </w:rPr>
      </w:r>
    </w:p>
    <w:p>
      <w:pPr>
        <w:pStyle w:val="F21"/>
        <w:rPr>
          <w:szCs w:val="27"/>
        </w:rPr>
      </w:pPr>
      <w:r>
        <w:rPr>
          <w:szCs w:val="27"/>
        </w:rPr>
        <w:tab/>
      </w:r>
      <w:r>
        <w:rPr>
          <w:szCs w:val="27"/>
        </w:rPr>
        <w:t>主席，今次主辦奧數競賽實在是一個良好的機會，可以搭建發展未來智力資源的平台，為香港長遠的金融及經濟可持續發展提供動力來源，本人身為金融業界代表，當然非常支持這項議案。</w:t>
      </w:r>
    </w:p>
    <w:p>
      <w:pPr>
        <w:pStyle w:val="F21"/>
        <w:rPr>
          <w:szCs w:val="27"/>
        </w:rPr>
      </w:pPr>
      <w:r>
        <w:rPr>
          <w:szCs w:val="27"/>
        </w:rPr>
      </w:r>
    </w:p>
    <w:p>
      <w:pPr>
        <w:pStyle w:val="F21"/>
        <w:rPr>
          <w:szCs w:val="27"/>
        </w:rPr>
      </w:pPr>
      <w:r>
        <w:rPr>
          <w:szCs w:val="27"/>
        </w:rPr>
        <w:tab/>
      </w:r>
      <w:r>
        <w:rPr>
          <w:szCs w:val="27"/>
        </w:rPr>
        <w:t>有一點值得關注的是，社會上有不同的意見反映，現時香港眾多學生的視野流於狹窄，特別是今時今日一些強調本土化的聲音，有些人藉“反國教”的題目吹噓“國情無用論”，這勢必令本地學生的眼界變成井底之蛙。“學好數理化，走遍天下都不怕”這句老話雖然有某種意義，但在現今這個全球化的大環境下，顯得有頗大的落差。因此，我們除了關注青少年智力的發展外，還要把握這個好機會為年青一代的全人發展作更周全的考慮，將教育的知識範疇擴闊，讓青少年人有更廣闊的國際視野、建立社會責任感，以及對國情具深厚的認識，真正提升長遠的國際競爭力，從容面對未來更多、更大的挑戰。</w:t>
      </w:r>
    </w:p>
    <w:p>
      <w:pPr>
        <w:pStyle w:val="F21"/>
        <w:rPr>
          <w:szCs w:val="27"/>
        </w:rPr>
      </w:pPr>
      <w:r>
        <w:rPr>
          <w:szCs w:val="27"/>
        </w:rPr>
      </w:r>
    </w:p>
    <w:p>
      <w:pPr>
        <w:pStyle w:val="F21"/>
        <w:rPr>
          <w:szCs w:val="27"/>
        </w:rPr>
      </w:pPr>
      <w:r>
        <w:rPr>
          <w:szCs w:val="27"/>
        </w:rPr>
        <w:tab/>
      </w:r>
      <w:r>
        <w:rPr>
          <w:szCs w:val="27"/>
        </w:rPr>
        <w:t>主席，本人謹此陳辭。</w:t>
      </w:r>
    </w:p>
    <w:p>
      <w:pPr>
        <w:pStyle w:val="F21"/>
        <w:rPr>
          <w:szCs w:val="27"/>
        </w:rPr>
      </w:pPr>
      <w:r>
        <w:rPr>
          <w:szCs w:val="27"/>
        </w:rPr>
      </w:r>
    </w:p>
    <w:p>
      <w:pPr>
        <w:pStyle w:val="F21"/>
        <w:rPr>
          <w:szCs w:val="27"/>
        </w:rPr>
      </w:pPr>
      <w:r>
        <w:rPr>
          <w:szCs w:val="27"/>
        </w:rPr>
      </w:r>
    </w:p>
    <w:p>
      <w:pPr>
        <w:pStyle w:val="F21"/>
        <w:rPr/>
      </w:pPr>
      <w:r>
        <w:rPr>
          <w:rFonts w:eastAsia="華康中黑體"/>
          <w:b/>
        </w:rPr>
        <w:t>主席</w:t>
      </w:r>
      <w:r>
        <w:rPr/>
        <w:t>：是否有其他議員想發言？</w:t>
      </w:r>
    </w:p>
    <w:p>
      <w:pPr>
        <w:pStyle w:val="F21"/>
        <w:rPr/>
      </w:pPr>
      <w:r>
        <w:rPr/>
      </w:r>
    </w:p>
    <w:p>
      <w:pPr>
        <w:pStyle w:val="F21"/>
        <w:rPr/>
      </w:pPr>
      <w:r>
        <w:rPr/>
        <w:t>(</w:t>
      </w:r>
      <w:r>
        <w:rPr/>
        <w:t>沒有其他議員表示想發言</w:t>
      </w:r>
      <w:r>
        <w:rPr/>
        <w:t>)</w:t>
      </w:r>
    </w:p>
    <w:p>
      <w:pPr>
        <w:pStyle w:val="F21"/>
        <w:rPr/>
      </w:pPr>
      <w:r>
        <w:rPr/>
      </w:r>
    </w:p>
    <w:p>
      <w:pPr>
        <w:pStyle w:val="F21"/>
        <w:rPr/>
      </w:pPr>
      <w:r>
        <w:rPr/>
      </w:r>
    </w:p>
    <w:p>
      <w:pPr>
        <w:pStyle w:val="F21"/>
        <w:rPr/>
      </w:pPr>
      <w:r>
        <w:rPr>
          <w:rFonts w:eastAsia="華康中黑體"/>
          <w:b/>
        </w:rPr>
        <w:t>主席</w:t>
      </w:r>
      <w:r>
        <w:rPr/>
        <w:t>：葉劉淑儀議員，你現在可以就各項修正案發言。發言時限是</w:t>
      </w:r>
      <w:r>
        <w:rPr/>
        <w:t>5</w:t>
      </w:r>
      <w:r>
        <w:rPr/>
        <w:t>分鐘。</w:t>
      </w:r>
    </w:p>
    <w:p>
      <w:pPr>
        <w:pStyle w:val="F21"/>
        <w:rPr/>
      </w:pPr>
      <w:r>
        <w:rPr/>
      </w:r>
    </w:p>
    <w:p>
      <w:pPr>
        <w:pStyle w:val="F21"/>
        <w:rPr/>
      </w:pPr>
      <w:r>
        <w:rPr/>
      </w:r>
    </w:p>
    <w:p>
      <w:pPr>
        <w:pStyle w:val="F21"/>
        <w:rPr>
          <w:szCs w:val="27"/>
        </w:rPr>
      </w:pPr>
      <w:r>
        <w:rPr>
          <w:rFonts w:ascii="華康中黑體" w:hAnsi="華康中黑體" w:cs="華康中黑體" w:eastAsia="華康中黑體"/>
          <w:b/>
          <w:szCs w:val="27"/>
        </w:rPr>
        <w:t>葉劉淑儀議員</w:t>
      </w:r>
      <w:r>
        <w:rPr>
          <w:szCs w:val="27"/>
        </w:rPr>
        <w:t>：主席，首先，我十分感謝各位</w:t>
      </w:r>
      <w:r>
        <w:rPr>
          <w:rFonts w:ascii="華康細明體" w:hAnsi="華康細明體"/>
          <w:szCs w:val="27"/>
        </w:rPr>
        <w:t>議員</w:t>
      </w:r>
      <w:r>
        <w:rPr>
          <w:szCs w:val="27"/>
        </w:rPr>
        <w:t>的支持。對於各項修正案，我支持莫乃光</w:t>
      </w:r>
      <w:r>
        <w:rPr>
          <w:rFonts w:ascii="華康細明體" w:hAnsi="華康細明體"/>
          <w:szCs w:val="27"/>
        </w:rPr>
        <w:t>議員</w:t>
      </w:r>
      <w:r>
        <w:rPr>
          <w:szCs w:val="27"/>
        </w:rPr>
        <w:t>的修正案，也支持謝偉銓</w:t>
      </w:r>
      <w:r>
        <w:rPr>
          <w:rFonts w:ascii="華康細明體" w:hAnsi="華康細明體"/>
          <w:szCs w:val="27"/>
        </w:rPr>
        <w:t>議員</w:t>
      </w:r>
      <w:r>
        <w:rPr>
          <w:szCs w:val="27"/>
        </w:rPr>
        <w:t>的修正案。</w:t>
      </w:r>
    </w:p>
    <w:p>
      <w:pPr>
        <w:pStyle w:val="F21"/>
        <w:rPr>
          <w:szCs w:val="27"/>
        </w:rPr>
      </w:pPr>
      <w:r>
        <w:rPr>
          <w:szCs w:val="27"/>
        </w:rPr>
      </w:r>
    </w:p>
    <w:p>
      <w:pPr>
        <w:pStyle w:val="F21"/>
        <w:rPr>
          <w:szCs w:val="27"/>
        </w:rPr>
      </w:pPr>
      <w:r>
        <w:rPr>
          <w:szCs w:val="27"/>
        </w:rPr>
        <w:tab/>
      </w:r>
      <w:r>
        <w:rPr>
          <w:szCs w:val="27"/>
        </w:rPr>
        <w:t>至於張國柱議員和梁耀忠</w:t>
      </w:r>
      <w:r>
        <w:rPr>
          <w:rFonts w:ascii="華康細明體" w:hAnsi="華康細明體"/>
          <w:szCs w:val="27"/>
        </w:rPr>
        <w:t>議員</w:t>
      </w:r>
      <w:r>
        <w:rPr>
          <w:szCs w:val="27"/>
        </w:rPr>
        <w:t>的修正案，我感到十分遺憾，因為他們刪除了我所提議案中很多具體的建議。我聽了他們的發言，覺得他們似乎是反對精英教育，又害怕學生不喜歡蘇俄式的訓練，亦害怕那些做不到數學奧林匹克</w:t>
      </w:r>
      <w:r>
        <w:rPr>
          <w:szCs w:val="27"/>
        </w:rPr>
        <w:t>(“</w:t>
      </w:r>
      <w:r>
        <w:rPr>
          <w:szCs w:val="27"/>
        </w:rPr>
        <w:t>奧數”</w:t>
      </w:r>
      <w:r>
        <w:rPr>
          <w:szCs w:val="27"/>
        </w:rPr>
        <w:t>)</w:t>
      </w:r>
      <w:r>
        <w:rPr>
          <w:szCs w:val="27"/>
        </w:rPr>
        <w:t>比賽題目的學生感到氣餒，我覺得這是不必要的。以我本人為例，我不能跳高、跳水或跳遠，但我旁邊的同學做得好，我不會生氣，也不會氣餒，因為人有不同的才能。我的數學十分差，但主席的數學很好，我不會妒忌你，也不會氣餒，因為我也有一些技能，例如會寫稿。人有不同的才能，我們不應該認為栽培精英等同對數學能力一般的同學造成壓力，因而不支持這比賽。</w:t>
      </w:r>
    </w:p>
    <w:p>
      <w:pPr>
        <w:pStyle w:val="F21"/>
        <w:rPr>
          <w:szCs w:val="27"/>
        </w:rPr>
      </w:pPr>
      <w:r>
        <w:rPr>
          <w:szCs w:val="27"/>
        </w:rPr>
      </w:r>
    </w:p>
    <w:p>
      <w:pPr>
        <w:pStyle w:val="F21"/>
        <w:rPr>
          <w:szCs w:val="27"/>
        </w:rPr>
      </w:pPr>
      <w:r>
        <w:rPr>
          <w:szCs w:val="27"/>
        </w:rPr>
        <w:tab/>
      </w:r>
      <w:r>
        <w:rPr>
          <w:szCs w:val="27"/>
        </w:rPr>
        <w:t>其實，學生需要多元發展，而且要在奧數比賽中取得佳績，一定需要經過訓練，我相信主席對此十分清楚，因為你曾經當導師。此外，也有很多學生告訴我，參加奧數比賽要經過特別的邏輯訓練、解難訓練等，才能夠取得優異成績。</w:t>
      </w:r>
    </w:p>
    <w:p>
      <w:pPr>
        <w:pStyle w:val="F21"/>
        <w:rPr>
          <w:szCs w:val="27"/>
        </w:rPr>
      </w:pPr>
      <w:r>
        <w:rPr>
          <w:szCs w:val="27"/>
        </w:rPr>
      </w:r>
    </w:p>
    <w:p>
      <w:pPr>
        <w:pStyle w:val="F21"/>
        <w:rPr>
          <w:rFonts w:ascii="華康細明體" w:hAnsi="華康細明體"/>
          <w:szCs w:val="27"/>
        </w:rPr>
      </w:pPr>
      <w:r>
        <w:rPr>
          <w:szCs w:val="27"/>
        </w:rPr>
        <w:tab/>
      </w:r>
      <w:r>
        <w:rPr>
          <w:szCs w:val="27"/>
        </w:rPr>
        <w:t>單仲偕</w:t>
      </w:r>
      <w:r>
        <w:rPr>
          <w:rFonts w:ascii="華康細明體" w:hAnsi="華康細明體"/>
          <w:szCs w:val="27"/>
        </w:rPr>
        <w:t>議員</w:t>
      </w:r>
      <w:r>
        <w:rPr>
          <w:szCs w:val="27"/>
        </w:rPr>
        <w:t>提出很多疑問，質疑為何要公開敦促特首當贊助人。我的答案就是因為他現在還未答允。教育局的信息是，當籌委會不行；有些官員給我的感覺是，錦上添花便願意，雪中送炭便拒絕。假如要他們幫忙籌款、幫老師做些事情，又或是幫電影界、科技界做些事情、舉行盛事等，便推說沒有錢，不要煩擾他們，他們只在意耕種自己的土地，其他人不要搞這麼多事。因為政府官員有這樣的表現，才會迫使我這樣公開的提出議案。如果不是單仲偕</w:t>
      </w:r>
      <w:r>
        <w:rPr>
          <w:rFonts w:ascii="華康細明體" w:hAnsi="華康細明體"/>
          <w:szCs w:val="27"/>
        </w:rPr>
        <w:t>議員提出來，我也不想說，因為我正在巴結局長，希望局長的夥計多些支持我，但現在沒有辦法，我只好向他解釋。我還有很多其他為難之處，但我為了顧全政府的面子而不想說，我可以私下跟大家說，只是懇請民主黨支持我的議案而已。</w:t>
      </w:r>
    </w:p>
    <w:p>
      <w:pPr>
        <w:pStyle w:val="F21"/>
        <w:rPr>
          <w:rFonts w:ascii="華康細明體" w:hAnsi="華康細明體"/>
          <w:szCs w:val="27"/>
        </w:rPr>
      </w:pPr>
      <w:r>
        <w:rPr>
          <w:rFonts w:ascii="華康細明體" w:hAnsi="華康細明體"/>
          <w:szCs w:val="27"/>
        </w:rPr>
      </w:r>
    </w:p>
    <w:p>
      <w:pPr>
        <w:pStyle w:val="F21"/>
        <w:rPr>
          <w:rFonts w:ascii="華康細明體" w:hAnsi="華康細明體"/>
          <w:szCs w:val="27"/>
        </w:rPr>
      </w:pPr>
      <w:r>
        <w:rPr>
          <w:rFonts w:ascii="華康細明體" w:hAnsi="華康細明體"/>
          <w:szCs w:val="27"/>
        </w:rPr>
        <w:tab/>
      </w:r>
      <w:r>
        <w:rPr>
          <w:rFonts w:ascii="華康細明體" w:hAnsi="華康細明體"/>
          <w:szCs w:val="27"/>
        </w:rPr>
        <w:t>其他議員的發言，我也不再多加評論。至於葉建源議員，我感謝他安排一些數學老師出席，向我們作出簡報，解釋了</w:t>
      </w:r>
      <w:r>
        <w:rPr>
          <w:szCs w:val="27"/>
        </w:rPr>
        <w:t>TSA</w:t>
      </w:r>
      <w:r>
        <w:rPr>
          <w:szCs w:val="27"/>
        </w:rPr>
        <w:t>的苦楚；我也感謝李慧琼</w:t>
      </w:r>
      <w:r>
        <w:rPr>
          <w:rFonts w:ascii="華康細明體" w:hAnsi="華康細明體"/>
          <w:szCs w:val="27"/>
        </w:rPr>
        <w:t>議員</w:t>
      </w:r>
      <w:r>
        <w:rPr>
          <w:szCs w:val="27"/>
        </w:rPr>
        <w:t>以家長的身份，說出很多為難之處。但是，我今天的議案主題始終是支持奧數，不是反對</w:t>
      </w:r>
      <w:r>
        <w:rPr>
          <w:szCs w:val="27"/>
        </w:rPr>
        <w:t>TSA</w:t>
      </w:r>
      <w:r>
        <w:rPr>
          <w:szCs w:val="27"/>
        </w:rPr>
        <w:t>。</w:t>
      </w:r>
      <w:r>
        <w:rPr>
          <w:rFonts w:ascii="華康細明體" w:hAnsi="華康細明體"/>
          <w:szCs w:val="27"/>
        </w:rPr>
        <w:t>我同情和認同葉建源議員提出的問題，但</w:t>
      </w:r>
      <w:r>
        <w:rPr>
          <w:szCs w:val="27"/>
        </w:rPr>
        <w:t>我覺得如果他</w:t>
      </w:r>
      <w:r>
        <w:rPr>
          <w:rFonts w:ascii="華康細明體" w:hAnsi="華康細明體"/>
          <w:szCs w:val="27"/>
        </w:rPr>
        <w:t>對</w:t>
      </w:r>
      <w:r>
        <w:rPr>
          <w:szCs w:val="27"/>
        </w:rPr>
        <w:t>TSA</w:t>
      </w:r>
      <w:r>
        <w:rPr>
          <w:rFonts w:ascii="華康細明體" w:hAnsi="華康細明體"/>
          <w:szCs w:val="27"/>
        </w:rPr>
        <w:t>有這麼多意見，請他自行提出議案辯論，否則便有少許喧賓奪主的感覺。所以，對於葉建源議員的修正案，我在表決時會棄權。我本來是想投反對票的，但因為我也相當同情他，所以我會棄權，大不了我離開會議廳，反正我只有一個人而已。</w:t>
      </w:r>
    </w:p>
    <w:p>
      <w:pPr>
        <w:pStyle w:val="F21"/>
        <w:rPr>
          <w:rFonts w:ascii="華康細明體" w:hAnsi="華康細明體"/>
          <w:szCs w:val="27"/>
        </w:rPr>
      </w:pPr>
      <w:r>
        <w:rPr>
          <w:rFonts w:ascii="華康細明體" w:hAnsi="華康細明體"/>
          <w:szCs w:val="27"/>
        </w:rPr>
      </w:r>
    </w:p>
    <w:p>
      <w:pPr>
        <w:pStyle w:val="F21"/>
        <w:rPr>
          <w:rFonts w:ascii="華康細明體" w:hAnsi="華康細明體"/>
          <w:szCs w:val="27"/>
        </w:rPr>
      </w:pPr>
      <w:r>
        <w:rPr>
          <w:rFonts w:ascii="華康細明體" w:hAnsi="華康細明體"/>
          <w:szCs w:val="27"/>
        </w:rPr>
        <w:tab/>
      </w:r>
      <w:r>
        <w:rPr>
          <w:rFonts w:ascii="華康細明體" w:hAnsi="華康細明體"/>
          <w:szCs w:val="27"/>
        </w:rPr>
        <w:t>我只是想感謝各位同事提出的意見，並懇請各位支持我的議案，以及莫乃光議員和謝偉銓議員的修正案。</w:t>
      </w:r>
    </w:p>
    <w:p>
      <w:pPr>
        <w:pStyle w:val="F21"/>
        <w:rPr>
          <w:rFonts w:ascii="華康細明體" w:hAnsi="華康細明體"/>
          <w:szCs w:val="27"/>
        </w:rPr>
      </w:pPr>
      <w:r>
        <w:rPr>
          <w:rFonts w:ascii="華康細明體" w:hAnsi="華康細明體"/>
          <w:szCs w:val="27"/>
        </w:rPr>
      </w:r>
    </w:p>
    <w:p>
      <w:pPr>
        <w:pStyle w:val="F21"/>
        <w:rPr>
          <w:rFonts w:ascii="華康細明體" w:hAnsi="華康細明體"/>
          <w:szCs w:val="27"/>
        </w:rPr>
      </w:pPr>
      <w:r>
        <w:rPr>
          <w:rFonts w:ascii="華康細明體" w:hAnsi="華康細明體"/>
          <w:szCs w:val="27"/>
        </w:rPr>
        <w:tab/>
      </w:r>
      <w:r>
        <w:rPr>
          <w:rFonts w:ascii="華康細明體" w:hAnsi="華康細明體"/>
          <w:szCs w:val="27"/>
        </w:rPr>
        <w:t>主席，最後我還要作出一項申報，我是這個籌委會的名譽首席顧問，但我毫無利益，只是間中提供辦公室和人手支援，以及替他們籌款而已。多謝各位。</w:t>
      </w:r>
    </w:p>
    <w:p>
      <w:pPr>
        <w:pStyle w:val="F21"/>
        <w:spacing w:lineRule="atLeast" w:line="370"/>
        <w:rPr>
          <w:rFonts w:ascii="華康細明體" w:hAnsi="華康細明體"/>
          <w:szCs w:val="27"/>
        </w:rPr>
      </w:pPr>
      <w:r>
        <w:rPr>
          <w:rFonts w:ascii="華康細明體" w:hAnsi="華康細明體"/>
          <w:szCs w:val="27"/>
        </w:rPr>
      </w:r>
    </w:p>
    <w:p>
      <w:pPr>
        <w:pStyle w:val="F21"/>
        <w:spacing w:lineRule="atLeast" w:line="370"/>
        <w:rPr/>
      </w:pPr>
      <w:r>
        <w:rPr/>
      </w:r>
    </w:p>
    <w:p>
      <w:pPr>
        <w:pStyle w:val="F21"/>
        <w:spacing w:lineRule="atLeast" w:line="370"/>
        <w:rPr/>
      </w:pPr>
      <w:r>
        <w:rPr>
          <w:rFonts w:ascii="華康中黑體" w:hAnsi="華康中黑體" w:eastAsia="華康中黑體"/>
          <w:b/>
        </w:rPr>
        <w:t>教育局局長</w:t>
      </w:r>
      <w:r>
        <w:rPr/>
        <w:t>：主席，首先，我再一次多謝各位議員提出的寶貴意見。我現在就大家的部分意見作出具體回應。</w:t>
      </w:r>
    </w:p>
    <w:p>
      <w:pPr>
        <w:pStyle w:val="F21"/>
        <w:spacing w:lineRule="atLeast" w:line="370"/>
        <w:rPr/>
      </w:pPr>
      <w:r>
        <w:rPr/>
      </w:r>
    </w:p>
    <w:p>
      <w:pPr>
        <w:pStyle w:val="F21"/>
        <w:spacing w:lineRule="atLeast" w:line="370"/>
        <w:rPr/>
      </w:pPr>
      <w:r>
        <w:rPr/>
        <w:tab/>
      </w:r>
      <w:r>
        <w:rPr/>
        <w:t>國際數學奧林匹克</w:t>
      </w:r>
      <w:r>
        <w:rPr/>
        <w:t>(“</w:t>
      </w:r>
      <w:r>
        <w:rPr/>
        <w:t>奧數”</w:t>
      </w:r>
      <w:r>
        <w:rPr/>
        <w:t>)</w:t>
      </w:r>
      <w:r>
        <w:rPr/>
        <w:t>競賽為年度的國際盛事，如能在香港舉行，一定能進一步推動本地數學科研，催化本地這方面的資優教育。</w:t>
      </w:r>
    </w:p>
    <w:p>
      <w:pPr>
        <w:pStyle w:val="F21"/>
        <w:spacing w:lineRule="atLeast" w:line="370"/>
        <w:rPr/>
      </w:pPr>
      <w:r>
        <w:rPr/>
      </w:r>
    </w:p>
    <w:p>
      <w:pPr>
        <w:pStyle w:val="F21"/>
        <w:spacing w:lineRule="atLeast" w:line="370"/>
        <w:rPr/>
      </w:pPr>
      <w:r>
        <w:rPr/>
        <w:tab/>
      </w:r>
      <w:r>
        <w:rPr/>
        <w:t>有一項估計指出，</w:t>
      </w:r>
      <w:r>
        <w:rPr/>
        <w:t>2016</w:t>
      </w:r>
      <w:r>
        <w:rPr/>
        <w:t>年這項活動會有多個國家超過</w:t>
      </w:r>
      <w:r>
        <w:rPr/>
        <w:t>1 000</w:t>
      </w:r>
      <w:r>
        <w:rPr/>
        <w:t>人來參加，這亦鼓勵我們在此方面發展。</w:t>
      </w:r>
    </w:p>
    <w:p>
      <w:pPr>
        <w:pStyle w:val="F21"/>
        <w:spacing w:lineRule="atLeast" w:line="370"/>
        <w:rPr/>
      </w:pPr>
      <w:r>
        <w:rPr/>
      </w:r>
    </w:p>
    <w:p>
      <w:pPr>
        <w:pStyle w:val="F21"/>
        <w:spacing w:lineRule="atLeast" w:line="370"/>
        <w:rPr/>
      </w:pPr>
      <w:r>
        <w:rPr/>
        <w:tab/>
      </w:r>
      <w:r>
        <w:rPr/>
        <w:t>就葉劉淑儀議員的原議案，特區政府會因應第五十七屆奧數的籌備工作，在充分落實籌委會的組織和相關資料時，建議最合適的政府官員擔任是項活動的贊助人。我要強調，正如葉議員所指，我們主動和奧數香港委員會開會、主動提供意見，很希望能夠令賽事圓滿、成功地舉辦。同時，作為一個支持機構，教育局會在人力及資源許可的情況下，向奧數香港委員會提供相關支援。上星期舉行了會議，其中一點是我們會調派兩位過去有舉辦相同活動經驗的同事，直接和委員會一起工作。</w:t>
      </w:r>
    </w:p>
    <w:p>
      <w:pPr>
        <w:pStyle w:val="F21"/>
        <w:spacing w:lineRule="atLeast" w:line="370"/>
        <w:rPr/>
      </w:pPr>
      <w:r>
        <w:rPr/>
      </w:r>
    </w:p>
    <w:p>
      <w:pPr>
        <w:pStyle w:val="F21"/>
        <w:spacing w:lineRule="atLeast" w:line="370"/>
        <w:rPr/>
      </w:pPr>
      <w:r>
        <w:rPr/>
        <w:tab/>
      </w:r>
      <w:r>
        <w:rPr/>
        <w:t>至於其他安排，我希望委員會工作更能順利進行。正如剛才已提及，有需要時，我們會與其他政府部門或機構聯絡，尋求所需要的協助，例如與保安局和入境事務處聯繫，為各國參賽者及隨行人員的入境簽證等作出配合及協助。教育局亦會依照歷屆做法和過往慣例，派相關官員以觀察員的身份，出席</w:t>
      </w:r>
      <w:r>
        <w:rPr/>
        <w:t>2014</w:t>
      </w:r>
      <w:r>
        <w:rPr/>
        <w:t>年第五十五屆及</w:t>
      </w:r>
      <w:r>
        <w:rPr/>
        <w:t>2015</w:t>
      </w:r>
      <w:r>
        <w:rPr/>
        <w:t>年第五十六屆奧數活動，安排將有關經驗和發展帶回來，並與籌委會共同工作。我們亦同意贊助開幕和閉幕典禮及隨後舉行的宴會或酒會、製作獎牌及印刷的費用。我們亦鼓勵委員會申請其他資助計劃。</w:t>
      </w:r>
    </w:p>
    <w:p>
      <w:pPr>
        <w:pStyle w:val="F21"/>
        <w:spacing w:lineRule="atLeast" w:line="370"/>
        <w:rPr/>
      </w:pPr>
      <w:r>
        <w:rPr/>
      </w:r>
    </w:p>
    <w:p>
      <w:pPr>
        <w:pStyle w:val="F21"/>
        <w:spacing w:lineRule="atLeast" w:line="370"/>
        <w:rPr/>
      </w:pPr>
      <w:r>
        <w:rPr/>
        <w:tab/>
      </w:r>
      <w:r>
        <w:rPr/>
        <w:t>剛才議員提及應考慮申請盛事基金，我們已作初步研究，覺得基金是針對不同類別的對象。至於優質教育基金，當看到委員會實質的草擬書時，我們會積極研究。除此以外，我們有另一項工作正在進行中，我想與葉劉淑儀議員和其他議員分享。特區政府與香港旅遊發展局積極協助主辦機構聯絡本港多個主要旅遊景點的營運者，爭取向來港參與比賽的各國領隊、參賽者及工作人員等安排參觀活動或提供票務優惠，讓他們能夠親身體驗香港好客之道及文化活動。我們亦會繼續支持本港代表隊參加各項數學比賽，例如國際性及全國性的數學奧林匹克活動：中國數學奧林匹克、中國女子數學奧林匹克，藉此拓闊本地學生的眼界，並促進他們在地域間的文化及學術交流。</w:t>
      </w:r>
    </w:p>
    <w:p>
      <w:pPr>
        <w:pStyle w:val="F21"/>
        <w:spacing w:lineRule="atLeast" w:line="370"/>
        <w:rPr/>
      </w:pPr>
      <w:r>
        <w:rPr/>
      </w:r>
    </w:p>
    <w:p>
      <w:pPr>
        <w:pStyle w:val="F21"/>
        <w:spacing w:lineRule="atLeast" w:line="370"/>
        <w:rPr/>
      </w:pPr>
      <w:r>
        <w:rPr/>
        <w:tab/>
      </w:r>
      <w:r>
        <w:rPr/>
        <w:t>正如謝議員及莫議員兩位所了解，舉辦國際奧林匹克為香港帶來正面積極意義；除有助提升香港的國際形象外，亦能加強社會各界對有關數理邏輯思維範疇教育的重視，長遠來說，絕對有利培育發展高新科技產業的人才。事實上，教育局亦十分重視這次國際盛事的支持機構。直至目前為止，我們除舉行</w:t>
      </w:r>
      <w:r>
        <w:rPr/>
        <w:t>3</w:t>
      </w:r>
      <w:r>
        <w:rPr/>
        <w:t>次會議外，亦向籌委會提供過去其他類似活動的經驗，希望籌委會能夠順利開展籌辦工作。</w:t>
      </w:r>
    </w:p>
    <w:p>
      <w:pPr>
        <w:pStyle w:val="F21"/>
        <w:spacing w:lineRule="atLeast" w:line="370"/>
        <w:rPr/>
      </w:pPr>
      <w:r>
        <w:rPr/>
      </w:r>
    </w:p>
    <w:p>
      <w:pPr>
        <w:pStyle w:val="F21"/>
        <w:spacing w:lineRule="atLeast" w:line="370"/>
        <w:rPr/>
      </w:pPr>
      <w:r>
        <w:rPr/>
        <w:tab/>
      </w:r>
      <w:r>
        <w:rPr/>
        <w:t>我留意到有些議員的幾項提議，例如要求特區政府推行一個全面而均衡的課程，着重提升學生對學習的興趣，讓學生在各方面都能得到適切的照顧和發揮所長；更要避免學校教育過分地被考試主導，影響學生的健康成長。特區政府更會為學校提供足夠的支援，以落實學校教育的目標。其實，剛才提到的課程改革，強調學生的全人發展和培養他們的共通能力。</w:t>
      </w:r>
    </w:p>
    <w:p>
      <w:pPr>
        <w:pStyle w:val="F21"/>
        <w:spacing w:lineRule="atLeast" w:line="370"/>
        <w:rPr/>
      </w:pPr>
      <w:r>
        <w:rPr/>
      </w:r>
    </w:p>
    <w:p>
      <w:pPr>
        <w:pStyle w:val="F21"/>
        <w:spacing w:lineRule="atLeast" w:line="370"/>
        <w:rPr/>
      </w:pPr>
      <w:r>
        <w:rPr/>
        <w:tab/>
      </w:r>
      <w:r>
        <w:rPr/>
        <w:t>在此再回應一下葉建源議員提到全港性系統評估是高風險的評核，此意見似乎與事實不符，而教育局亦並無計劃取消這項既能促進學習又能為教師提供整體教學參考資料的評核。我們再強調，這考核是以學校為整體單位，並非針對個別同學的個人表現，盡量減少有關壓力。我亦了解到剛才有議員指家長有很大壓力，學校有很大壓力，議員用了“催谷”這字眼。所以，在</w:t>
      </w:r>
      <w:r>
        <w:rPr/>
        <w:t>2011</w:t>
      </w:r>
      <w:r>
        <w:rPr/>
        <w:t>年，我們宣布在</w:t>
      </w:r>
      <w:r>
        <w:rPr/>
        <w:t>2012</w:t>
      </w:r>
      <w:r>
        <w:rPr/>
        <w:t>年及</w:t>
      </w:r>
      <w:r>
        <w:rPr/>
        <w:t>2014</w:t>
      </w:r>
      <w:r>
        <w:rPr/>
        <w:t>年暫停舉行小六級全港性系統評估，減輕小六學生每年需要面對壓力的情況，而校長、老師覺得這做法能有效降低壓力。現在我們全面檢討這措施。例如，在題目、涵蓋範圍、報告功能，以及其他施行安排方面，正如剛才個別議員提到，我們都會作整體的檢討。剛才張國柱議員對本地教育制度的評價，亦與事實有些落差。事實上，政府一直強調透過評估促進學習，因此評估並非學習的終結，而是作為提升學習效能的參考，亦受到教育專業的支持。至於校內持續評估方面的工作，同樣有助改變過去“一試定生死”的觀念。因此，我很抱歉今天不能認同兩位議員的修正案。</w:t>
      </w:r>
    </w:p>
    <w:p>
      <w:pPr>
        <w:pStyle w:val="F21"/>
        <w:spacing w:lineRule="atLeast" w:line="370"/>
        <w:rPr/>
      </w:pPr>
      <w:r>
        <w:rPr/>
      </w:r>
    </w:p>
    <w:p>
      <w:pPr>
        <w:pStyle w:val="F21"/>
        <w:spacing w:lineRule="atLeast" w:line="370"/>
        <w:rPr/>
      </w:pPr>
      <w:r>
        <w:rPr/>
      </w:r>
    </w:p>
    <w:p>
      <w:pPr>
        <w:pStyle w:val="F21"/>
        <w:rPr/>
      </w:pPr>
      <w:r>
        <w:rPr/>
        <w:tab/>
      </w:r>
      <w:r>
        <w:rPr/>
        <w:t>事實上，剛才提及在</w:t>
      </w:r>
      <w:r>
        <w:rPr/>
        <w:t>PISA(Programme for International Student Assessment)</w:t>
      </w:r>
      <w:r>
        <w:rPr/>
        <w:t>香港的整體表現，我再補充一下另一部分。整體而言，相對其他參與</w:t>
      </w:r>
      <w:r>
        <w:rPr/>
        <w:t>PISA</w:t>
      </w:r>
      <w:r>
        <w:rPr/>
        <w:t>的國家／地區</w:t>
      </w:r>
      <w:r>
        <w:rPr/>
        <w:t>(</w:t>
      </w:r>
      <w:r>
        <w:rPr/>
        <w:t>包括上海、新加坡</w:t>
      </w:r>
      <w:r>
        <w:rPr/>
        <w:t>)</w:t>
      </w:r>
      <w:r>
        <w:rPr/>
        <w:t>，香港學生的表現較少受家庭社經背景影響，不同家庭社經背景的香港學生表現同樣優異。在全球比較下，香港的學生表現相對優異。研究結果顯示，香港相對頗能為所有學生提供接受優質教育的平等機會。所以，剛才有個別議員提到，很擔心政府重視精英而未能照顧到其他學生，這擔心是不必要的。外評、內評均能告訴我上述情況。</w:t>
      </w:r>
    </w:p>
    <w:p>
      <w:pPr>
        <w:pStyle w:val="F21"/>
        <w:rPr/>
      </w:pPr>
      <w:r>
        <w:rPr/>
      </w:r>
    </w:p>
    <w:p>
      <w:pPr>
        <w:pStyle w:val="F21"/>
        <w:rPr/>
      </w:pPr>
      <w:r>
        <w:rPr/>
        <w:tab/>
      </w:r>
      <w:r>
        <w:rPr/>
        <w:t>除了奧數活動外，我們亦與不同團體合辦各類型比賽，例如香港數學創意解難比賽、香港學生科學比賽、香港電腦奧林匹克競賽等。此外，我們又積極選拔及培訓學生參與國際及全國賽事，讓學生能與其他國家或地方的同學互相交流和切磋。</w:t>
      </w:r>
    </w:p>
    <w:p>
      <w:pPr>
        <w:pStyle w:val="F21"/>
        <w:rPr/>
      </w:pPr>
      <w:r>
        <w:rPr/>
      </w:r>
    </w:p>
    <w:p>
      <w:pPr>
        <w:pStyle w:val="F21"/>
        <w:rPr/>
      </w:pPr>
      <w:r>
        <w:rPr/>
        <w:tab/>
      </w:r>
      <w:r>
        <w:rPr/>
        <w:t>主席，我想就個別議員提到的人文學科部分作補充。我再強調，教育局一直都很重視學生的全人發展、完人發展。在資訊方面，香港學校課程有</w:t>
      </w:r>
      <w:r>
        <w:rPr/>
        <w:t>8</w:t>
      </w:r>
      <w:r>
        <w:rPr/>
        <w:t>個學習領域，確保課程均衡、廣闊，其中個人、社會及人文教育學習領域佔整體課時的</w:t>
      </w:r>
      <w:r>
        <w:rPr/>
        <w:t>15%</w:t>
      </w:r>
      <w:r>
        <w:rPr/>
        <w:t>至</w:t>
      </w:r>
      <w:r>
        <w:rPr/>
        <w:t>20%</w:t>
      </w:r>
      <w:r>
        <w:rPr/>
        <w:t>，這做法是希望同學能有全面發展。</w:t>
      </w:r>
    </w:p>
    <w:p>
      <w:pPr>
        <w:pStyle w:val="F21"/>
        <w:rPr/>
      </w:pPr>
      <w:r>
        <w:rPr/>
      </w:r>
    </w:p>
    <w:p>
      <w:pPr>
        <w:pStyle w:val="F21"/>
        <w:rPr/>
      </w:pPr>
      <w:r>
        <w:rPr/>
        <w:tab/>
      </w:r>
      <w:r>
        <w:rPr/>
        <w:t>最後，我再一次多謝各位議員和社會大眾對香港數理教育發展的關注，特別對葉劉淑儀議員的原議案，以及莫乃光議員和謝偉銓議員的修正案表示謝意。教育局會繼續透過多元渠道，促進學術交流，提供機會讓學生在國際競賽為香港爭光。最後，教育局作為第五十七屆奧數競賽的支持機構，定當盡力協調及適切地支援相關的籌備及聯繫工作，並適當地提升學校數學教育的學習氣氛，使這數學界的國際盛事能在</w:t>
      </w:r>
      <w:r>
        <w:rPr/>
        <w:t>2016</w:t>
      </w:r>
      <w:r>
        <w:rPr/>
        <w:t>年順利在香港成功舉行。</w:t>
      </w:r>
    </w:p>
    <w:p>
      <w:pPr>
        <w:pStyle w:val="F21"/>
        <w:rPr/>
      </w:pPr>
      <w:r>
        <w:rPr/>
      </w:r>
    </w:p>
    <w:p>
      <w:pPr>
        <w:pStyle w:val="F21"/>
        <w:rPr/>
      </w:pPr>
      <w:r>
        <w:rPr/>
        <w:tab/>
      </w:r>
      <w:r>
        <w:rPr/>
        <w:t>主席，謝謝。</w:t>
      </w:r>
    </w:p>
    <w:p>
      <w:pPr>
        <w:pStyle w:val="F21"/>
        <w:rPr/>
      </w:pPr>
      <w:r>
        <w:rPr/>
      </w:r>
    </w:p>
    <w:p>
      <w:pPr>
        <w:pStyle w:val="F21"/>
        <w:rPr>
          <w:rFonts w:ascii="華康中黑體" w:hAnsi="華康中黑體" w:eastAsia="華康中黑體"/>
          <w:b/>
          <w:b/>
        </w:rPr>
      </w:pPr>
      <w:r>
        <w:rPr>
          <w:rFonts w:eastAsia="華康中黑體" w:ascii="華康中黑體" w:hAnsi="華康中黑體"/>
          <w:b/>
        </w:rPr>
      </w:r>
    </w:p>
    <w:p>
      <w:pPr>
        <w:pStyle w:val="F21"/>
        <w:rPr/>
      </w:pPr>
      <w:r>
        <w:rPr>
          <w:rFonts w:eastAsia="華康中黑體"/>
          <w:b/>
        </w:rPr>
        <w:t>主席</w:t>
      </w:r>
      <w:r>
        <w:rPr/>
        <w:t>：葉建源議員，請你現在就議案動議修正案。</w:t>
      </w:r>
    </w:p>
    <w:p>
      <w:pPr>
        <w:pStyle w:val="F21"/>
        <w:rPr/>
      </w:pPr>
      <w:r>
        <w:rPr/>
      </w:r>
    </w:p>
    <w:p>
      <w:pPr>
        <w:pStyle w:val="F21"/>
        <w:rPr/>
      </w:pPr>
      <w:r>
        <w:rPr/>
      </w:r>
    </w:p>
    <w:p>
      <w:pPr>
        <w:pStyle w:val="F21"/>
        <w:rPr/>
      </w:pPr>
      <w:r>
        <w:rPr>
          <w:rFonts w:ascii="華康中黑體" w:hAnsi="華康中黑體" w:eastAsia="華康中黑體"/>
          <w:b/>
        </w:rPr>
        <w:t>葉建源議員</w:t>
      </w:r>
      <w:r>
        <w:rPr/>
        <w:t>：主席，我動議通過經由我修正的葉劉淑儀議員議案。</w:t>
      </w:r>
    </w:p>
    <w:p>
      <w:pPr>
        <w:pStyle w:val="F21"/>
        <w:rPr/>
      </w:pPr>
      <w:r>
        <w:rPr/>
      </w:r>
    </w:p>
    <w:p>
      <w:pPr>
        <w:pStyle w:val="F21"/>
        <w:rPr/>
      </w:pPr>
      <w:r>
        <w:rPr/>
      </w:r>
    </w:p>
    <w:p>
      <w:pPr>
        <w:pStyle w:val="F21"/>
        <w:overflowPunct w:val="true"/>
        <w:snapToGrid w:val="false"/>
        <w:spacing w:lineRule="atLeast" w:line="370"/>
        <w:rPr>
          <w:szCs w:val="27"/>
        </w:rPr>
      </w:pPr>
      <w:r>
        <w:rPr>
          <w:rFonts w:ascii="華康中黑體" w:hAnsi="華康中黑體" w:eastAsia="華康中黑體"/>
          <w:b/>
          <w:szCs w:val="27"/>
        </w:rPr>
        <w:t>主席</w:t>
      </w:r>
      <w:r>
        <w:rPr>
          <w:rFonts w:ascii="華康中黑體" w:hAnsi="華康中黑體"/>
          <w:szCs w:val="27"/>
        </w:rPr>
        <w:t>：</w:t>
      </w:r>
      <w:r>
        <w:rPr>
          <w:szCs w:val="27"/>
        </w:rPr>
        <w:t>你應該動議你的修正案。</w:t>
      </w:r>
    </w:p>
    <w:p>
      <w:pPr>
        <w:pStyle w:val="F21"/>
        <w:overflowPunct w:val="true"/>
        <w:snapToGrid w:val="false"/>
        <w:spacing w:lineRule="atLeast" w:line="370"/>
        <w:rPr>
          <w:szCs w:val="27"/>
        </w:rPr>
      </w:pPr>
      <w:r>
        <w:rPr>
          <w:rFonts w:ascii="華康中黑體" w:hAnsi="華康中黑體" w:eastAsia="華康中黑體"/>
          <w:b/>
        </w:rPr>
        <w:t>葉建源議員</w:t>
      </w:r>
      <w:r>
        <w:rPr/>
        <w:t>：主席，我動議修正葉劉淑儀議員的議案。</w:t>
      </w:r>
      <w:r>
        <w:br w:type="page"/>
      </w:r>
    </w:p>
    <w:p>
      <w:pPr>
        <w:pStyle w:val="F21"/>
        <w:spacing w:lineRule="atLeast" w:line="370"/>
        <w:rPr/>
      </w:pPr>
      <w:r>
        <w:rPr/>
      </w:r>
    </w:p>
    <w:p>
      <w:pPr>
        <w:pStyle w:val="F21"/>
        <w:spacing w:lineRule="atLeast" w:line="370"/>
        <w:rPr/>
      </w:pPr>
      <w:r>
        <w:rPr>
          <w:rFonts w:ascii="華康中黑體" w:hAnsi="華康中黑體" w:eastAsia="華康中黑體"/>
          <w:b/>
        </w:rPr>
        <w:t>葉建源議員</w:t>
      </w:r>
      <w:r>
        <w:rPr>
          <w:rFonts w:cs="Times New Roman" w:eastAsia="華康中黑體"/>
          <w:b/>
        </w:rPr>
        <w:t>動議的修正案如下</w:t>
      </w:r>
      <w:r>
        <w:rPr/>
        <w:t>：</w:t>
      </w:r>
    </w:p>
    <w:p>
      <w:pPr>
        <w:pStyle w:val="F21"/>
        <w:spacing w:lineRule="atLeast" w:line="370"/>
        <w:rPr/>
      </w:pPr>
      <w:r>
        <w:rPr/>
      </w:r>
    </w:p>
    <w:p>
      <w:pPr>
        <w:pStyle w:val="F21"/>
        <w:spacing w:lineRule="atLeast" w:line="370"/>
        <w:ind w:left="709" w:hanging="142"/>
        <w:rPr>
          <w:rFonts w:cs="Times New Roman"/>
        </w:rPr>
      </w:pPr>
      <w:r>
        <w:rPr>
          <w:rFonts w:cs="Times New Roman"/>
        </w:rPr>
        <w:t>“</w:t>
      </w:r>
      <w:r>
        <w:rPr>
          <w:rFonts w:cs="Times New Roman"/>
        </w:rPr>
        <w:t>在“香港榮獲”之前加上“要提升香港數理學術水平及風氣，需要由學校課程和考試模式着手，因此，學生在小學及中學階段的數理科目訓練極為重要；另外，”；在“促請政府”之後加上“改革學校課程和考試模式，以及”；在“包括：”之後加上“</w:t>
      </w:r>
      <w:r>
        <w:rPr>
          <w:rFonts w:cs="Times New Roman"/>
        </w:rPr>
        <w:t>(</w:t>
      </w:r>
      <w:r>
        <w:rPr>
          <w:rFonts w:cs="Times New Roman"/>
        </w:rPr>
        <w:t>一</w:t>
      </w:r>
      <w:r>
        <w:rPr>
          <w:rFonts w:cs="Times New Roman"/>
        </w:rPr>
        <w:t xml:space="preserve">) </w:t>
      </w:r>
      <w:r>
        <w:rPr>
          <w:rFonts w:cs="Times New Roman"/>
        </w:rPr>
        <w:t>針對全港性系統評估不斷扭曲整個小學及初中階段的學習生態，數學科更被批評部分擬題過深，評核沒有切合學生實際能力和需要，學校之間以此評估數據作比較，並擔心當局以此評估數據作為評核學校的因素，讓評估由教育局宣稱的低風險變為高風險的考核，為學生帶來巨大壓力，教育局必須盡快採取果斷措施，設法遏止學校為此評估而操練學生，並糾正相關的嚴重弊端；如當局無法糾正現時評估帶來的教育異化和變質情況，令評估成為真正的低風險考評，當局必須予以取消，讓學校教育重回正軌；</w:t>
      </w:r>
      <w:r>
        <w:rPr>
          <w:rFonts w:cs="Times New Roman"/>
        </w:rPr>
        <w:t>(</w:t>
      </w:r>
      <w:r>
        <w:rPr>
          <w:rFonts w:cs="Times New Roman"/>
        </w:rPr>
        <w:t>二</w:t>
      </w:r>
      <w:r>
        <w:rPr>
          <w:rFonts w:cs="Times New Roman"/>
        </w:rPr>
        <w:t xml:space="preserve">) </w:t>
      </w:r>
      <w:r>
        <w:rPr>
          <w:rFonts w:cs="Times New Roman"/>
        </w:rPr>
        <w:t>由於現時中學初中階段的數學科課程沿用了</w:t>
      </w:r>
      <w:r>
        <w:rPr>
          <w:rFonts w:cs="Times New Roman"/>
        </w:rPr>
        <w:t>12</w:t>
      </w:r>
      <w:r>
        <w:rPr>
          <w:rFonts w:cs="Times New Roman"/>
        </w:rPr>
        <w:t>年，當局必須盡快檢討有關課程及更新課程綱要，使其與小學階段及高中階段的數學科課程銜接；</w:t>
      </w:r>
      <w:r>
        <w:rPr>
          <w:rFonts w:cs="Times New Roman"/>
        </w:rPr>
        <w:t>(</w:t>
      </w:r>
      <w:r>
        <w:rPr>
          <w:rFonts w:cs="Times New Roman"/>
        </w:rPr>
        <w:t>三</w:t>
      </w:r>
      <w:r>
        <w:rPr>
          <w:rFonts w:cs="Times New Roman"/>
        </w:rPr>
        <w:t xml:space="preserve">) </w:t>
      </w:r>
      <w:r>
        <w:rPr>
          <w:rFonts w:cs="Times New Roman"/>
        </w:rPr>
        <w:t>鑒於新高中數學科課程已推行</w:t>
      </w:r>
      <w:r>
        <w:rPr>
          <w:rFonts w:cs="Times New Roman"/>
        </w:rPr>
        <w:t>5</w:t>
      </w:r>
      <w:r>
        <w:rPr>
          <w:rFonts w:cs="Times New Roman"/>
        </w:rPr>
        <w:t>年，香港中學文憑考試亦已進行兩年，當局必須盡快檢討數學科必修部分及延伸部分的課程及考核安排，糾正現時選讀數學科課程延伸部分學生人數減少、質素下降及不能深化學習的情況，讓數學科能得到適當的重視，否則，學生普遍在數學科基礎不穩，有礙他們在大學選修數理及經濟等相關學科，更不利於香港發展經濟及高科技社會的需要；”；刪除原有的“</w:t>
      </w:r>
      <w:r>
        <w:rPr>
          <w:rFonts w:cs="Times New Roman"/>
        </w:rPr>
        <w:t>(</w:t>
      </w:r>
      <w:r>
        <w:rPr>
          <w:rFonts w:cs="Times New Roman"/>
        </w:rPr>
        <w:t>一</w:t>
      </w:r>
      <w:r>
        <w:rPr>
          <w:rFonts w:cs="Times New Roman"/>
        </w:rPr>
        <w:t>)”</w:t>
      </w:r>
      <w:r>
        <w:rPr>
          <w:rFonts w:cs="Times New Roman"/>
        </w:rPr>
        <w:t>，並以“</w:t>
      </w:r>
      <w:r>
        <w:rPr>
          <w:rFonts w:cs="Times New Roman"/>
        </w:rPr>
        <w:t>(</w:t>
      </w:r>
      <w:r>
        <w:rPr>
          <w:rFonts w:cs="Times New Roman"/>
        </w:rPr>
        <w:t>四</w:t>
      </w:r>
      <w:r>
        <w:rPr>
          <w:rFonts w:cs="Times New Roman"/>
        </w:rPr>
        <w:t>)”</w:t>
      </w:r>
      <w:r>
        <w:rPr>
          <w:rFonts w:cs="Times New Roman"/>
        </w:rPr>
        <w:t>代替；刪除原有的“</w:t>
      </w:r>
      <w:r>
        <w:rPr>
          <w:rFonts w:cs="Times New Roman"/>
        </w:rPr>
        <w:t>(</w:t>
      </w:r>
      <w:r>
        <w:rPr>
          <w:rFonts w:cs="Times New Roman"/>
        </w:rPr>
        <w:t>二</w:t>
      </w:r>
      <w:r>
        <w:rPr>
          <w:rFonts w:cs="Times New Roman"/>
        </w:rPr>
        <w:t>)”</w:t>
      </w:r>
      <w:r>
        <w:rPr>
          <w:rFonts w:cs="Times New Roman"/>
        </w:rPr>
        <w:t>，並以“</w:t>
      </w:r>
      <w:r>
        <w:rPr>
          <w:rFonts w:cs="Times New Roman"/>
        </w:rPr>
        <w:t>(</w:t>
      </w:r>
      <w:r>
        <w:rPr>
          <w:rFonts w:cs="Times New Roman"/>
        </w:rPr>
        <w:t>五</w:t>
      </w:r>
      <w:r>
        <w:rPr>
          <w:rFonts w:cs="Times New Roman"/>
        </w:rPr>
        <w:t>)”</w:t>
      </w:r>
      <w:r>
        <w:rPr>
          <w:rFonts w:cs="Times New Roman"/>
        </w:rPr>
        <w:t>代替；刪除原有的“</w:t>
      </w:r>
      <w:r>
        <w:rPr>
          <w:rFonts w:cs="Times New Roman"/>
        </w:rPr>
        <w:t>(</w:t>
      </w:r>
      <w:r>
        <w:rPr>
          <w:rFonts w:cs="Times New Roman"/>
        </w:rPr>
        <w:t>三</w:t>
      </w:r>
      <w:r>
        <w:rPr>
          <w:rFonts w:cs="Times New Roman"/>
        </w:rPr>
        <w:t>)”</w:t>
      </w:r>
      <w:r>
        <w:rPr>
          <w:rFonts w:cs="Times New Roman"/>
        </w:rPr>
        <w:t>，並以“</w:t>
      </w:r>
      <w:r>
        <w:rPr>
          <w:rFonts w:cs="Times New Roman"/>
        </w:rPr>
        <w:t>(</w:t>
      </w:r>
      <w:r>
        <w:rPr>
          <w:rFonts w:cs="Times New Roman"/>
        </w:rPr>
        <w:t>六</w:t>
      </w:r>
      <w:r>
        <w:rPr>
          <w:rFonts w:cs="Times New Roman"/>
        </w:rPr>
        <w:t>)”</w:t>
      </w:r>
      <w:r>
        <w:rPr>
          <w:rFonts w:cs="Times New Roman"/>
        </w:rPr>
        <w:t>代替；刪除原有的“</w:t>
      </w:r>
      <w:r>
        <w:rPr>
          <w:rFonts w:cs="Times New Roman"/>
        </w:rPr>
        <w:t>(</w:t>
      </w:r>
      <w:r>
        <w:rPr>
          <w:rFonts w:cs="Times New Roman"/>
        </w:rPr>
        <w:t>四</w:t>
      </w:r>
      <w:r>
        <w:rPr>
          <w:rFonts w:cs="Times New Roman"/>
        </w:rPr>
        <w:t>)”</w:t>
      </w:r>
      <w:r>
        <w:rPr>
          <w:rFonts w:cs="Times New Roman"/>
        </w:rPr>
        <w:t>，並以“</w:t>
      </w:r>
      <w:r>
        <w:rPr>
          <w:rFonts w:cs="Times New Roman"/>
        </w:rPr>
        <w:t>(</w:t>
      </w:r>
      <w:r>
        <w:rPr>
          <w:rFonts w:cs="Times New Roman"/>
        </w:rPr>
        <w:t>七</w:t>
      </w:r>
      <w:r>
        <w:rPr>
          <w:rFonts w:cs="Times New Roman"/>
        </w:rPr>
        <w:t>)”</w:t>
      </w:r>
      <w:r>
        <w:rPr>
          <w:rFonts w:cs="Times New Roman"/>
        </w:rPr>
        <w:t>代替；刪除原有的“</w:t>
      </w:r>
      <w:r>
        <w:rPr>
          <w:rFonts w:cs="Times New Roman"/>
        </w:rPr>
        <w:t>(</w:t>
      </w:r>
      <w:r>
        <w:rPr>
          <w:rFonts w:cs="Times New Roman"/>
        </w:rPr>
        <w:t>五</w:t>
      </w:r>
      <w:r>
        <w:rPr>
          <w:rFonts w:cs="Times New Roman"/>
        </w:rPr>
        <w:t>)”</w:t>
      </w:r>
      <w:r>
        <w:rPr>
          <w:rFonts w:cs="Times New Roman"/>
        </w:rPr>
        <w:t>，並以“</w:t>
      </w:r>
      <w:r>
        <w:rPr>
          <w:rFonts w:cs="Times New Roman"/>
        </w:rPr>
        <w:t>(</w:t>
      </w:r>
      <w:r>
        <w:rPr>
          <w:rFonts w:cs="Times New Roman"/>
        </w:rPr>
        <w:t>八</w:t>
      </w:r>
      <w:r>
        <w:rPr>
          <w:rFonts w:cs="Times New Roman"/>
        </w:rPr>
        <w:t>)”</w:t>
      </w:r>
      <w:r>
        <w:rPr>
          <w:rFonts w:cs="Times New Roman"/>
        </w:rPr>
        <w:t>代替；刪除原有的“</w:t>
      </w:r>
      <w:r>
        <w:rPr>
          <w:rFonts w:cs="Times New Roman"/>
        </w:rPr>
        <w:t>(</w:t>
      </w:r>
      <w:r>
        <w:rPr>
          <w:rFonts w:cs="Times New Roman"/>
        </w:rPr>
        <w:t>六</w:t>
      </w:r>
      <w:r>
        <w:rPr>
          <w:rFonts w:cs="Times New Roman"/>
        </w:rPr>
        <w:t>)”</w:t>
      </w:r>
      <w:r>
        <w:rPr>
          <w:rFonts w:cs="Times New Roman"/>
        </w:rPr>
        <w:t>，並以“</w:t>
      </w:r>
      <w:r>
        <w:rPr>
          <w:rFonts w:cs="Times New Roman"/>
        </w:rPr>
        <w:t>(</w:t>
      </w:r>
      <w:r>
        <w:rPr>
          <w:rFonts w:cs="Times New Roman"/>
        </w:rPr>
        <w:t>九</w:t>
      </w:r>
      <w:r>
        <w:rPr>
          <w:rFonts w:cs="Times New Roman"/>
        </w:rPr>
        <w:t>)”</w:t>
      </w:r>
      <w:r>
        <w:rPr>
          <w:rFonts w:cs="Times New Roman"/>
        </w:rPr>
        <w:t>代替；刪除原有的“</w:t>
      </w:r>
      <w:r>
        <w:rPr>
          <w:rFonts w:cs="Times New Roman"/>
        </w:rPr>
        <w:t>(</w:t>
      </w:r>
      <w:r>
        <w:rPr>
          <w:rFonts w:cs="Times New Roman"/>
        </w:rPr>
        <w:t>七</w:t>
      </w:r>
      <w:r>
        <w:rPr>
          <w:rFonts w:cs="Times New Roman"/>
        </w:rPr>
        <w:t>)”</w:t>
      </w:r>
      <w:r>
        <w:rPr>
          <w:rFonts w:cs="Times New Roman"/>
        </w:rPr>
        <w:t>，並以“</w:t>
      </w:r>
      <w:r>
        <w:rPr>
          <w:rFonts w:cs="Times New Roman"/>
        </w:rPr>
        <w:t>(</w:t>
      </w:r>
      <w:r>
        <w:rPr>
          <w:rFonts w:cs="Times New Roman"/>
        </w:rPr>
        <w:t>十</w:t>
      </w:r>
      <w:r>
        <w:rPr>
          <w:rFonts w:cs="Times New Roman"/>
        </w:rPr>
        <w:t>)”</w:t>
      </w:r>
      <w:r>
        <w:rPr>
          <w:rFonts w:cs="Times New Roman"/>
        </w:rPr>
        <w:t>代替；在“參加”之後刪除“內地”，並以“世界各地”代替；及在“比賽，”之後刪除“促進兩地”，並以“例如青少年數學國際城市邀請賽，以促進國際及不同地區”代替。”</w:t>
      </w:r>
    </w:p>
    <w:p>
      <w:pPr>
        <w:pStyle w:val="F21"/>
        <w:spacing w:lineRule="atLeast" w:line="370"/>
        <w:rPr/>
      </w:pPr>
      <w:r>
        <w:rPr/>
      </w:r>
    </w:p>
    <w:p>
      <w:pPr>
        <w:pStyle w:val="F21"/>
        <w:spacing w:lineRule="atLeast" w:line="370"/>
        <w:rPr/>
      </w:pPr>
      <w:r>
        <w:rPr/>
      </w:r>
    </w:p>
    <w:p>
      <w:pPr>
        <w:pStyle w:val="F21"/>
        <w:snapToGrid w:val="false"/>
        <w:spacing w:lineRule="atLeast" w:line="370"/>
        <w:rPr>
          <w:szCs w:val="27"/>
        </w:rPr>
      </w:pPr>
      <w:r>
        <w:rPr>
          <w:rFonts w:ascii="華康中黑體" w:hAnsi="華康中黑體" w:eastAsia="華康中黑體"/>
          <w:b/>
          <w:szCs w:val="27"/>
        </w:rPr>
        <w:t>主席</w:t>
      </w:r>
      <w:r>
        <w:rPr>
          <w:rFonts w:ascii="華康中黑體" w:hAnsi="華康中黑體"/>
          <w:szCs w:val="27"/>
        </w:rPr>
        <w:t>：</w:t>
      </w:r>
      <w:r>
        <w:rPr>
          <w:szCs w:val="27"/>
        </w:rPr>
        <w:t>我現在向各位提出的待議議題是：葉建源議員就葉劉淑儀議員議案動議的修‍正案，予以通過。</w:t>
      </w:r>
    </w:p>
    <w:p>
      <w:pPr>
        <w:pStyle w:val="F21"/>
        <w:overflowPunct w:val="true"/>
        <w:snapToGrid w:val="false"/>
        <w:ind w:left="931" w:hanging="931"/>
        <w:rPr>
          <w:rFonts w:ascii="華康中黑體" w:hAnsi="華康中黑體" w:eastAsia="華康中黑體"/>
          <w:b/>
          <w:b/>
          <w:szCs w:val="27"/>
        </w:rPr>
      </w:pPr>
      <w:r>
        <w:rPr>
          <w:rFonts w:eastAsia="華康中黑體" w:ascii="華康中黑體" w:hAnsi="華康中黑體"/>
          <w:b/>
          <w:szCs w:val="27"/>
        </w:rPr>
      </w:r>
    </w:p>
    <w:p>
      <w:pPr>
        <w:pStyle w:val="F21"/>
        <w:overflowPunct w:val="true"/>
        <w:snapToGrid w:val="false"/>
        <w:spacing w:lineRule="atLeast" w:line="340"/>
        <w:ind w:left="896" w:hanging="896"/>
        <w:rPr>
          <w:szCs w:val="27"/>
        </w:rPr>
      </w:pPr>
      <w:r>
        <w:rPr>
          <w:rFonts w:eastAsia="華康中黑體"/>
          <w:b/>
          <w:szCs w:val="27"/>
        </w:rPr>
        <w:t>主席</w:t>
      </w:r>
      <w:r>
        <w:rPr>
          <w:szCs w:val="27"/>
        </w:rPr>
        <w:t>：</w:t>
      </w:r>
      <w:r>
        <w:rPr>
          <w:color w:val="000000"/>
          <w:szCs w:val="27"/>
        </w:rPr>
        <w:t>我現在向各位提出上述待決議題，付諸表決。贊成的請舉手。</w:t>
      </w:r>
    </w:p>
    <w:p>
      <w:pPr>
        <w:pStyle w:val="F21"/>
        <w:overflowPunct w:val="true"/>
        <w:snapToGrid w:val="false"/>
        <w:spacing w:lineRule="atLeast" w:line="340"/>
        <w:rPr>
          <w:szCs w:val="27"/>
        </w:rPr>
      </w:pPr>
      <w:r>
        <w:rPr>
          <w:szCs w:val="27"/>
        </w:rPr>
      </w:r>
    </w:p>
    <w:p>
      <w:pPr>
        <w:pStyle w:val="F21"/>
        <w:overflowPunct w:val="true"/>
        <w:snapToGrid w:val="false"/>
        <w:spacing w:lineRule="atLeast" w:line="340"/>
        <w:rPr>
          <w:szCs w:val="27"/>
        </w:rPr>
      </w:pPr>
      <w:r>
        <w:rPr>
          <w:szCs w:val="27"/>
        </w:rPr>
        <w:t>(</w:t>
      </w:r>
      <w:r>
        <w:rPr>
          <w:szCs w:val="27"/>
        </w:rPr>
        <w:t>議員舉手</w:t>
      </w:r>
      <w:r>
        <w:rPr>
          <w:szCs w:val="27"/>
        </w:rPr>
        <w:t>)</w:t>
      </w:r>
    </w:p>
    <w:p>
      <w:pPr>
        <w:pStyle w:val="F21"/>
        <w:overflowPunct w:val="true"/>
        <w:snapToGrid w:val="false"/>
        <w:spacing w:lineRule="atLeast" w:line="340"/>
        <w:rPr>
          <w:szCs w:val="27"/>
        </w:rPr>
      </w:pPr>
      <w:r>
        <w:rPr>
          <w:szCs w:val="27"/>
        </w:rPr>
      </w:r>
    </w:p>
    <w:p>
      <w:pPr>
        <w:pStyle w:val="F21"/>
        <w:overflowPunct w:val="true"/>
        <w:snapToGrid w:val="false"/>
        <w:spacing w:lineRule="atLeast" w:line="340"/>
        <w:rPr>
          <w:szCs w:val="27"/>
        </w:rPr>
      </w:pPr>
      <w:r>
        <w:rPr>
          <w:szCs w:val="27"/>
        </w:rPr>
      </w:r>
    </w:p>
    <w:p>
      <w:pPr>
        <w:pStyle w:val="F21"/>
        <w:overflowPunct w:val="true"/>
        <w:snapToGrid w:val="false"/>
        <w:spacing w:lineRule="atLeast" w:line="34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40"/>
        <w:rPr>
          <w:szCs w:val="27"/>
        </w:rPr>
      </w:pPr>
      <w:r>
        <w:rPr>
          <w:szCs w:val="27"/>
        </w:rPr>
      </w:r>
    </w:p>
    <w:p>
      <w:pPr>
        <w:pStyle w:val="F21"/>
        <w:overflowPunct w:val="true"/>
        <w:snapToGrid w:val="false"/>
        <w:spacing w:lineRule="atLeast" w:line="340"/>
        <w:rPr>
          <w:szCs w:val="27"/>
        </w:rPr>
      </w:pPr>
      <w:r>
        <w:rPr>
          <w:szCs w:val="27"/>
        </w:rPr>
        <w:t>(</w:t>
      </w:r>
      <w:r>
        <w:rPr>
          <w:szCs w:val="27"/>
        </w:rPr>
        <w:t>議員舉手</w:t>
      </w:r>
      <w:r>
        <w:rPr>
          <w:szCs w:val="27"/>
        </w:rPr>
        <w:t>)</w:t>
      </w:r>
    </w:p>
    <w:p>
      <w:pPr>
        <w:pStyle w:val="F21"/>
        <w:overflowPunct w:val="true"/>
        <w:snapToGrid w:val="false"/>
        <w:spacing w:lineRule="atLeast" w:line="340"/>
        <w:rPr>
          <w:szCs w:val="27"/>
        </w:rPr>
      </w:pPr>
      <w:r>
        <w:rPr>
          <w:szCs w:val="27"/>
        </w:rPr>
      </w:r>
    </w:p>
    <w:p>
      <w:pPr>
        <w:pStyle w:val="F21"/>
        <w:overflowPunct w:val="true"/>
        <w:snapToGrid w:val="false"/>
        <w:spacing w:lineRule="atLeast" w:line="340"/>
        <w:rPr>
          <w:szCs w:val="27"/>
        </w:rPr>
      </w:pPr>
      <w:r>
        <w:rPr>
          <w:szCs w:val="27"/>
        </w:rPr>
      </w:r>
    </w:p>
    <w:p>
      <w:pPr>
        <w:pStyle w:val="F21"/>
        <w:overflowPunct w:val="true"/>
        <w:snapToGrid w:val="false"/>
        <w:spacing w:lineRule="atLeast" w:line="340"/>
        <w:rPr>
          <w:szCs w:val="27"/>
        </w:rPr>
      </w:pPr>
      <w:r>
        <w:rPr>
          <w:szCs w:val="27"/>
        </w:rPr>
        <w:t>梁耀忠議員起立要求記名表決。</w:t>
      </w:r>
    </w:p>
    <w:p>
      <w:pPr>
        <w:pStyle w:val="Normal"/>
        <w:overflowPunct w:val="true"/>
        <w:snapToGrid w:val="false"/>
        <w:spacing w:lineRule="atLeast" w:line="340"/>
        <w:rPr/>
      </w:pPr>
      <w:r>
        <w:rPr/>
        <w:t>Mr LEUNG Yiu-chung rose to claim a division.</w:t>
      </w:r>
    </w:p>
    <w:p>
      <w:pPr>
        <w:pStyle w:val="F21"/>
        <w:overflowPunct w:val="true"/>
        <w:snapToGrid w:val="false"/>
        <w:spacing w:lineRule="atLeast" w:line="340"/>
        <w:ind w:left="851" w:hanging="851"/>
        <w:rPr>
          <w:rFonts w:eastAsia="華康中黑體"/>
          <w:b/>
          <w:b/>
          <w:szCs w:val="27"/>
        </w:rPr>
      </w:pPr>
      <w:r>
        <w:rPr>
          <w:rFonts w:eastAsia="華康中黑體"/>
          <w:b/>
          <w:szCs w:val="27"/>
        </w:rPr>
      </w:r>
    </w:p>
    <w:p>
      <w:pPr>
        <w:pStyle w:val="F21"/>
        <w:overflowPunct w:val="true"/>
        <w:snapToGrid w:val="false"/>
        <w:spacing w:lineRule="atLeast" w:line="340"/>
        <w:ind w:left="851" w:hanging="851"/>
        <w:rPr>
          <w:rFonts w:eastAsia="華康中黑體"/>
          <w:b/>
          <w:b/>
          <w:szCs w:val="27"/>
        </w:rPr>
      </w:pPr>
      <w:r>
        <w:rPr>
          <w:rFonts w:eastAsia="華康中黑體"/>
          <w:b/>
          <w:szCs w:val="27"/>
        </w:rPr>
      </w:r>
    </w:p>
    <w:p>
      <w:pPr>
        <w:pStyle w:val="F21"/>
        <w:overflowPunct w:val="true"/>
        <w:snapToGrid w:val="false"/>
        <w:spacing w:lineRule="atLeast" w:line="340"/>
        <w:ind w:left="851" w:hanging="851"/>
        <w:rPr>
          <w:szCs w:val="27"/>
        </w:rPr>
      </w:pPr>
      <w:r>
        <w:rPr>
          <w:rFonts w:eastAsia="華康中黑體"/>
          <w:b/>
          <w:szCs w:val="27"/>
        </w:rPr>
        <w:t>主席</w:t>
      </w:r>
      <w:r>
        <w:rPr>
          <w:szCs w:val="27"/>
        </w:rPr>
        <w:t>：梁耀忠議員要求記名表決。表決鐘會響</w:t>
      </w:r>
      <w:r>
        <w:rPr>
          <w:szCs w:val="27"/>
        </w:rPr>
        <w:t>5</w:t>
      </w:r>
      <w:r>
        <w:rPr>
          <w:szCs w:val="27"/>
        </w:rPr>
        <w:t>分鐘。</w:t>
      </w:r>
    </w:p>
    <w:p>
      <w:pPr>
        <w:pStyle w:val="F21"/>
        <w:overflowPunct w:val="true"/>
        <w:snapToGrid w:val="false"/>
        <w:spacing w:lineRule="atLeast" w:line="340"/>
        <w:ind w:left="851" w:hanging="851"/>
        <w:rPr>
          <w:szCs w:val="27"/>
        </w:rPr>
      </w:pPr>
      <w:r>
        <w:rPr>
          <w:szCs w:val="27"/>
        </w:rPr>
      </w:r>
    </w:p>
    <w:p>
      <w:pPr>
        <w:pStyle w:val="F21"/>
        <w:overflowPunct w:val="true"/>
        <w:snapToGrid w:val="false"/>
        <w:spacing w:lineRule="atLeast" w:line="340"/>
        <w:rPr>
          <w:szCs w:val="27"/>
        </w:rPr>
      </w:pPr>
      <w:r>
        <w:rPr>
          <w:szCs w:val="27"/>
        </w:rPr>
        <w:t>(</w:t>
      </w:r>
      <w:r>
        <w:rPr>
          <w:szCs w:val="27"/>
        </w:rPr>
        <w:t>在表決鐘響起期間，謝偉俊議員站起來</w:t>
      </w:r>
      <w:r>
        <w:rPr>
          <w:szCs w:val="27"/>
        </w:rPr>
        <w:t>)</w:t>
      </w:r>
    </w:p>
    <w:p>
      <w:pPr>
        <w:pStyle w:val="F21"/>
        <w:tabs>
          <w:tab w:val="left" w:pos="567" w:leader="none"/>
          <w:tab w:val="left" w:pos="851" w:leader="none"/>
        </w:tabs>
        <w:overflowPunct w:val="true"/>
        <w:snapToGrid w:val="false"/>
        <w:spacing w:lineRule="atLeast" w:line="340"/>
        <w:rPr/>
      </w:pPr>
      <w:r>
        <w:rPr/>
      </w:r>
    </w:p>
    <w:p>
      <w:pPr>
        <w:pStyle w:val="F21"/>
        <w:tabs>
          <w:tab w:val="left" w:pos="567" w:leader="none"/>
          <w:tab w:val="left" w:pos="851" w:leader="none"/>
        </w:tabs>
        <w:overflowPunct w:val="true"/>
        <w:snapToGrid w:val="false"/>
        <w:spacing w:lineRule="atLeast" w:line="340"/>
        <w:rPr/>
      </w:pPr>
      <w:r>
        <w:rPr/>
      </w:r>
    </w:p>
    <w:p>
      <w:pPr>
        <w:pStyle w:val="F21"/>
        <w:overflowPunct w:val="true"/>
        <w:snapToGrid w:val="false"/>
        <w:spacing w:lineRule="atLeast" w:line="340"/>
        <w:ind w:left="851" w:hanging="851"/>
        <w:rPr>
          <w:szCs w:val="27"/>
        </w:rPr>
      </w:pPr>
      <w:r>
        <w:rPr>
          <w:rFonts w:eastAsia="華康中黑體"/>
          <w:b/>
          <w:szCs w:val="27"/>
        </w:rPr>
        <w:t>主席</w:t>
      </w:r>
      <w:r>
        <w:rPr>
          <w:szCs w:val="27"/>
        </w:rPr>
        <w:t>：謝偉俊議員，你有甚麼問題？</w:t>
      </w:r>
    </w:p>
    <w:p>
      <w:pPr>
        <w:pStyle w:val="F21"/>
        <w:overflowPunct w:val="true"/>
        <w:snapToGrid w:val="false"/>
        <w:spacing w:lineRule="atLeast" w:line="340"/>
        <w:ind w:left="851" w:hanging="851"/>
        <w:rPr>
          <w:szCs w:val="27"/>
        </w:rPr>
      </w:pPr>
      <w:r>
        <w:rPr>
          <w:szCs w:val="27"/>
        </w:rPr>
      </w:r>
    </w:p>
    <w:p>
      <w:pPr>
        <w:pStyle w:val="F21"/>
        <w:overflowPunct w:val="true"/>
        <w:snapToGrid w:val="false"/>
        <w:spacing w:lineRule="atLeast" w:line="340"/>
        <w:ind w:left="851" w:hanging="851"/>
        <w:rPr>
          <w:szCs w:val="27"/>
        </w:rPr>
      </w:pPr>
      <w:r>
        <w:rPr>
          <w:szCs w:val="27"/>
        </w:rPr>
      </w:r>
    </w:p>
    <w:p>
      <w:pPr>
        <w:pStyle w:val="F21"/>
        <w:spacing w:lineRule="atLeast" w:line="340"/>
        <w:rPr/>
      </w:pPr>
      <w:r>
        <w:rPr>
          <w:rFonts w:cs="華康中黑體" w:eastAsia="華康中黑體"/>
          <w:b/>
        </w:rPr>
        <w:t>謝偉俊議員</w:t>
      </w:r>
      <w:r>
        <w:rPr/>
        <w:t>：主席，我想申報利益，我也是籌委會委任的顧問。多謝主席。</w:t>
      </w:r>
    </w:p>
    <w:p>
      <w:pPr>
        <w:pStyle w:val="F21"/>
        <w:overflowPunct w:val="true"/>
        <w:snapToGrid w:val="false"/>
        <w:spacing w:lineRule="atLeast" w:line="340"/>
        <w:ind w:left="851" w:hanging="851"/>
        <w:rPr>
          <w:szCs w:val="27"/>
        </w:rPr>
      </w:pPr>
      <w:r>
        <w:rPr>
          <w:szCs w:val="27"/>
        </w:rPr>
      </w:r>
    </w:p>
    <w:p>
      <w:pPr>
        <w:pStyle w:val="F21"/>
        <w:overflowPunct w:val="true"/>
        <w:snapToGrid w:val="false"/>
        <w:spacing w:lineRule="atLeast" w:line="340"/>
        <w:ind w:left="851" w:hanging="851"/>
        <w:rPr>
          <w:szCs w:val="27"/>
        </w:rPr>
      </w:pPr>
      <w:r>
        <w:rPr>
          <w:szCs w:val="27"/>
        </w:rPr>
      </w:r>
    </w:p>
    <w:p>
      <w:pPr>
        <w:pStyle w:val="F21"/>
        <w:overflowPunct w:val="true"/>
        <w:snapToGrid w:val="false"/>
        <w:spacing w:lineRule="atLeast" w:line="340"/>
        <w:ind w:left="851" w:hanging="851"/>
        <w:rPr>
          <w:szCs w:val="27"/>
        </w:rPr>
      </w:pPr>
      <w:r>
        <w:rPr>
          <w:rFonts w:eastAsia="華康中黑體"/>
          <w:b/>
          <w:szCs w:val="27"/>
        </w:rPr>
        <w:t>主席</w:t>
      </w:r>
      <w:r>
        <w:rPr>
          <w:szCs w:val="27"/>
        </w:rPr>
        <w:t>：現在開始表決。</w:t>
      </w:r>
    </w:p>
    <w:p>
      <w:pPr>
        <w:pStyle w:val="F21"/>
        <w:overflowPunct w:val="true"/>
        <w:snapToGrid w:val="false"/>
        <w:spacing w:lineRule="atLeast" w:line="340"/>
        <w:ind w:left="851" w:hanging="851"/>
        <w:rPr>
          <w:szCs w:val="27"/>
        </w:rPr>
      </w:pPr>
      <w:r>
        <w:rPr>
          <w:szCs w:val="27"/>
        </w:rPr>
      </w:r>
    </w:p>
    <w:p>
      <w:pPr>
        <w:pStyle w:val="F21"/>
        <w:overflowPunct w:val="true"/>
        <w:snapToGrid w:val="false"/>
        <w:spacing w:lineRule="atLeast" w:line="340"/>
        <w:ind w:left="851" w:hanging="851"/>
        <w:rPr>
          <w:szCs w:val="27"/>
        </w:rPr>
      </w:pPr>
      <w:r>
        <w:rPr>
          <w:szCs w:val="27"/>
        </w:rPr>
      </w:r>
    </w:p>
    <w:p>
      <w:pPr>
        <w:pStyle w:val="F21"/>
        <w:snapToGrid w:val="false"/>
        <w:spacing w:lineRule="atLeast" w:line="340"/>
        <w:rPr>
          <w:szCs w:val="27"/>
        </w:rPr>
      </w:pPr>
      <w:r>
        <w:rPr>
          <w:rFonts w:eastAsia="華康中黑體"/>
          <w:b/>
          <w:szCs w:val="27"/>
        </w:rPr>
        <w:t>主席</w:t>
      </w:r>
      <w:r>
        <w:rPr>
          <w:szCs w:val="27"/>
        </w:rPr>
        <w:t>：請各位議員核對所作的表決。如果沒有問題，現在停止表決，顯示結果。</w:t>
      </w:r>
    </w:p>
    <w:p>
      <w:pPr>
        <w:pStyle w:val="F21"/>
        <w:overflowPunct w:val="true"/>
        <w:snapToGrid w:val="false"/>
        <w:spacing w:lineRule="atLeast" w:line="340"/>
        <w:ind w:left="851" w:hanging="851"/>
        <w:rPr>
          <w:szCs w:val="27"/>
        </w:rPr>
      </w:pPr>
      <w:r>
        <w:rPr>
          <w:szCs w:val="27"/>
        </w:rPr>
      </w:r>
    </w:p>
    <w:p>
      <w:pPr>
        <w:pStyle w:val="F21"/>
        <w:overflowPunct w:val="true"/>
        <w:snapToGrid w:val="false"/>
        <w:spacing w:lineRule="atLeast" w:line="340"/>
        <w:ind w:left="851" w:hanging="851"/>
        <w:rPr>
          <w:szCs w:val="27"/>
        </w:rPr>
      </w:pPr>
      <w:r>
        <w:rPr>
          <w:szCs w:val="27"/>
        </w:rPr>
      </w:r>
    </w:p>
    <w:p>
      <w:pPr>
        <w:pStyle w:val="F21"/>
        <w:spacing w:lineRule="atLeast" w:line="340"/>
        <w:rPr/>
      </w:pPr>
      <w:r>
        <w:rPr/>
        <w:t>功能團體：</w:t>
      </w:r>
    </w:p>
    <w:p>
      <w:pPr>
        <w:pStyle w:val="Normal"/>
        <w:spacing w:lineRule="atLeast" w:line="340"/>
        <w:rPr/>
      </w:pPr>
      <w:r>
        <w:rPr/>
        <w:t>Functional Constituencies:</w:t>
      </w:r>
    </w:p>
    <w:p>
      <w:pPr>
        <w:pStyle w:val="F21"/>
        <w:spacing w:lineRule="atLeast" w:line="340"/>
        <w:rPr/>
      </w:pPr>
      <w:r>
        <w:rPr/>
      </w:r>
    </w:p>
    <w:p>
      <w:pPr>
        <w:pStyle w:val="F21"/>
        <w:spacing w:lineRule="atLeast" w:line="340"/>
        <w:rPr/>
      </w:pPr>
      <w:r>
        <w:rPr/>
        <w:t>涂謹申議員、李國麟議員、陳健波議員、莫乃光議員、梁繼昌議員、郭偉强議員、葉建源議員、潘兆平議員及鄧家彪議員贊成。</w:t>
      </w:r>
    </w:p>
    <w:p>
      <w:pPr>
        <w:pStyle w:val="F21"/>
        <w:tabs>
          <w:tab w:val="left" w:pos="480" w:leader="none"/>
          <w:tab w:val="left" w:pos="567" w:leader="none"/>
        </w:tabs>
        <w:spacing w:lineRule="atLeast" w:line="340"/>
        <w:rPr/>
      </w:pPr>
      <w:r>
        <w:rPr/>
      </w:r>
    </w:p>
    <w:p>
      <w:pPr>
        <w:pStyle w:val="F21"/>
        <w:tabs>
          <w:tab w:val="left" w:pos="480" w:leader="none"/>
          <w:tab w:val="left" w:pos="567" w:leader="none"/>
        </w:tabs>
        <w:spacing w:lineRule="atLeast" w:line="340"/>
        <w:rPr/>
      </w:pPr>
      <w:r>
        <w:rPr/>
        <w:t>林健鋒議員、梁君彥議員、張華峰議員及盧偉國議員反對。</w:t>
      </w:r>
    </w:p>
    <w:p>
      <w:pPr>
        <w:pStyle w:val="F21"/>
        <w:tabs>
          <w:tab w:val="left" w:pos="480" w:leader="none"/>
          <w:tab w:val="left" w:pos="567" w:leader="none"/>
        </w:tabs>
        <w:rPr/>
      </w:pPr>
      <w:r>
        <w:rPr/>
      </w:r>
    </w:p>
    <w:p>
      <w:pPr>
        <w:pStyle w:val="F21"/>
        <w:rPr/>
      </w:pPr>
      <w:r>
        <w:rPr/>
      </w:r>
    </w:p>
    <w:p>
      <w:pPr>
        <w:pStyle w:val="F21"/>
        <w:rPr/>
      </w:pPr>
      <w:r>
        <w:rPr/>
        <w:t>黃定光議員、李慧琼議員、張國柱議員、葉國謙議員、吳亮星議員、易志明議員、姚思榮議員、鍾國斌議員及謝偉銓議員棄權。</w:t>
      </w:r>
    </w:p>
    <w:p>
      <w:pPr>
        <w:pStyle w:val="F21"/>
        <w:rPr/>
      </w:pPr>
      <w:r>
        <w:rPr/>
      </w:r>
    </w:p>
    <w:p>
      <w:pPr>
        <w:pStyle w:val="F21"/>
        <w:rPr/>
      </w:pPr>
      <w:r>
        <w:rPr/>
      </w:r>
    </w:p>
    <w:p>
      <w:pPr>
        <w:pStyle w:val="F21"/>
        <w:rPr/>
      </w:pPr>
      <w:r>
        <w:rPr/>
        <w:t>地方選區：</w:t>
      </w:r>
    </w:p>
    <w:p>
      <w:pPr>
        <w:pStyle w:val="Normal"/>
        <w:rPr/>
      </w:pPr>
      <w:r>
        <w:rPr/>
        <w:t>Geographical Constituencies:</w:t>
      </w:r>
    </w:p>
    <w:p>
      <w:pPr>
        <w:pStyle w:val="F21"/>
        <w:rPr/>
      </w:pPr>
      <w:r>
        <w:rPr/>
      </w:r>
    </w:p>
    <w:p>
      <w:pPr>
        <w:pStyle w:val="F21"/>
        <w:rPr/>
      </w:pPr>
      <w:r>
        <w:rPr/>
        <w:t>李卓人議員、劉慧卿議員、黃國健議員、梁家傑議員、梁國雄議員、陳偉業議員、毛孟靜議員、范國威議員、陳志全議員、麥美娟議員、郭家麒議員、單仲偕議員及黃碧雲議員贊成。</w:t>
      </w:r>
    </w:p>
    <w:p>
      <w:pPr>
        <w:pStyle w:val="F21"/>
        <w:rPr/>
      </w:pPr>
      <w:r>
        <w:rPr/>
      </w:r>
    </w:p>
    <w:p>
      <w:pPr>
        <w:pStyle w:val="F21"/>
        <w:rPr/>
      </w:pPr>
      <w:r>
        <w:rPr/>
      </w:r>
    </w:p>
    <w:p>
      <w:pPr>
        <w:pStyle w:val="F21"/>
        <w:rPr/>
      </w:pPr>
      <w:r>
        <w:rPr/>
        <w:t>梁耀忠議員反對。</w:t>
      </w:r>
    </w:p>
    <w:p>
      <w:pPr>
        <w:pStyle w:val="F21"/>
        <w:rPr/>
      </w:pPr>
      <w:r>
        <w:rPr/>
      </w:r>
    </w:p>
    <w:p>
      <w:pPr>
        <w:pStyle w:val="F21"/>
        <w:rPr/>
      </w:pPr>
      <w:r>
        <w:rPr/>
      </w:r>
    </w:p>
    <w:p>
      <w:pPr>
        <w:pStyle w:val="F21"/>
        <w:rPr/>
      </w:pPr>
      <w:r>
        <w:rPr/>
        <w:t>陳鑑林議員、譚耀宗議員、陳克勤議員、葉劉淑儀議員、謝偉俊議員、田北辰議員、陳恒鑌議員、梁志祥議員及蔣麗芸議員棄權。</w:t>
      </w:r>
    </w:p>
    <w:p>
      <w:pPr>
        <w:pStyle w:val="F21"/>
        <w:rPr/>
      </w:pPr>
      <w:r>
        <w:rPr/>
      </w:r>
    </w:p>
    <w:p>
      <w:pPr>
        <w:pStyle w:val="F21"/>
        <w:rPr/>
      </w:pPr>
      <w:r>
        <w:rPr/>
      </w:r>
    </w:p>
    <w:p>
      <w:pPr>
        <w:pStyle w:val="F21"/>
        <w:rPr/>
      </w:pPr>
      <w:r>
        <w:rPr/>
        <w:t>主席曾鈺成議員沒有表決。</w:t>
      </w:r>
    </w:p>
    <w:p>
      <w:pPr>
        <w:pStyle w:val="F21"/>
        <w:overflowPunct w:val="true"/>
        <w:snapToGrid w:val="false"/>
        <w:ind w:left="851" w:hanging="851"/>
        <w:rPr>
          <w:szCs w:val="27"/>
        </w:rPr>
      </w:pPr>
      <w:r>
        <w:rPr>
          <w:szCs w:val="27"/>
        </w:rPr>
      </w:r>
    </w:p>
    <w:p>
      <w:pPr>
        <w:pStyle w:val="F21"/>
        <w:overflowPunct w:val="true"/>
        <w:snapToGrid w:val="false"/>
        <w:ind w:left="851" w:hanging="851"/>
        <w:rPr>
          <w:szCs w:val="27"/>
        </w:rPr>
      </w:pPr>
      <w:r>
        <w:rPr>
          <w:szCs w:val="27"/>
        </w:rPr>
      </w:r>
    </w:p>
    <w:p>
      <w:pPr>
        <w:pStyle w:val="F21"/>
        <w:overflowPunct w:val="true"/>
        <w:snapToGrid w:val="false"/>
        <w:rPr>
          <w:szCs w:val="27"/>
        </w:rPr>
      </w:pPr>
      <w:r>
        <w:rPr>
          <w:szCs w:val="27"/>
        </w:rPr>
        <w:t>主席宣布經由功能團體選舉產生的議員，有</w:t>
      </w:r>
      <w:r>
        <w:rPr>
          <w:szCs w:val="27"/>
        </w:rPr>
        <w:t>22</w:t>
      </w:r>
      <w:r>
        <w:rPr>
          <w:szCs w:val="27"/>
        </w:rPr>
        <w:t>人出席，</w:t>
      </w:r>
      <w:r>
        <w:rPr>
          <w:szCs w:val="27"/>
        </w:rPr>
        <w:t>9</w:t>
      </w:r>
      <w:r>
        <w:rPr>
          <w:szCs w:val="27"/>
        </w:rPr>
        <w:t>人贊成，</w:t>
      </w:r>
      <w:r>
        <w:rPr>
          <w:szCs w:val="27"/>
        </w:rPr>
        <w:t>4‍</w:t>
      </w:r>
      <w:r>
        <w:rPr>
          <w:szCs w:val="27"/>
        </w:rPr>
        <w:t>人反對，</w:t>
      </w:r>
      <w:r>
        <w:rPr>
          <w:szCs w:val="27"/>
        </w:rPr>
        <w:t>9</w:t>
      </w:r>
      <w:r>
        <w:rPr>
          <w:szCs w:val="27"/>
        </w:rPr>
        <w:t>人棄權；而經由分區直接選舉產生的議員，有</w:t>
      </w:r>
      <w:r>
        <w:rPr>
          <w:szCs w:val="27"/>
        </w:rPr>
        <w:t>24</w:t>
      </w:r>
      <w:r>
        <w:rPr>
          <w:szCs w:val="27"/>
        </w:rPr>
        <w:t>人出席，</w:t>
      </w:r>
      <w:r>
        <w:rPr>
          <w:szCs w:val="27"/>
        </w:rPr>
        <w:t>13</w:t>
      </w:r>
      <w:r>
        <w:rPr>
          <w:szCs w:val="27"/>
        </w:rPr>
        <w:t>人贊成，</w:t>
      </w:r>
      <w:r>
        <w:rPr>
          <w:szCs w:val="27"/>
        </w:rPr>
        <w:t>1</w:t>
      </w:r>
      <w:r>
        <w:rPr>
          <w:szCs w:val="27"/>
        </w:rPr>
        <w:t>人反對，</w:t>
      </w:r>
      <w:r>
        <w:rPr>
          <w:szCs w:val="27"/>
        </w:rPr>
        <w:t>9</w:t>
      </w:r>
      <w:r>
        <w:rPr>
          <w:szCs w:val="27"/>
        </w:rPr>
        <w:t>人棄權。由於議題未獲得兩部分在席議員分別以過半數贊成，他於是宣布修正案被否決。</w:t>
      </w:r>
    </w:p>
    <w:p>
      <w:pPr>
        <w:pStyle w:val="Normal"/>
        <w:tabs>
          <w:tab w:val="left" w:pos="720" w:leader="none"/>
          <w:tab w:val="left" w:pos="3780" w:leader="none"/>
        </w:tabs>
        <w:overflowPunct w:val="true"/>
        <w:snapToGrid w:val="false"/>
        <w:rPr/>
      </w:pPr>
      <w:r>
        <w:rPr/>
        <w:t>THE PRESIDENT announced that among the Members returned by functional constituencies, 22 were present, nine were in favour of the amendment, four against it and nine abstained; while among the Members returned by geographical constituencies through direct elections, 24 were present, 13 were in favour of the amendment, one against it and nine abstained.  Since the question was not agreed by a majority of each of the two groups of Members present, he therefore declared that the amendment was negatived.</w:t>
      </w:r>
    </w:p>
    <w:p>
      <w:pPr>
        <w:pStyle w:val="F21"/>
        <w:tabs>
          <w:tab w:val="left" w:pos="567" w:leader="none"/>
          <w:tab w:val="left" w:pos="851" w:leader="none"/>
        </w:tabs>
        <w:overflowPunct w:val="true"/>
        <w:snapToGrid w:val="false"/>
        <w:rPr/>
      </w:pPr>
      <w:r>
        <w:rPr/>
      </w:r>
    </w:p>
    <w:p>
      <w:pPr>
        <w:pStyle w:val="F21"/>
        <w:tabs>
          <w:tab w:val="left" w:pos="567" w:leader="none"/>
          <w:tab w:val="left" w:pos="851" w:leader="none"/>
        </w:tabs>
        <w:overflowPunct w:val="true"/>
        <w:snapToGrid w:val="false"/>
        <w:rPr/>
      </w:pPr>
      <w:r>
        <w:rPr/>
      </w:r>
    </w:p>
    <w:p>
      <w:pPr>
        <w:pStyle w:val="F21"/>
        <w:snapToGrid w:val="false"/>
        <w:spacing w:lineRule="atLeast" w:line="400"/>
        <w:rPr>
          <w:szCs w:val="27"/>
        </w:rPr>
      </w:pPr>
      <w:r>
        <w:rPr>
          <w:rFonts w:eastAsia="華康中黑體"/>
          <w:b/>
          <w:color w:val="000000"/>
          <w:szCs w:val="27"/>
        </w:rPr>
        <w:t>梁君彥議員</w:t>
      </w:r>
      <w:r>
        <w:rPr>
          <w:szCs w:val="27"/>
        </w:rPr>
        <w:t>：主席，我動議若稍後就“</w:t>
      </w:r>
      <w:r>
        <w:rPr>
          <w:spacing w:val="24"/>
          <w:szCs w:val="27"/>
        </w:rPr>
        <w:t>提振香港數理學術水</w:t>
      </w:r>
      <w:r>
        <w:rPr>
          <w:rFonts w:eastAsia="MS Mincho"/>
          <w:spacing w:val="28"/>
          <w:szCs w:val="27"/>
        </w:rPr>
        <w:t>‍</w:t>
      </w:r>
      <w:r>
        <w:rPr>
          <w:spacing w:val="24"/>
          <w:szCs w:val="27"/>
        </w:rPr>
        <w:t>平風氣，全力支援主辦國際數學大賽</w:t>
      </w:r>
      <w:r>
        <w:rPr>
          <w:szCs w:val="27"/>
        </w:rPr>
        <w:t>”所提出的議案或修正案再進行記名表決，表決須在鐘聲響起</w:t>
      </w:r>
      <w:r>
        <w:rPr>
          <w:szCs w:val="27"/>
        </w:rPr>
        <w:t>1‍</w:t>
      </w:r>
      <w:r>
        <w:rPr>
          <w:szCs w:val="27"/>
        </w:rPr>
        <w:t>分鐘後進行。</w:t>
      </w:r>
    </w:p>
    <w:p>
      <w:pPr>
        <w:pStyle w:val="F21"/>
        <w:overflowPunct w:val="true"/>
        <w:snapToGrid w:val="false"/>
        <w:spacing w:lineRule="atLeast" w:line="400"/>
        <w:ind w:left="902" w:hanging="902"/>
        <w:rPr>
          <w:rFonts w:eastAsia="華康中黑體"/>
          <w:b/>
          <w:b/>
          <w:szCs w:val="27"/>
        </w:rPr>
      </w:pPr>
      <w:r>
        <w:rPr>
          <w:rFonts w:eastAsia="華康中黑體"/>
          <w:b/>
          <w:szCs w:val="27"/>
        </w:rPr>
      </w:r>
    </w:p>
    <w:p>
      <w:pPr>
        <w:pStyle w:val="F21"/>
        <w:overflowPunct w:val="true"/>
        <w:snapToGrid w:val="false"/>
        <w:spacing w:lineRule="atLeast" w:line="400"/>
        <w:ind w:left="902" w:hanging="902"/>
        <w:rPr>
          <w:rFonts w:eastAsia="華康中黑體"/>
          <w:b/>
          <w:b/>
          <w:szCs w:val="27"/>
        </w:rPr>
      </w:pPr>
      <w:r>
        <w:rPr>
          <w:rFonts w:eastAsia="華康中黑體"/>
          <w:b/>
          <w:szCs w:val="27"/>
        </w:rPr>
      </w:r>
    </w:p>
    <w:p>
      <w:pPr>
        <w:pStyle w:val="F21"/>
        <w:snapToGrid w:val="false"/>
        <w:spacing w:lineRule="atLeast" w:line="400"/>
        <w:rPr>
          <w:szCs w:val="27"/>
        </w:rPr>
      </w:pPr>
      <w:r>
        <w:rPr>
          <w:rFonts w:eastAsia="華康中黑體"/>
          <w:b/>
          <w:szCs w:val="27"/>
        </w:rPr>
        <w:t>主席</w:t>
      </w:r>
      <w:r>
        <w:rPr>
          <w:szCs w:val="27"/>
        </w:rPr>
        <w:t>：我現在向各位提出的待議議題是：</w:t>
      </w:r>
      <w:r>
        <w:rPr>
          <w:color w:val="000000"/>
          <w:szCs w:val="27"/>
        </w:rPr>
        <w:t>梁君彥議員</w:t>
      </w:r>
      <w:r>
        <w:rPr>
          <w:szCs w:val="27"/>
        </w:rPr>
        <w:t>動議的議案，予以通過。</w:t>
      </w:r>
    </w:p>
    <w:p>
      <w:pPr>
        <w:pStyle w:val="F21"/>
        <w:overflowPunct w:val="true"/>
        <w:snapToGrid w:val="false"/>
        <w:spacing w:lineRule="atLeast" w:line="400"/>
        <w:ind w:left="930" w:hanging="930"/>
        <w:rPr>
          <w:szCs w:val="27"/>
        </w:rPr>
      </w:pPr>
      <w:r>
        <w:rPr>
          <w:szCs w:val="27"/>
        </w:rPr>
      </w:r>
    </w:p>
    <w:p>
      <w:pPr>
        <w:pStyle w:val="F21"/>
        <w:overflowPunct w:val="true"/>
        <w:snapToGrid w:val="false"/>
        <w:spacing w:lineRule="atLeast" w:line="400"/>
        <w:ind w:left="930" w:hanging="930"/>
        <w:rPr>
          <w:szCs w:val="27"/>
        </w:rPr>
      </w:pPr>
      <w:r>
        <w:rPr>
          <w:szCs w:val="27"/>
        </w:rPr>
      </w:r>
    </w:p>
    <w:p>
      <w:pPr>
        <w:pStyle w:val="F21"/>
        <w:overflowPunct w:val="true"/>
        <w:snapToGrid w:val="false"/>
        <w:spacing w:lineRule="atLeast" w:line="400"/>
        <w:ind w:left="851" w:hanging="851"/>
        <w:rPr>
          <w:szCs w:val="27"/>
        </w:rPr>
      </w:pPr>
      <w:r>
        <w:rPr>
          <w:rFonts w:eastAsia="華康中黑體"/>
          <w:b/>
          <w:szCs w:val="27"/>
        </w:rPr>
        <w:t>主席</w:t>
      </w:r>
      <w:r>
        <w:rPr>
          <w:szCs w:val="27"/>
        </w:rPr>
        <w:t>：是否有議員想發言？</w:t>
      </w:r>
    </w:p>
    <w:p>
      <w:pPr>
        <w:pStyle w:val="F21"/>
        <w:overflowPunct w:val="true"/>
        <w:snapToGrid w:val="false"/>
        <w:spacing w:lineRule="atLeast" w:line="400"/>
        <w:ind w:left="851" w:hanging="851"/>
        <w:rPr>
          <w:rFonts w:eastAsia="華康中黑體"/>
          <w:b/>
          <w:b/>
          <w:szCs w:val="27"/>
        </w:rPr>
      </w:pPr>
      <w:r>
        <w:rPr>
          <w:rFonts w:eastAsia="華康中黑體"/>
          <w:b/>
          <w:szCs w:val="27"/>
        </w:rPr>
      </w:r>
    </w:p>
    <w:p>
      <w:pPr>
        <w:pStyle w:val="F21"/>
        <w:overflowPunct w:val="true"/>
        <w:snapToGrid w:val="false"/>
        <w:spacing w:lineRule="atLeast" w:line="400"/>
        <w:rPr>
          <w:szCs w:val="27"/>
        </w:rPr>
      </w:pPr>
      <w:r>
        <w:rPr>
          <w:szCs w:val="27"/>
        </w:rPr>
        <w:t>(</w:t>
      </w:r>
      <w:r>
        <w:rPr>
          <w:szCs w:val="27"/>
        </w:rPr>
        <w:t>沒有議員表示想發言</w:t>
      </w:r>
      <w:r>
        <w:rPr>
          <w:szCs w:val="27"/>
        </w:rPr>
        <w:t>)</w:t>
      </w:r>
    </w:p>
    <w:p>
      <w:pPr>
        <w:pStyle w:val="F21"/>
        <w:overflowPunct w:val="true"/>
        <w:snapToGrid w:val="false"/>
        <w:spacing w:lineRule="atLeast" w:line="400"/>
        <w:rPr>
          <w:szCs w:val="27"/>
        </w:rPr>
      </w:pPr>
      <w:r>
        <w:rPr>
          <w:szCs w:val="27"/>
        </w:rPr>
      </w:r>
    </w:p>
    <w:p>
      <w:pPr>
        <w:pStyle w:val="F21"/>
        <w:overflowPunct w:val="true"/>
        <w:snapToGrid w:val="false"/>
        <w:spacing w:lineRule="atLeast" w:line="400"/>
        <w:rPr>
          <w:szCs w:val="27"/>
        </w:rPr>
      </w:pPr>
      <w:r>
        <w:rPr>
          <w:szCs w:val="27"/>
        </w:rPr>
      </w:r>
    </w:p>
    <w:p>
      <w:pPr>
        <w:pStyle w:val="F21"/>
        <w:overflowPunct w:val="true"/>
        <w:snapToGrid w:val="false"/>
        <w:spacing w:lineRule="atLeast" w:line="400"/>
        <w:ind w:left="851" w:hanging="851"/>
        <w:rPr>
          <w:szCs w:val="27"/>
        </w:rPr>
      </w:pPr>
      <w:r>
        <w:rPr>
          <w:rFonts w:eastAsia="華康中黑體"/>
          <w:b/>
          <w:szCs w:val="27"/>
        </w:rPr>
        <w:t>主席</w:t>
      </w:r>
      <w:r>
        <w:rPr>
          <w:szCs w:val="27"/>
        </w:rPr>
        <w:t>：我現在向各位提出上述待決議題，付諸表決。贊成的請舉手。</w:t>
      </w:r>
    </w:p>
    <w:p>
      <w:pPr>
        <w:pStyle w:val="F21"/>
        <w:overflowPunct w:val="true"/>
        <w:snapToGrid w:val="false"/>
        <w:spacing w:lineRule="atLeast" w:line="400"/>
        <w:ind w:left="851" w:hanging="851"/>
        <w:rPr>
          <w:rFonts w:eastAsia="華康中黑體"/>
          <w:b/>
          <w:b/>
          <w:szCs w:val="27"/>
        </w:rPr>
      </w:pPr>
      <w:r>
        <w:rPr>
          <w:rFonts w:eastAsia="華康中黑體"/>
          <w:b/>
          <w:szCs w:val="27"/>
        </w:rPr>
      </w:r>
    </w:p>
    <w:p>
      <w:pPr>
        <w:pStyle w:val="F21"/>
        <w:overflowPunct w:val="true"/>
        <w:snapToGrid w:val="false"/>
        <w:spacing w:lineRule="atLeast" w:line="400"/>
        <w:rPr>
          <w:szCs w:val="27"/>
        </w:rPr>
      </w:pPr>
      <w:r>
        <w:rPr>
          <w:szCs w:val="27"/>
        </w:rPr>
        <w:t>(</w:t>
      </w:r>
      <w:r>
        <w:rPr>
          <w:szCs w:val="27"/>
        </w:rPr>
        <w:t>議員舉手</w:t>
      </w:r>
      <w:r>
        <w:rPr>
          <w:szCs w:val="27"/>
        </w:rPr>
        <w:t>)</w:t>
      </w:r>
    </w:p>
    <w:p>
      <w:pPr>
        <w:pStyle w:val="F21"/>
        <w:overflowPunct w:val="true"/>
        <w:snapToGrid w:val="false"/>
        <w:spacing w:lineRule="atLeast" w:line="400"/>
        <w:rPr>
          <w:szCs w:val="27"/>
        </w:rPr>
      </w:pPr>
      <w:r>
        <w:rPr>
          <w:szCs w:val="27"/>
        </w:rPr>
      </w:r>
    </w:p>
    <w:p>
      <w:pPr>
        <w:pStyle w:val="F21"/>
        <w:overflowPunct w:val="true"/>
        <w:snapToGrid w:val="false"/>
        <w:spacing w:lineRule="atLeast" w:line="400"/>
        <w:rPr>
          <w:szCs w:val="27"/>
        </w:rPr>
      </w:pPr>
      <w:r>
        <w:rPr>
          <w:szCs w:val="27"/>
        </w:rPr>
      </w:r>
    </w:p>
    <w:p>
      <w:pPr>
        <w:pStyle w:val="F21"/>
        <w:overflowPunct w:val="true"/>
        <w:snapToGrid w:val="false"/>
        <w:spacing w:lineRule="atLeast" w:line="40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400"/>
        <w:ind w:left="851" w:hanging="851"/>
        <w:rPr>
          <w:rFonts w:eastAsia="華康中黑體"/>
          <w:b/>
          <w:b/>
          <w:szCs w:val="27"/>
        </w:rPr>
      </w:pPr>
      <w:r>
        <w:rPr>
          <w:rFonts w:eastAsia="華康中黑體"/>
          <w:b/>
          <w:szCs w:val="27"/>
        </w:rPr>
      </w:r>
    </w:p>
    <w:p>
      <w:pPr>
        <w:pStyle w:val="F21"/>
        <w:overflowPunct w:val="true"/>
        <w:snapToGrid w:val="false"/>
        <w:spacing w:lineRule="atLeast" w:line="400"/>
        <w:rPr>
          <w:szCs w:val="27"/>
        </w:rPr>
      </w:pPr>
      <w:r>
        <w:rPr>
          <w:szCs w:val="27"/>
        </w:rPr>
        <w:t>(</w:t>
      </w:r>
      <w:r>
        <w:rPr>
          <w:szCs w:val="27"/>
        </w:rPr>
        <w:t>沒有議員舉手</w:t>
      </w:r>
      <w:r>
        <w:rPr>
          <w:szCs w:val="27"/>
        </w:rPr>
        <w:t>)</w:t>
      </w:r>
    </w:p>
    <w:p>
      <w:pPr>
        <w:pStyle w:val="F21"/>
        <w:overflowPunct w:val="true"/>
        <w:snapToGrid w:val="false"/>
        <w:spacing w:lineRule="atLeast" w:line="400"/>
        <w:ind w:left="931" w:hanging="931"/>
        <w:rPr>
          <w:rFonts w:eastAsia="華康中黑體"/>
          <w:b/>
          <w:b/>
          <w:szCs w:val="27"/>
        </w:rPr>
      </w:pPr>
      <w:r>
        <w:rPr>
          <w:rFonts w:eastAsia="華康中黑體"/>
          <w:b/>
          <w:szCs w:val="27"/>
        </w:rPr>
      </w:r>
    </w:p>
    <w:p>
      <w:pPr>
        <w:pStyle w:val="F21"/>
        <w:overflowPunct w:val="true"/>
        <w:snapToGrid w:val="false"/>
        <w:spacing w:lineRule="atLeast" w:line="400"/>
        <w:ind w:left="931" w:hanging="931"/>
        <w:rPr>
          <w:rFonts w:eastAsia="華康中黑體"/>
          <w:b/>
          <w:b/>
          <w:szCs w:val="27"/>
        </w:rPr>
      </w:pPr>
      <w:r>
        <w:rPr>
          <w:rFonts w:eastAsia="華康中黑體"/>
          <w:b/>
          <w:szCs w:val="27"/>
        </w:rPr>
      </w:r>
    </w:p>
    <w:p>
      <w:pPr>
        <w:pStyle w:val="F21"/>
        <w:snapToGrid w:val="false"/>
        <w:spacing w:lineRule="atLeast" w:line="400"/>
        <w:rPr>
          <w:szCs w:val="27"/>
        </w:rPr>
      </w:pPr>
      <w:r>
        <w:rPr>
          <w:rFonts w:eastAsia="華康中黑體"/>
          <w:b/>
          <w:szCs w:val="27"/>
        </w:rPr>
        <w:t>主席</w:t>
      </w:r>
      <w:r>
        <w:rPr>
          <w:szCs w:val="27"/>
        </w:rPr>
        <w:t>：我認為議題獲得經由功能團體選舉產生及分區直接選舉產生的兩部分在席議員，分別以過半數贊成。我宣布議案獲得通過。</w:t>
      </w:r>
    </w:p>
    <w:p>
      <w:pPr>
        <w:pStyle w:val="Normal"/>
        <w:overflowPunct w:val="true"/>
        <w:snapToGrid w:val="false"/>
        <w:spacing w:lineRule="atLeast" w:line="400"/>
        <w:jc w:val="left"/>
        <w:rPr>
          <w:spacing w:val="20"/>
          <w:sz w:val="27"/>
          <w:szCs w:val="27"/>
        </w:rPr>
      </w:pPr>
      <w:r>
        <w:rPr>
          <w:spacing w:val="20"/>
          <w:sz w:val="27"/>
          <w:szCs w:val="27"/>
        </w:rPr>
      </w:r>
    </w:p>
    <w:p>
      <w:pPr>
        <w:pStyle w:val="F21"/>
        <w:snapToGrid w:val="false"/>
        <w:spacing w:lineRule="atLeast" w:line="400"/>
        <w:rPr>
          <w:szCs w:val="27"/>
        </w:rPr>
      </w:pPr>
      <w:r>
        <w:rPr>
          <w:szCs w:val="27"/>
        </w:rPr>
        <w:tab/>
      </w:r>
      <w:r>
        <w:rPr>
          <w:szCs w:val="27"/>
        </w:rPr>
        <w:t>我命令若稍後就“</w:t>
      </w:r>
      <w:r>
        <w:rPr>
          <w:spacing w:val="24"/>
          <w:szCs w:val="27"/>
        </w:rPr>
        <w:t>提振香港數理學術水</w:t>
      </w:r>
      <w:r>
        <w:rPr>
          <w:rFonts w:eastAsia="MS Mincho"/>
          <w:spacing w:val="28"/>
          <w:szCs w:val="27"/>
        </w:rPr>
        <w:t>‍</w:t>
      </w:r>
      <w:r>
        <w:rPr>
          <w:spacing w:val="24"/>
          <w:szCs w:val="27"/>
        </w:rPr>
        <w:t>平風氣，全力支援主辦國際數學大賽</w:t>
      </w:r>
      <w:r>
        <w:rPr>
          <w:szCs w:val="27"/>
        </w:rPr>
        <w:t>”所提出的議案或修正案再進行記名表決，表決須在鐘聲響起</w:t>
      </w:r>
      <w:r>
        <w:rPr>
          <w:szCs w:val="27"/>
        </w:rPr>
        <w:t>1</w:t>
      </w:r>
      <w:r>
        <w:rPr>
          <w:szCs w:val="27"/>
        </w:rPr>
        <w:t>分鐘後進行。</w:t>
      </w:r>
    </w:p>
    <w:p>
      <w:pPr>
        <w:pStyle w:val="F21"/>
        <w:overflowPunct w:val="true"/>
        <w:snapToGrid w:val="false"/>
        <w:spacing w:lineRule="atLeast" w:line="400"/>
        <w:ind w:left="930" w:hanging="930"/>
        <w:rPr>
          <w:szCs w:val="27"/>
        </w:rPr>
      </w:pPr>
      <w:r>
        <w:rPr>
          <w:szCs w:val="27"/>
        </w:rPr>
      </w:r>
    </w:p>
    <w:p>
      <w:pPr>
        <w:pStyle w:val="F21"/>
        <w:spacing w:lineRule="atLeast" w:line="400"/>
        <w:rPr/>
      </w:pPr>
      <w:r>
        <w:rPr/>
      </w:r>
    </w:p>
    <w:p>
      <w:pPr>
        <w:pStyle w:val="F21"/>
        <w:spacing w:lineRule="atLeast" w:line="400"/>
        <w:rPr/>
      </w:pPr>
      <w:r>
        <w:rPr>
          <w:rFonts w:eastAsia="華康中黑體"/>
          <w:b/>
        </w:rPr>
        <w:t>主席</w:t>
      </w:r>
      <w:r>
        <w:rPr/>
        <w:t>：張國柱議員，你可以動議你的修正案。</w:t>
      </w:r>
    </w:p>
    <w:p>
      <w:pPr>
        <w:pStyle w:val="F21"/>
        <w:rPr/>
      </w:pPr>
      <w:r>
        <w:rPr>
          <w:rFonts w:eastAsia="華康中黑體"/>
          <w:b/>
        </w:rPr>
        <w:t>張國柱議員</w:t>
      </w:r>
      <w:r>
        <w:rPr/>
        <w:t>：主席，我動議修正葉劉淑儀議員的議案。</w:t>
      </w:r>
      <w:r>
        <w:br w:type="page"/>
      </w:r>
    </w:p>
    <w:p>
      <w:pPr>
        <w:pStyle w:val="F21"/>
        <w:rPr>
          <w:rFonts w:eastAsia="華康中黑體" w:cs="Times New Roman"/>
          <w:b/>
          <w:b/>
        </w:rPr>
      </w:pPr>
      <w:r>
        <w:rPr>
          <w:rFonts w:eastAsia="華康中黑體" w:cs="Times New Roman"/>
          <w:b/>
        </w:rPr>
      </w:r>
    </w:p>
    <w:p>
      <w:pPr>
        <w:pStyle w:val="F21"/>
        <w:rPr/>
      </w:pPr>
      <w:r>
        <w:rPr>
          <w:rFonts w:eastAsia="華康中黑體"/>
          <w:b/>
        </w:rPr>
        <w:t>張國柱議員</w:t>
      </w:r>
      <w:r>
        <w:rPr>
          <w:rFonts w:cs="Times New Roman" w:eastAsia="華康中黑體"/>
          <w:b/>
        </w:rPr>
        <w:t>動議的修正案如下</w:t>
      </w:r>
      <w:r>
        <w:rPr/>
        <w:t>：</w:t>
      </w:r>
    </w:p>
    <w:p>
      <w:pPr>
        <w:pStyle w:val="F21"/>
        <w:rPr/>
      </w:pPr>
      <w:r>
        <w:rPr/>
      </w:r>
    </w:p>
    <w:p>
      <w:pPr>
        <w:pStyle w:val="F21"/>
        <w:ind w:left="709" w:hanging="142"/>
        <w:rPr>
          <w:rFonts w:cs="Times New Roman"/>
        </w:rPr>
      </w:pPr>
      <w:r>
        <w:rPr>
          <w:rFonts w:cs="Times New Roman"/>
        </w:rPr>
        <w:t>“</w:t>
      </w:r>
      <w:r>
        <w:rPr>
          <w:rFonts w:cs="Times New Roman"/>
        </w:rPr>
        <w:t>在“香港榮獲”之前加上“香港教育制度一直被評為只以考試為主，追求學術發展的風氣不盛；社會有意見更認為，不斷鼓勵學生參加考試和比賽能提高學生的能力、為社會訓練更多人才，有助提高香港經濟發展；但一般市民的數理水平在脫離基礎教育後便無增長；”；在“之一，”之後刪除“除有助提升香港的國際聲譽及地位外，亦能重振本港學生一直引以為傲的數學水平，刺激學生的創意思維及求知慾，從而促進本港高新科技產業的發展；香港曾於</w:t>
      </w:r>
      <w:r>
        <w:rPr>
          <w:rFonts w:cs="Times New Roman"/>
        </w:rPr>
        <w:t>1994</w:t>
      </w:r>
      <w:r>
        <w:rPr>
          <w:rFonts w:cs="Times New Roman"/>
        </w:rPr>
        <w:t>年獲時任總督彭定康親自擔任贊助人，全力支持主辦第三十五屆國際數學奧林匹克，而本港代表隊自</w:t>
      </w:r>
      <w:r>
        <w:rPr>
          <w:rFonts w:cs="Times New Roman"/>
        </w:rPr>
        <w:t>1988</w:t>
      </w:r>
      <w:r>
        <w:rPr>
          <w:rFonts w:cs="Times New Roman"/>
        </w:rPr>
        <w:t>年參賽以來，成績一直位踞前列”，並以“雖能鼓勵非以考試為主導的另類學習模式，但卻無助推動基礎數學知識水平和學習風氣；美國教育政策分析家戴安娜</w:t>
      </w:r>
      <w:r>
        <w:rPr/>
        <w:t>․</w:t>
      </w:r>
      <w:r>
        <w:rPr>
          <w:rFonts w:cs="Times New Roman"/>
        </w:rPr>
        <w:t>瑞維茲曾指出，學生考試排名與經濟表現無必然關係，過度注重考試成績反而會削弱學生的好奇心和獨立性，無助當地的經濟發展；同時，今年年初香港城市大學和東華三院的調查更反映本港初小學童的焦慮水平平均比海外同齡兒童為高，而今年</w:t>
      </w:r>
      <w:r>
        <w:rPr>
          <w:rFonts w:cs="Times New Roman"/>
        </w:rPr>
        <w:t>9</w:t>
      </w:r>
      <w:r>
        <w:rPr>
          <w:rFonts w:cs="Times New Roman"/>
        </w:rPr>
        <w:t>月開學至今更已有</w:t>
      </w:r>
      <w:r>
        <w:rPr>
          <w:rFonts w:cs="Times New Roman"/>
        </w:rPr>
        <w:t>5</w:t>
      </w:r>
      <w:r>
        <w:rPr>
          <w:rFonts w:cs="Times New Roman"/>
        </w:rPr>
        <w:t>宗中小學學生自殺死亡事件，可見以考試為主的‘填鴨式’教育不單令本港學生產生極大壓力和焦慮，其中推崇的精英主義更有違教育本質；學生只為提升個人競爭力而不斷參加考試和比賽，無助發展數理及其他學科的良好學術風氣”代替；在“促請政府”之後加上“除”；及在緊接句號之前刪除“；具體措施應包括：</w:t>
      </w:r>
      <w:r>
        <w:rPr>
          <w:rFonts w:cs="Times New Roman"/>
        </w:rPr>
        <w:t>(</w:t>
      </w:r>
      <w:r>
        <w:rPr>
          <w:rFonts w:cs="Times New Roman"/>
        </w:rPr>
        <w:t>一</w:t>
      </w:r>
      <w:r>
        <w:rPr>
          <w:rFonts w:cs="Times New Roman"/>
        </w:rPr>
        <w:t xml:space="preserve">) </w:t>
      </w:r>
      <w:r>
        <w:rPr>
          <w:rFonts w:cs="Times New Roman"/>
        </w:rPr>
        <w:t>由於歷屆國際數學奧林匹克均由主辦國的元首、王室要員或當地政府首長以贊助人的身份主持賽事的開幕及閉幕典禮，故此香港亦應延續歷屆傳統，由行政長官擔任第五十七屆國際數學奧林匹克的贊助人，一盡地主之誼；</w:t>
      </w:r>
      <w:r>
        <w:rPr>
          <w:rFonts w:cs="Times New Roman"/>
        </w:rPr>
        <w:t>(</w:t>
      </w:r>
      <w:r>
        <w:rPr>
          <w:rFonts w:cs="Times New Roman"/>
        </w:rPr>
        <w:t>二</w:t>
      </w:r>
      <w:r>
        <w:rPr>
          <w:rFonts w:cs="Times New Roman"/>
        </w:rPr>
        <w:t xml:space="preserve">) </w:t>
      </w:r>
      <w:r>
        <w:rPr>
          <w:rFonts w:cs="Times New Roman"/>
        </w:rPr>
        <w:t>為各國參賽者及隨行人員的入境簽證事宜提供必要的協助；</w:t>
      </w:r>
      <w:r>
        <w:rPr>
          <w:rFonts w:cs="Times New Roman"/>
        </w:rPr>
        <w:t>(</w:t>
      </w:r>
      <w:r>
        <w:rPr>
          <w:rFonts w:cs="Times New Roman"/>
        </w:rPr>
        <w:t>三</w:t>
      </w:r>
      <w:r>
        <w:rPr>
          <w:rFonts w:cs="Times New Roman"/>
        </w:rPr>
        <w:t xml:space="preserve">) </w:t>
      </w:r>
      <w:r>
        <w:rPr>
          <w:rFonts w:cs="Times New Roman"/>
        </w:rPr>
        <w:t>遵照歷屆國際數學奧林匹克慣例，委派相關官員及獲國際數學奧林匹克香港委員會提名的人士以觀察員的身份，出席</w:t>
      </w:r>
      <w:r>
        <w:rPr>
          <w:rFonts w:cs="Times New Roman"/>
        </w:rPr>
        <w:t>2014</w:t>
      </w:r>
      <w:r>
        <w:rPr>
          <w:rFonts w:cs="Times New Roman"/>
        </w:rPr>
        <w:t>年第五十五屆及</w:t>
      </w:r>
      <w:r>
        <w:rPr>
          <w:rFonts w:cs="Times New Roman"/>
        </w:rPr>
        <w:t>2015</w:t>
      </w:r>
      <w:r>
        <w:rPr>
          <w:rFonts w:cs="Times New Roman"/>
        </w:rPr>
        <w:t>年第五十六屆國際數學奧林匹克，為香港主辦的第五十七屆賽事提供意見及支援；</w:t>
      </w:r>
      <w:r>
        <w:rPr>
          <w:rFonts w:cs="Times New Roman"/>
        </w:rPr>
        <w:t>(</w:t>
      </w:r>
      <w:r>
        <w:rPr>
          <w:rFonts w:cs="Times New Roman"/>
        </w:rPr>
        <w:t>四</w:t>
      </w:r>
      <w:r>
        <w:rPr>
          <w:rFonts w:cs="Times New Roman"/>
        </w:rPr>
        <w:t xml:space="preserve">) </w:t>
      </w:r>
      <w:r>
        <w:rPr>
          <w:rFonts w:cs="Times New Roman"/>
        </w:rPr>
        <w:t>宣傳並鼓勵社會各界全情投入此項盛事，以提升社會對學習數學的興趣，並藉此強化學生對數學的掌握，為發展本港高新科技產業培育及儲備人才；</w:t>
      </w:r>
      <w:r>
        <w:rPr>
          <w:rFonts w:cs="Times New Roman"/>
        </w:rPr>
        <w:t>(</w:t>
      </w:r>
      <w:r>
        <w:rPr>
          <w:rFonts w:cs="Times New Roman"/>
        </w:rPr>
        <w:t>五</w:t>
      </w:r>
      <w:r>
        <w:rPr>
          <w:rFonts w:cs="Times New Roman"/>
        </w:rPr>
        <w:t xml:space="preserve">) </w:t>
      </w:r>
      <w:r>
        <w:rPr>
          <w:rFonts w:cs="Times New Roman"/>
        </w:rPr>
        <w:t>除教育局原則上同意支持舉辦是次盛事及已同意贊助開幕、閉幕典禮及製作獎牌的費用外，政府亦應協助國際數學奧林匹克香港委員會申請盛事基金、優質教育基金及其他等財政資助，以獲得足夠資源為各國領隊、參賽者及隨行人員提供食宿、市內交通、紀念品及其他必需品，履行主辦方的義務；</w:t>
      </w:r>
      <w:r>
        <w:rPr>
          <w:rFonts w:cs="Times New Roman"/>
        </w:rPr>
        <w:t>(</w:t>
      </w:r>
      <w:r>
        <w:rPr>
          <w:rFonts w:cs="Times New Roman"/>
        </w:rPr>
        <w:t>六</w:t>
      </w:r>
      <w:r>
        <w:rPr>
          <w:rFonts w:cs="Times New Roman"/>
        </w:rPr>
        <w:t xml:space="preserve">) </w:t>
      </w:r>
      <w:r>
        <w:rPr>
          <w:rFonts w:cs="Times New Roman"/>
        </w:rPr>
        <w:t>協助國際數學奧林匹克香港委員會獲得旅遊資源，以為參賽各國參賽隊伍及隨行人員提供文娛活動，從而推廣香港文化及提升香港國際形象；及</w:t>
      </w:r>
      <w:r>
        <w:rPr>
          <w:rFonts w:cs="Times New Roman"/>
        </w:rPr>
        <w:t>(</w:t>
      </w:r>
      <w:r>
        <w:rPr>
          <w:rFonts w:cs="Times New Roman"/>
        </w:rPr>
        <w:t>七</w:t>
      </w:r>
      <w:r>
        <w:rPr>
          <w:rFonts w:cs="Times New Roman"/>
        </w:rPr>
        <w:t xml:space="preserve">) </w:t>
      </w:r>
      <w:r>
        <w:rPr>
          <w:rFonts w:cs="Times New Roman"/>
        </w:rPr>
        <w:t>繼續支持本港代表隊參加內地舉辦的各項數學比賽，促進兩地之間的文化及學術交流”，並以“外，亦應投放更多資源提高市民的數理水平，確保全民都能達至合理的計算能力水平，以應付日常生活和工作需要；鼓勵以另類學習模式提高本港學生的數理及其他學科等學術興趣；研究推行‘以人為本’的西方啟發式教育，以‘有教無類’為原則為本港所有學生提供適切的教育，推動及提高不同類型學生於數理及其他學科的學術水平和風氣”代替。”</w:t>
      </w:r>
    </w:p>
    <w:p>
      <w:pPr>
        <w:pStyle w:val="F21"/>
        <w:rPr/>
      </w:pPr>
      <w:r>
        <w:rPr/>
      </w:r>
    </w:p>
    <w:p>
      <w:pPr>
        <w:pStyle w:val="F21"/>
        <w:rPr/>
      </w:pPr>
      <w:r>
        <w:rPr/>
      </w:r>
    </w:p>
    <w:p>
      <w:pPr>
        <w:pStyle w:val="F21"/>
        <w:snapToGrid w:val="false"/>
        <w:rPr>
          <w:szCs w:val="27"/>
        </w:rPr>
      </w:pPr>
      <w:r>
        <w:rPr>
          <w:rFonts w:eastAsia="華康中黑體"/>
          <w:b/>
          <w:szCs w:val="27"/>
        </w:rPr>
        <w:t>主席</w:t>
      </w:r>
      <w:r>
        <w:rPr>
          <w:szCs w:val="27"/>
        </w:rPr>
        <w:t>：我現在向各位提出的待議議題是：張國柱議員就葉劉淑儀議員議案動議的修‍正案，予以通過。</w:t>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896" w:hanging="896"/>
        <w:rPr>
          <w:szCs w:val="27"/>
        </w:rPr>
      </w:pPr>
      <w:r>
        <w:rPr>
          <w:rFonts w:eastAsia="華康中黑體"/>
          <w:b/>
          <w:szCs w:val="27"/>
        </w:rPr>
        <w:t>主席</w:t>
      </w:r>
      <w:r>
        <w:rPr>
          <w:szCs w:val="27"/>
        </w:rPr>
        <w:t>：</w:t>
      </w:r>
      <w:r>
        <w:rPr>
          <w:color w:val="000000"/>
          <w:szCs w:val="27"/>
        </w:rPr>
        <w:t>我現在向各位提出上述待決議題，付諸表決。贊成的請舉手。</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t>(</w:t>
      </w:r>
      <w:r>
        <w:rPr>
          <w:szCs w:val="27"/>
        </w:rPr>
        <w:t>議員舉手</w:t>
      </w:r>
      <w:r>
        <w:rPr>
          <w:szCs w:val="27"/>
        </w:rPr>
        <w:t>)</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80"/>
        <w:ind w:left="851" w:hanging="851"/>
        <w:rPr>
          <w:szCs w:val="27"/>
        </w:rPr>
      </w:pPr>
      <w:r>
        <w:rPr>
          <w:szCs w:val="27"/>
        </w:rPr>
      </w:r>
    </w:p>
    <w:p>
      <w:pPr>
        <w:pStyle w:val="F21"/>
        <w:overflowPunct w:val="true"/>
        <w:snapToGrid w:val="false"/>
        <w:rPr>
          <w:szCs w:val="27"/>
        </w:rPr>
      </w:pPr>
      <w:r>
        <w:rPr>
          <w:szCs w:val="27"/>
        </w:rPr>
        <w:t>(</w:t>
      </w:r>
      <w:r>
        <w:rPr>
          <w:szCs w:val="27"/>
        </w:rPr>
        <w:t>議員舉手</w:t>
      </w:r>
      <w:r>
        <w:rPr>
          <w:szCs w:val="27"/>
        </w:rPr>
        <w:t>)</w:t>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rPr>
          <w:szCs w:val="27"/>
        </w:rPr>
      </w:pPr>
      <w:r>
        <w:rPr>
          <w:szCs w:val="27"/>
        </w:rPr>
        <w:t>葉劉淑儀議員起立要求記名表決。</w:t>
      </w:r>
    </w:p>
    <w:p>
      <w:pPr>
        <w:pStyle w:val="Normal"/>
        <w:overflowPunct w:val="true"/>
        <w:snapToGrid w:val="false"/>
        <w:rPr/>
      </w:pPr>
      <w:r>
        <w:rPr/>
        <w:t>Mrs Regina IP rose to claim a division.</w:t>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ind w:left="851" w:hanging="851"/>
        <w:rPr>
          <w:szCs w:val="27"/>
        </w:rPr>
      </w:pPr>
      <w:r>
        <w:rPr>
          <w:rFonts w:eastAsia="華康中黑體"/>
          <w:b/>
          <w:szCs w:val="27"/>
        </w:rPr>
        <w:t>主席</w:t>
      </w:r>
      <w:r>
        <w:rPr>
          <w:szCs w:val="27"/>
        </w:rPr>
        <w:t>：葉劉淑儀議員要求記名表決。表決鐘會響</w:t>
      </w:r>
      <w:r>
        <w:rPr>
          <w:szCs w:val="27"/>
        </w:rPr>
        <w:t>1</w:t>
      </w:r>
      <w:r>
        <w:rPr>
          <w:szCs w:val="27"/>
        </w:rPr>
        <w:t>分鐘。</w:t>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spacing w:lineRule="atLeast" w:line="370"/>
        <w:ind w:left="851" w:hanging="851"/>
        <w:rPr>
          <w:szCs w:val="27"/>
        </w:rPr>
      </w:pPr>
      <w:r>
        <w:rPr>
          <w:rFonts w:eastAsia="華康中黑體"/>
          <w:b/>
          <w:szCs w:val="27"/>
        </w:rPr>
        <w:t>主席</w:t>
      </w:r>
      <w:r>
        <w:rPr>
          <w:szCs w:val="27"/>
        </w:rPr>
        <w:t>：現在開始表決。</w:t>
      </w:r>
    </w:p>
    <w:p>
      <w:pPr>
        <w:pStyle w:val="F21"/>
        <w:snapToGrid w:val="false"/>
        <w:spacing w:lineRule="atLeast" w:line="380"/>
        <w:rPr>
          <w:szCs w:val="27"/>
        </w:rPr>
      </w:pPr>
      <w:r>
        <w:rPr>
          <w:rFonts w:eastAsia="華康中黑體"/>
          <w:b/>
          <w:szCs w:val="27"/>
        </w:rPr>
        <w:t>主席</w:t>
      </w:r>
      <w:r>
        <w:rPr>
          <w:szCs w:val="27"/>
        </w:rPr>
        <w:t>：請各位議員核對所作的表決。如果沒有問題，現在停止表決，顯示結果。</w:t>
      </w:r>
      <w:r>
        <w:br w:type="page"/>
      </w:r>
    </w:p>
    <w:p>
      <w:pPr>
        <w:pStyle w:val="Normal"/>
        <w:widowControl/>
        <w:spacing w:lineRule="atLeast" w:line="380"/>
        <w:jc w:val="left"/>
        <w:rPr>
          <w:spacing w:val="20"/>
          <w:sz w:val="27"/>
          <w:szCs w:val="27"/>
          <w:lang w:val="en-US"/>
        </w:rPr>
      </w:pPr>
      <w:r>
        <w:rPr>
          <w:spacing w:val="20"/>
          <w:sz w:val="27"/>
          <w:szCs w:val="27"/>
          <w:lang w:val="en-US"/>
        </w:rPr>
      </w:r>
    </w:p>
    <w:p>
      <w:pPr>
        <w:pStyle w:val="Normal"/>
        <w:widowControl/>
        <w:spacing w:lineRule="atLeast" w:line="380"/>
        <w:jc w:val="left"/>
        <w:rPr>
          <w:spacing w:val="20"/>
          <w:sz w:val="27"/>
          <w:szCs w:val="27"/>
          <w:lang w:val="en-US"/>
        </w:rPr>
      </w:pPr>
      <w:r>
        <w:rPr>
          <w:spacing w:val="20"/>
          <w:sz w:val="27"/>
          <w:szCs w:val="27"/>
          <w:lang w:val="en-US"/>
        </w:rPr>
      </w:r>
    </w:p>
    <w:p>
      <w:pPr>
        <w:pStyle w:val="F21"/>
        <w:spacing w:lineRule="atLeast" w:line="380"/>
        <w:rPr>
          <w:szCs w:val="27"/>
        </w:rPr>
      </w:pPr>
      <w:r>
        <w:rPr/>
        <w:t>功能團體：</w:t>
      </w:r>
    </w:p>
    <w:p>
      <w:pPr>
        <w:pStyle w:val="Normal"/>
        <w:spacing w:lineRule="atLeast" w:line="380"/>
        <w:rPr/>
      </w:pPr>
      <w:r>
        <w:rPr/>
        <w:t>Functional Constituencies:</w:t>
      </w:r>
    </w:p>
    <w:p>
      <w:pPr>
        <w:pStyle w:val="F21"/>
        <w:spacing w:lineRule="atLeast" w:line="380"/>
        <w:rPr/>
      </w:pPr>
      <w:r>
        <w:rPr/>
      </w:r>
    </w:p>
    <w:p>
      <w:pPr>
        <w:pStyle w:val="F21"/>
        <w:spacing w:lineRule="atLeast" w:line="380"/>
        <w:rPr/>
      </w:pPr>
      <w:r>
        <w:rPr/>
        <w:t>涂謹申議員、李國麟議員、張國柱議員及梁繼昌議員贊成。</w:t>
      </w:r>
    </w:p>
    <w:p>
      <w:pPr>
        <w:pStyle w:val="F21"/>
        <w:spacing w:lineRule="atLeast" w:line="380"/>
        <w:rPr/>
      </w:pPr>
      <w:r>
        <w:rPr/>
      </w:r>
    </w:p>
    <w:p>
      <w:pPr>
        <w:pStyle w:val="F21"/>
        <w:spacing w:lineRule="atLeast" w:line="380"/>
        <w:rPr/>
      </w:pPr>
      <w:r>
        <w:rPr/>
      </w:r>
    </w:p>
    <w:p>
      <w:pPr>
        <w:pStyle w:val="F21"/>
        <w:spacing w:lineRule="atLeast" w:line="380"/>
        <w:rPr/>
      </w:pPr>
      <w:r>
        <w:rPr/>
        <w:t>林健鋒議員、梁君彥議員、黃定光議員、李慧琼議員、陳健波議員、葉國謙議員、吳亮星議員、易志明議員、姚思榮議員、馬逢國議員、莫乃光議員、張華峰議員、葉建源議員、盧偉國議員、鍾國斌議員及謝偉銓議員反對。</w:t>
      </w:r>
    </w:p>
    <w:p>
      <w:pPr>
        <w:pStyle w:val="F21"/>
        <w:spacing w:lineRule="atLeast" w:line="380"/>
        <w:rPr/>
      </w:pPr>
      <w:r>
        <w:rPr/>
      </w:r>
    </w:p>
    <w:p>
      <w:pPr>
        <w:pStyle w:val="F21"/>
        <w:spacing w:lineRule="atLeast" w:line="380"/>
        <w:rPr/>
      </w:pPr>
      <w:r>
        <w:rPr/>
      </w:r>
    </w:p>
    <w:p>
      <w:pPr>
        <w:pStyle w:val="F21"/>
        <w:spacing w:lineRule="atLeast" w:line="380"/>
        <w:rPr/>
      </w:pPr>
      <w:r>
        <w:rPr/>
        <w:t>郭偉强議員、潘兆平議員及鄧家彪議員棄權。</w:t>
      </w:r>
    </w:p>
    <w:p>
      <w:pPr>
        <w:pStyle w:val="F21"/>
        <w:spacing w:lineRule="atLeast" w:line="380"/>
        <w:rPr/>
      </w:pPr>
      <w:r>
        <w:rPr/>
      </w:r>
    </w:p>
    <w:p>
      <w:pPr>
        <w:pStyle w:val="F21"/>
        <w:spacing w:lineRule="atLeast" w:line="380"/>
        <w:rPr/>
      </w:pPr>
      <w:r>
        <w:rPr/>
      </w:r>
    </w:p>
    <w:p>
      <w:pPr>
        <w:pStyle w:val="F21"/>
        <w:spacing w:lineRule="atLeast" w:line="380"/>
        <w:rPr/>
      </w:pPr>
      <w:r>
        <w:rPr/>
        <w:t>地方選區：</w:t>
      </w:r>
    </w:p>
    <w:p>
      <w:pPr>
        <w:pStyle w:val="Normal"/>
        <w:spacing w:lineRule="atLeast" w:line="380"/>
        <w:rPr/>
      </w:pPr>
      <w:r>
        <w:rPr/>
        <w:t>Geographical Constituencies:</w:t>
      </w:r>
    </w:p>
    <w:p>
      <w:pPr>
        <w:pStyle w:val="F21"/>
        <w:spacing w:lineRule="atLeast" w:line="380"/>
        <w:rPr/>
      </w:pPr>
      <w:r>
        <w:rPr/>
      </w:r>
    </w:p>
    <w:p>
      <w:pPr>
        <w:pStyle w:val="F21"/>
        <w:spacing w:lineRule="atLeast" w:line="380"/>
        <w:rPr/>
      </w:pPr>
      <w:r>
        <w:rPr/>
        <w:t>李卓人議員、梁耀忠議員、劉慧卿議員、何秀蘭議員、梁家傑議員、梁國雄議員、陳偉業議員、毛孟靜議員、范國威議員、陳志全議員、郭家麒議員、單仲偕議員及黃碧雲議員贊成。</w:t>
      </w:r>
    </w:p>
    <w:p>
      <w:pPr>
        <w:pStyle w:val="F21"/>
        <w:spacing w:lineRule="atLeast" w:line="380"/>
        <w:rPr/>
      </w:pPr>
      <w:r>
        <w:rPr/>
      </w:r>
    </w:p>
    <w:p>
      <w:pPr>
        <w:pStyle w:val="F21"/>
        <w:spacing w:lineRule="atLeast" w:line="380"/>
        <w:rPr/>
      </w:pPr>
      <w:r>
        <w:rPr/>
      </w:r>
    </w:p>
    <w:p>
      <w:pPr>
        <w:pStyle w:val="F21"/>
        <w:spacing w:lineRule="atLeast" w:line="380"/>
        <w:rPr/>
      </w:pPr>
      <w:r>
        <w:rPr/>
        <w:t>陳鑑林議員、譚耀宗議員、陳克勤議員、葉劉淑儀議員、謝偉俊議員、田北辰議員、陳恒鑌議員、梁志祥議員及蔣麗芸議員反對。</w:t>
      </w:r>
    </w:p>
    <w:p>
      <w:pPr>
        <w:pStyle w:val="F21"/>
        <w:spacing w:lineRule="atLeast" w:line="380"/>
        <w:rPr/>
      </w:pPr>
      <w:r>
        <w:rPr/>
      </w:r>
    </w:p>
    <w:p>
      <w:pPr>
        <w:pStyle w:val="F21"/>
        <w:spacing w:lineRule="atLeast" w:line="380"/>
        <w:rPr/>
      </w:pPr>
      <w:r>
        <w:rPr/>
      </w:r>
    </w:p>
    <w:p>
      <w:pPr>
        <w:pStyle w:val="F21"/>
        <w:spacing w:lineRule="atLeast" w:line="380"/>
        <w:rPr/>
      </w:pPr>
      <w:r>
        <w:rPr/>
        <w:t>王國興議員、黃國健議員及麥美娟議員棄權。</w:t>
      </w:r>
    </w:p>
    <w:p>
      <w:pPr>
        <w:pStyle w:val="F21"/>
        <w:spacing w:lineRule="atLeast" w:line="380"/>
        <w:rPr/>
      </w:pPr>
      <w:r>
        <w:rPr/>
      </w:r>
    </w:p>
    <w:p>
      <w:pPr>
        <w:pStyle w:val="F21"/>
        <w:spacing w:lineRule="atLeast" w:line="380"/>
        <w:rPr/>
      </w:pPr>
      <w:r>
        <w:rPr/>
      </w:r>
    </w:p>
    <w:p>
      <w:pPr>
        <w:pStyle w:val="F21"/>
        <w:spacing w:lineRule="atLeast" w:line="380"/>
        <w:rPr/>
      </w:pPr>
      <w:r>
        <w:rPr/>
        <w:t>主席曾鈺成議員沒有表決。</w:t>
      </w:r>
    </w:p>
    <w:p>
      <w:pPr>
        <w:pStyle w:val="F21"/>
        <w:overflowPunct w:val="true"/>
        <w:snapToGrid w:val="false"/>
        <w:spacing w:lineRule="atLeast" w:line="370"/>
        <w:rPr>
          <w:szCs w:val="27"/>
        </w:rPr>
      </w:pPr>
      <w:r>
        <w:rPr>
          <w:szCs w:val="27"/>
        </w:rPr>
        <w:t>主席宣布經由功能團體選舉產生的議員，有</w:t>
      </w:r>
      <w:r>
        <w:rPr>
          <w:szCs w:val="27"/>
        </w:rPr>
        <w:t>23</w:t>
      </w:r>
      <w:r>
        <w:rPr>
          <w:szCs w:val="27"/>
        </w:rPr>
        <w:t>人出席，</w:t>
      </w:r>
      <w:r>
        <w:rPr>
          <w:szCs w:val="27"/>
        </w:rPr>
        <w:t>4</w:t>
      </w:r>
      <w:r>
        <w:rPr>
          <w:szCs w:val="27"/>
        </w:rPr>
        <w:t>人贊成，</w:t>
      </w:r>
      <w:r>
        <w:rPr>
          <w:szCs w:val="27"/>
        </w:rPr>
        <w:t>16‍</w:t>
      </w:r>
      <w:r>
        <w:rPr>
          <w:szCs w:val="27"/>
        </w:rPr>
        <w:t>人反對，</w:t>
      </w:r>
      <w:r>
        <w:rPr>
          <w:szCs w:val="27"/>
        </w:rPr>
        <w:t>3</w:t>
      </w:r>
      <w:r>
        <w:rPr>
          <w:szCs w:val="27"/>
        </w:rPr>
        <w:t>人棄權；而經由分區直接選舉產生的議員，有</w:t>
      </w:r>
      <w:r>
        <w:rPr>
          <w:szCs w:val="27"/>
        </w:rPr>
        <w:t>26</w:t>
      </w:r>
      <w:r>
        <w:rPr>
          <w:szCs w:val="27"/>
        </w:rPr>
        <w:t>人出席，</w:t>
      </w:r>
      <w:r>
        <w:rPr>
          <w:szCs w:val="27"/>
        </w:rPr>
        <w:t>13‍</w:t>
      </w:r>
      <w:r>
        <w:rPr>
          <w:szCs w:val="27"/>
        </w:rPr>
        <w:t>人贊成，</w:t>
      </w:r>
      <w:r>
        <w:rPr>
          <w:szCs w:val="27"/>
        </w:rPr>
        <w:t>9</w:t>
      </w:r>
      <w:r>
        <w:rPr>
          <w:szCs w:val="27"/>
        </w:rPr>
        <w:t>人反對，</w:t>
      </w:r>
      <w:r>
        <w:rPr>
          <w:szCs w:val="27"/>
        </w:rPr>
        <w:t>3</w:t>
      </w:r>
      <w:r>
        <w:rPr>
          <w:szCs w:val="27"/>
        </w:rPr>
        <w:t>人棄權。由於議題未獲得兩部分在席議員分別以過半數贊成，他於是宣布修正案被否決。</w:t>
      </w:r>
      <w:r>
        <w:br w:type="page"/>
      </w:r>
    </w:p>
    <w:p>
      <w:pPr>
        <w:pStyle w:val="Normal"/>
        <w:tabs>
          <w:tab w:val="left" w:pos="720" w:leader="none"/>
          <w:tab w:val="left" w:pos="3780" w:leader="none"/>
        </w:tabs>
        <w:overflowPunct w:val="true"/>
        <w:snapToGrid w:val="false"/>
        <w:spacing w:lineRule="atLeast" w:line="370"/>
        <w:rPr/>
      </w:pPr>
      <w:r>
        <w:rPr/>
        <w:t>THE PRESIDENT announced that among the Members returned by functional constituencies, 23 were present, four were in favour of the amendment, 16 against it and three abstained; while among the Members returned by geographical constituencies through direct elections, 26 were present, 13 were in favour of the amendment, nine against it and three abstained.  Since the question was not agreed by a majority of each of the two groups of Members present, he therefore declared that the amendment was negatived.</w:t>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851" w:hanging="851"/>
        <w:rPr>
          <w:szCs w:val="27"/>
        </w:rPr>
      </w:pPr>
      <w:r>
        <w:rPr>
          <w:szCs w:val="27"/>
        </w:rPr>
      </w:r>
    </w:p>
    <w:p>
      <w:pPr>
        <w:pStyle w:val="F21"/>
        <w:rPr/>
      </w:pPr>
      <w:r>
        <w:rPr>
          <w:rFonts w:eastAsia="華康中黑體"/>
          <w:b/>
        </w:rPr>
        <w:t>主席</w:t>
      </w:r>
      <w:r>
        <w:rPr/>
        <w:t>：梁耀忠議員，你可以動議你的修正案。</w:t>
      </w:r>
    </w:p>
    <w:p>
      <w:pPr>
        <w:pStyle w:val="F21"/>
        <w:rPr/>
      </w:pPr>
      <w:r>
        <w:rPr/>
      </w:r>
    </w:p>
    <w:p>
      <w:pPr>
        <w:pStyle w:val="F21"/>
        <w:rPr/>
      </w:pPr>
      <w:r>
        <w:rPr/>
      </w:r>
    </w:p>
    <w:p>
      <w:pPr>
        <w:pStyle w:val="F21"/>
        <w:rPr/>
      </w:pPr>
      <w:r>
        <w:rPr>
          <w:rFonts w:eastAsia="華康中黑體"/>
          <w:b/>
        </w:rPr>
        <w:t>梁耀忠議員</w:t>
      </w:r>
      <w:r>
        <w:rPr/>
        <w:t>：主席，我動議修正葉劉淑儀議員的議案。</w:t>
      </w:r>
    </w:p>
    <w:p>
      <w:pPr>
        <w:pStyle w:val="F21"/>
        <w:rPr/>
      </w:pPr>
      <w:r>
        <w:rPr/>
      </w:r>
    </w:p>
    <w:p>
      <w:pPr>
        <w:pStyle w:val="F21"/>
        <w:rPr/>
      </w:pPr>
      <w:r>
        <w:rPr>
          <w:rFonts w:eastAsia="華康中黑體"/>
          <w:b/>
        </w:rPr>
        <w:t>梁耀忠議員</w:t>
      </w:r>
      <w:r>
        <w:rPr>
          <w:rFonts w:cs="Times New Roman" w:eastAsia="華康中黑體"/>
          <w:b/>
        </w:rPr>
        <w:t>動議的修正案如下</w:t>
      </w:r>
      <w:r>
        <w:rPr/>
        <w:t>：</w:t>
      </w:r>
    </w:p>
    <w:p>
      <w:pPr>
        <w:pStyle w:val="F21"/>
        <w:rPr/>
      </w:pPr>
      <w:r>
        <w:rPr/>
      </w:r>
    </w:p>
    <w:p>
      <w:pPr>
        <w:pStyle w:val="F21"/>
        <w:ind w:left="709" w:hanging="142"/>
        <w:rPr>
          <w:rFonts w:cs="Times New Roman"/>
        </w:rPr>
      </w:pPr>
      <w:r>
        <w:rPr>
          <w:rFonts w:cs="Times New Roman"/>
        </w:rPr>
        <w:t>“</w:t>
      </w:r>
      <w:r>
        <w:rPr>
          <w:rFonts w:cs="Times New Roman"/>
        </w:rPr>
        <w:t>在“香港”之前加上“雖然”；在“國際數學奧林匹克”之前刪除“榮獲</w:t>
      </w:r>
      <w:r>
        <w:rPr>
          <w:rFonts w:cs="Times New Roman"/>
        </w:rPr>
        <w:t>2016</w:t>
      </w:r>
      <w:r>
        <w:rPr>
          <w:rFonts w:cs="Times New Roman"/>
        </w:rPr>
        <w:t>年第五十七屆”，並以“學生參與”代替；在“成績”之前刪除“主辦權，而國際數學奧林匹克作為數學界最高水平的國際賽事之一，除有助提升香港的國際聲譽及地位外，亦能重振本港學生一直引以為傲的數學水平，刺激學生的創意思維及求知慾，從而促進本港高新科技產業的發展；香港曾於</w:t>
      </w:r>
      <w:r>
        <w:rPr>
          <w:rFonts w:cs="Times New Roman"/>
        </w:rPr>
        <w:t>1994</w:t>
      </w:r>
      <w:r>
        <w:rPr>
          <w:rFonts w:cs="Times New Roman"/>
        </w:rPr>
        <w:t>年獲時任總督彭定康親自擔任贊助人，全力支持主辦第三十五屆國際數學奧林匹克，而本港代表隊自</w:t>
      </w:r>
      <w:r>
        <w:rPr>
          <w:rFonts w:cs="Times New Roman"/>
        </w:rPr>
        <w:t>1988</w:t>
      </w:r>
      <w:r>
        <w:rPr>
          <w:rFonts w:cs="Times New Roman"/>
        </w:rPr>
        <w:t>年參賽以來，”，並以“比賽的”代替；及在緊接句號之前刪除“；就此，本會促請政府全力支持國際數學奧林匹克香港委員會籌辦第五十七屆國際數學奧林匹克；具體措施應包括：</w:t>
      </w:r>
      <w:r>
        <w:rPr>
          <w:rFonts w:cs="Times New Roman"/>
        </w:rPr>
        <w:t>(</w:t>
      </w:r>
      <w:r>
        <w:rPr>
          <w:rFonts w:cs="Times New Roman"/>
        </w:rPr>
        <w:t>一</w:t>
      </w:r>
      <w:r>
        <w:rPr>
          <w:rFonts w:cs="Times New Roman"/>
        </w:rPr>
        <w:t xml:space="preserve">) </w:t>
      </w:r>
      <w:r>
        <w:rPr>
          <w:rFonts w:cs="Times New Roman"/>
        </w:rPr>
        <w:t>由於歷屆國際數學奧林匹克均由主辦國的元首、王室要員或當地政府首長以贊助人的身份主持賽事的開幕及閉幕典禮，故此香港亦應延續歷屆傳統，由行政長官擔任第五十七屆國際數學奧林匹克的贊助人，一盡地主之誼；</w:t>
      </w:r>
      <w:r>
        <w:rPr>
          <w:rFonts w:cs="Times New Roman"/>
        </w:rPr>
        <w:t>(</w:t>
      </w:r>
      <w:r>
        <w:rPr>
          <w:rFonts w:cs="Times New Roman"/>
        </w:rPr>
        <w:t>二</w:t>
      </w:r>
      <w:r>
        <w:rPr>
          <w:rFonts w:cs="Times New Roman"/>
        </w:rPr>
        <w:t xml:space="preserve">) </w:t>
      </w:r>
      <w:r>
        <w:rPr>
          <w:rFonts w:cs="Times New Roman"/>
        </w:rPr>
        <w:t>為各國參賽者及隨行人員的入境簽證事宜提供必要的協助；</w:t>
      </w:r>
      <w:r>
        <w:rPr>
          <w:rFonts w:cs="Times New Roman"/>
        </w:rPr>
        <w:t>(</w:t>
      </w:r>
      <w:r>
        <w:rPr>
          <w:rFonts w:cs="Times New Roman"/>
        </w:rPr>
        <w:t>三</w:t>
      </w:r>
      <w:r>
        <w:rPr>
          <w:rFonts w:cs="Times New Roman"/>
        </w:rPr>
        <w:t xml:space="preserve">) </w:t>
      </w:r>
      <w:r>
        <w:rPr>
          <w:rFonts w:cs="Times New Roman"/>
        </w:rPr>
        <w:t>遵照歷屆國際數學奧林匹克慣例，委派相關官員及獲國際數學奧林匹克香港委員會提名的人士以觀察員的身份，出席</w:t>
      </w:r>
      <w:r>
        <w:rPr>
          <w:rFonts w:cs="Times New Roman"/>
        </w:rPr>
        <w:t>2014</w:t>
      </w:r>
      <w:r>
        <w:rPr>
          <w:rFonts w:cs="Times New Roman"/>
        </w:rPr>
        <w:t>年第五十五屆及</w:t>
      </w:r>
      <w:r>
        <w:rPr>
          <w:rFonts w:cs="Times New Roman"/>
        </w:rPr>
        <w:t>2015</w:t>
      </w:r>
      <w:r>
        <w:rPr>
          <w:rFonts w:cs="Times New Roman"/>
        </w:rPr>
        <w:t>年第五十六屆國際數學奧林匹克，為香港主辦的第五十七屆賽事提供意見及支援；</w:t>
      </w:r>
      <w:r>
        <w:rPr>
          <w:rFonts w:cs="Times New Roman"/>
        </w:rPr>
        <w:t>(</w:t>
      </w:r>
      <w:r>
        <w:rPr>
          <w:rFonts w:cs="Times New Roman"/>
        </w:rPr>
        <w:t>四</w:t>
      </w:r>
      <w:r>
        <w:rPr>
          <w:rFonts w:cs="Times New Roman"/>
        </w:rPr>
        <w:t xml:space="preserve">) </w:t>
      </w:r>
      <w:r>
        <w:rPr>
          <w:rFonts w:cs="Times New Roman"/>
        </w:rPr>
        <w:t>宣傳並鼓勵社會各界全情投入此項盛事，以提升社會對學習數學的興趣，並藉此強化學生對數學的掌握，為發展本港高新科技產業培育及儲備人才；</w:t>
      </w:r>
      <w:r>
        <w:rPr>
          <w:rFonts w:cs="Times New Roman"/>
        </w:rPr>
        <w:t>(</w:t>
      </w:r>
      <w:r>
        <w:rPr>
          <w:rFonts w:cs="Times New Roman"/>
        </w:rPr>
        <w:t>五</w:t>
      </w:r>
      <w:r>
        <w:rPr>
          <w:rFonts w:cs="Times New Roman"/>
        </w:rPr>
        <w:t xml:space="preserve">) </w:t>
      </w:r>
      <w:r>
        <w:rPr>
          <w:rFonts w:cs="Times New Roman"/>
        </w:rPr>
        <w:t>除教育局原則上同意支持舉辦是次盛事及已同意贊助開幕、閉幕典禮及製作獎牌的費用外，政府亦應協助國際數學奧林匹克香港委員會申請盛事基金、優質教育基金及其他等財政資助，以獲得足夠資源為各國領隊、參賽者及隨行人員提供食宿、市內交通、紀念品及其他必需品，履行主辦方的義務；</w:t>
      </w:r>
      <w:r>
        <w:rPr>
          <w:rFonts w:cs="Times New Roman"/>
        </w:rPr>
        <w:t>(</w:t>
      </w:r>
      <w:r>
        <w:rPr>
          <w:rFonts w:cs="Times New Roman"/>
        </w:rPr>
        <w:t>六</w:t>
      </w:r>
      <w:r>
        <w:rPr>
          <w:rFonts w:cs="Times New Roman"/>
        </w:rPr>
        <w:t xml:space="preserve">) </w:t>
      </w:r>
      <w:r>
        <w:rPr>
          <w:rFonts w:cs="Times New Roman"/>
        </w:rPr>
        <w:t>協助國際數學奧林匹克香港委員會獲得旅遊資源，以為參賽各國參賽隊伍及隨行人員提供文娛活動，從而推廣香港文化及提升香港國際形象；及</w:t>
      </w:r>
      <w:r>
        <w:rPr>
          <w:rFonts w:cs="Times New Roman"/>
        </w:rPr>
        <w:t>(</w:t>
      </w:r>
      <w:r>
        <w:rPr>
          <w:rFonts w:cs="Times New Roman"/>
        </w:rPr>
        <w:t>七</w:t>
      </w:r>
      <w:r>
        <w:rPr>
          <w:rFonts w:cs="Times New Roman"/>
        </w:rPr>
        <w:t xml:space="preserve">) </w:t>
      </w:r>
      <w:r>
        <w:rPr>
          <w:rFonts w:cs="Times New Roman"/>
        </w:rPr>
        <w:t>繼續支持本港代表隊參加內地舉辦的各項數學比賽，促進兩地之間的文化及學術交流”，並以“，但學校只推薦成績優異學生參加此類比賽，而絕大多數學生的參與機會近乎零；此類比賽亦非以普及的方法提升學生對數理學術的興趣及水平，故特區政府應重新檢討目前相關課程的內容、師生比例及人力資源，並以縮窄學習差距為目的，安排學生進行分組學習，以助提升學生學習數理科目的興趣和學習水平”代替。”</w:t>
      </w:r>
    </w:p>
    <w:p>
      <w:pPr>
        <w:pStyle w:val="F21"/>
        <w:rPr/>
      </w:pPr>
      <w:r>
        <w:rPr/>
      </w:r>
    </w:p>
    <w:p>
      <w:pPr>
        <w:pStyle w:val="F21"/>
        <w:rPr/>
      </w:pPr>
      <w:r>
        <w:rPr/>
      </w:r>
    </w:p>
    <w:p>
      <w:pPr>
        <w:pStyle w:val="F21"/>
        <w:snapToGrid w:val="false"/>
        <w:rPr>
          <w:szCs w:val="27"/>
        </w:rPr>
      </w:pPr>
      <w:r>
        <w:rPr>
          <w:rFonts w:eastAsia="華康中黑體"/>
          <w:b/>
          <w:szCs w:val="27"/>
        </w:rPr>
        <w:t>主席</w:t>
      </w:r>
      <w:r>
        <w:rPr>
          <w:szCs w:val="27"/>
        </w:rPr>
        <w:t>：我現在向各位提出的待議議題是：梁耀忠議員就葉劉淑儀議員議案動議的修‍正案，予以通過。</w:t>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896" w:hanging="896"/>
        <w:rPr>
          <w:szCs w:val="27"/>
        </w:rPr>
      </w:pPr>
      <w:r>
        <w:rPr>
          <w:rFonts w:eastAsia="華康中黑體"/>
          <w:b/>
          <w:szCs w:val="27"/>
        </w:rPr>
        <w:t>主席</w:t>
      </w:r>
      <w:r>
        <w:rPr>
          <w:szCs w:val="27"/>
        </w:rPr>
        <w:t>：</w:t>
      </w:r>
      <w:r>
        <w:rPr>
          <w:color w:val="000000"/>
          <w:szCs w:val="27"/>
        </w:rPr>
        <w:t>我現在向各位提出上述待決議題，付諸表決。贊成的請舉手。</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t>(</w:t>
      </w:r>
      <w:r>
        <w:rPr>
          <w:szCs w:val="27"/>
        </w:rPr>
        <w:t>議員舉手</w:t>
      </w:r>
      <w:r>
        <w:rPr>
          <w:szCs w:val="27"/>
        </w:rPr>
        <w:t>)</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80"/>
        <w:ind w:left="851" w:hanging="851"/>
        <w:rPr>
          <w:szCs w:val="27"/>
        </w:rPr>
      </w:pPr>
      <w:r>
        <w:rPr>
          <w:szCs w:val="27"/>
        </w:rPr>
      </w:r>
    </w:p>
    <w:p>
      <w:pPr>
        <w:pStyle w:val="F21"/>
        <w:overflowPunct w:val="true"/>
        <w:snapToGrid w:val="false"/>
        <w:rPr>
          <w:szCs w:val="27"/>
        </w:rPr>
      </w:pPr>
      <w:r>
        <w:rPr>
          <w:szCs w:val="27"/>
        </w:rPr>
        <w:t>(</w:t>
      </w:r>
      <w:r>
        <w:rPr>
          <w:szCs w:val="27"/>
        </w:rPr>
        <w:t>議員舉手</w:t>
      </w:r>
      <w:r>
        <w:rPr>
          <w:szCs w:val="27"/>
        </w:rPr>
        <w:t>)</w:t>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rPr>
          <w:szCs w:val="27"/>
        </w:rPr>
      </w:pPr>
      <w:r>
        <w:rPr>
          <w:szCs w:val="27"/>
        </w:rPr>
        <w:t>葉劉淑儀議員起立要求記名表決。</w:t>
      </w:r>
    </w:p>
    <w:p>
      <w:pPr>
        <w:pStyle w:val="Normal"/>
        <w:overflowPunct w:val="true"/>
        <w:snapToGrid w:val="false"/>
        <w:rPr/>
      </w:pPr>
      <w:r>
        <w:rPr/>
        <w:t>Mrs Regina IP rose to claim a division.</w:t>
      </w:r>
    </w:p>
    <w:p>
      <w:pPr>
        <w:pStyle w:val="F21"/>
        <w:overflowPunct w:val="true"/>
        <w:snapToGrid w:val="false"/>
        <w:spacing w:lineRule="atLeast" w:line="380"/>
        <w:ind w:left="851" w:hanging="851"/>
        <w:rPr>
          <w:szCs w:val="27"/>
        </w:rPr>
      </w:pPr>
      <w:r>
        <w:rPr>
          <w:rFonts w:eastAsia="華康中黑體"/>
          <w:b/>
          <w:szCs w:val="27"/>
        </w:rPr>
        <w:t>主席</w:t>
      </w:r>
      <w:r>
        <w:rPr>
          <w:szCs w:val="27"/>
        </w:rPr>
        <w:t>：葉劉淑儀議員要求記名表決。表決鐘會響</w:t>
      </w:r>
      <w:r>
        <w:rPr>
          <w:szCs w:val="27"/>
        </w:rPr>
        <w:t>1</w:t>
      </w:r>
      <w:r>
        <w:rPr>
          <w:szCs w:val="27"/>
        </w:rPr>
        <w:t>分鐘。</w:t>
      </w:r>
      <w:r>
        <w:br w:type="page"/>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：現在開始表決。</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snapToGrid w:val="false"/>
        <w:spacing w:lineRule="atLeast" w:line="380"/>
        <w:rPr>
          <w:szCs w:val="27"/>
        </w:rPr>
      </w:pPr>
      <w:r>
        <w:rPr>
          <w:rFonts w:eastAsia="華康中黑體"/>
          <w:b/>
          <w:szCs w:val="27"/>
        </w:rPr>
        <w:t>主席</w:t>
      </w:r>
      <w:r>
        <w:rPr>
          <w:szCs w:val="27"/>
        </w:rPr>
        <w:t>：請各位議員核對所作的表決。如果沒有問題，現在停止表決，顯示結果。</w:t>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930" w:hanging="930"/>
        <w:rPr>
          <w:szCs w:val="27"/>
        </w:rPr>
      </w:pPr>
      <w:r>
        <w:rPr>
          <w:szCs w:val="27"/>
        </w:rPr>
      </w:r>
    </w:p>
    <w:p>
      <w:pPr>
        <w:pStyle w:val="F21"/>
        <w:spacing w:lineRule="atLeast" w:line="380"/>
        <w:rPr/>
      </w:pPr>
      <w:r>
        <w:rPr/>
        <w:t>功能團體：</w:t>
      </w:r>
    </w:p>
    <w:p>
      <w:pPr>
        <w:pStyle w:val="Normal"/>
        <w:spacing w:lineRule="atLeast" w:line="380"/>
        <w:rPr/>
      </w:pPr>
      <w:r>
        <w:rPr/>
        <w:t>Functional Constituencies:</w:t>
      </w:r>
    </w:p>
    <w:p>
      <w:pPr>
        <w:pStyle w:val="F21"/>
        <w:spacing w:lineRule="atLeast" w:line="380"/>
        <w:rPr/>
      </w:pPr>
      <w:r>
        <w:rPr/>
      </w:r>
    </w:p>
    <w:p>
      <w:pPr>
        <w:pStyle w:val="F21"/>
        <w:spacing w:lineRule="atLeast" w:line="380"/>
        <w:rPr/>
      </w:pPr>
      <w:r>
        <w:rPr/>
        <w:t>涂謹申議員、李國麟議員、張國柱議員、莫乃光議員、梁繼昌議員及葉建源議員贊成。</w:t>
      </w:r>
    </w:p>
    <w:p>
      <w:pPr>
        <w:pStyle w:val="F21"/>
        <w:spacing w:lineRule="atLeast" w:line="380"/>
        <w:rPr/>
      </w:pPr>
      <w:r>
        <w:rPr/>
      </w:r>
    </w:p>
    <w:p>
      <w:pPr>
        <w:pStyle w:val="F21"/>
        <w:spacing w:lineRule="atLeast" w:line="380"/>
        <w:rPr/>
      </w:pPr>
      <w:r>
        <w:rPr/>
      </w:r>
    </w:p>
    <w:p>
      <w:pPr>
        <w:pStyle w:val="F21"/>
        <w:spacing w:lineRule="atLeast" w:line="380"/>
        <w:rPr/>
      </w:pPr>
      <w:r>
        <w:rPr/>
        <w:t>林健鋒議員、梁君彥議員、黃定光議員、李慧琼議員、陳健波議員、葉國謙議員、吳亮星議員、易志明議員、姚思榮議員、馬逢國議員、張華峰議員、盧偉國議員、鍾國斌議員及謝偉銓議員反對。</w:t>
      </w:r>
    </w:p>
    <w:p>
      <w:pPr>
        <w:pStyle w:val="F21"/>
        <w:spacing w:lineRule="atLeast" w:line="380"/>
        <w:rPr/>
      </w:pPr>
      <w:r>
        <w:rPr/>
      </w:r>
    </w:p>
    <w:p>
      <w:pPr>
        <w:pStyle w:val="F21"/>
        <w:spacing w:lineRule="atLeast" w:line="380"/>
        <w:rPr/>
      </w:pPr>
      <w:r>
        <w:rPr/>
      </w:r>
    </w:p>
    <w:p>
      <w:pPr>
        <w:pStyle w:val="F21"/>
        <w:spacing w:lineRule="atLeast" w:line="380"/>
        <w:rPr/>
      </w:pPr>
      <w:r>
        <w:rPr/>
        <w:t>郭偉强議員、潘兆平議員及鄧家彪議員棄權。</w:t>
      </w:r>
    </w:p>
    <w:p>
      <w:pPr>
        <w:pStyle w:val="F21"/>
        <w:spacing w:lineRule="atLeast" w:line="380"/>
        <w:rPr/>
      </w:pPr>
      <w:r>
        <w:rPr/>
      </w:r>
    </w:p>
    <w:p>
      <w:pPr>
        <w:pStyle w:val="F21"/>
        <w:spacing w:lineRule="atLeast" w:line="380"/>
        <w:rPr/>
      </w:pPr>
      <w:r>
        <w:rPr/>
      </w:r>
    </w:p>
    <w:p>
      <w:pPr>
        <w:pStyle w:val="F21"/>
        <w:spacing w:lineRule="atLeast" w:line="380"/>
        <w:rPr/>
      </w:pPr>
      <w:r>
        <w:rPr/>
        <w:t>地方選區：</w:t>
      </w:r>
    </w:p>
    <w:p>
      <w:pPr>
        <w:pStyle w:val="Normal"/>
        <w:spacing w:lineRule="atLeast" w:line="380"/>
        <w:rPr/>
      </w:pPr>
      <w:r>
        <w:rPr/>
        <w:t>Geographical Constituencies:</w:t>
      </w:r>
    </w:p>
    <w:p>
      <w:pPr>
        <w:pStyle w:val="F21"/>
        <w:spacing w:lineRule="atLeast" w:line="380"/>
        <w:rPr/>
      </w:pPr>
      <w:r>
        <w:rPr/>
      </w:r>
    </w:p>
    <w:p>
      <w:pPr>
        <w:pStyle w:val="F21"/>
        <w:spacing w:lineRule="atLeast" w:line="380"/>
        <w:rPr/>
      </w:pPr>
      <w:r>
        <w:rPr/>
        <w:t>李卓人議員、梁耀忠議員、劉慧卿議員、何秀蘭議員、梁家傑議員、梁國雄議員、毛孟靜議員、范國威議員、郭家麒議員、單仲偕議員及黃碧雲議員贊成。</w:t>
      </w:r>
    </w:p>
    <w:p>
      <w:pPr>
        <w:pStyle w:val="F21"/>
        <w:spacing w:lineRule="atLeast" w:line="380"/>
        <w:rPr/>
      </w:pPr>
      <w:r>
        <w:rPr/>
      </w:r>
    </w:p>
    <w:p>
      <w:pPr>
        <w:pStyle w:val="F21"/>
        <w:spacing w:lineRule="atLeast" w:line="380"/>
        <w:rPr/>
      </w:pPr>
      <w:r>
        <w:rPr/>
      </w:r>
    </w:p>
    <w:p>
      <w:pPr>
        <w:pStyle w:val="F21"/>
        <w:spacing w:lineRule="atLeast" w:line="380"/>
        <w:rPr/>
      </w:pPr>
      <w:r>
        <w:rPr/>
        <w:t>陳鑑林議員、譚耀宗議員、陳克勤議員、葉劉淑儀議員、謝偉俊議員、田北辰議員、陳恒鑌議員、梁志祥議員及蔣麗芸議員反對。</w:t>
      </w:r>
    </w:p>
    <w:p>
      <w:pPr>
        <w:pStyle w:val="F21"/>
        <w:rPr/>
      </w:pPr>
      <w:r>
        <w:rPr/>
      </w:r>
    </w:p>
    <w:p>
      <w:pPr>
        <w:pStyle w:val="F21"/>
        <w:rPr/>
      </w:pPr>
      <w:r>
        <w:rPr/>
        <w:t>王國興議員、黃國健議員、陳偉業議員、陳志全議員及麥美娟議員棄‍權。</w:t>
      </w:r>
    </w:p>
    <w:p>
      <w:pPr>
        <w:pStyle w:val="F21"/>
        <w:rPr/>
      </w:pPr>
      <w:r>
        <w:rPr/>
      </w:r>
    </w:p>
    <w:p>
      <w:pPr>
        <w:pStyle w:val="F21"/>
        <w:rPr/>
      </w:pPr>
      <w:r>
        <w:rPr/>
      </w:r>
    </w:p>
    <w:p>
      <w:pPr>
        <w:pStyle w:val="F21"/>
        <w:rPr/>
      </w:pPr>
      <w:r>
        <w:rPr/>
        <w:t>主席曾鈺成議員沒有表決。</w:t>
      </w:r>
    </w:p>
    <w:p>
      <w:pPr>
        <w:pStyle w:val="F21"/>
        <w:overflowPunct w:val="true"/>
        <w:snapToGrid w:val="false"/>
        <w:spacing w:lineRule="atLeast" w:line="370"/>
        <w:ind w:left="930" w:hanging="930"/>
        <w:rPr>
          <w:szCs w:val="27"/>
        </w:rPr>
      </w:pPr>
      <w:r>
        <w:rPr>
          <w:szCs w:val="27"/>
        </w:rPr>
      </w:r>
    </w:p>
    <w:p>
      <w:pPr>
        <w:pStyle w:val="F21"/>
        <w:overflowPunct w:val="true"/>
        <w:snapToGrid w:val="false"/>
        <w:spacing w:lineRule="atLeast" w:line="370"/>
        <w:ind w:left="930" w:hanging="930"/>
        <w:rPr>
          <w:szCs w:val="27"/>
        </w:rPr>
      </w:pPr>
      <w:r>
        <w:rPr>
          <w:szCs w:val="27"/>
        </w:rPr>
      </w:r>
    </w:p>
    <w:p>
      <w:pPr>
        <w:pStyle w:val="F21"/>
        <w:overflowPunct w:val="true"/>
        <w:snapToGrid w:val="false"/>
        <w:spacing w:lineRule="atLeast" w:line="370"/>
        <w:rPr>
          <w:szCs w:val="27"/>
        </w:rPr>
      </w:pPr>
      <w:r>
        <w:rPr>
          <w:szCs w:val="27"/>
        </w:rPr>
        <w:t>主席宣布經由功能團體選舉產生的議員，有</w:t>
      </w:r>
      <w:r>
        <w:rPr>
          <w:szCs w:val="27"/>
        </w:rPr>
        <w:t>23</w:t>
      </w:r>
      <w:r>
        <w:rPr>
          <w:szCs w:val="27"/>
        </w:rPr>
        <w:t>人出席，</w:t>
      </w:r>
      <w:r>
        <w:rPr>
          <w:szCs w:val="27"/>
        </w:rPr>
        <w:t>6</w:t>
      </w:r>
      <w:r>
        <w:rPr>
          <w:szCs w:val="27"/>
        </w:rPr>
        <w:t>人贊成，</w:t>
      </w:r>
      <w:r>
        <w:rPr>
          <w:szCs w:val="27"/>
        </w:rPr>
        <w:t>14‍</w:t>
      </w:r>
      <w:r>
        <w:rPr>
          <w:szCs w:val="27"/>
        </w:rPr>
        <w:t>人反對，</w:t>
      </w:r>
      <w:r>
        <w:rPr>
          <w:szCs w:val="27"/>
        </w:rPr>
        <w:t>3</w:t>
      </w:r>
      <w:r>
        <w:rPr>
          <w:szCs w:val="27"/>
        </w:rPr>
        <w:t>人棄權；而經由分區直接選舉產生的議員，有</w:t>
      </w:r>
      <w:r>
        <w:rPr>
          <w:szCs w:val="27"/>
        </w:rPr>
        <w:t>26</w:t>
      </w:r>
      <w:r>
        <w:rPr>
          <w:szCs w:val="27"/>
        </w:rPr>
        <w:t>人出席，</w:t>
      </w:r>
      <w:r>
        <w:rPr>
          <w:szCs w:val="27"/>
        </w:rPr>
        <w:t>11‍</w:t>
      </w:r>
      <w:r>
        <w:rPr>
          <w:szCs w:val="27"/>
        </w:rPr>
        <w:t>人贊成，</w:t>
      </w:r>
      <w:r>
        <w:rPr>
          <w:szCs w:val="27"/>
        </w:rPr>
        <w:t>9</w:t>
      </w:r>
      <w:r>
        <w:rPr>
          <w:szCs w:val="27"/>
        </w:rPr>
        <w:t>人反對，</w:t>
      </w:r>
      <w:r>
        <w:rPr>
          <w:szCs w:val="27"/>
        </w:rPr>
        <w:t>5</w:t>
      </w:r>
      <w:r>
        <w:rPr>
          <w:szCs w:val="27"/>
        </w:rPr>
        <w:t>人棄權。由於議題未獲得兩部分在席議員分別以過半數贊成，他於是宣布修正案被否決。</w:t>
      </w:r>
    </w:p>
    <w:p>
      <w:pPr>
        <w:pStyle w:val="Normal"/>
        <w:tabs>
          <w:tab w:val="left" w:pos="720" w:leader="none"/>
          <w:tab w:val="left" w:pos="3780" w:leader="none"/>
        </w:tabs>
        <w:overflowPunct w:val="true"/>
        <w:snapToGrid w:val="false"/>
        <w:spacing w:lineRule="atLeast" w:line="370"/>
        <w:rPr/>
      </w:pPr>
      <w:r>
        <w:rPr/>
        <w:t>THE PRESIDENT announced that among the Members returned by functional constituencies, 23 were present, six were in favour of the amendment, 14 against it and three abstained; while among the Members returned by geographical constituencies through direct elections, 26 were present, 11 were in favour of the amendment, nine against it and five abstained.  Since the question was not agreed by a majority of each of the two groups of Members present, he therefore declared that the amendment was negatived.</w:t>
      </w:r>
    </w:p>
    <w:p>
      <w:pPr>
        <w:pStyle w:val="F21"/>
        <w:overflowPunct w:val="true"/>
        <w:snapToGrid w:val="false"/>
        <w:spacing w:lineRule="atLeast" w:line="380"/>
        <w:ind w:left="851" w:hanging="851"/>
        <w:rPr>
          <w:szCs w:val="27"/>
        </w:rPr>
      </w:pPr>
      <w:r>
        <w:rPr>
          <w:szCs w:val="27"/>
        </w:rPr>
      </w:r>
    </w:p>
    <w:p>
      <w:pPr>
        <w:pStyle w:val="F21"/>
        <w:rPr/>
      </w:pPr>
      <w:r>
        <w:rPr/>
      </w:r>
    </w:p>
    <w:p>
      <w:pPr>
        <w:pStyle w:val="F21"/>
        <w:rPr/>
      </w:pPr>
      <w:r>
        <w:rPr>
          <w:rFonts w:eastAsia="華康中黑體"/>
          <w:b/>
        </w:rPr>
        <w:t>主席</w:t>
      </w:r>
      <w:r>
        <w:rPr/>
        <w:t>：梁繼昌議員，你可以動議你的修正案。</w:t>
      </w:r>
    </w:p>
    <w:p>
      <w:pPr>
        <w:pStyle w:val="F21"/>
        <w:rPr/>
      </w:pPr>
      <w:r>
        <w:rPr/>
      </w:r>
    </w:p>
    <w:p>
      <w:pPr>
        <w:pStyle w:val="F21"/>
        <w:rPr/>
      </w:pPr>
      <w:r>
        <w:rPr/>
      </w:r>
    </w:p>
    <w:p>
      <w:pPr>
        <w:pStyle w:val="F21"/>
        <w:rPr/>
      </w:pPr>
      <w:r>
        <w:rPr>
          <w:rFonts w:eastAsia="華康中黑體"/>
          <w:b/>
        </w:rPr>
        <w:t>梁繼昌議員</w:t>
      </w:r>
      <w:r>
        <w:rPr/>
        <w:t>：主席，我動議修正葉劉淑儀議員的議案。</w:t>
      </w:r>
    </w:p>
    <w:p>
      <w:pPr>
        <w:pStyle w:val="F21"/>
        <w:rPr/>
      </w:pPr>
      <w:r>
        <w:rPr/>
      </w:r>
    </w:p>
    <w:p>
      <w:pPr>
        <w:pStyle w:val="F21"/>
        <w:rPr/>
      </w:pPr>
      <w:r>
        <w:rPr>
          <w:rFonts w:eastAsia="華康中黑體"/>
          <w:b/>
        </w:rPr>
        <w:t>梁繼昌議員</w:t>
      </w:r>
      <w:r>
        <w:rPr>
          <w:rFonts w:cs="Times New Roman" w:eastAsia="華康中黑體"/>
          <w:b/>
        </w:rPr>
        <w:t>動議的修正案如下</w:t>
      </w:r>
      <w:r>
        <w:rPr/>
        <w:t>：</w:t>
      </w:r>
    </w:p>
    <w:p>
      <w:pPr>
        <w:pStyle w:val="F21"/>
        <w:rPr/>
      </w:pPr>
      <w:r>
        <w:rPr/>
      </w:r>
    </w:p>
    <w:p>
      <w:pPr>
        <w:pStyle w:val="F21"/>
        <w:ind w:left="709" w:hanging="142"/>
        <w:rPr>
          <w:rFonts w:cs="Times New Roman"/>
        </w:rPr>
      </w:pPr>
      <w:r>
        <w:rPr>
          <w:rFonts w:cs="Times New Roman"/>
        </w:rPr>
        <w:t>“</w:t>
      </w:r>
      <w:r>
        <w:rPr>
          <w:rFonts w:cs="Times New Roman"/>
        </w:rPr>
        <w:t>在“香港”之後刪除“榮獲</w:t>
      </w:r>
      <w:r>
        <w:rPr>
          <w:rFonts w:cs="Times New Roman"/>
        </w:rPr>
        <w:t>2016</w:t>
      </w:r>
      <w:r>
        <w:rPr>
          <w:rFonts w:cs="Times New Roman"/>
        </w:rPr>
        <w:t>年第五十七屆”，並以“取得</w:t>
      </w:r>
      <w:r>
        <w:rPr>
          <w:rFonts w:cs="Times New Roman"/>
        </w:rPr>
        <w:t>2016</w:t>
      </w:r>
      <w:r>
        <w:rPr>
          <w:rFonts w:cs="Times New Roman"/>
        </w:rPr>
        <w:t>年”代替；在“主辦權”之後刪除“，而國際數學奧林匹克作為數學界最高水平的國際賽事之一，除有助提升香港的國際聲譽及地位外，亦能重振本港學生一直引以為傲的數學水平，”，並以“；就此，本會促請政府為是次盛事所需的資源及行政提供協助，藉此推廣香港的數理學術氣氛；長遠而言，當局在推動數理學術發展外，亦不應忽略人文科學的重要性；政府應以政策鼓勵及支持各界舉辦不同類型的大型學術活動及知識推廣，以達致全面和多元化的學術發展及交流，以及”代替；及在緊接句號之前刪除“，從而促進本港高新科技產業的發展；香港曾於</w:t>
      </w:r>
      <w:r>
        <w:rPr>
          <w:rFonts w:cs="Times New Roman"/>
        </w:rPr>
        <w:t>1994</w:t>
      </w:r>
      <w:r>
        <w:rPr>
          <w:rFonts w:cs="Times New Roman"/>
        </w:rPr>
        <w:t>年獲時任總督彭定康親自擔任贊助人，全力支持主辦第三十五屆國際數學奧林匹克，而本港代表隊自</w:t>
      </w:r>
      <w:r>
        <w:rPr>
          <w:rFonts w:cs="Times New Roman"/>
        </w:rPr>
        <w:t>1988</w:t>
      </w:r>
      <w:r>
        <w:rPr>
          <w:rFonts w:cs="Times New Roman"/>
        </w:rPr>
        <w:t>年參賽以來，成績一直位踞前列；就此，本會促請政府全力支持國際數學奧林匹克香港委員會籌辦第五十七屆國際數學奧林匹克；具體措施應包括：</w:t>
      </w:r>
      <w:r>
        <w:rPr>
          <w:rFonts w:cs="Times New Roman"/>
        </w:rPr>
        <w:t>(</w:t>
      </w:r>
      <w:r>
        <w:rPr>
          <w:rFonts w:cs="Times New Roman"/>
        </w:rPr>
        <w:t>一</w:t>
      </w:r>
      <w:r>
        <w:rPr>
          <w:rFonts w:cs="Times New Roman"/>
        </w:rPr>
        <w:t xml:space="preserve">) </w:t>
      </w:r>
      <w:r>
        <w:rPr>
          <w:rFonts w:cs="Times New Roman"/>
        </w:rPr>
        <w:t>由於歷屆國際數學奧林匹克均由主辦國的元首、王室要員或當地政府首長以贊助人的身份主持賽事的開幕及閉幕典禮，故此香港亦應延續歷屆傳統，由行政長官擔任第五十七屆國際數學奧林匹克的贊助人，一盡地主之誼；</w:t>
      </w:r>
      <w:r>
        <w:rPr>
          <w:rFonts w:cs="Times New Roman"/>
        </w:rPr>
        <w:t>(</w:t>
      </w:r>
      <w:r>
        <w:rPr>
          <w:rFonts w:cs="Times New Roman"/>
        </w:rPr>
        <w:t>二</w:t>
      </w:r>
      <w:r>
        <w:rPr>
          <w:rFonts w:cs="Times New Roman"/>
        </w:rPr>
        <w:t xml:space="preserve">) </w:t>
      </w:r>
      <w:r>
        <w:rPr>
          <w:rFonts w:cs="Times New Roman"/>
        </w:rPr>
        <w:t>為各國參賽者及隨行人員的入境簽證事宜提供必要的協助；</w:t>
      </w:r>
      <w:r>
        <w:rPr>
          <w:rFonts w:cs="Times New Roman"/>
        </w:rPr>
        <w:t>(</w:t>
      </w:r>
      <w:r>
        <w:rPr>
          <w:rFonts w:cs="Times New Roman"/>
        </w:rPr>
        <w:t>三</w:t>
      </w:r>
      <w:r>
        <w:rPr>
          <w:rFonts w:cs="Times New Roman"/>
        </w:rPr>
        <w:t xml:space="preserve">) </w:t>
      </w:r>
      <w:r>
        <w:rPr>
          <w:rFonts w:cs="Times New Roman"/>
        </w:rPr>
        <w:t>遵照歷屆國際數學奧林匹克慣例，委派相關官員及獲國際數學奧林匹克香港委員會提名的人士以觀察員的身份，出席</w:t>
      </w:r>
      <w:r>
        <w:rPr>
          <w:rFonts w:cs="Times New Roman"/>
        </w:rPr>
        <w:t>2014</w:t>
      </w:r>
      <w:r>
        <w:rPr>
          <w:rFonts w:cs="Times New Roman"/>
        </w:rPr>
        <w:t>年第五十五屆及</w:t>
      </w:r>
      <w:r>
        <w:rPr>
          <w:rFonts w:cs="Times New Roman"/>
        </w:rPr>
        <w:t>2015</w:t>
      </w:r>
      <w:r>
        <w:rPr>
          <w:rFonts w:cs="Times New Roman"/>
        </w:rPr>
        <w:t>年第五十六屆國際數學奧林匹克，為香港主辦的第五十七屆賽事提供意見及支援；</w:t>
      </w:r>
      <w:r>
        <w:rPr>
          <w:rFonts w:cs="Times New Roman"/>
        </w:rPr>
        <w:t>(</w:t>
      </w:r>
      <w:r>
        <w:rPr>
          <w:rFonts w:cs="Times New Roman"/>
        </w:rPr>
        <w:t>四</w:t>
      </w:r>
      <w:r>
        <w:rPr>
          <w:rFonts w:cs="Times New Roman"/>
        </w:rPr>
        <w:t xml:space="preserve">) </w:t>
      </w:r>
      <w:r>
        <w:rPr>
          <w:rFonts w:cs="Times New Roman"/>
        </w:rPr>
        <w:t>宣傳並鼓勵社會各界全情投入此項盛事，以提升社會對學習數學的興趣，並藉此強化學生對數學的掌握，為發展本港高新科技產業培育及儲備人才；</w:t>
      </w:r>
      <w:r>
        <w:rPr>
          <w:rFonts w:cs="Times New Roman"/>
        </w:rPr>
        <w:t>(</w:t>
      </w:r>
      <w:r>
        <w:rPr>
          <w:rFonts w:cs="Times New Roman"/>
        </w:rPr>
        <w:t>五</w:t>
      </w:r>
      <w:r>
        <w:rPr>
          <w:rFonts w:cs="Times New Roman"/>
        </w:rPr>
        <w:t xml:space="preserve">) </w:t>
      </w:r>
      <w:r>
        <w:rPr>
          <w:rFonts w:cs="Times New Roman"/>
        </w:rPr>
        <w:t>除教育局原則上同意支持舉辦是次盛事及已同意贊助開幕、閉幕典禮及製作獎牌的費用外，政府亦應協助國際數學奧林匹克香港委員會申請盛事基金、優質教育基金及其他等財政資助，以獲得足夠資源為各國領隊、參賽者及隨行人員提供食宿、市內交通、紀念品及其他必需品，履行主辦方的義務；</w:t>
      </w:r>
      <w:r>
        <w:rPr>
          <w:rFonts w:cs="Times New Roman"/>
        </w:rPr>
        <w:t>(</w:t>
      </w:r>
      <w:r>
        <w:rPr>
          <w:rFonts w:cs="Times New Roman"/>
        </w:rPr>
        <w:t>六</w:t>
      </w:r>
      <w:r>
        <w:rPr>
          <w:rFonts w:cs="Times New Roman"/>
        </w:rPr>
        <w:t xml:space="preserve">) </w:t>
      </w:r>
      <w:r>
        <w:rPr>
          <w:rFonts w:cs="Times New Roman"/>
        </w:rPr>
        <w:t>協助國際數學奧林匹克香港委員會獲得旅遊資源，以為參賽各國參賽隊伍及隨行人員提供文娛活動，從而推廣香港文化及提升香港國際形象；及</w:t>
      </w:r>
      <w:r>
        <w:rPr>
          <w:rFonts w:cs="Times New Roman"/>
        </w:rPr>
        <w:t>(</w:t>
      </w:r>
      <w:r>
        <w:rPr>
          <w:rFonts w:cs="Times New Roman"/>
        </w:rPr>
        <w:t>七</w:t>
      </w:r>
      <w:r>
        <w:rPr>
          <w:rFonts w:cs="Times New Roman"/>
        </w:rPr>
        <w:t xml:space="preserve">) </w:t>
      </w:r>
      <w:r>
        <w:rPr>
          <w:rFonts w:cs="Times New Roman"/>
        </w:rPr>
        <w:t>繼續支持本港代表隊參加內地舉辦的各項數學比賽，促進兩地之間的文化及學術交流”。”</w:t>
      </w:r>
    </w:p>
    <w:p>
      <w:pPr>
        <w:pStyle w:val="F21"/>
        <w:rPr>
          <w:rFonts w:cs="Times New Roman"/>
        </w:rPr>
      </w:pPr>
      <w:r>
        <w:rPr>
          <w:rFonts w:cs="Times New Roman"/>
        </w:rPr>
      </w:r>
    </w:p>
    <w:p>
      <w:pPr>
        <w:pStyle w:val="F21"/>
        <w:rPr>
          <w:rFonts w:cs="Times New Roman"/>
        </w:rPr>
      </w:pPr>
      <w:r>
        <w:rPr>
          <w:rFonts w:cs="Times New Roman"/>
        </w:rPr>
      </w:r>
    </w:p>
    <w:p>
      <w:pPr>
        <w:pStyle w:val="F21"/>
        <w:snapToGrid w:val="false"/>
        <w:rPr>
          <w:szCs w:val="27"/>
        </w:rPr>
      </w:pPr>
      <w:r>
        <w:rPr>
          <w:rFonts w:eastAsia="華康中黑體"/>
          <w:b/>
          <w:szCs w:val="27"/>
        </w:rPr>
        <w:t>主席</w:t>
      </w:r>
      <w:r>
        <w:rPr>
          <w:szCs w:val="27"/>
        </w:rPr>
        <w:t>：我現在向各位提出的待議議題是：梁繼昌議員就葉劉淑儀議員議案動議的修‍正案，予以通過。</w:t>
      </w:r>
    </w:p>
    <w:p>
      <w:pPr>
        <w:pStyle w:val="F21"/>
        <w:overflowPunct w:val="true"/>
        <w:snapToGrid w:val="false"/>
        <w:ind w:left="930" w:hanging="930"/>
        <w:rPr>
          <w:szCs w:val="27"/>
        </w:rPr>
      </w:pPr>
      <w:r>
        <w:rPr>
          <w:szCs w:val="27"/>
        </w:rPr>
      </w:r>
    </w:p>
    <w:p>
      <w:pPr>
        <w:pStyle w:val="F21"/>
        <w:overflowPunct w:val="true"/>
        <w:snapToGrid w:val="false"/>
        <w:ind w:left="930" w:hanging="930"/>
        <w:rPr>
          <w:szCs w:val="27"/>
        </w:rPr>
      </w:pPr>
      <w:r>
        <w:rPr>
          <w:szCs w:val="27"/>
        </w:rPr>
      </w:r>
    </w:p>
    <w:p>
      <w:pPr>
        <w:pStyle w:val="F21"/>
        <w:overflowPunct w:val="true"/>
        <w:snapToGrid w:val="false"/>
        <w:ind w:left="896" w:hanging="896"/>
        <w:rPr>
          <w:szCs w:val="27"/>
        </w:rPr>
      </w:pPr>
      <w:r>
        <w:rPr>
          <w:rFonts w:eastAsia="華康中黑體"/>
          <w:b/>
          <w:szCs w:val="27"/>
        </w:rPr>
        <w:t>主席</w:t>
      </w:r>
      <w:r>
        <w:rPr>
          <w:szCs w:val="27"/>
        </w:rPr>
        <w:t>：</w:t>
      </w:r>
      <w:r>
        <w:rPr>
          <w:color w:val="000000"/>
          <w:szCs w:val="27"/>
        </w:rPr>
        <w:t>我現在向各位提出上述待決議題，付諸表決。贊成的請舉手。</w:t>
      </w:r>
    </w:p>
    <w:p>
      <w:pPr>
        <w:pStyle w:val="F21"/>
        <w:overflowPunct w:val="true"/>
        <w:snapToGrid w:val="false"/>
        <w:rPr>
          <w:szCs w:val="27"/>
        </w:rPr>
      </w:pPr>
      <w:r>
        <w:rPr>
          <w:szCs w:val="27"/>
        </w:rPr>
      </w:r>
    </w:p>
    <w:p>
      <w:pPr>
        <w:pStyle w:val="F21"/>
        <w:overflowPunct w:val="true"/>
        <w:snapToGrid w:val="false"/>
        <w:rPr>
          <w:szCs w:val="27"/>
        </w:rPr>
      </w:pPr>
      <w:r>
        <w:rPr>
          <w:szCs w:val="27"/>
        </w:rPr>
        <w:t>(</w:t>
      </w:r>
      <w:r>
        <w:rPr>
          <w:szCs w:val="27"/>
        </w:rPr>
        <w:t>議員舉手</w:t>
      </w:r>
      <w:r>
        <w:rPr>
          <w:szCs w:val="27"/>
        </w:rPr>
        <w:t>)</w:t>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ind w:left="851" w:hanging="851"/>
        <w:rPr>
          <w:szCs w:val="27"/>
        </w:rPr>
      </w:pPr>
      <w:r>
        <w:rPr>
          <w:rFonts w:eastAsia="華康中黑體"/>
          <w:b/>
          <w:szCs w:val="27"/>
        </w:rPr>
        <w:t>主席</w:t>
      </w:r>
      <w:r>
        <w:rPr>
          <w:szCs w:val="27"/>
        </w:rPr>
        <w:t>：反對的請舉手。</w:t>
      </w:r>
    </w:p>
    <w:p>
      <w:pPr>
        <w:pStyle w:val="F21"/>
        <w:overflowPunct w:val="true"/>
        <w:snapToGrid w:val="false"/>
        <w:ind w:left="851" w:hanging="851"/>
        <w:rPr>
          <w:szCs w:val="27"/>
        </w:rPr>
      </w:pPr>
      <w:r>
        <w:rPr>
          <w:szCs w:val="27"/>
        </w:rPr>
      </w:r>
    </w:p>
    <w:p>
      <w:pPr>
        <w:pStyle w:val="F21"/>
        <w:overflowPunct w:val="true"/>
        <w:snapToGrid w:val="false"/>
        <w:rPr>
          <w:szCs w:val="27"/>
        </w:rPr>
      </w:pPr>
      <w:r>
        <w:rPr>
          <w:szCs w:val="27"/>
        </w:rPr>
        <w:t>(</w:t>
      </w:r>
      <w:r>
        <w:rPr>
          <w:szCs w:val="27"/>
        </w:rPr>
        <w:t>議員舉手</w:t>
      </w:r>
      <w:r>
        <w:rPr>
          <w:szCs w:val="27"/>
        </w:rPr>
        <w:t>)</w:t>
      </w:r>
    </w:p>
    <w:p>
      <w:pPr>
        <w:pStyle w:val="F21"/>
        <w:overflowPunct w:val="true"/>
        <w:snapToGrid w:val="false"/>
        <w:rPr>
          <w:szCs w:val="27"/>
        </w:rPr>
      </w:pPr>
      <w:r>
        <w:rPr>
          <w:szCs w:val="27"/>
        </w:rPr>
        <w:t>葉國謙議員起立要求記名表決。</w:t>
      </w:r>
      <w:r>
        <w:br w:type="page"/>
      </w:r>
    </w:p>
    <w:p>
      <w:pPr>
        <w:pStyle w:val="Normal"/>
        <w:overflowPunct w:val="true"/>
        <w:snapToGrid w:val="false"/>
        <w:rPr/>
      </w:pPr>
      <w:r>
        <w:rPr/>
        <w:t>Mr IP Kwok-him rose to claim a division.</w:t>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ind w:left="851" w:hanging="851"/>
        <w:rPr>
          <w:rFonts w:eastAsia="華康中黑體"/>
          <w:b/>
          <w:b/>
          <w:szCs w:val="27"/>
        </w:rPr>
      </w:pPr>
      <w:r>
        <w:rPr>
          <w:rFonts w:eastAsia="華康中黑體"/>
          <w:b/>
          <w:szCs w:val="27"/>
        </w:rPr>
      </w:r>
    </w:p>
    <w:p>
      <w:pPr>
        <w:pStyle w:val="F21"/>
        <w:overflowPunct w:val="true"/>
        <w:snapToGrid w:val="false"/>
        <w:ind w:left="851" w:hanging="851"/>
        <w:rPr>
          <w:szCs w:val="27"/>
        </w:rPr>
      </w:pPr>
      <w:r>
        <w:rPr>
          <w:rFonts w:eastAsia="華康中黑體"/>
          <w:b/>
          <w:szCs w:val="27"/>
        </w:rPr>
        <w:t>主席</w:t>
      </w:r>
      <w:r>
        <w:rPr>
          <w:szCs w:val="27"/>
        </w:rPr>
        <w:t>：葉國謙議員要求記名表決。表決鐘會響</w:t>
      </w:r>
      <w:r>
        <w:rPr>
          <w:szCs w:val="27"/>
        </w:rPr>
        <w:t>1</w:t>
      </w:r>
      <w:r>
        <w:rPr>
          <w:szCs w:val="27"/>
        </w:rPr>
        <w:t>分鐘。</w:t>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spacing w:lineRule="atLeast" w:line="370"/>
        <w:ind w:left="851" w:hanging="851"/>
        <w:rPr>
          <w:szCs w:val="27"/>
        </w:rPr>
      </w:pPr>
      <w:r>
        <w:rPr>
          <w:rFonts w:eastAsia="華康中黑體"/>
          <w:b/>
          <w:szCs w:val="27"/>
        </w:rPr>
        <w:t>主席</w:t>
      </w:r>
      <w:r>
        <w:rPr>
          <w:szCs w:val="27"/>
        </w:rPr>
        <w:t>：現在開始表決。</w:t>
      </w:r>
    </w:p>
    <w:p>
      <w:pPr>
        <w:pStyle w:val="F21"/>
        <w:overflowPunct w:val="true"/>
        <w:snapToGrid w:val="false"/>
        <w:spacing w:lineRule="atLeast" w:line="370"/>
        <w:rPr>
          <w:szCs w:val="27"/>
        </w:rPr>
      </w:pPr>
      <w:r>
        <w:rPr>
          <w:szCs w:val="27"/>
        </w:rPr>
      </w:r>
    </w:p>
    <w:p>
      <w:pPr>
        <w:pStyle w:val="F21"/>
        <w:overflowPunct w:val="true"/>
        <w:snapToGrid w:val="false"/>
        <w:spacing w:lineRule="atLeast" w:line="370"/>
        <w:rPr>
          <w:szCs w:val="27"/>
        </w:rPr>
      </w:pPr>
      <w:r>
        <w:rPr>
          <w:szCs w:val="27"/>
        </w:rPr>
      </w:r>
    </w:p>
    <w:p>
      <w:pPr>
        <w:pStyle w:val="F21"/>
        <w:snapToGrid w:val="false"/>
        <w:rPr>
          <w:szCs w:val="27"/>
        </w:rPr>
      </w:pPr>
      <w:r>
        <w:rPr>
          <w:rFonts w:eastAsia="華康中黑體"/>
          <w:b/>
          <w:szCs w:val="27"/>
        </w:rPr>
        <w:t>主席</w:t>
      </w:r>
      <w:r>
        <w:rPr>
          <w:szCs w:val="27"/>
        </w:rPr>
        <w:t>：請各位議員核對所作的表決。如果沒有問題，現在停止表決，顯示結果。</w:t>
      </w:r>
    </w:p>
    <w:p>
      <w:pPr>
        <w:pStyle w:val="F21"/>
        <w:overflowPunct w:val="true"/>
        <w:snapToGrid w:val="false"/>
        <w:spacing w:lineRule="atLeast" w:line="370"/>
        <w:ind w:left="907" w:hanging="907"/>
        <w:rPr>
          <w:szCs w:val="27"/>
        </w:rPr>
      </w:pPr>
      <w:r>
        <w:rPr>
          <w:szCs w:val="27"/>
        </w:rPr>
      </w:r>
    </w:p>
    <w:p>
      <w:pPr>
        <w:pStyle w:val="F21"/>
        <w:overflowPunct w:val="true"/>
        <w:snapToGrid w:val="false"/>
        <w:spacing w:lineRule="atLeast" w:line="370"/>
        <w:ind w:left="907" w:hanging="907"/>
        <w:rPr>
          <w:szCs w:val="27"/>
        </w:rPr>
      </w:pPr>
      <w:r>
        <w:rPr>
          <w:szCs w:val="27"/>
        </w:rPr>
      </w:r>
    </w:p>
    <w:p>
      <w:pPr>
        <w:pStyle w:val="F21"/>
        <w:rPr/>
      </w:pPr>
      <w:r>
        <w:rPr/>
        <w:t>功能團體：</w:t>
      </w:r>
    </w:p>
    <w:p>
      <w:pPr>
        <w:pStyle w:val="Normal"/>
        <w:rPr/>
      </w:pPr>
      <w:r>
        <w:rPr/>
        <w:t>Functional Constituencies:</w:t>
      </w:r>
    </w:p>
    <w:p>
      <w:pPr>
        <w:pStyle w:val="F21"/>
        <w:rPr/>
      </w:pPr>
      <w:r>
        <w:rPr/>
      </w:r>
    </w:p>
    <w:p>
      <w:pPr>
        <w:pStyle w:val="F21"/>
        <w:rPr/>
      </w:pPr>
      <w:r>
        <w:rPr/>
        <w:t>涂謹申議員、李國麟議員、張國柱議員、易志明議員、莫乃光議員、梁繼昌議員、葉建源議員及鍾國斌議員贊成。</w:t>
      </w:r>
    </w:p>
    <w:p>
      <w:pPr>
        <w:pStyle w:val="F21"/>
        <w:rPr/>
      </w:pPr>
      <w:r>
        <w:rPr/>
      </w:r>
    </w:p>
    <w:p>
      <w:pPr>
        <w:pStyle w:val="F21"/>
        <w:rPr/>
      </w:pPr>
      <w:r>
        <w:rPr/>
      </w:r>
    </w:p>
    <w:p>
      <w:pPr>
        <w:pStyle w:val="F21"/>
        <w:rPr/>
      </w:pPr>
      <w:r>
        <w:rPr/>
        <w:t>林健鋒議員、梁君彥議員、黃定光議員、李慧琼議員、陳健波議員、葉國謙議員、姚思榮議員、張華峰議員、盧偉國議員及謝偉銓議員反‍對。</w:t>
      </w:r>
    </w:p>
    <w:p>
      <w:pPr>
        <w:pStyle w:val="F21"/>
        <w:rPr/>
      </w:pPr>
      <w:r>
        <w:rPr/>
      </w:r>
    </w:p>
    <w:p>
      <w:pPr>
        <w:pStyle w:val="F21"/>
        <w:rPr/>
      </w:pPr>
      <w:r>
        <w:rPr/>
      </w:r>
    </w:p>
    <w:p>
      <w:pPr>
        <w:pStyle w:val="F21"/>
        <w:rPr/>
      </w:pPr>
      <w:r>
        <w:rPr/>
        <w:t>吳亮星議員、馬逢國議員、郭偉强議員、潘兆平議員及鄧家彪議員棄‍權。</w:t>
      </w:r>
    </w:p>
    <w:p>
      <w:pPr>
        <w:pStyle w:val="F21"/>
        <w:rPr/>
      </w:pPr>
      <w:r>
        <w:rPr/>
      </w:r>
    </w:p>
    <w:p>
      <w:pPr>
        <w:pStyle w:val="F21"/>
        <w:rPr/>
      </w:pPr>
      <w:r>
        <w:rPr/>
      </w:r>
    </w:p>
    <w:p>
      <w:pPr>
        <w:pStyle w:val="F21"/>
        <w:rPr/>
      </w:pPr>
      <w:r>
        <w:rPr/>
        <w:t>地方選區：</w:t>
      </w:r>
    </w:p>
    <w:p>
      <w:pPr>
        <w:pStyle w:val="Normal"/>
        <w:rPr/>
      </w:pPr>
      <w:r>
        <w:rPr/>
        <w:t>Geographical Constituencies:</w:t>
      </w:r>
    </w:p>
    <w:p>
      <w:pPr>
        <w:pStyle w:val="F21"/>
        <w:rPr/>
      </w:pPr>
      <w:r>
        <w:rPr/>
      </w:r>
    </w:p>
    <w:p>
      <w:pPr>
        <w:pStyle w:val="F21"/>
        <w:rPr/>
      </w:pPr>
      <w:r>
        <w:rPr/>
        <w:t>李卓人議員、梁耀忠議員、劉慧卿議員、何秀蘭議員、梁家傑議員、梁國雄議員、陳偉業議員、毛孟靜議員、范國威議員、陳志全議員、郭家麒議員、單仲偕議員及黃碧雲議員贊成。</w:t>
      </w:r>
    </w:p>
    <w:p>
      <w:pPr>
        <w:pStyle w:val="F21"/>
        <w:rPr/>
      </w:pPr>
      <w:r>
        <w:rPr/>
      </w:r>
    </w:p>
    <w:p>
      <w:pPr>
        <w:pStyle w:val="F21"/>
        <w:rPr/>
      </w:pPr>
      <w:r>
        <w:rPr/>
      </w:r>
    </w:p>
    <w:p>
      <w:pPr>
        <w:pStyle w:val="F21"/>
        <w:rPr/>
      </w:pPr>
      <w:r>
        <w:rPr/>
        <w:t>陳鑑林議員、譚耀宗議員、陳克勤議員、葉劉淑儀議員、謝偉俊議員、田北辰議員、陳恒鑌議員、梁志祥議員及蔣麗芸議員反對。</w:t>
      </w:r>
    </w:p>
    <w:p>
      <w:pPr>
        <w:pStyle w:val="F21"/>
        <w:rPr/>
      </w:pPr>
      <w:r>
        <w:rPr/>
      </w:r>
    </w:p>
    <w:p>
      <w:pPr>
        <w:pStyle w:val="F21"/>
        <w:rPr/>
      </w:pPr>
      <w:r>
        <w:rPr/>
      </w:r>
    </w:p>
    <w:p>
      <w:pPr>
        <w:pStyle w:val="F21"/>
        <w:rPr/>
      </w:pPr>
      <w:r>
        <w:rPr/>
        <w:t>王國興議員、黃國健議員及麥美娟議員棄權。</w:t>
      </w:r>
    </w:p>
    <w:p>
      <w:pPr>
        <w:pStyle w:val="F21"/>
        <w:rPr/>
      </w:pPr>
      <w:r>
        <w:rPr/>
      </w:r>
    </w:p>
    <w:p>
      <w:pPr>
        <w:pStyle w:val="F21"/>
        <w:rPr/>
      </w:pPr>
      <w:r>
        <w:rPr/>
      </w:r>
    </w:p>
    <w:p>
      <w:pPr>
        <w:pStyle w:val="F21"/>
        <w:rPr/>
      </w:pPr>
      <w:r>
        <w:rPr/>
        <w:t>主席曾鈺成議員沒有表決。</w:t>
      </w:r>
    </w:p>
    <w:p>
      <w:pPr>
        <w:pStyle w:val="F21"/>
        <w:overflowPunct w:val="true"/>
        <w:snapToGrid w:val="false"/>
        <w:spacing w:lineRule="atLeast" w:line="370"/>
        <w:ind w:left="907" w:hanging="907"/>
        <w:rPr>
          <w:szCs w:val="27"/>
        </w:rPr>
      </w:pPr>
      <w:r>
        <w:rPr>
          <w:szCs w:val="27"/>
        </w:rPr>
      </w:r>
    </w:p>
    <w:p>
      <w:pPr>
        <w:pStyle w:val="F21"/>
        <w:overflowPunct w:val="true"/>
        <w:snapToGrid w:val="false"/>
        <w:spacing w:lineRule="atLeast" w:line="370"/>
        <w:ind w:left="907" w:hanging="907"/>
        <w:rPr>
          <w:szCs w:val="27"/>
        </w:rPr>
      </w:pPr>
      <w:r>
        <w:rPr>
          <w:szCs w:val="27"/>
        </w:rPr>
      </w:r>
    </w:p>
    <w:p>
      <w:pPr>
        <w:pStyle w:val="F21"/>
        <w:overflowPunct w:val="true"/>
        <w:snapToGrid w:val="false"/>
        <w:spacing w:lineRule="atLeast" w:line="370"/>
        <w:rPr>
          <w:szCs w:val="27"/>
        </w:rPr>
      </w:pPr>
      <w:r>
        <w:rPr>
          <w:szCs w:val="27"/>
        </w:rPr>
        <w:t>主席宣布經由功能團體選舉產生的議員，有</w:t>
      </w:r>
      <w:r>
        <w:rPr>
          <w:szCs w:val="27"/>
        </w:rPr>
        <w:t>23</w:t>
      </w:r>
      <w:r>
        <w:rPr>
          <w:szCs w:val="27"/>
        </w:rPr>
        <w:t>人出席，</w:t>
      </w:r>
      <w:r>
        <w:rPr>
          <w:szCs w:val="27"/>
        </w:rPr>
        <w:t>8</w:t>
      </w:r>
      <w:r>
        <w:rPr>
          <w:szCs w:val="27"/>
        </w:rPr>
        <w:t>人贊成，</w:t>
      </w:r>
      <w:r>
        <w:rPr>
          <w:szCs w:val="27"/>
        </w:rPr>
        <w:t>10‍</w:t>
      </w:r>
      <w:r>
        <w:rPr>
          <w:szCs w:val="27"/>
        </w:rPr>
        <w:t>人反對，</w:t>
      </w:r>
      <w:r>
        <w:rPr>
          <w:szCs w:val="27"/>
        </w:rPr>
        <w:t>5</w:t>
      </w:r>
      <w:r>
        <w:rPr>
          <w:szCs w:val="27"/>
        </w:rPr>
        <w:t>人棄權；而經由分區直接選舉產生的議員，有</w:t>
      </w:r>
      <w:r>
        <w:rPr>
          <w:szCs w:val="27"/>
        </w:rPr>
        <w:t>26</w:t>
      </w:r>
      <w:r>
        <w:rPr>
          <w:szCs w:val="27"/>
        </w:rPr>
        <w:t>人出席，</w:t>
      </w:r>
      <w:r>
        <w:rPr>
          <w:szCs w:val="27"/>
        </w:rPr>
        <w:t>13‍</w:t>
      </w:r>
      <w:r>
        <w:rPr>
          <w:szCs w:val="27"/>
        </w:rPr>
        <w:t>人贊成，</w:t>
      </w:r>
      <w:r>
        <w:rPr>
          <w:szCs w:val="27"/>
        </w:rPr>
        <w:t>9</w:t>
      </w:r>
      <w:r>
        <w:rPr>
          <w:szCs w:val="27"/>
        </w:rPr>
        <w:t>人反對，</w:t>
      </w:r>
      <w:r>
        <w:rPr>
          <w:szCs w:val="27"/>
        </w:rPr>
        <w:t>3</w:t>
      </w:r>
      <w:r>
        <w:rPr>
          <w:szCs w:val="27"/>
        </w:rPr>
        <w:t>人棄權。由於議題未獲得兩部分在席議員分別以過半數贊成，他於是宣布修正案被否決。</w:t>
      </w:r>
    </w:p>
    <w:p>
      <w:pPr>
        <w:pStyle w:val="Normal"/>
        <w:tabs>
          <w:tab w:val="left" w:pos="720" w:leader="none"/>
          <w:tab w:val="left" w:pos="3780" w:leader="none"/>
        </w:tabs>
        <w:overflowPunct w:val="true"/>
        <w:snapToGrid w:val="false"/>
        <w:spacing w:lineRule="atLeast" w:line="370"/>
        <w:rPr/>
      </w:pPr>
      <w:r>
        <w:rPr/>
        <w:t>THE PRESIDENT announced that among the Members returned by functional constituencies, 23 were present, eight were in favour of the amendment, 10 against it and five abstained; while among the Members returned by geographical constituencies through direct elections, 26 were present, 13 were in favour of the amendment, nine against it and three abstained.  Since the question was not agreed by a majority of each of the two groups of Members present, he therefore declared that the amendment was negatived.</w:t>
      </w:r>
    </w:p>
    <w:p>
      <w:pPr>
        <w:pStyle w:val="F21"/>
        <w:rPr>
          <w:rFonts w:cs="Times New Roman"/>
          <w:lang w:val="en-GB"/>
        </w:rPr>
      </w:pPr>
      <w:r>
        <w:rPr>
          <w:rFonts w:cs="Times New Roman"/>
          <w:lang w:val="en-GB"/>
        </w:rPr>
      </w:r>
    </w:p>
    <w:p>
      <w:pPr>
        <w:pStyle w:val="F21"/>
        <w:rPr>
          <w:rFonts w:cs="Times New Roman"/>
        </w:rPr>
      </w:pPr>
      <w:r>
        <w:rPr>
          <w:rFonts w:cs="Times New Roman"/>
        </w:rPr>
      </w:r>
    </w:p>
    <w:p>
      <w:pPr>
        <w:pStyle w:val="F21"/>
        <w:rPr>
          <w:rFonts w:cs="Times New Roman"/>
        </w:rPr>
      </w:pPr>
      <w:r>
        <w:rPr>
          <w:rFonts w:cs="Times New Roman" w:eastAsia="華康中黑體"/>
          <w:b/>
        </w:rPr>
        <w:t>主席</w:t>
      </w:r>
      <w:r>
        <w:rPr>
          <w:rFonts w:cs="Times New Roman"/>
        </w:rPr>
        <w:t>：謝偉銓議員，你可以動議你的修正案。</w:t>
      </w:r>
    </w:p>
    <w:p>
      <w:pPr>
        <w:pStyle w:val="F21"/>
        <w:rPr>
          <w:rFonts w:cs="Times New Roman"/>
        </w:rPr>
      </w:pPr>
      <w:r>
        <w:rPr>
          <w:rFonts w:cs="Times New Roman"/>
        </w:rPr>
      </w:r>
    </w:p>
    <w:p>
      <w:pPr>
        <w:pStyle w:val="F21"/>
        <w:rPr>
          <w:rFonts w:cs="Times New Roman"/>
        </w:rPr>
      </w:pPr>
      <w:r>
        <w:rPr>
          <w:rFonts w:cs="Times New Roman"/>
        </w:rPr>
      </w:r>
    </w:p>
    <w:p>
      <w:pPr>
        <w:pStyle w:val="F21"/>
        <w:rPr>
          <w:rFonts w:cs="Times New Roman"/>
        </w:rPr>
      </w:pPr>
      <w:r>
        <w:rPr>
          <w:rFonts w:cs="Times New Roman" w:eastAsia="華康中黑體"/>
          <w:b/>
        </w:rPr>
        <w:t>謝偉銓議員</w:t>
      </w:r>
      <w:r>
        <w:rPr>
          <w:rFonts w:cs="Times New Roman"/>
        </w:rPr>
        <w:t>：主席，我動議修正葉劉淑儀議員的議案。</w:t>
      </w:r>
    </w:p>
    <w:p>
      <w:pPr>
        <w:pStyle w:val="F21"/>
        <w:rPr>
          <w:rFonts w:cs="Times New Roman"/>
        </w:rPr>
      </w:pPr>
      <w:r>
        <w:rPr>
          <w:rFonts w:cs="Times New Roman"/>
        </w:rPr>
      </w:r>
    </w:p>
    <w:p>
      <w:pPr>
        <w:pStyle w:val="F21"/>
        <w:rPr/>
      </w:pPr>
      <w:r>
        <w:rPr>
          <w:rFonts w:cs="Times New Roman" w:eastAsia="華康中黑體"/>
          <w:b/>
        </w:rPr>
        <w:t>謝偉銓議員動議的修正案如下</w:t>
      </w:r>
      <w:r>
        <w:rPr/>
        <w:t>：</w:t>
      </w:r>
    </w:p>
    <w:p>
      <w:pPr>
        <w:pStyle w:val="F21"/>
        <w:rPr/>
      </w:pPr>
      <w:r>
        <w:rPr/>
      </w:r>
    </w:p>
    <w:p>
      <w:pPr>
        <w:pStyle w:val="F21"/>
        <w:ind w:left="709" w:hanging="142"/>
        <w:rPr>
          <w:rFonts w:cs="Times New Roman"/>
        </w:rPr>
      </w:pPr>
      <w:r>
        <w:rPr>
          <w:rFonts w:cs="Times New Roman"/>
        </w:rPr>
        <w:t>“</w:t>
      </w:r>
      <w:r>
        <w:rPr>
          <w:rFonts w:cs="Times New Roman"/>
        </w:rPr>
        <w:t>在“亦能”之後刪除“重振本港學生一直引以為傲的數學水平，”；在“求知慾，”之後刪除“從而”，並以“有利”代替；在“</w:t>
      </w:r>
      <w:r>
        <w:rPr>
          <w:rFonts w:cs="Times New Roman"/>
        </w:rPr>
        <w:t>(</w:t>
      </w:r>
      <w:r>
        <w:rPr>
          <w:rFonts w:cs="Times New Roman"/>
        </w:rPr>
        <w:t>四</w:t>
      </w:r>
      <w:r>
        <w:rPr>
          <w:rFonts w:cs="Times New Roman"/>
        </w:rPr>
        <w:t>)”</w:t>
      </w:r>
      <w:r>
        <w:rPr>
          <w:rFonts w:cs="Times New Roman"/>
        </w:rPr>
        <w:t>之後加上“由民政事務局負責統籌政府相關政策局和部門共同參與，並適當調撥資源，致力”；在“盛事，”之後刪除“以”；在“興趣”之後刪除“，並藉此強化學生對數學的掌握，為發展本港高新科技產業培育及儲備人才”；在“</w:t>
      </w:r>
      <w:r>
        <w:rPr>
          <w:rFonts w:cs="Times New Roman"/>
        </w:rPr>
        <w:t>(</w:t>
      </w:r>
      <w:r>
        <w:rPr>
          <w:rFonts w:cs="Times New Roman"/>
        </w:rPr>
        <w:t>五</w:t>
      </w:r>
      <w:r>
        <w:rPr>
          <w:rFonts w:cs="Times New Roman"/>
        </w:rPr>
        <w:t>)”</w:t>
      </w:r>
      <w:r>
        <w:rPr>
          <w:rFonts w:cs="Times New Roman"/>
        </w:rPr>
        <w:t>之後加上“鑒於主辦此項國際盛事涉及龐大開支，”；在“盛事基金”之後刪除“、優質教育基金及其他等”，並以“及其他”代替；在“資助，”之後刪除“以獲得足夠”，並以“讓該委員會獲取更多”代替；在“必需品，”之後刪除“履行主辦方的義務”，並以“並舉辦有助推廣香港文化特色的宣傳活動，供各參賽隊伍及隨行人員參加，藉此提升香港的國際形象”代替；在“</w:t>
      </w:r>
      <w:r>
        <w:rPr>
          <w:rFonts w:cs="Times New Roman"/>
        </w:rPr>
        <w:t>(</w:t>
      </w:r>
      <w:r>
        <w:rPr>
          <w:rFonts w:cs="Times New Roman"/>
        </w:rPr>
        <w:t>六</w:t>
      </w:r>
      <w:r>
        <w:rPr>
          <w:rFonts w:cs="Times New Roman"/>
        </w:rPr>
        <w:t>)”</w:t>
      </w:r>
      <w:r>
        <w:rPr>
          <w:rFonts w:cs="Times New Roman"/>
        </w:rPr>
        <w:t>之後刪除“協助國際數學奧林匹克香港委員會獲得旅遊資源，以為參賽各國參賽隊伍及隨行人員提供文娛活動，從而推廣香港文化及提升香港國際形象；及”，並以“協助國際數學奧林匹克香港委員會向商務及經濟發展局申請創新及科技基金下‘一般支援計劃’的資助及其他相關資助，藉着香港主辦今次國際數學比賽的機會，鼓勵和培養校園內學習數學的風氣，以及加強學生對數學的掌握，為發展本港高新科技產業培育及儲備更多具競爭力的人才；”代替；及在緊接句號之前加上“；</w:t>
      </w:r>
      <w:r>
        <w:rPr>
          <w:rFonts w:cs="Times New Roman"/>
        </w:rPr>
        <w:t>(</w:t>
      </w:r>
      <w:r>
        <w:rPr>
          <w:rFonts w:cs="Times New Roman"/>
        </w:rPr>
        <w:t>八</w:t>
      </w:r>
      <w:r>
        <w:rPr>
          <w:rFonts w:cs="Times New Roman"/>
        </w:rPr>
        <w:t xml:space="preserve">) </w:t>
      </w:r>
      <w:r>
        <w:rPr>
          <w:rFonts w:cs="Times New Roman"/>
        </w:rPr>
        <w:t>參考外國政府出資培訓優秀數學人才的做法，協助國際數學奧林匹克香港委員會向教育局申請優質教育基金，資助於國際或內地數學賽事獲獎，或具備優秀數學潛質並獲學校推薦的學生接受精英培訓，進一步提升本港學生的數理水平和學習數學的風氣；及</w:t>
      </w:r>
      <w:r>
        <w:rPr>
          <w:rFonts w:cs="Times New Roman"/>
        </w:rPr>
        <w:t>(</w:t>
      </w:r>
      <w:r>
        <w:rPr>
          <w:rFonts w:cs="Times New Roman"/>
        </w:rPr>
        <w:t>九</w:t>
      </w:r>
      <w:r>
        <w:rPr>
          <w:rFonts w:cs="Times New Roman"/>
        </w:rPr>
        <w:t xml:space="preserve">) </w:t>
      </w:r>
      <w:r>
        <w:rPr>
          <w:rFonts w:cs="Times New Roman"/>
        </w:rPr>
        <w:t>透過提供適切資助，鼓勵本港各專業學會及團體，舉辦更多以學生為主要對象的推廣活動，提升學生對數理相關學科的認識和興趣，吸引更多學生報讀及參與有關科研項目，藉此加強社會對有關學術及專業發展的重視程度，提升數理學術及專業水平”。”</w:t>
      </w:r>
    </w:p>
    <w:p>
      <w:pPr>
        <w:pStyle w:val="F21"/>
        <w:rPr/>
      </w:pPr>
      <w:r>
        <w:rPr/>
      </w:r>
    </w:p>
    <w:p>
      <w:pPr>
        <w:pStyle w:val="F21"/>
        <w:rPr/>
      </w:pPr>
      <w:r>
        <w:rPr/>
      </w:r>
    </w:p>
    <w:p>
      <w:pPr>
        <w:pStyle w:val="F21"/>
        <w:snapToGrid w:val="false"/>
        <w:rPr>
          <w:szCs w:val="27"/>
        </w:rPr>
      </w:pPr>
      <w:r>
        <w:rPr>
          <w:rFonts w:eastAsia="華康中黑體"/>
          <w:b/>
          <w:szCs w:val="27"/>
        </w:rPr>
        <w:t>主席</w:t>
      </w:r>
      <w:r>
        <w:rPr>
          <w:szCs w:val="27"/>
        </w:rPr>
        <w:t>：我現在向各位提出的待議議題是：謝偉銓議員就葉劉淑儀議員議案動議的修‍正案，予以通過。</w:t>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930" w:hanging="930"/>
        <w:rPr>
          <w:szCs w:val="27"/>
        </w:rPr>
      </w:pPr>
      <w:r>
        <w:rPr>
          <w:szCs w:val="27"/>
        </w:rPr>
      </w:r>
    </w:p>
    <w:p>
      <w:pPr>
        <w:pStyle w:val="F21"/>
        <w:overflowPunct w:val="true"/>
        <w:snapToGrid w:val="false"/>
        <w:spacing w:lineRule="atLeast" w:line="380"/>
        <w:ind w:left="896" w:hanging="896"/>
        <w:rPr>
          <w:szCs w:val="27"/>
        </w:rPr>
      </w:pPr>
      <w:r>
        <w:rPr>
          <w:rFonts w:eastAsia="華康中黑體"/>
          <w:b/>
          <w:szCs w:val="27"/>
        </w:rPr>
        <w:t>主席</w:t>
      </w:r>
      <w:r>
        <w:rPr>
          <w:szCs w:val="27"/>
        </w:rPr>
        <w:t>：</w:t>
      </w:r>
      <w:r>
        <w:rPr>
          <w:color w:val="000000"/>
          <w:szCs w:val="27"/>
        </w:rPr>
        <w:t>我現在向各位提出上述待決議題，付諸表決。贊成的請舉手。</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t>(</w:t>
      </w:r>
      <w:r>
        <w:rPr>
          <w:szCs w:val="27"/>
        </w:rPr>
        <w:t>議員舉手</w:t>
      </w:r>
      <w:r>
        <w:rPr>
          <w:szCs w:val="27"/>
        </w:rPr>
        <w:t>)</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80"/>
        <w:ind w:left="851" w:hanging="851"/>
        <w:rPr>
          <w:szCs w:val="27"/>
        </w:rPr>
      </w:pPr>
      <w:r>
        <w:rPr>
          <w:szCs w:val="27"/>
        </w:rPr>
      </w:r>
    </w:p>
    <w:p>
      <w:pPr>
        <w:pStyle w:val="F21"/>
        <w:overflowPunct w:val="true"/>
        <w:snapToGrid w:val="false"/>
        <w:rPr>
          <w:szCs w:val="27"/>
        </w:rPr>
      </w:pPr>
      <w:r>
        <w:rPr>
          <w:szCs w:val="27"/>
        </w:rPr>
        <w:t>(</w:t>
      </w:r>
      <w:r>
        <w:rPr>
          <w:szCs w:val="27"/>
        </w:rPr>
        <w:t>議員舉手</w:t>
      </w:r>
      <w:r>
        <w:rPr>
          <w:szCs w:val="27"/>
        </w:rPr>
        <w:t>)</w:t>
      </w:r>
    </w:p>
    <w:p>
      <w:pPr>
        <w:pStyle w:val="F21"/>
        <w:overflowPunct w:val="true"/>
        <w:snapToGrid w:val="false"/>
        <w:rPr>
          <w:szCs w:val="27"/>
        </w:rPr>
      </w:pPr>
      <w:r>
        <w:rPr>
          <w:szCs w:val="27"/>
        </w:rPr>
      </w:r>
    </w:p>
    <w:p>
      <w:pPr>
        <w:pStyle w:val="F21"/>
        <w:overflowPunct w:val="true"/>
        <w:snapToGrid w:val="false"/>
        <w:rPr>
          <w:szCs w:val="27"/>
        </w:rPr>
      </w:pPr>
      <w:r>
        <w:rPr>
          <w:szCs w:val="27"/>
        </w:rPr>
      </w:r>
    </w:p>
    <w:p>
      <w:pPr>
        <w:pStyle w:val="F21"/>
        <w:overflowPunct w:val="true"/>
        <w:snapToGrid w:val="false"/>
        <w:spacing w:lineRule="atLeast" w:line="380"/>
        <w:rPr>
          <w:szCs w:val="27"/>
        </w:rPr>
      </w:pPr>
      <w:r>
        <w:rPr>
          <w:szCs w:val="27"/>
        </w:rPr>
        <w:t>梁耀忠議員起立要求記名表決。</w:t>
      </w:r>
    </w:p>
    <w:p>
      <w:pPr>
        <w:pStyle w:val="Normal"/>
        <w:overflowPunct w:val="true"/>
        <w:snapToGrid w:val="false"/>
        <w:spacing w:lineRule="atLeast" w:line="380"/>
        <w:rPr/>
      </w:pPr>
      <w:r>
        <w:rPr/>
        <w:t>Mr LEUNG Yiu-chung rose to claim a division.</w:t>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：梁耀忠議員要求記名表決。表決鐘會響</w:t>
      </w:r>
      <w:r>
        <w:rPr>
          <w:szCs w:val="27"/>
        </w:rPr>
        <w:t>1</w:t>
      </w:r>
      <w:r>
        <w:rPr>
          <w:szCs w:val="27"/>
        </w:rPr>
        <w:t>分鐘。</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：現在開始表決。</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snapToGrid w:val="false"/>
        <w:spacing w:lineRule="atLeast" w:line="380"/>
        <w:rPr>
          <w:szCs w:val="27"/>
        </w:rPr>
      </w:pPr>
      <w:r>
        <w:rPr>
          <w:rFonts w:eastAsia="華康中黑體"/>
          <w:b/>
          <w:szCs w:val="27"/>
        </w:rPr>
        <w:t>主席</w:t>
      </w:r>
      <w:r>
        <w:rPr>
          <w:szCs w:val="27"/>
        </w:rPr>
        <w:t>：請各位議員核對所作的表決。如果沒有問題，現在停止表決，顯示結果。</w:t>
      </w:r>
    </w:p>
    <w:p>
      <w:pPr>
        <w:pStyle w:val="F21"/>
        <w:overflowPunct w:val="true"/>
        <w:snapToGrid w:val="false"/>
        <w:spacing w:lineRule="atLeast" w:line="380"/>
        <w:ind w:left="907" w:hanging="907"/>
        <w:rPr>
          <w:szCs w:val="27"/>
        </w:rPr>
      </w:pPr>
      <w:r>
        <w:rPr>
          <w:szCs w:val="27"/>
        </w:rPr>
      </w:r>
    </w:p>
    <w:p>
      <w:pPr>
        <w:pStyle w:val="F21"/>
        <w:overflowPunct w:val="true"/>
        <w:snapToGrid w:val="false"/>
        <w:spacing w:lineRule="atLeast" w:line="380"/>
        <w:ind w:left="907" w:hanging="907"/>
        <w:rPr>
          <w:szCs w:val="27"/>
        </w:rPr>
      </w:pPr>
      <w:r>
        <w:rPr>
          <w:szCs w:val="27"/>
        </w:rPr>
      </w:r>
    </w:p>
    <w:p>
      <w:pPr>
        <w:pStyle w:val="F21"/>
        <w:spacing w:lineRule="atLeast" w:line="380"/>
        <w:rPr/>
      </w:pPr>
      <w:r>
        <w:rPr/>
        <w:t>功能團體：</w:t>
      </w:r>
    </w:p>
    <w:p>
      <w:pPr>
        <w:pStyle w:val="Normal"/>
        <w:spacing w:lineRule="atLeast" w:line="380"/>
        <w:rPr/>
      </w:pPr>
      <w:r>
        <w:rPr/>
        <w:t>Functional Constituencies:</w:t>
      </w:r>
    </w:p>
    <w:p>
      <w:pPr>
        <w:pStyle w:val="F21"/>
        <w:spacing w:lineRule="atLeast" w:line="380"/>
        <w:rPr/>
      </w:pPr>
      <w:r>
        <w:rPr/>
      </w:r>
    </w:p>
    <w:p>
      <w:pPr>
        <w:pStyle w:val="F21"/>
        <w:spacing w:lineRule="atLeast" w:line="380"/>
        <w:rPr/>
      </w:pPr>
      <w:r>
        <w:rPr/>
        <w:t>涂謹申議員、李國麟議員、林健鋒議員、梁君彥議員、黃定光議員、李慧琼議員、陳健波議員、葉國謙議員、吳亮星議員、易志明議員、姚思榮議員、馬逢國議員、莫乃光議員、梁繼昌議員、郭偉强議員、張華峰議員、葉建源議員、潘兆平議員、鄧家彪議員、盧偉國議員、鍾國斌議員及謝偉銓議員贊成。</w:t>
      </w:r>
    </w:p>
    <w:p>
      <w:pPr>
        <w:pStyle w:val="F21"/>
        <w:spacing w:lineRule="atLeast" w:line="380"/>
        <w:rPr/>
      </w:pPr>
      <w:r>
        <w:rPr/>
      </w:r>
    </w:p>
    <w:p>
      <w:pPr>
        <w:pStyle w:val="F21"/>
        <w:spacing w:lineRule="atLeast" w:line="380"/>
        <w:rPr/>
      </w:pPr>
      <w:r>
        <w:rPr/>
      </w:r>
    </w:p>
    <w:p>
      <w:pPr>
        <w:pStyle w:val="F21"/>
        <w:spacing w:lineRule="atLeast" w:line="380"/>
        <w:rPr/>
      </w:pPr>
      <w:r>
        <w:rPr/>
        <w:t>張國柱議員反對。</w:t>
      </w:r>
    </w:p>
    <w:p>
      <w:pPr>
        <w:pStyle w:val="F21"/>
        <w:spacing w:lineRule="atLeast" w:line="380"/>
        <w:rPr/>
      </w:pPr>
      <w:r>
        <w:rPr/>
      </w:r>
    </w:p>
    <w:p>
      <w:pPr>
        <w:pStyle w:val="F21"/>
        <w:spacing w:lineRule="atLeast" w:line="380"/>
        <w:rPr/>
      </w:pPr>
      <w:r>
        <w:rPr/>
      </w:r>
    </w:p>
    <w:p>
      <w:pPr>
        <w:pStyle w:val="F21"/>
        <w:spacing w:lineRule="atLeast" w:line="380"/>
        <w:rPr/>
      </w:pPr>
      <w:r>
        <w:rPr/>
        <w:t>地方選區：</w:t>
      </w:r>
    </w:p>
    <w:p>
      <w:pPr>
        <w:pStyle w:val="Normal"/>
        <w:spacing w:lineRule="atLeast" w:line="380"/>
        <w:rPr/>
      </w:pPr>
      <w:r>
        <w:rPr/>
        <w:t>Geographical Constituencies:</w:t>
      </w:r>
    </w:p>
    <w:p>
      <w:pPr>
        <w:pStyle w:val="F21"/>
        <w:spacing w:lineRule="atLeast" w:line="380"/>
        <w:rPr/>
      </w:pPr>
      <w:r>
        <w:rPr/>
      </w:r>
    </w:p>
    <w:p>
      <w:pPr>
        <w:pStyle w:val="F21"/>
        <w:spacing w:lineRule="atLeast" w:line="380"/>
        <w:rPr/>
      </w:pPr>
      <w:r>
        <w:rPr/>
        <w:t>陳鑑林議員、劉慧卿議員、譚耀宗議員、王國興議員、陳克勤議員、黃國健議員、葉劉淑儀議員、謝偉俊議員、梁家傑議員、陳偉業議員、毛孟靜議員、田北辰議員、陳志全議員、陳恒鑌議員、梁志祥議員、麥美娟議員、郭家麒議員、單仲偕議員、黃碧雲議員及蔣麗芸議員贊‍成。</w:t>
      </w:r>
    </w:p>
    <w:p>
      <w:pPr>
        <w:pStyle w:val="F21"/>
        <w:rPr/>
      </w:pPr>
      <w:r>
        <w:rPr/>
        <w:t>李卓人議員、梁耀忠議員、何秀蘭議員、梁國雄議員及范國威議員反‍對。</w:t>
      </w:r>
      <w:r>
        <w:br w:type="page"/>
      </w:r>
    </w:p>
    <w:p>
      <w:pPr>
        <w:pStyle w:val="F21"/>
        <w:rPr/>
      </w:pPr>
      <w:r>
        <w:rPr/>
      </w:r>
    </w:p>
    <w:p>
      <w:pPr>
        <w:pStyle w:val="F21"/>
        <w:rPr/>
      </w:pPr>
      <w:r>
        <w:rPr/>
      </w:r>
    </w:p>
    <w:p>
      <w:pPr>
        <w:pStyle w:val="F21"/>
        <w:rPr/>
      </w:pPr>
      <w:r>
        <w:rPr/>
        <w:t>主席曾鈺成議員沒有表決。</w:t>
      </w:r>
    </w:p>
    <w:p>
      <w:pPr>
        <w:pStyle w:val="F21"/>
        <w:overflowPunct w:val="true"/>
        <w:snapToGrid w:val="false"/>
        <w:spacing w:lineRule="atLeast" w:line="370"/>
        <w:ind w:left="907" w:hanging="907"/>
        <w:rPr>
          <w:szCs w:val="27"/>
        </w:rPr>
      </w:pPr>
      <w:r>
        <w:rPr>
          <w:szCs w:val="27"/>
        </w:rPr>
      </w:r>
    </w:p>
    <w:p>
      <w:pPr>
        <w:pStyle w:val="F21"/>
        <w:overflowPunct w:val="true"/>
        <w:snapToGrid w:val="false"/>
        <w:spacing w:lineRule="atLeast" w:line="370"/>
        <w:ind w:left="907" w:hanging="907"/>
        <w:rPr>
          <w:szCs w:val="27"/>
        </w:rPr>
      </w:pPr>
      <w:r>
        <w:rPr>
          <w:szCs w:val="27"/>
        </w:rPr>
      </w:r>
    </w:p>
    <w:p>
      <w:pPr>
        <w:pStyle w:val="F21"/>
        <w:overflowPunct w:val="true"/>
        <w:snapToGrid w:val="false"/>
        <w:spacing w:lineRule="atLeast" w:line="370"/>
        <w:rPr>
          <w:szCs w:val="27"/>
        </w:rPr>
      </w:pPr>
      <w:r>
        <w:rPr>
          <w:szCs w:val="27"/>
        </w:rPr>
        <w:t>主席宣布經由功能團體選舉產生的議員，有</w:t>
      </w:r>
      <w:r>
        <w:rPr>
          <w:szCs w:val="27"/>
        </w:rPr>
        <w:t>23</w:t>
      </w:r>
      <w:r>
        <w:rPr>
          <w:szCs w:val="27"/>
        </w:rPr>
        <w:t>人出席，</w:t>
      </w:r>
      <w:r>
        <w:rPr>
          <w:szCs w:val="27"/>
        </w:rPr>
        <w:t>22</w:t>
      </w:r>
      <w:r>
        <w:rPr>
          <w:szCs w:val="27"/>
        </w:rPr>
        <w:t>人贊成，</w:t>
      </w:r>
      <w:r>
        <w:rPr>
          <w:szCs w:val="27"/>
        </w:rPr>
        <w:t>1‍</w:t>
      </w:r>
      <w:r>
        <w:rPr>
          <w:szCs w:val="27"/>
        </w:rPr>
        <w:t>人反對；而經由分區直接選舉產生的議員，有</w:t>
      </w:r>
      <w:r>
        <w:rPr>
          <w:szCs w:val="27"/>
        </w:rPr>
        <w:t>26</w:t>
      </w:r>
      <w:r>
        <w:rPr>
          <w:szCs w:val="27"/>
        </w:rPr>
        <w:t>人出席，</w:t>
      </w:r>
      <w:r>
        <w:rPr>
          <w:szCs w:val="27"/>
        </w:rPr>
        <w:t>20‍</w:t>
      </w:r>
      <w:r>
        <w:rPr>
          <w:szCs w:val="27"/>
        </w:rPr>
        <w:t>人贊成，</w:t>
      </w:r>
      <w:r>
        <w:rPr>
          <w:szCs w:val="27"/>
        </w:rPr>
        <w:t>5</w:t>
      </w:r>
      <w:r>
        <w:rPr>
          <w:szCs w:val="27"/>
        </w:rPr>
        <w:t>人反對。由於議題獲得兩部分在席議員分別以過半數贊成，他於是宣布修正案獲得通過。</w:t>
      </w:r>
    </w:p>
    <w:p>
      <w:pPr>
        <w:pStyle w:val="Normal"/>
        <w:tabs>
          <w:tab w:val="left" w:pos="720" w:leader="none"/>
          <w:tab w:val="left" w:pos="3780" w:leader="none"/>
        </w:tabs>
        <w:overflowPunct w:val="true"/>
        <w:snapToGrid w:val="false"/>
        <w:spacing w:lineRule="atLeast" w:line="370"/>
        <w:rPr/>
      </w:pPr>
      <w:r>
        <w:rPr/>
        <w:t>THE PRESIDENT announced that among the Members returned by functional constituencies, 23 were present, 22 were in favour of the amendment and one against it; while among the Members returned by geographical constituencies through direct elections, 26 were present, 20 were in favour of the amendment and five against it.  Since the question was agreed by a majority of each of the two groups of Members present, he therefore declared that the amendment was passed.</w:t>
      </w:r>
    </w:p>
    <w:p>
      <w:pPr>
        <w:pStyle w:val="F21"/>
        <w:tabs>
          <w:tab w:val="left" w:pos="567" w:leader="none"/>
          <w:tab w:val="left" w:pos="851" w:leader="none"/>
        </w:tabs>
        <w:overflowPunct w:val="true"/>
        <w:snapToGrid w:val="false"/>
        <w:spacing w:lineRule="atLeast" w:line="400"/>
        <w:rPr/>
      </w:pPr>
      <w:r>
        <w:rPr/>
      </w:r>
    </w:p>
    <w:p>
      <w:pPr>
        <w:pStyle w:val="F21"/>
        <w:tabs>
          <w:tab w:val="left" w:pos="567" w:leader="none"/>
          <w:tab w:val="left" w:pos="851" w:leader="none"/>
        </w:tabs>
        <w:overflowPunct w:val="true"/>
        <w:snapToGrid w:val="false"/>
        <w:spacing w:lineRule="atLeast" w:line="400"/>
        <w:rPr/>
      </w:pPr>
      <w:r>
        <w:rPr/>
      </w:r>
    </w:p>
    <w:p>
      <w:pPr>
        <w:pStyle w:val="F21"/>
        <w:snapToGrid w:val="false"/>
        <w:rPr>
          <w:szCs w:val="27"/>
        </w:rPr>
      </w:pPr>
      <w:r>
        <w:rPr>
          <w:rFonts w:ascii="華康中黑體" w:hAnsi="華康中黑體" w:eastAsia="華康中黑體"/>
          <w:b/>
          <w:szCs w:val="27"/>
        </w:rPr>
        <w:t>主席</w:t>
      </w:r>
      <w:r>
        <w:rPr>
          <w:rFonts w:ascii="華康中黑體" w:hAnsi="華康中黑體"/>
          <w:szCs w:val="27"/>
        </w:rPr>
        <w:t>：</w:t>
      </w:r>
      <w:r>
        <w:rPr>
          <w:szCs w:val="27"/>
          <w:lang w:val="en-GB"/>
        </w:rPr>
        <w:t>莫乃光議員，由於謝偉銓議員的修正案獲得通過，請</w:t>
      </w:r>
      <w:r>
        <w:rPr>
          <w:szCs w:val="27"/>
        </w:rPr>
        <w:t>你現在動議你經修改的修正案。</w:t>
      </w:r>
    </w:p>
    <w:p>
      <w:pPr>
        <w:pStyle w:val="F21"/>
        <w:rPr/>
      </w:pPr>
      <w:r>
        <w:rPr/>
      </w:r>
    </w:p>
    <w:p>
      <w:pPr>
        <w:pStyle w:val="F21"/>
        <w:rPr/>
      </w:pPr>
      <w:r>
        <w:rPr/>
      </w:r>
    </w:p>
    <w:p>
      <w:pPr>
        <w:pStyle w:val="F21"/>
        <w:rPr/>
      </w:pPr>
      <w:r>
        <w:rPr>
          <w:rFonts w:ascii="華康中黑體" w:hAnsi="華康中黑體" w:cs="華康中黑體" w:eastAsia="華康中黑體"/>
          <w:b/>
        </w:rPr>
        <w:t>莫乃光議員</w:t>
      </w:r>
      <w:r>
        <w:rPr/>
        <w:t>：主席，我動議按照我經修改的修正案，進一步修正經謝偉銓議員修正的葉劉淑儀議員議案。</w:t>
      </w:r>
    </w:p>
    <w:p>
      <w:pPr>
        <w:pStyle w:val="F21"/>
        <w:rPr/>
      </w:pPr>
      <w:r>
        <w:rPr/>
      </w:r>
    </w:p>
    <w:p>
      <w:pPr>
        <w:pStyle w:val="F21"/>
        <w:rPr/>
      </w:pPr>
      <w:r>
        <w:rPr>
          <w:rFonts w:ascii="華康中黑體" w:hAnsi="華康中黑體" w:cs="華康中黑體" w:eastAsia="華康中黑體"/>
          <w:b/>
        </w:rPr>
        <w:t>莫乃光議員</w:t>
      </w:r>
      <w:r>
        <w:rPr>
          <w:rFonts w:cs="Times New Roman" w:eastAsia="華康中黑體"/>
          <w:b/>
        </w:rPr>
        <w:t>就經謝偉銓議員修正的議案動議的進一步修正案如下</w:t>
      </w:r>
      <w:r>
        <w:rPr/>
        <w:t>：</w:t>
      </w:r>
    </w:p>
    <w:p>
      <w:pPr>
        <w:pStyle w:val="F21"/>
        <w:ind w:left="709" w:hanging="142"/>
        <w:rPr>
          <w:rFonts w:cs="Times New Roman"/>
        </w:rPr>
      </w:pPr>
      <w:r>
        <w:rPr>
          <w:rFonts w:cs="Times New Roman"/>
        </w:rPr>
      </w:r>
    </w:p>
    <w:p>
      <w:pPr>
        <w:pStyle w:val="F21"/>
        <w:ind w:left="709" w:hanging="142"/>
        <w:rPr>
          <w:rFonts w:cs="Times New Roman"/>
        </w:rPr>
      </w:pPr>
      <w:r>
        <w:rPr>
          <w:rFonts w:cs="Times New Roman"/>
        </w:rPr>
        <w:t>“</w:t>
      </w:r>
      <w:r>
        <w:rPr>
          <w:rFonts w:cs="Times New Roman"/>
        </w:rPr>
        <w:t>在緊接句號之前加上“；及</w:t>
      </w:r>
      <w:r>
        <w:rPr>
          <w:rFonts w:cs="Times New Roman"/>
        </w:rPr>
        <w:t>(</w:t>
      </w:r>
      <w:r>
        <w:rPr>
          <w:rFonts w:cs="Times New Roman"/>
        </w:rPr>
        <w:t>十</w:t>
      </w:r>
      <w:r>
        <w:rPr>
          <w:rFonts w:cs="Times New Roman"/>
        </w:rPr>
        <w:t xml:space="preserve">) </w:t>
      </w:r>
      <w:r>
        <w:rPr>
          <w:rFonts w:cs="Times New Roman"/>
        </w:rPr>
        <w:t>落實《</w:t>
      </w:r>
      <w:r>
        <w:rPr>
          <w:rFonts w:cs="Times New Roman"/>
        </w:rPr>
        <w:t>2014</w:t>
      </w:r>
      <w:r>
        <w:rPr>
          <w:rFonts w:cs="Times New Roman"/>
        </w:rPr>
        <w:t>數碼</w:t>
      </w:r>
      <w:r>
        <w:rPr>
          <w:rFonts w:cs="Times New Roman"/>
        </w:rPr>
        <w:t>21</w:t>
      </w:r>
      <w:r>
        <w:rPr>
          <w:rFonts w:cs="Times New Roman"/>
        </w:rPr>
        <w:t>資訊科技策略》諮詢文件中的建議，將程式編製納入基礎教育，進一步提升中小學生的數理邏輯思維及解難能力，並協助他們靈活使用資訊及通訊科技，迎接未來的挑戰”。”</w:t>
      </w:r>
    </w:p>
    <w:p>
      <w:pPr>
        <w:pStyle w:val="F21"/>
        <w:rPr/>
      </w:pPr>
      <w:r>
        <w:rPr/>
      </w:r>
    </w:p>
    <w:p>
      <w:pPr>
        <w:pStyle w:val="F21"/>
        <w:rPr/>
      </w:pPr>
      <w:r>
        <w:rPr/>
      </w:r>
    </w:p>
    <w:p>
      <w:pPr>
        <w:pStyle w:val="F21"/>
        <w:tabs>
          <w:tab w:val="left" w:pos="480" w:leader="none"/>
          <w:tab w:val="left" w:pos="567" w:leader="none"/>
        </w:tabs>
        <w:snapToGrid w:val="false"/>
        <w:rPr>
          <w:szCs w:val="27"/>
        </w:rPr>
      </w:pPr>
      <w:r>
        <w:rPr>
          <w:rFonts w:ascii="華康中黑體" w:hAnsi="華康中黑體" w:eastAsia="華康中黑體"/>
          <w:b/>
          <w:szCs w:val="27"/>
        </w:rPr>
        <w:t>主席</w:t>
      </w:r>
      <w:r>
        <w:rPr>
          <w:rFonts w:ascii="華康中黑體" w:hAnsi="華康中黑體"/>
          <w:szCs w:val="27"/>
        </w:rPr>
        <w:t>：</w:t>
      </w:r>
      <w:r>
        <w:rPr>
          <w:szCs w:val="27"/>
        </w:rPr>
        <w:t>我現在向各位提出的待議議題是：莫乃光議員就經謝偉銓議員</w:t>
      </w:r>
    </w:p>
    <w:p>
      <w:pPr>
        <w:pStyle w:val="F21"/>
        <w:snapToGrid w:val="false"/>
        <w:rPr>
          <w:szCs w:val="27"/>
        </w:rPr>
      </w:pPr>
      <w:r>
        <w:rPr>
          <w:szCs w:val="27"/>
          <w:lang w:val="en-GB"/>
        </w:rPr>
        <w:t>修正的葉劉淑儀議員議案動議的修</w:t>
      </w:r>
      <w:r>
        <w:rPr>
          <w:szCs w:val="27"/>
        </w:rPr>
        <w:t>‍正‍案，予‍以通過。</w:t>
      </w:r>
    </w:p>
    <w:p>
      <w:pPr>
        <w:pStyle w:val="F21"/>
        <w:snapToGrid w:val="false"/>
        <w:spacing w:lineRule="atLeast" w:line="380"/>
        <w:rPr>
          <w:szCs w:val="27"/>
        </w:rPr>
      </w:pPr>
      <w:r>
        <w:rPr>
          <w:rFonts w:eastAsia="華康中黑體"/>
          <w:b/>
          <w:szCs w:val="27"/>
        </w:rPr>
        <w:t>主席</w:t>
      </w:r>
      <w:r>
        <w:rPr>
          <w:szCs w:val="27"/>
        </w:rPr>
        <w:t>：</w:t>
      </w:r>
      <w:r>
        <w:rPr>
          <w:color w:val="000000"/>
          <w:szCs w:val="27"/>
        </w:rPr>
        <w:t>我現在向各位提出上述待決議題，付諸表決。贊成的請舉手。</w:t>
      </w:r>
      <w:r>
        <w:br w:type="page"/>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t>(</w:t>
      </w:r>
      <w:r>
        <w:rPr>
          <w:szCs w:val="27"/>
        </w:rPr>
        <w:t>議員舉手</w:t>
      </w:r>
      <w:r>
        <w:rPr>
          <w:szCs w:val="27"/>
        </w:rPr>
        <w:t>)</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rPr>
          <w:szCs w:val="27"/>
        </w:rPr>
      </w:pPr>
      <w:r>
        <w:rPr>
          <w:szCs w:val="27"/>
        </w:rPr>
        <w:t>(</w:t>
      </w:r>
      <w:r>
        <w:rPr>
          <w:szCs w:val="27"/>
        </w:rPr>
        <w:t>議員舉手</w:t>
      </w:r>
      <w:r>
        <w:rPr>
          <w:szCs w:val="27"/>
        </w:rPr>
        <w:t>)</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t>梁耀忠議員起立要求記名表決。</w:t>
      </w:r>
    </w:p>
    <w:p>
      <w:pPr>
        <w:pStyle w:val="Normal"/>
        <w:overflowPunct w:val="true"/>
        <w:snapToGrid w:val="false"/>
        <w:spacing w:lineRule="atLeast" w:line="380"/>
        <w:rPr/>
      </w:pPr>
      <w:r>
        <w:rPr/>
        <w:t>Mr LEUNG Yiu-chung rose to claim a division.</w:t>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ind w:left="851" w:hanging="851"/>
        <w:rPr>
          <w:rFonts w:eastAsia="華康中黑體"/>
          <w:b/>
          <w:b/>
          <w:szCs w:val="27"/>
        </w:rPr>
      </w:pPr>
      <w:r>
        <w:rPr>
          <w:rFonts w:eastAsia="華康中黑體"/>
          <w:b/>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：梁耀忠議員要求記名表決。表決鐘會響</w:t>
      </w:r>
      <w:r>
        <w:rPr>
          <w:szCs w:val="27"/>
        </w:rPr>
        <w:t>1</w:t>
      </w:r>
      <w:r>
        <w:rPr>
          <w:szCs w:val="27"/>
        </w:rPr>
        <w:t>分鐘。</w:t>
      </w:r>
    </w:p>
    <w:p>
      <w:pPr>
        <w:pStyle w:val="F21"/>
        <w:overflowPunct w:val="true"/>
        <w:snapToGrid w:val="false"/>
        <w:spacing w:lineRule="atLeast" w:line="380"/>
        <w:rPr>
          <w:szCs w:val="27"/>
        </w:rPr>
      </w:pPr>
      <w:r>
        <w:rPr>
          <w:szCs w:val="27"/>
        </w:rPr>
      </w:r>
    </w:p>
    <w:p>
      <w:pPr>
        <w:pStyle w:val="F21"/>
        <w:overflowPunct w:val="true"/>
        <w:snapToGrid w:val="false"/>
        <w:spacing w:lineRule="atLeast" w:line="380"/>
        <w:rPr>
          <w:szCs w:val="27"/>
        </w:rPr>
      </w:pPr>
      <w:r>
        <w:rPr>
          <w:szCs w:val="27"/>
        </w:rPr>
      </w:r>
    </w:p>
    <w:p>
      <w:pPr>
        <w:pStyle w:val="F21"/>
        <w:overflowPunct w:val="true"/>
        <w:snapToGrid w:val="false"/>
        <w:spacing w:lineRule="atLeast" w:line="380"/>
        <w:ind w:left="851" w:hanging="851"/>
        <w:rPr>
          <w:szCs w:val="27"/>
        </w:rPr>
      </w:pPr>
      <w:r>
        <w:rPr>
          <w:rFonts w:eastAsia="華康中黑體"/>
          <w:b/>
          <w:szCs w:val="27"/>
        </w:rPr>
        <w:t>主席</w:t>
      </w:r>
      <w:r>
        <w:rPr>
          <w:szCs w:val="27"/>
        </w:rPr>
        <w:t>：現在開始表決。</w:t>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851" w:hanging="851"/>
        <w:rPr>
          <w:szCs w:val="27"/>
        </w:rPr>
      </w:pPr>
      <w:r>
        <w:rPr>
          <w:szCs w:val="27"/>
        </w:rPr>
      </w:r>
    </w:p>
    <w:p>
      <w:pPr>
        <w:pStyle w:val="F21"/>
        <w:snapToGrid w:val="false"/>
        <w:spacing w:lineRule="atLeast" w:line="380"/>
        <w:rPr>
          <w:szCs w:val="27"/>
        </w:rPr>
      </w:pPr>
      <w:r>
        <w:rPr>
          <w:rFonts w:eastAsia="華康中黑體"/>
          <w:b/>
          <w:szCs w:val="27"/>
        </w:rPr>
        <w:t>主席</w:t>
      </w:r>
      <w:r>
        <w:rPr>
          <w:szCs w:val="27"/>
        </w:rPr>
        <w:t>：請各位議員核對所作的表決。如果沒有問題，現在停止表決，顯示結果。</w:t>
      </w:r>
    </w:p>
    <w:p>
      <w:pPr>
        <w:pStyle w:val="F21"/>
        <w:snapToGrid w:val="false"/>
        <w:spacing w:lineRule="atLeast" w:line="380"/>
        <w:rPr>
          <w:szCs w:val="27"/>
        </w:rPr>
      </w:pPr>
      <w:r>
        <w:rPr>
          <w:szCs w:val="27"/>
        </w:rPr>
      </w:r>
    </w:p>
    <w:p>
      <w:pPr>
        <w:pStyle w:val="F21"/>
        <w:snapToGrid w:val="false"/>
        <w:spacing w:lineRule="atLeast" w:line="380"/>
        <w:rPr>
          <w:szCs w:val="27"/>
        </w:rPr>
      </w:pPr>
      <w:r>
        <w:rPr>
          <w:szCs w:val="27"/>
        </w:rPr>
      </w:r>
    </w:p>
    <w:p>
      <w:pPr>
        <w:pStyle w:val="F21"/>
        <w:spacing w:lineRule="atLeast" w:line="380"/>
        <w:rPr/>
      </w:pPr>
      <w:r>
        <w:rPr/>
        <w:t>功能團體：</w:t>
      </w:r>
    </w:p>
    <w:p>
      <w:pPr>
        <w:pStyle w:val="Normal"/>
        <w:spacing w:lineRule="atLeast" w:line="380"/>
        <w:rPr/>
      </w:pPr>
      <w:r>
        <w:rPr/>
        <w:t>Functional Constituencies:</w:t>
      </w:r>
    </w:p>
    <w:p>
      <w:pPr>
        <w:pStyle w:val="F21"/>
        <w:spacing w:lineRule="atLeast" w:line="380"/>
        <w:rPr/>
      </w:pPr>
      <w:r>
        <w:rPr/>
      </w:r>
    </w:p>
    <w:p>
      <w:pPr>
        <w:pStyle w:val="F21"/>
        <w:spacing w:lineRule="atLeast" w:line="380"/>
        <w:rPr/>
      </w:pPr>
      <w:r>
        <w:rPr/>
        <w:t>涂謹申議員、李國麟議員、林健鋒議員、梁君彥議員、黃定光議員、李慧琼議員、陳健波議員、葉國謙議員、吳亮星議員、易志明議員、姚思榮議員、馬逢國議員、莫乃光議員、梁繼昌議員、郭偉强議員、張華峰議員、葉建源議員、潘兆平議員、鄧家彪議員、盧偉國議員、鍾國斌議員及謝偉銓議員贊成。</w:t>
      </w:r>
    </w:p>
    <w:p>
      <w:pPr>
        <w:pStyle w:val="F21"/>
        <w:spacing w:lineRule="atLeast" w:line="380"/>
        <w:rPr/>
      </w:pPr>
      <w:r>
        <w:rPr/>
      </w:r>
    </w:p>
    <w:p>
      <w:pPr>
        <w:pStyle w:val="F21"/>
        <w:spacing w:lineRule="atLeast" w:line="380"/>
        <w:rPr/>
      </w:pPr>
      <w:r>
        <w:rPr/>
      </w:r>
    </w:p>
    <w:p>
      <w:pPr>
        <w:pStyle w:val="F21"/>
        <w:spacing w:lineRule="atLeast" w:line="380"/>
        <w:rPr/>
      </w:pPr>
      <w:r>
        <w:rPr/>
        <w:t>張國柱議員反對。</w:t>
      </w:r>
    </w:p>
    <w:p>
      <w:pPr>
        <w:pStyle w:val="F21"/>
        <w:spacing w:lineRule="atLeast" w:line="380"/>
        <w:rPr/>
      </w:pPr>
      <w:r>
        <w:rPr/>
        <w:t>地方選區：</w:t>
      </w:r>
      <w:r>
        <w:br w:type="page"/>
      </w:r>
    </w:p>
    <w:p>
      <w:pPr>
        <w:pStyle w:val="Normal"/>
        <w:spacing w:lineRule="atLeast" w:line="380"/>
        <w:rPr/>
      </w:pPr>
      <w:r>
        <w:rPr/>
        <w:t>Geographical Constituencies:</w:t>
      </w:r>
    </w:p>
    <w:p>
      <w:pPr>
        <w:pStyle w:val="F21"/>
        <w:spacing w:lineRule="atLeast" w:line="380"/>
        <w:rPr/>
      </w:pPr>
      <w:r>
        <w:rPr/>
      </w:r>
    </w:p>
    <w:p>
      <w:pPr>
        <w:pStyle w:val="F21"/>
        <w:spacing w:lineRule="atLeast" w:line="380"/>
        <w:rPr/>
      </w:pPr>
      <w:r>
        <w:rPr/>
        <w:t>陳鑑林議員、劉慧卿議員、譚耀宗議員、王國興議員、陳克勤議員、黃國健議員、葉劉淑儀議員、謝偉俊議員、梁家傑議員、陳偉業議員、毛孟靜議員、田北辰議員、陳志全議員、陳恒鑌議員、梁志祥議員、麥美娟議員、郭家麒議員、單仲偕議員、黃碧雲議員及蔣麗芸議員贊‍成。</w:t>
      </w:r>
    </w:p>
    <w:p>
      <w:pPr>
        <w:pStyle w:val="F21"/>
        <w:spacing w:lineRule="atLeast" w:line="380"/>
        <w:rPr/>
      </w:pPr>
      <w:r>
        <w:rPr/>
      </w:r>
    </w:p>
    <w:p>
      <w:pPr>
        <w:pStyle w:val="F21"/>
        <w:spacing w:lineRule="atLeast" w:line="380"/>
        <w:rPr/>
      </w:pPr>
      <w:r>
        <w:rPr/>
      </w:r>
    </w:p>
    <w:p>
      <w:pPr>
        <w:pStyle w:val="F21"/>
        <w:spacing w:lineRule="atLeast" w:line="380"/>
        <w:rPr/>
      </w:pPr>
      <w:r>
        <w:rPr/>
        <w:t>李卓人議員、梁耀忠議員、何秀蘭議員、梁國雄議員及范國威議員反‍對。</w:t>
      </w:r>
    </w:p>
    <w:p>
      <w:pPr>
        <w:pStyle w:val="F21"/>
        <w:spacing w:lineRule="atLeast" w:line="380"/>
        <w:rPr/>
      </w:pPr>
      <w:r>
        <w:rPr/>
      </w:r>
    </w:p>
    <w:p>
      <w:pPr>
        <w:pStyle w:val="F21"/>
        <w:spacing w:lineRule="atLeast" w:line="380"/>
        <w:rPr/>
      </w:pPr>
      <w:r>
        <w:rPr/>
      </w:r>
    </w:p>
    <w:p>
      <w:pPr>
        <w:pStyle w:val="F21"/>
        <w:spacing w:lineRule="atLeast" w:line="380"/>
        <w:rPr/>
      </w:pPr>
      <w:r>
        <w:rPr/>
        <w:t>主席曾鈺成議員沒有表決。</w:t>
      </w:r>
    </w:p>
    <w:p>
      <w:pPr>
        <w:pStyle w:val="F21"/>
        <w:snapToGrid w:val="false"/>
        <w:spacing w:lineRule="atLeast" w:line="380"/>
        <w:rPr>
          <w:szCs w:val="27"/>
        </w:rPr>
      </w:pPr>
      <w:r>
        <w:rPr>
          <w:szCs w:val="27"/>
        </w:rPr>
      </w:r>
    </w:p>
    <w:p>
      <w:pPr>
        <w:pStyle w:val="F21"/>
        <w:snapToGrid w:val="false"/>
        <w:spacing w:lineRule="atLeast" w:line="380"/>
        <w:rPr>
          <w:szCs w:val="27"/>
        </w:rPr>
      </w:pPr>
      <w:r>
        <w:rPr>
          <w:szCs w:val="27"/>
        </w:rPr>
      </w:r>
    </w:p>
    <w:p>
      <w:pPr>
        <w:pStyle w:val="F21"/>
        <w:overflowPunct w:val="true"/>
        <w:snapToGrid w:val="false"/>
        <w:spacing w:lineRule="atLeast" w:line="380"/>
        <w:rPr>
          <w:szCs w:val="27"/>
        </w:rPr>
      </w:pPr>
      <w:r>
        <w:rPr>
          <w:szCs w:val="27"/>
        </w:rPr>
        <w:t>主席宣布經由功能團體選舉產生的議員，有</w:t>
      </w:r>
      <w:r>
        <w:rPr>
          <w:szCs w:val="27"/>
        </w:rPr>
        <w:t>23</w:t>
      </w:r>
      <w:r>
        <w:rPr>
          <w:szCs w:val="27"/>
        </w:rPr>
        <w:t>人出席，</w:t>
      </w:r>
      <w:r>
        <w:rPr>
          <w:szCs w:val="27"/>
        </w:rPr>
        <w:t>22</w:t>
      </w:r>
      <w:r>
        <w:rPr>
          <w:szCs w:val="27"/>
        </w:rPr>
        <w:t>人贊成，</w:t>
      </w:r>
      <w:r>
        <w:rPr>
          <w:szCs w:val="27"/>
        </w:rPr>
        <w:t>1‍</w:t>
      </w:r>
      <w:r>
        <w:rPr>
          <w:szCs w:val="27"/>
        </w:rPr>
        <w:t>人反對；而經由分區直接選舉產生的議員，有</w:t>
      </w:r>
      <w:r>
        <w:rPr>
          <w:szCs w:val="27"/>
        </w:rPr>
        <w:t>26</w:t>
      </w:r>
      <w:r>
        <w:rPr>
          <w:szCs w:val="27"/>
        </w:rPr>
        <w:t>人出席，</w:t>
      </w:r>
      <w:r>
        <w:rPr>
          <w:szCs w:val="27"/>
        </w:rPr>
        <w:t>20‍</w:t>
      </w:r>
      <w:r>
        <w:rPr>
          <w:szCs w:val="27"/>
        </w:rPr>
        <w:t>人贊成，</w:t>
      </w:r>
      <w:r>
        <w:rPr>
          <w:szCs w:val="27"/>
        </w:rPr>
        <w:t>5</w:t>
      </w:r>
      <w:r>
        <w:rPr>
          <w:szCs w:val="27"/>
        </w:rPr>
        <w:t>人反對。由於議題獲得兩部分在席議員分別以過半數贊成，他於是宣布修正案獲得通過。</w:t>
      </w:r>
    </w:p>
    <w:p>
      <w:pPr>
        <w:pStyle w:val="Normal"/>
        <w:tabs>
          <w:tab w:val="left" w:pos="720" w:leader="none"/>
          <w:tab w:val="left" w:pos="3780" w:leader="none"/>
        </w:tabs>
        <w:overflowPunct w:val="true"/>
        <w:snapToGrid w:val="false"/>
        <w:spacing w:lineRule="atLeast" w:line="380"/>
        <w:rPr/>
      </w:pPr>
      <w:r>
        <w:rPr/>
        <w:t>THE PRESIDENT announced that among the Members returned by functional constituencies, 23 were present, 22 were in favour of the amendment and one against it; while among the Members returned by geographical constituencies through direct elections, 26 were present, 20 were in favour of the amendment and five against it.  Since the question was agreed by a majority of each of the two groups of Members present, he therefore declared that the amendment was passed.</w:t>
      </w:r>
    </w:p>
    <w:p>
      <w:pPr>
        <w:pStyle w:val="F21"/>
        <w:overflowPunct w:val="true"/>
        <w:snapToGrid w:val="false"/>
        <w:spacing w:lineRule="atLeast" w:line="380"/>
        <w:ind w:left="942" w:hanging="942"/>
        <w:rPr>
          <w:szCs w:val="27"/>
        </w:rPr>
      </w:pPr>
      <w:r>
        <w:rPr>
          <w:szCs w:val="27"/>
        </w:rPr>
      </w:r>
    </w:p>
    <w:p>
      <w:pPr>
        <w:pStyle w:val="F21"/>
        <w:overflowPunct w:val="true"/>
        <w:snapToGrid w:val="false"/>
        <w:spacing w:lineRule="atLeast" w:line="380"/>
        <w:ind w:left="851" w:hanging="851"/>
        <w:rPr>
          <w:szCs w:val="27"/>
        </w:rPr>
      </w:pPr>
      <w:r>
        <w:rPr>
          <w:szCs w:val="27"/>
        </w:rPr>
      </w:r>
    </w:p>
    <w:p>
      <w:pPr>
        <w:pStyle w:val="F21"/>
        <w:overflowPunct w:val="true"/>
        <w:snapToGrid w:val="false"/>
        <w:spacing w:lineRule="atLeast" w:line="380"/>
        <w:ind w:left="964" w:hanging="964"/>
        <w:rPr>
          <w:szCs w:val="27"/>
        </w:rPr>
      </w:pPr>
      <w:r>
        <w:rPr>
          <w:rFonts w:ascii="華康中黑體" w:hAnsi="華康中黑體" w:eastAsia="華康中黑體"/>
          <w:b/>
          <w:szCs w:val="27"/>
        </w:rPr>
        <w:t>主席</w:t>
      </w:r>
      <w:r>
        <w:rPr>
          <w:rFonts w:ascii="華康中黑體" w:hAnsi="華康中黑體"/>
          <w:szCs w:val="27"/>
        </w:rPr>
        <w:t>：</w:t>
      </w:r>
      <w:r>
        <w:rPr>
          <w:szCs w:val="27"/>
        </w:rPr>
        <w:t>葉劉淑儀議員，你現在還有</w:t>
      </w:r>
      <w:r>
        <w:rPr>
          <w:szCs w:val="27"/>
        </w:rPr>
        <w:t>40</w:t>
      </w:r>
      <w:r>
        <w:rPr>
          <w:szCs w:val="27"/>
        </w:rPr>
        <w:t>秒發言答辯。</w:t>
      </w:r>
    </w:p>
    <w:p>
      <w:pPr>
        <w:pStyle w:val="F21"/>
        <w:overflowPunct w:val="true"/>
        <w:snapToGrid w:val="false"/>
        <w:spacing w:lineRule="atLeast" w:line="380"/>
        <w:ind w:left="964" w:hanging="964"/>
        <w:rPr>
          <w:szCs w:val="27"/>
        </w:rPr>
      </w:pPr>
      <w:r>
        <w:rPr>
          <w:szCs w:val="27"/>
        </w:rPr>
      </w:r>
    </w:p>
    <w:p>
      <w:pPr>
        <w:pStyle w:val="F21"/>
        <w:overflowPunct w:val="true"/>
        <w:snapToGrid w:val="false"/>
        <w:spacing w:lineRule="atLeast" w:line="380"/>
        <w:ind w:left="964" w:hanging="964"/>
        <w:rPr>
          <w:szCs w:val="27"/>
        </w:rPr>
      </w:pPr>
      <w:r>
        <w:rPr>
          <w:szCs w:val="27"/>
        </w:rPr>
      </w:r>
    </w:p>
    <w:p>
      <w:pPr>
        <w:pStyle w:val="F21"/>
        <w:spacing w:lineRule="atLeast" w:line="380"/>
        <w:rPr/>
      </w:pPr>
      <w:r>
        <w:rPr>
          <w:rFonts w:cs="華康中黑體" w:eastAsia="華康中黑體"/>
          <w:b/>
        </w:rPr>
        <w:t>葉劉淑儀議員</w:t>
      </w:r>
      <w:r>
        <w:rPr/>
        <w:t>：主席，我感謝多位議員的發言和支持，懇請各位議員支持我經莫乃光議員和謝偉銓議員修正的議案。</w:t>
      </w:r>
    </w:p>
    <w:p>
      <w:pPr>
        <w:pStyle w:val="F21"/>
        <w:snapToGrid w:val="false"/>
        <w:spacing w:lineRule="atLeast" w:line="350"/>
        <w:rPr>
          <w:szCs w:val="27"/>
        </w:rPr>
      </w:pPr>
      <w:r>
        <w:rPr>
          <w:rFonts w:eastAsia="華康中黑體"/>
          <w:b/>
          <w:szCs w:val="27"/>
        </w:rPr>
        <w:t>主席</w:t>
      </w:r>
      <w:r>
        <w:rPr>
          <w:szCs w:val="27"/>
        </w:rPr>
        <w:t>：我現在向各位提出的‍待決議題是：葉‍劉‍淑儀議員動議的議‍案，經謝偉銓議員及莫乃光議員修正後，予以通過。</w:t>
      </w:r>
      <w:r>
        <w:br w:type="page"/>
      </w:r>
    </w:p>
    <w:p>
      <w:pPr>
        <w:pStyle w:val="F21"/>
        <w:overflowPunct w:val="true"/>
        <w:snapToGrid w:val="false"/>
        <w:spacing w:lineRule="atLeast" w:line="350"/>
        <w:rPr/>
      </w:pPr>
      <w:r>
        <w:rPr/>
      </w:r>
    </w:p>
    <w:p>
      <w:pPr>
        <w:pStyle w:val="F21"/>
        <w:overflowPunct w:val="true"/>
        <w:snapToGrid w:val="false"/>
        <w:spacing w:lineRule="atLeast" w:line="350"/>
        <w:rPr/>
      </w:pPr>
      <w:r>
        <w:rPr/>
      </w:r>
    </w:p>
    <w:p>
      <w:pPr>
        <w:pStyle w:val="F21"/>
        <w:overflowPunct w:val="true"/>
        <w:snapToGrid w:val="false"/>
        <w:spacing w:lineRule="atLeast" w:line="350"/>
        <w:ind w:left="931" w:hanging="931"/>
        <w:rPr>
          <w:color w:val="000000"/>
          <w:szCs w:val="27"/>
        </w:rPr>
      </w:pPr>
      <w:r>
        <w:rPr>
          <w:rFonts w:eastAsia="華康中黑體"/>
          <w:b/>
          <w:szCs w:val="27"/>
        </w:rPr>
        <w:t>主席</w:t>
      </w:r>
      <w:r>
        <w:rPr>
          <w:szCs w:val="27"/>
        </w:rPr>
        <w:t>：</w:t>
      </w:r>
      <w:r>
        <w:rPr>
          <w:szCs w:val="27"/>
        </w:rPr>
        <w:tab/>
      </w:r>
      <w:r>
        <w:rPr>
          <w:szCs w:val="27"/>
        </w:rPr>
        <w:t>現在付諸表決，贊成的請舉手。</w:t>
      </w:r>
    </w:p>
    <w:p>
      <w:pPr>
        <w:pStyle w:val="F21"/>
        <w:overflowPunct w:val="true"/>
        <w:snapToGrid w:val="false"/>
        <w:spacing w:lineRule="atLeast" w:line="350"/>
        <w:ind w:left="930" w:hanging="930"/>
        <w:rPr>
          <w:color w:val="000000"/>
          <w:szCs w:val="27"/>
        </w:rPr>
      </w:pPr>
      <w:r>
        <w:rPr>
          <w:color w:val="000000"/>
          <w:szCs w:val="27"/>
        </w:rPr>
      </w:r>
    </w:p>
    <w:p>
      <w:pPr>
        <w:pStyle w:val="F21"/>
        <w:overflowPunct w:val="true"/>
        <w:snapToGrid w:val="false"/>
        <w:spacing w:lineRule="atLeast" w:line="350"/>
        <w:rPr>
          <w:szCs w:val="27"/>
        </w:rPr>
      </w:pPr>
      <w:r>
        <w:rPr>
          <w:szCs w:val="27"/>
        </w:rPr>
        <w:t>(</w:t>
      </w:r>
      <w:r>
        <w:rPr>
          <w:szCs w:val="27"/>
        </w:rPr>
        <w:t>議員舉手</w:t>
      </w:r>
      <w:r>
        <w:rPr>
          <w:szCs w:val="27"/>
        </w:rPr>
        <w:t>)</w:t>
      </w:r>
    </w:p>
    <w:p>
      <w:pPr>
        <w:pStyle w:val="F21"/>
        <w:overflowPunct w:val="true"/>
        <w:snapToGrid w:val="false"/>
        <w:spacing w:lineRule="atLeast" w:line="350"/>
        <w:rPr>
          <w:szCs w:val="27"/>
        </w:rPr>
      </w:pPr>
      <w:r>
        <w:rPr>
          <w:szCs w:val="27"/>
        </w:rPr>
      </w:r>
    </w:p>
    <w:p>
      <w:pPr>
        <w:pStyle w:val="F21"/>
        <w:overflowPunct w:val="true"/>
        <w:snapToGrid w:val="false"/>
        <w:spacing w:lineRule="atLeast" w:line="350"/>
        <w:rPr>
          <w:szCs w:val="27"/>
        </w:rPr>
      </w:pPr>
      <w:r>
        <w:rPr>
          <w:szCs w:val="27"/>
        </w:rPr>
      </w:r>
    </w:p>
    <w:p>
      <w:pPr>
        <w:pStyle w:val="F21"/>
        <w:overflowPunct w:val="true"/>
        <w:snapToGrid w:val="false"/>
        <w:spacing w:lineRule="atLeast" w:line="350"/>
        <w:ind w:left="851" w:hanging="851"/>
        <w:rPr>
          <w:szCs w:val="27"/>
        </w:rPr>
      </w:pPr>
      <w:r>
        <w:rPr>
          <w:rFonts w:eastAsia="華康中黑體"/>
          <w:b/>
          <w:szCs w:val="27"/>
        </w:rPr>
        <w:t>主席</w:t>
      </w:r>
      <w:r>
        <w:rPr>
          <w:szCs w:val="27"/>
        </w:rPr>
        <w:t>：反對的請舉手。</w:t>
      </w:r>
    </w:p>
    <w:p>
      <w:pPr>
        <w:pStyle w:val="F21"/>
        <w:overflowPunct w:val="true"/>
        <w:snapToGrid w:val="false"/>
        <w:spacing w:lineRule="atLeast" w:line="350"/>
        <w:ind w:left="851" w:hanging="851"/>
        <w:rPr>
          <w:szCs w:val="27"/>
        </w:rPr>
      </w:pPr>
      <w:r>
        <w:rPr>
          <w:szCs w:val="27"/>
        </w:rPr>
      </w:r>
    </w:p>
    <w:p>
      <w:pPr>
        <w:pStyle w:val="F21"/>
        <w:overflowPunct w:val="true"/>
        <w:snapToGrid w:val="false"/>
        <w:spacing w:lineRule="atLeast" w:line="350"/>
        <w:rPr>
          <w:szCs w:val="27"/>
        </w:rPr>
      </w:pPr>
      <w:r>
        <w:rPr>
          <w:szCs w:val="27"/>
        </w:rPr>
        <w:t>(</w:t>
      </w:r>
      <w:r>
        <w:rPr>
          <w:szCs w:val="27"/>
        </w:rPr>
        <w:t>議員舉手</w:t>
      </w:r>
      <w:r>
        <w:rPr>
          <w:szCs w:val="27"/>
        </w:rPr>
        <w:t>)</w:t>
      </w:r>
    </w:p>
    <w:p>
      <w:pPr>
        <w:pStyle w:val="F21"/>
        <w:overflowPunct w:val="true"/>
        <w:snapToGrid w:val="false"/>
        <w:spacing w:lineRule="atLeast" w:line="350"/>
        <w:rPr>
          <w:szCs w:val="27"/>
        </w:rPr>
      </w:pPr>
      <w:r>
        <w:rPr>
          <w:szCs w:val="27"/>
        </w:rPr>
      </w:r>
    </w:p>
    <w:p>
      <w:pPr>
        <w:pStyle w:val="F21"/>
        <w:overflowPunct w:val="true"/>
        <w:snapToGrid w:val="false"/>
        <w:spacing w:lineRule="atLeast" w:line="350"/>
        <w:rPr>
          <w:szCs w:val="27"/>
        </w:rPr>
      </w:pPr>
      <w:r>
        <w:rPr>
          <w:szCs w:val="27"/>
        </w:rPr>
      </w:r>
    </w:p>
    <w:p>
      <w:pPr>
        <w:pStyle w:val="F21"/>
        <w:overflowPunct w:val="true"/>
        <w:snapToGrid w:val="false"/>
        <w:spacing w:lineRule="atLeast" w:line="350"/>
        <w:rPr>
          <w:szCs w:val="27"/>
        </w:rPr>
      </w:pPr>
      <w:r>
        <w:rPr>
          <w:szCs w:val="27"/>
        </w:rPr>
        <w:t>梁耀忠議員起立要求記名表決。</w:t>
      </w:r>
    </w:p>
    <w:p>
      <w:pPr>
        <w:pStyle w:val="Normal"/>
        <w:overflowPunct w:val="true"/>
        <w:snapToGrid w:val="false"/>
        <w:spacing w:lineRule="atLeast" w:line="350"/>
        <w:rPr/>
      </w:pPr>
      <w:r>
        <w:rPr/>
        <w:t>Mr LEUNG Yiu-chung rose to claim a division.</w:t>
      </w:r>
    </w:p>
    <w:p>
      <w:pPr>
        <w:pStyle w:val="Normal"/>
        <w:overflowPunct w:val="true"/>
        <w:snapToGrid w:val="false"/>
        <w:spacing w:lineRule="atLeast" w:line="350"/>
        <w:rPr/>
      </w:pPr>
      <w:r>
        <w:rPr/>
      </w:r>
    </w:p>
    <w:p>
      <w:pPr>
        <w:pStyle w:val="Normal"/>
        <w:overflowPunct w:val="true"/>
        <w:snapToGrid w:val="false"/>
        <w:spacing w:lineRule="atLeast" w:line="350"/>
        <w:rPr/>
      </w:pPr>
      <w:r>
        <w:rPr/>
      </w:r>
    </w:p>
    <w:p>
      <w:pPr>
        <w:pStyle w:val="F21"/>
        <w:overflowPunct w:val="true"/>
        <w:snapToGrid w:val="false"/>
        <w:spacing w:lineRule="atLeast" w:line="350"/>
        <w:ind w:left="851" w:hanging="851"/>
        <w:rPr>
          <w:szCs w:val="27"/>
        </w:rPr>
      </w:pPr>
      <w:r>
        <w:rPr>
          <w:rFonts w:eastAsia="華康中黑體"/>
          <w:b/>
          <w:szCs w:val="27"/>
        </w:rPr>
        <w:t>主席</w:t>
      </w:r>
      <w:r>
        <w:rPr>
          <w:szCs w:val="27"/>
        </w:rPr>
        <w:t>：梁耀忠議員要求記名表決。表決鐘會響</w:t>
      </w:r>
      <w:r>
        <w:rPr>
          <w:szCs w:val="27"/>
        </w:rPr>
        <w:t>1</w:t>
      </w:r>
      <w:r>
        <w:rPr>
          <w:szCs w:val="27"/>
        </w:rPr>
        <w:t>分鐘。</w:t>
      </w:r>
    </w:p>
    <w:p>
      <w:pPr>
        <w:pStyle w:val="F21"/>
        <w:overflowPunct w:val="true"/>
        <w:snapToGrid w:val="false"/>
        <w:spacing w:lineRule="atLeast" w:line="350"/>
        <w:ind w:left="851" w:hanging="851"/>
        <w:rPr>
          <w:szCs w:val="27"/>
        </w:rPr>
      </w:pPr>
      <w:r>
        <w:rPr>
          <w:szCs w:val="27"/>
        </w:rPr>
      </w:r>
    </w:p>
    <w:p>
      <w:pPr>
        <w:pStyle w:val="F21"/>
        <w:overflowPunct w:val="true"/>
        <w:snapToGrid w:val="false"/>
        <w:spacing w:lineRule="atLeast" w:line="350"/>
        <w:rPr>
          <w:szCs w:val="27"/>
        </w:rPr>
      </w:pPr>
      <w:r>
        <w:rPr>
          <w:szCs w:val="27"/>
        </w:rPr>
        <w:t>(</w:t>
      </w:r>
      <w:r>
        <w:rPr>
          <w:szCs w:val="27"/>
        </w:rPr>
        <w:t>在表決鐘響起期間，有議員高聲呼叫</w:t>
      </w:r>
      <w:r>
        <w:rPr>
          <w:szCs w:val="27"/>
        </w:rPr>
        <w:t>)</w:t>
      </w:r>
    </w:p>
    <w:p>
      <w:pPr>
        <w:pStyle w:val="F21"/>
        <w:tabs>
          <w:tab w:val="left" w:pos="567" w:leader="none"/>
          <w:tab w:val="left" w:pos="851" w:leader="none"/>
        </w:tabs>
        <w:overflowPunct w:val="true"/>
        <w:snapToGrid w:val="false"/>
        <w:spacing w:lineRule="atLeast" w:line="350"/>
        <w:rPr/>
      </w:pPr>
      <w:r>
        <w:rPr/>
      </w:r>
    </w:p>
    <w:p>
      <w:pPr>
        <w:pStyle w:val="F21"/>
        <w:tabs>
          <w:tab w:val="left" w:pos="567" w:leader="none"/>
          <w:tab w:val="left" w:pos="851" w:leader="none"/>
        </w:tabs>
        <w:overflowPunct w:val="true"/>
        <w:snapToGrid w:val="false"/>
        <w:spacing w:lineRule="atLeast" w:line="350"/>
        <w:rPr/>
      </w:pPr>
      <w:r>
        <w:rPr/>
      </w:r>
    </w:p>
    <w:p>
      <w:pPr>
        <w:pStyle w:val="F21"/>
        <w:overflowPunct w:val="true"/>
        <w:snapToGrid w:val="false"/>
        <w:spacing w:lineRule="atLeast" w:line="350"/>
        <w:ind w:left="851" w:hanging="851"/>
        <w:rPr>
          <w:szCs w:val="27"/>
        </w:rPr>
      </w:pPr>
      <w:r>
        <w:rPr>
          <w:rFonts w:eastAsia="華康中黑體"/>
          <w:b/>
          <w:szCs w:val="27"/>
        </w:rPr>
        <w:t>主席</w:t>
      </w:r>
      <w:r>
        <w:rPr>
          <w:szCs w:val="27"/>
        </w:rPr>
        <w:t>：請議員不要坐着高聲呼叫。</w:t>
      </w:r>
    </w:p>
    <w:p>
      <w:pPr>
        <w:pStyle w:val="F21"/>
        <w:overflowPunct w:val="true"/>
        <w:snapToGrid w:val="false"/>
        <w:spacing w:lineRule="atLeast" w:line="350"/>
        <w:ind w:left="851" w:hanging="851"/>
        <w:rPr>
          <w:szCs w:val="27"/>
        </w:rPr>
      </w:pPr>
      <w:r>
        <w:rPr>
          <w:szCs w:val="27"/>
        </w:rPr>
      </w:r>
    </w:p>
    <w:p>
      <w:pPr>
        <w:pStyle w:val="F21"/>
        <w:overflowPunct w:val="true"/>
        <w:snapToGrid w:val="false"/>
        <w:spacing w:lineRule="atLeast" w:line="350"/>
        <w:ind w:left="851" w:hanging="851"/>
        <w:rPr>
          <w:szCs w:val="27"/>
        </w:rPr>
      </w:pPr>
      <w:r>
        <w:rPr>
          <w:szCs w:val="27"/>
        </w:rPr>
      </w:r>
    </w:p>
    <w:p>
      <w:pPr>
        <w:pStyle w:val="F21"/>
        <w:overflowPunct w:val="true"/>
        <w:snapToGrid w:val="false"/>
        <w:spacing w:lineRule="atLeast" w:line="350"/>
        <w:ind w:left="851" w:hanging="851"/>
        <w:rPr>
          <w:szCs w:val="27"/>
        </w:rPr>
      </w:pPr>
      <w:r>
        <w:rPr>
          <w:rFonts w:eastAsia="華康中黑體"/>
          <w:b/>
          <w:szCs w:val="27"/>
        </w:rPr>
        <w:t>主席</w:t>
      </w:r>
      <w:r>
        <w:rPr>
          <w:szCs w:val="27"/>
        </w:rPr>
        <w:t>：現在開始表決。</w:t>
      </w:r>
    </w:p>
    <w:p>
      <w:pPr>
        <w:pStyle w:val="F21"/>
        <w:overflowPunct w:val="true"/>
        <w:snapToGrid w:val="false"/>
        <w:spacing w:lineRule="atLeast" w:line="350"/>
        <w:rPr>
          <w:szCs w:val="27"/>
        </w:rPr>
      </w:pPr>
      <w:r>
        <w:rPr>
          <w:szCs w:val="27"/>
        </w:rPr>
      </w:r>
    </w:p>
    <w:p>
      <w:pPr>
        <w:pStyle w:val="F21"/>
        <w:overflowPunct w:val="true"/>
        <w:snapToGrid w:val="false"/>
        <w:spacing w:lineRule="atLeast" w:line="350"/>
        <w:rPr>
          <w:szCs w:val="27"/>
        </w:rPr>
      </w:pPr>
      <w:r>
        <w:rPr>
          <w:szCs w:val="27"/>
        </w:rPr>
      </w:r>
    </w:p>
    <w:p>
      <w:pPr>
        <w:pStyle w:val="F21"/>
        <w:snapToGrid w:val="false"/>
        <w:spacing w:lineRule="atLeast" w:line="350"/>
        <w:rPr>
          <w:szCs w:val="27"/>
        </w:rPr>
      </w:pPr>
      <w:r>
        <w:rPr>
          <w:rFonts w:eastAsia="華康中黑體"/>
          <w:b/>
          <w:szCs w:val="27"/>
        </w:rPr>
        <w:t>主席</w:t>
      </w:r>
      <w:r>
        <w:rPr>
          <w:szCs w:val="27"/>
        </w:rPr>
        <w:t>：請各位議員核對所作的表決。如果沒有問題，現在停止表決，顯示結果。</w:t>
      </w:r>
    </w:p>
    <w:p>
      <w:pPr>
        <w:pStyle w:val="F21"/>
        <w:snapToGrid w:val="false"/>
        <w:spacing w:lineRule="atLeast" w:line="350"/>
        <w:rPr>
          <w:szCs w:val="27"/>
        </w:rPr>
      </w:pPr>
      <w:r>
        <w:rPr>
          <w:szCs w:val="27"/>
        </w:rPr>
      </w:r>
    </w:p>
    <w:p>
      <w:pPr>
        <w:pStyle w:val="F21"/>
        <w:snapToGrid w:val="false"/>
        <w:spacing w:lineRule="atLeast" w:line="350"/>
        <w:rPr>
          <w:szCs w:val="27"/>
        </w:rPr>
      </w:pPr>
      <w:r>
        <w:rPr>
          <w:szCs w:val="27"/>
        </w:rPr>
      </w:r>
    </w:p>
    <w:p>
      <w:pPr>
        <w:pStyle w:val="F21"/>
        <w:spacing w:lineRule="atLeast" w:line="350"/>
        <w:rPr/>
      </w:pPr>
      <w:r>
        <w:rPr/>
        <w:t>功能團體：</w:t>
      </w:r>
    </w:p>
    <w:p>
      <w:pPr>
        <w:pStyle w:val="Normal"/>
        <w:spacing w:lineRule="atLeast" w:line="350"/>
        <w:rPr/>
      </w:pPr>
      <w:r>
        <w:rPr/>
        <w:t>Functional Constituencies:</w:t>
      </w:r>
    </w:p>
    <w:p>
      <w:pPr>
        <w:pStyle w:val="F21"/>
        <w:spacing w:lineRule="atLeast" w:line="350"/>
        <w:rPr/>
      </w:pPr>
      <w:r>
        <w:rPr/>
      </w:r>
    </w:p>
    <w:p>
      <w:pPr>
        <w:pStyle w:val="F21"/>
        <w:spacing w:lineRule="atLeast" w:line="350"/>
        <w:rPr/>
      </w:pPr>
      <w:r>
        <w:rPr/>
        <w:t>涂謹申議員、李國麟議員、林健鋒議員、梁君彥議員、黃定光議員、李慧琼議員、陳健波議員、葉國謙議員、吳亮星議員、易志明議員、姚思榮議員、馬逢國議員、莫乃光議員、郭偉强議員、張華峰議員、葉建源議員、潘兆平議員、鄧家彪議員、盧偉國議員、鍾國斌議員及謝偉銓議員贊成。</w:t>
      </w:r>
    </w:p>
    <w:p>
      <w:pPr>
        <w:pStyle w:val="F21"/>
        <w:spacing w:lineRule="atLeast" w:line="350"/>
        <w:rPr/>
      </w:pPr>
      <w:r>
        <w:rPr/>
      </w:r>
    </w:p>
    <w:p>
      <w:pPr>
        <w:pStyle w:val="F21"/>
        <w:spacing w:lineRule="atLeast" w:line="350"/>
        <w:rPr/>
      </w:pPr>
      <w:r>
        <w:rPr/>
      </w:r>
    </w:p>
    <w:p>
      <w:pPr>
        <w:pStyle w:val="F21"/>
        <w:spacing w:lineRule="atLeast" w:line="350"/>
        <w:rPr/>
      </w:pPr>
      <w:r>
        <w:rPr/>
        <w:t>張國柱議員反對。</w:t>
      </w:r>
    </w:p>
    <w:p>
      <w:pPr>
        <w:pStyle w:val="F21"/>
        <w:spacing w:lineRule="atLeast" w:line="350"/>
        <w:rPr/>
      </w:pPr>
      <w:r>
        <w:rPr/>
      </w:r>
    </w:p>
    <w:p>
      <w:pPr>
        <w:pStyle w:val="F21"/>
        <w:spacing w:lineRule="atLeast" w:line="350"/>
        <w:rPr/>
      </w:pPr>
      <w:r>
        <w:rPr/>
      </w:r>
    </w:p>
    <w:p>
      <w:pPr>
        <w:pStyle w:val="F21"/>
        <w:spacing w:lineRule="atLeast" w:line="350"/>
        <w:rPr/>
      </w:pPr>
      <w:r>
        <w:rPr/>
        <w:t>梁繼昌議員棄權。</w:t>
      </w:r>
    </w:p>
    <w:p>
      <w:pPr>
        <w:pStyle w:val="F21"/>
        <w:spacing w:lineRule="atLeast" w:line="350"/>
        <w:rPr/>
      </w:pPr>
      <w:r>
        <w:rPr/>
      </w:r>
    </w:p>
    <w:p>
      <w:pPr>
        <w:pStyle w:val="F21"/>
        <w:spacing w:lineRule="atLeast" w:line="350"/>
        <w:rPr/>
      </w:pPr>
      <w:r>
        <w:rPr/>
      </w:r>
    </w:p>
    <w:p>
      <w:pPr>
        <w:pStyle w:val="F21"/>
        <w:spacing w:lineRule="atLeast" w:line="350"/>
        <w:rPr/>
      </w:pPr>
      <w:r>
        <w:rPr/>
        <w:t>地方選區：</w:t>
      </w:r>
    </w:p>
    <w:p>
      <w:pPr>
        <w:pStyle w:val="Normal"/>
        <w:spacing w:lineRule="atLeast" w:line="350"/>
        <w:rPr/>
      </w:pPr>
      <w:r>
        <w:rPr/>
        <w:t>Geographical Constituencies:</w:t>
      </w:r>
    </w:p>
    <w:p>
      <w:pPr>
        <w:pStyle w:val="F21"/>
        <w:spacing w:lineRule="atLeast" w:line="350"/>
        <w:rPr/>
      </w:pPr>
      <w:r>
        <w:rPr/>
      </w:r>
    </w:p>
    <w:p>
      <w:pPr>
        <w:pStyle w:val="F21"/>
        <w:spacing w:lineRule="atLeast" w:line="350"/>
        <w:rPr/>
      </w:pPr>
      <w:r>
        <w:rPr/>
        <w:t>陳鑑林議員、劉慧卿議員、譚耀宗議員、王國興議員、陳克勤議員、黃國健議員、葉劉淑儀議員、謝偉俊議員、梁家傑議員、陳偉業議員、毛孟靜議員、田北辰議員、陳志全議員、陳恒鑌議員、梁志祥議員、麥美娟議員、郭家麒議員、單仲偕議員、黃碧雲議員及蔣麗芸議員贊‍成。</w:t>
      </w:r>
    </w:p>
    <w:p>
      <w:pPr>
        <w:pStyle w:val="F21"/>
        <w:spacing w:lineRule="atLeast" w:line="350"/>
        <w:rPr/>
      </w:pPr>
      <w:r>
        <w:rPr/>
      </w:r>
    </w:p>
    <w:p>
      <w:pPr>
        <w:pStyle w:val="F21"/>
        <w:spacing w:lineRule="atLeast" w:line="350"/>
        <w:rPr/>
      </w:pPr>
      <w:r>
        <w:rPr/>
      </w:r>
    </w:p>
    <w:p>
      <w:pPr>
        <w:pStyle w:val="F21"/>
        <w:spacing w:lineRule="atLeast" w:line="350"/>
        <w:rPr/>
      </w:pPr>
      <w:r>
        <w:rPr/>
        <w:t>李卓人議員、梁耀忠議員、何秀蘭議員、梁國雄議員及范國威議員反‍對。</w:t>
      </w:r>
    </w:p>
    <w:p>
      <w:pPr>
        <w:pStyle w:val="F21"/>
        <w:spacing w:lineRule="atLeast" w:line="350"/>
        <w:rPr/>
      </w:pPr>
      <w:r>
        <w:rPr/>
      </w:r>
    </w:p>
    <w:p>
      <w:pPr>
        <w:pStyle w:val="F21"/>
        <w:spacing w:lineRule="atLeast" w:line="350"/>
        <w:rPr/>
      </w:pPr>
      <w:r>
        <w:rPr/>
      </w:r>
    </w:p>
    <w:p>
      <w:pPr>
        <w:pStyle w:val="F21"/>
        <w:spacing w:lineRule="atLeast" w:line="350"/>
        <w:rPr/>
      </w:pPr>
      <w:r>
        <w:rPr/>
        <w:t>主席曾鈺成議員沒有表決。</w:t>
      </w:r>
    </w:p>
    <w:p>
      <w:pPr>
        <w:pStyle w:val="F21"/>
        <w:overflowPunct w:val="true"/>
        <w:snapToGrid w:val="false"/>
        <w:spacing w:lineRule="atLeast" w:line="350"/>
        <w:ind w:left="907" w:hanging="907"/>
        <w:rPr>
          <w:szCs w:val="27"/>
        </w:rPr>
      </w:pPr>
      <w:r>
        <w:rPr>
          <w:szCs w:val="27"/>
        </w:rPr>
      </w:r>
    </w:p>
    <w:p>
      <w:pPr>
        <w:pStyle w:val="F21"/>
        <w:overflowPunct w:val="true"/>
        <w:snapToGrid w:val="false"/>
        <w:spacing w:lineRule="atLeast" w:line="350"/>
        <w:ind w:left="907" w:hanging="907"/>
        <w:rPr>
          <w:szCs w:val="27"/>
        </w:rPr>
      </w:pPr>
      <w:r>
        <w:rPr>
          <w:szCs w:val="27"/>
        </w:rPr>
      </w:r>
    </w:p>
    <w:p>
      <w:pPr>
        <w:pStyle w:val="F21"/>
        <w:overflowPunct w:val="true"/>
        <w:snapToGrid w:val="false"/>
        <w:spacing w:lineRule="atLeast" w:line="350"/>
        <w:rPr>
          <w:szCs w:val="27"/>
        </w:rPr>
      </w:pPr>
      <w:r>
        <w:rPr>
          <w:szCs w:val="27"/>
        </w:rPr>
        <w:t>主席宣布經由功能團體選舉產生的議員，有</w:t>
      </w:r>
      <w:r>
        <w:rPr>
          <w:szCs w:val="27"/>
        </w:rPr>
        <w:t>23</w:t>
      </w:r>
      <w:r>
        <w:rPr>
          <w:szCs w:val="27"/>
        </w:rPr>
        <w:t>人出席，</w:t>
      </w:r>
      <w:r>
        <w:rPr>
          <w:szCs w:val="27"/>
        </w:rPr>
        <w:t>21</w:t>
      </w:r>
      <w:r>
        <w:rPr>
          <w:szCs w:val="27"/>
        </w:rPr>
        <w:t>人贊成，</w:t>
      </w:r>
      <w:r>
        <w:rPr>
          <w:szCs w:val="27"/>
        </w:rPr>
        <w:t>1‍</w:t>
      </w:r>
      <w:r>
        <w:rPr>
          <w:szCs w:val="27"/>
        </w:rPr>
        <w:t>人反對，</w:t>
      </w:r>
      <w:r>
        <w:rPr>
          <w:szCs w:val="27"/>
        </w:rPr>
        <w:t>1</w:t>
      </w:r>
      <w:r>
        <w:rPr>
          <w:szCs w:val="27"/>
        </w:rPr>
        <w:t>人棄權；而經由分區直接選舉產生的議員，有</w:t>
      </w:r>
      <w:r>
        <w:rPr>
          <w:szCs w:val="27"/>
        </w:rPr>
        <w:t>26</w:t>
      </w:r>
      <w:r>
        <w:rPr>
          <w:szCs w:val="27"/>
        </w:rPr>
        <w:t>人出席，</w:t>
      </w:r>
      <w:r>
        <w:rPr>
          <w:szCs w:val="27"/>
        </w:rPr>
        <w:t>20‍</w:t>
      </w:r>
      <w:r>
        <w:rPr>
          <w:szCs w:val="27"/>
        </w:rPr>
        <w:t>人贊成，</w:t>
      </w:r>
      <w:r>
        <w:rPr>
          <w:szCs w:val="27"/>
        </w:rPr>
        <w:t>5</w:t>
      </w:r>
      <w:r>
        <w:rPr>
          <w:szCs w:val="27"/>
        </w:rPr>
        <w:t>人反對。由於議題獲得兩部分在席議員分別以過半數贊成，他於是宣布經修正的議案獲得通過。</w:t>
      </w:r>
    </w:p>
    <w:p>
      <w:pPr>
        <w:pStyle w:val="Normal"/>
        <w:tabs>
          <w:tab w:val="left" w:pos="720" w:leader="none"/>
          <w:tab w:val="left" w:pos="3780" w:leader="none"/>
        </w:tabs>
        <w:overflowPunct w:val="true"/>
        <w:snapToGrid w:val="false"/>
        <w:spacing w:lineRule="atLeast" w:line="350"/>
        <w:rPr/>
      </w:pPr>
      <w:r>
        <w:rPr/>
        <w:t>THE PRESIDENT announced that among the Members returned by functional constituencies, 23 were present, 21 were in favour of the motion as amended , one against it and one abstained; while among the Members returned by geographical constituencies through direct elections, 26 were present, 20 were in favour of the motion as amended and five against it.  Since the question was agreed by a majority of each of the two groups of Members present, he therefore declared that the motion as amended was passed.</w:t>
      </w:r>
    </w:p>
    <w:p>
      <w:pPr>
        <w:pStyle w:val="Normal"/>
        <w:tabs>
          <w:tab w:val="left" w:pos="720" w:leader="none"/>
          <w:tab w:val="left" w:pos="3780" w:leader="none"/>
        </w:tabs>
        <w:overflowPunct w:val="true"/>
        <w:snapToGrid w:val="false"/>
        <w:spacing w:lineRule="exact" w:line="200"/>
        <w:rPr/>
      </w:pPr>
      <w:r>
        <w:rPr/>
      </w:r>
    </w:p>
    <w:p>
      <w:pPr>
        <w:pStyle w:val="F21"/>
        <w:rPr>
          <w:rFonts w:ascii="華康中黑體" w:hAnsi="華康中黑體" w:eastAsia="華康中黑體"/>
          <w:b/>
          <w:b/>
          <w:sz w:val="28"/>
          <w:szCs w:val="28"/>
        </w:rPr>
      </w:pPr>
      <w:bookmarkStart w:id="100" w:name="nem"/>
      <w:r>
        <w:rPr>
          <w:rFonts w:ascii="華康中黑體" w:hAnsi="華康中黑體" w:eastAsia="華康中黑體"/>
          <w:b/>
          <w:sz w:val="28"/>
          <w:szCs w:val="28"/>
        </w:rPr>
        <w:t>下次會議</w:t>
      </w:r>
      <w:r>
        <w:br w:type="page"/>
      </w:r>
    </w:p>
    <w:p>
      <w:pPr>
        <w:pStyle w:val="Normal"/>
        <w:rPr>
          <w:b/>
          <w:b/>
        </w:rPr>
      </w:pPr>
      <w:bookmarkStart w:id="101" w:name="nem"/>
      <w:r>
        <w:rPr>
          <w:b/>
        </w:rPr>
        <w:t>NEXT MEETING</w:t>
      </w:r>
      <w:bookmarkEnd w:id="101"/>
    </w:p>
    <w:p>
      <w:pPr>
        <w:pStyle w:val="F21"/>
        <w:rPr/>
      </w:pPr>
      <w:r>
        <w:rPr/>
      </w:r>
    </w:p>
    <w:p>
      <w:pPr>
        <w:pStyle w:val="F21"/>
        <w:rPr/>
      </w:pPr>
      <w:r>
        <w:rPr>
          <w:rFonts w:ascii="華康中黑體" w:hAnsi="華康中黑體" w:eastAsia="華康中黑體"/>
          <w:b/>
        </w:rPr>
        <w:t>主席</w:t>
      </w:r>
      <w:r>
        <w:rPr>
          <w:rFonts w:ascii="華康中黑體" w:hAnsi="華康中黑體"/>
        </w:rPr>
        <w:t>：</w:t>
      </w:r>
      <w:r>
        <w:rPr/>
        <w:t>各位議員，我們即將告別</w:t>
      </w:r>
      <w:r>
        <w:rPr/>
        <w:t>2013</w:t>
      </w:r>
      <w:r>
        <w:rPr/>
        <w:t>年，祝大家新年進步。</w:t>
      </w:r>
    </w:p>
    <w:p>
      <w:pPr>
        <w:pStyle w:val="F21"/>
        <w:rPr/>
      </w:pPr>
      <w:r>
        <w:rPr/>
      </w:r>
    </w:p>
    <w:p>
      <w:pPr>
        <w:pStyle w:val="F21"/>
        <w:rPr/>
      </w:pPr>
      <w:r>
        <w:rPr/>
        <w:tab/>
      </w:r>
      <w:r>
        <w:rPr/>
        <w:t>我現在宣布休會。本會在</w:t>
      </w:r>
      <w:r>
        <w:rPr/>
        <w:t>2014</w:t>
      </w:r>
      <w:r>
        <w:rPr/>
        <w:t>年</w:t>
      </w:r>
      <w:r>
        <w:rPr/>
        <w:t>1</w:t>
      </w:r>
      <w:r>
        <w:rPr/>
        <w:t>月</w:t>
      </w:r>
      <w:r>
        <w:rPr/>
        <w:t>8</w:t>
      </w:r>
      <w:r>
        <w:rPr/>
        <w:t>日星期三上午</w:t>
      </w:r>
      <w:r>
        <w:rPr/>
        <w:t>11</w:t>
      </w:r>
      <w:r>
        <w:rPr/>
        <w:t>時正續會。</w:t>
      </w:r>
    </w:p>
    <w:p>
      <w:pPr>
        <w:pStyle w:val="F21"/>
        <w:rPr/>
      </w:pPr>
      <w:r>
        <w:rPr/>
      </w:r>
    </w:p>
    <w:p>
      <w:pPr>
        <w:pStyle w:val="F21"/>
        <w:rPr>
          <w:i/>
          <w:i/>
        </w:rPr>
      </w:pPr>
      <w:r>
        <w:rPr>
          <w:i/>
        </w:rPr>
        <w:t>立法會遂於晚上</w:t>
      </w:r>
      <w:r>
        <w:rPr>
          <w:i/>
        </w:rPr>
        <w:t>10</w:t>
      </w:r>
      <w:r>
        <w:rPr>
          <w:i/>
        </w:rPr>
        <w:t>時</w:t>
      </w:r>
      <w:r>
        <w:rPr>
          <w:i/>
        </w:rPr>
        <w:t>21</w:t>
      </w:r>
      <w:r>
        <w:rPr>
          <w:i/>
        </w:rPr>
        <w:t>分休會。</w:t>
      </w:r>
    </w:p>
    <w:p>
      <w:pPr>
        <w:pStyle w:val="Normal"/>
        <w:rPr>
          <w:i/>
          <w:i/>
        </w:rPr>
      </w:pPr>
      <w:r>
        <w:rPr>
          <w:i/>
        </w:rPr>
        <w:t>Adjourned accordingly at twenty-one minutes past Ten o'clock.</w:t>
      </w:r>
    </w:p>
    <w:p>
      <w:pPr>
        <w:pStyle w:val="F21"/>
        <w:rPr/>
      </w:pPr>
      <w:r>
        <w:rPr/>
      </w:r>
    </w:p>
    <w:p>
      <w:pPr>
        <w:pStyle w:val="F21"/>
        <w:rPr/>
      </w:pPr>
      <w:r>
        <w:rPr/>
      </w:r>
    </w:p>
    <w:p>
      <w:pPr>
        <w:pStyle w:val="Normal"/>
        <w:widowControl/>
        <w:overflowPunct w:val="true"/>
        <w:jc w:val="right"/>
        <w:rPr>
          <w:rFonts w:eastAsia="華康中黑體"/>
          <w:b/>
          <w:b/>
          <w:spacing w:val="20"/>
          <w:sz w:val="27"/>
          <w:szCs w:val="27"/>
        </w:rPr>
      </w:pPr>
      <w:bookmarkStart w:id="102" w:name="anx01"/>
      <w:r>
        <w:rPr>
          <w:rFonts w:eastAsia="華康中黑體"/>
          <w:b/>
          <w:spacing w:val="20"/>
          <w:sz w:val="27"/>
          <w:szCs w:val="27"/>
        </w:rPr>
        <w:t>附件</w:t>
      </w:r>
      <w:r>
        <w:rPr>
          <w:rFonts w:eastAsia="華康中黑體"/>
          <w:b/>
          <w:spacing w:val="20"/>
          <w:sz w:val="27"/>
          <w:szCs w:val="27"/>
        </w:rPr>
        <w:t>I</w:t>
      </w:r>
      <w:bookmarkEnd w:id="102"/>
      <w:r>
        <w:br w:type="page"/>
      </w:r>
    </w:p>
    <w:p>
      <w:pPr>
        <w:pStyle w:val="Normal"/>
        <w:widowControl/>
        <w:overflowPunct w:val="true"/>
        <w:rPr/>
      </w:pPr>
      <w:r>
        <w:rPr/>
      </w:r>
    </w:p>
    <w:p>
      <w:pPr>
        <w:pStyle w:val="F21"/>
        <w:overflowPunct w:val="true"/>
        <w:jc w:val="center"/>
        <w:rPr>
          <w:rFonts w:eastAsia="華康中黑體"/>
          <w:b/>
          <w:b/>
          <w:sz w:val="26"/>
        </w:rPr>
      </w:pPr>
      <w:r>
        <w:rPr/>
        <mc:AlternateContent>
          <mc:Choice Requires="wps">
            <w:drawing>
              <wp:inline distT="0" distB="0" distL="0" distR="0">
                <wp:extent cx="5579745" cy="6644640"/>
                <wp:effectExtent l="0" t="0" r="0" b="0"/>
                <wp:docPr id="1"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2"/>
                        <a:srcRect l="12334" t="8056" r="10569" b="27067"/>
                        <a:stretch/>
                      </pic:blipFill>
                      <pic:spPr>
                        <a:xfrm>
                          <a:off x="0" y="0"/>
                          <a:ext cx="5579280" cy="66441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523.2pt;width:439.25pt;height:523.1pt;mso-position-vertical:top" type="shapetype_75">
                <v:imagedata r:id="rId2" o:detectmouseclick="t"/>
                <w10:wrap type="none"/>
                <v:stroke color="#3465a4" joinstyle="round" endcap="flat"/>
              </v:shape>
            </w:pict>
          </mc:Fallback>
        </mc:AlternateContent>
      </w:r>
    </w:p>
    <w:p>
      <w:pPr>
        <w:pStyle w:val="Normal"/>
        <w:widowControl/>
        <w:overflowPunct w:val="true"/>
        <w:rPr/>
      </w:pPr>
      <w:r>
        <w:rPr/>
      </w:r>
    </w:p>
    <w:p>
      <w:pPr>
        <w:pStyle w:val="Normal"/>
        <w:widowControl/>
        <w:overflowPunct w:val="true"/>
        <w:rPr/>
      </w:pPr>
      <w:r>
        <w:rPr/>
      </w:r>
    </w:p>
    <w:p>
      <w:pPr>
        <w:pStyle w:val="Normal"/>
        <w:widowControl/>
        <w:overflowPunct w:val="true"/>
        <w:rPr/>
      </w:pPr>
      <w:r>
        <w:rPr/>
      </w:r>
    </w:p>
    <w:p>
      <w:pPr>
        <w:pStyle w:val="Normal"/>
        <w:widowControl/>
        <w:tabs>
          <w:tab w:val="left" w:pos="480" w:leader="none"/>
          <w:tab w:val="left" w:pos="720" w:leader="none"/>
        </w:tabs>
        <w:spacing w:lineRule="auto" w:line="240"/>
        <w:jc w:val="right"/>
        <w:rPr>
          <w:b/>
          <w:b/>
        </w:rPr>
      </w:pPr>
      <w:r>
        <w:rPr>
          <w:b/>
        </w:rPr>
        <w:t>Annex I</w:t>
      </w:r>
      <w:r>
        <w:br w:type="page"/>
      </w:r>
    </w:p>
    <w:p>
      <w:pPr>
        <w:pStyle w:val="Normal"/>
        <w:widowControl/>
        <w:overflowPunct w:val="true"/>
        <w:jc w:val="left"/>
        <w:rPr/>
      </w:pPr>
      <w:r>
        <w:rPr/>
      </w:r>
    </w:p>
    <w:p>
      <w:pPr>
        <w:pStyle w:val="Normal"/>
        <w:jc w:val="center"/>
        <w:rPr>
          <w:b/>
          <w:b/>
        </w:rPr>
      </w:pPr>
      <w:r>
        <w:rPr>
          <w:b/>
        </w:rPr>
        <mc:AlternateContent>
          <mc:Choice Requires="wps">
            <w:drawing>
              <wp:anchor behindDoc="0" distT="0" distB="0" distL="0" distR="0" simplePos="0" locked="0" layoutInCell="1" allowOverlap="1" relativeHeight="2">
                <wp:simplePos x="0" y="0"/>
                <wp:positionH relativeFrom="column">
                  <wp:posOffset>957580</wp:posOffset>
                </wp:positionH>
                <wp:positionV relativeFrom="paragraph">
                  <wp:posOffset>635</wp:posOffset>
                </wp:positionV>
                <wp:extent cx="3929380" cy="1109980"/>
                <wp:effectExtent l="0" t="0" r="0" b="0"/>
                <wp:wrapNone/>
                <wp:docPr id="2" name="圖片 5"/>
                <a:graphic xmlns:a="http://schemas.openxmlformats.org/drawingml/2006/main">
                  <a:graphicData uri="http://schemas.openxmlformats.org/drawingml/2006/picture">
                    <pic:pic xmlns:pic="http://schemas.openxmlformats.org/drawingml/2006/picture">
                      <pic:nvPicPr>
                        <pic:cNvPr id="1" name="圖片 5" descr=""/>
                        <pic:cNvPicPr/>
                      </pic:nvPicPr>
                      <pic:blipFill>
                        <a:blip r:embed="rId3"/>
                        <a:srcRect l="24003" t="9806" r="21856" b="79344"/>
                        <a:stretch/>
                      </pic:blipFill>
                      <pic:spPr>
                        <a:xfrm>
                          <a:off x="0" y="0"/>
                          <a:ext cx="3928680" cy="1109520"/>
                        </a:xfrm>
                        <a:prstGeom prst="rect">
                          <a:avLst/>
                        </a:prstGeom>
                        <a:ln>
                          <a:noFill/>
                        </a:ln>
                      </pic:spPr>
                    </pic:pic>
                  </a:graphicData>
                </a:graphic>
              </wp:anchor>
            </w:drawing>
          </mc:Choice>
          <mc:Fallback>
            <w:pict>
              <v:shape id="shape_0" ID="圖片 5" stroked="f" style="position:absolute;margin-left:75.4pt;margin-top:0pt;width:309.3pt;height:87.3pt" type="shapetype_75">
                <v:imagedata r:id="rId3" o:detectmouseclick="t"/>
                <w10:wrap type="none"/>
                <v:stroke color="#3465a4" joinstyle="round" endcap="flat"/>
              </v:shape>
            </w:pict>
          </mc:Fallback>
        </mc:AlternateConten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rPr>
      </w:pPr>
      <w:r>
        <w:rPr/>
        <mc:AlternateContent>
          <mc:Choice Requires="wps">
            <w:drawing>
              <wp:inline distT="0" distB="0" distL="0" distR="0">
                <wp:extent cx="915035" cy="514985"/>
                <wp:effectExtent l="0" t="0" r="0" b="0"/>
                <wp:docPr id="3" name=""/>
                <a:graphic xmlns:a="http://schemas.openxmlformats.org/drawingml/2006/main">
                  <a:graphicData uri="http://schemas.openxmlformats.org/drawingml/2006/picture">
                    <pic:pic xmlns:pic="http://schemas.openxmlformats.org/drawingml/2006/picture">
                      <pic:nvPicPr>
                        <pic:cNvPr id="2" name="" descr=""/>
                        <pic:cNvPicPr/>
                      </pic:nvPicPr>
                      <pic:blipFill>
                        <a:blip r:embed="rId3"/>
                        <a:srcRect l="12426" t="20427" r="74863" b="74659"/>
                        <a:stretch/>
                      </pic:blipFill>
                      <pic:spPr>
                        <a:xfrm>
                          <a:off x="0" y="0"/>
                          <a:ext cx="914400" cy="514440"/>
                        </a:xfrm>
                        <a:prstGeom prst="rect">
                          <a:avLst/>
                        </a:prstGeom>
                        <a:ln>
                          <a:noFill/>
                        </a:ln>
                      </pic:spPr>
                    </pic:pic>
                  </a:graphicData>
                </a:graphic>
              </wp:inline>
            </w:drawing>
          </mc:Choice>
          <mc:Fallback>
            <w:pict>
              <v:shape id="shape_0" stroked="f" style="position:absolute;margin-left:0pt;margin-top:-40.55pt;width:71.95pt;height:40.45pt;mso-position-vertical:top" type="shapetype_75">
                <v:imagedata r:id="rId3" o:detectmouseclick="t"/>
                <w10:wrap type="none"/>
                <v:stroke color="#3465a4" joinstyle="round" endcap="flat"/>
              </v:shape>
            </w:pict>
          </mc:Fallback>
        </mc:AlternateContent>
      </w:r>
      <w:r>
        <w:rPr/>
        <mc:AlternateContent>
          <mc:Choice Requires="wps">
            <w:drawing>
              <wp:inline distT="0" distB="0" distL="0" distR="0">
                <wp:extent cx="4344035" cy="514985"/>
                <wp:effectExtent l="0" t="0" r="0" b="0"/>
                <wp:docPr id="4"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3"/>
                        <a:srcRect l="29861" t="20427" r="10235" b="74659"/>
                        <a:stretch/>
                      </pic:blipFill>
                      <pic:spPr>
                        <a:xfrm>
                          <a:off x="0" y="0"/>
                          <a:ext cx="4343400" cy="514440"/>
                        </a:xfrm>
                        <a:prstGeom prst="rect">
                          <a:avLst/>
                        </a:prstGeom>
                        <a:ln>
                          <a:noFill/>
                        </a:ln>
                      </pic:spPr>
                    </pic:pic>
                  </a:graphicData>
                </a:graphic>
              </wp:inline>
            </w:drawing>
          </mc:Choice>
          <mc:Fallback>
            <w:pict>
              <v:shape id="shape_0" stroked="f" style="position:absolute;margin-left:0pt;margin-top:-40.55pt;width:341.95pt;height:40.45pt;mso-position-vertical:top" type="shapetype_75">
                <v:imagedata r:id="rId3" o:detectmouseclick="t"/>
                <w10:wrap type="none"/>
                <v:stroke color="#3465a4" joinstyle="round" endcap="flat"/>
              </v:shape>
            </w:pict>
          </mc:Fallback>
        </mc:AlternateContent>
      </w:r>
    </w:p>
    <w:p>
      <w:pPr>
        <w:pStyle w:val="Normal"/>
        <w:jc w:val="center"/>
        <w:rPr>
          <w:b/>
          <w:b/>
        </w:rPr>
      </w:pPr>
      <w:r>
        <w:rPr/>
        <mc:AlternateContent>
          <mc:Choice Requires="wps">
            <w:drawing>
              <wp:inline distT="0" distB="0" distL="0" distR="0">
                <wp:extent cx="5601335" cy="4115435"/>
                <wp:effectExtent l="0" t="0" r="0" b="0"/>
                <wp:docPr id="5" name=""/>
                <a:graphic xmlns:a="http://schemas.openxmlformats.org/drawingml/2006/main">
                  <a:graphicData uri="http://schemas.openxmlformats.org/drawingml/2006/picture">
                    <pic:pic xmlns:pic="http://schemas.openxmlformats.org/drawingml/2006/picture">
                      <pic:nvPicPr>
                        <pic:cNvPr id="4" name="" descr=""/>
                        <pic:cNvPicPr/>
                      </pic:nvPicPr>
                      <pic:blipFill>
                        <a:blip r:embed="rId3"/>
                        <a:srcRect l="12426" t="25412" r="10235" b="34446"/>
                        <a:stretch/>
                      </pic:blipFill>
                      <pic:spPr>
                        <a:xfrm>
                          <a:off x="0" y="0"/>
                          <a:ext cx="5600880" cy="4114800"/>
                        </a:xfrm>
                        <a:prstGeom prst="rect">
                          <a:avLst/>
                        </a:prstGeom>
                        <a:ln>
                          <a:noFill/>
                        </a:ln>
                      </pic:spPr>
                    </pic:pic>
                  </a:graphicData>
                </a:graphic>
              </wp:inline>
            </w:drawing>
          </mc:Choice>
          <mc:Fallback>
            <w:pict>
              <v:shape id="shape_0" stroked="f" style="position:absolute;margin-left:0pt;margin-top:-324.05pt;width:440.95pt;height:323.95pt;mso-position-vertical:top" type="shapetype_75">
                <v:imagedata r:id="rId3" o:detectmouseclick="t"/>
                <w10:wrap type="none"/>
                <v:stroke color="#3465a4" joinstyle="round" endcap="flat"/>
              </v:shape>
            </w:pict>
          </mc:Fallback>
        </mc:AlternateContent>
      </w:r>
    </w:p>
    <w:p>
      <w:pPr>
        <w:pStyle w:val="Normal"/>
        <w:jc w:val="center"/>
        <w:rPr>
          <w:b/>
          <w:b/>
        </w:rPr>
      </w:pPr>
      <w:r>
        <w:rPr>
          <w:b/>
        </w:rPr>
      </w:r>
    </w:p>
    <w:p>
      <w:pPr>
        <w:pStyle w:val="Normal"/>
        <w:widowControl/>
        <w:overflowPunct w:val="true"/>
        <w:jc w:val="left"/>
        <w:rPr>
          <w:b/>
          <w:b/>
        </w:rPr>
      </w:pPr>
      <w:r>
        <w:rPr>
          <w:b/>
        </w:rPr>
      </w:r>
    </w:p>
    <w:p>
      <w:pPr>
        <w:pStyle w:val="Normal"/>
        <w:widowControl/>
        <w:overflowPunct w:val="true"/>
        <w:jc w:val="left"/>
        <w:rPr>
          <w:b/>
          <w:b/>
        </w:rPr>
      </w:pPr>
      <w:r>
        <w:rPr>
          <w:b/>
        </w:rPr>
      </w:r>
    </w:p>
    <w:p>
      <w:pPr>
        <w:pStyle w:val="Normal"/>
        <w:widowControl/>
        <w:overflowPunct w:val="true"/>
        <w:jc w:val="left"/>
        <w:rPr>
          <w:b/>
          <w:b/>
        </w:rPr>
      </w:pPr>
      <w:r>
        <w:rPr>
          <w:b/>
        </w:rPr>
      </w:r>
    </w:p>
    <w:p>
      <w:pPr>
        <w:pStyle w:val="Normal"/>
        <w:widowControl/>
        <w:overflowPunct w:val="true"/>
        <w:jc w:val="right"/>
        <w:rPr>
          <w:rFonts w:eastAsia="華康中黑體"/>
          <w:b/>
          <w:b/>
          <w:spacing w:val="20"/>
          <w:sz w:val="27"/>
          <w:szCs w:val="27"/>
        </w:rPr>
      </w:pPr>
      <w:bookmarkStart w:id="103" w:name="anx02"/>
      <w:r>
        <w:rPr>
          <w:rFonts w:eastAsia="華康中黑體"/>
          <w:b/>
          <w:spacing w:val="20"/>
          <w:sz w:val="27"/>
          <w:szCs w:val="27"/>
        </w:rPr>
        <w:t>附件</w:t>
      </w:r>
      <w:r>
        <w:rPr>
          <w:rFonts w:eastAsia="華康中黑體"/>
          <w:b/>
          <w:spacing w:val="20"/>
          <w:sz w:val="27"/>
          <w:szCs w:val="27"/>
        </w:rPr>
        <w:t>II</w:t>
      </w:r>
      <w:bookmarkEnd w:id="103"/>
      <w:r>
        <w:br w:type="page"/>
      </w:r>
    </w:p>
    <w:p>
      <w:pPr>
        <w:pStyle w:val="Normal"/>
        <w:widowControl/>
        <w:overflowPunct w:val="true"/>
        <w:jc w:val="left"/>
        <w:rPr/>
      </w:pPr>
      <w:r>
        <w:rPr/>
      </w:r>
    </w:p>
    <w:p>
      <w:pPr>
        <w:pStyle w:val="Normal"/>
        <w:widowControl/>
        <w:overflowPunct w:val="true"/>
        <w:jc w:val="center"/>
        <w:rPr/>
      </w:pPr>
      <w:r>
        <w:rPr/>
        <mc:AlternateContent>
          <mc:Choice Requires="wps">
            <w:drawing>
              <wp:inline distT="0" distB="0" distL="0" distR="0">
                <wp:extent cx="2436495" cy="1693545"/>
                <wp:effectExtent l="0" t="0" r="0" b="0"/>
                <wp:docPr id="6" name=""/>
                <a:graphic xmlns:a="http://schemas.openxmlformats.org/drawingml/2006/main">
                  <a:graphicData uri="http://schemas.openxmlformats.org/drawingml/2006/picture">
                    <pic:pic xmlns:pic="http://schemas.openxmlformats.org/drawingml/2006/picture">
                      <pic:nvPicPr>
                        <pic:cNvPr id="5" name="" descr=""/>
                        <pic:cNvPicPr/>
                      </pic:nvPicPr>
                      <pic:blipFill>
                        <a:blip r:embed="rId4"/>
                        <a:srcRect l="34120" t="9057" r="33978" b="75187"/>
                        <a:stretch/>
                      </pic:blipFill>
                      <pic:spPr>
                        <a:xfrm>
                          <a:off x="0" y="0"/>
                          <a:ext cx="2435760" cy="1693080"/>
                        </a:xfrm>
                        <a:prstGeom prst="rect">
                          <a:avLst/>
                        </a:prstGeom>
                        <a:ln>
                          <a:noFill/>
                        </a:ln>
                      </pic:spPr>
                    </pic:pic>
                  </a:graphicData>
                </a:graphic>
              </wp:inline>
            </w:drawing>
          </mc:Choice>
          <mc:Fallback>
            <w:pict>
              <v:shape id="shape_0" stroked="f" style="position:absolute;margin-left:0pt;margin-top:-133.35pt;width:191.75pt;height:133.25pt;mso-position-vertical:top" type="shapetype_75">
                <v:imagedata r:id="rId4" o:detectmouseclick="t"/>
                <w10:wrap type="none"/>
                <v:stroke color="#3465a4" joinstyle="round" endcap="flat"/>
              </v:shape>
            </w:pict>
          </mc:Fallback>
        </mc:AlternateContent>
      </w:r>
    </w:p>
    <w:p>
      <w:pPr>
        <w:pStyle w:val="Normal"/>
        <w:widowControl/>
        <w:overflowPunct w:val="true"/>
        <w:jc w:val="left"/>
        <w:rPr/>
      </w:pPr>
      <w:r>
        <w:rPr/>
        <mc:AlternateContent>
          <mc:Choice Requires="wps">
            <w:drawing>
              <wp:inline distT="0" distB="0" distL="0" distR="0">
                <wp:extent cx="5829935" cy="1943735"/>
                <wp:effectExtent l="0" t="0" r="0" b="0"/>
                <wp:docPr id="7"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5"/>
                        <a:srcRect l="11072" t="24769" r="12183" b="57033"/>
                        <a:stretch/>
                      </pic:blipFill>
                      <pic:spPr>
                        <a:xfrm>
                          <a:off x="0" y="0"/>
                          <a:ext cx="5829480" cy="1943280"/>
                        </a:xfrm>
                        <a:prstGeom prst="rect">
                          <a:avLst/>
                        </a:prstGeom>
                        <a:ln>
                          <a:noFill/>
                        </a:ln>
                      </pic:spPr>
                    </pic:pic>
                  </a:graphicData>
                </a:graphic>
              </wp:inline>
            </w:drawing>
          </mc:Choice>
          <mc:Fallback>
            <w:pict>
              <v:shape id="shape_0" stroked="f" style="position:absolute;margin-left:0pt;margin-top:-153.05pt;width:458.95pt;height:152.95pt;mso-position-vertical:top" type="shapetype_75">
                <v:imagedata r:id="rId5" o:detectmouseclick="t"/>
                <w10:wrap type="none"/>
                <v:stroke color="#3465a4" joinstyle="round" endcap="flat"/>
              </v:shape>
            </w:pict>
          </mc:Fallback>
        </mc:AlternateContent>
      </w:r>
    </w:p>
    <w:p>
      <w:pPr>
        <w:pStyle w:val="Normal"/>
        <w:widowControl/>
        <w:overflowPunct w:val="true"/>
        <w:jc w:val="left"/>
        <w:rPr/>
      </w:pPr>
      <w:r>
        <w:rPr/>
      </w:r>
    </w:p>
    <w:p>
      <w:pPr>
        <w:pStyle w:val="Normal"/>
        <w:widowControl/>
        <w:overflowPunct w:val="true"/>
        <w:rPr/>
      </w:pPr>
      <w:r>
        <w:rPr/>
      </w:r>
    </w:p>
    <w:p>
      <w:pPr>
        <w:pStyle w:val="Normal"/>
        <w:widowControl/>
        <w:overflowPunct w:val="true"/>
        <w:rPr/>
      </w:pPr>
      <w:r>
        <w:rPr/>
      </w:r>
    </w:p>
    <w:p>
      <w:pPr>
        <w:pStyle w:val="Normal"/>
        <w:widowControl/>
        <w:tabs>
          <w:tab w:val="left" w:pos="480" w:leader="none"/>
          <w:tab w:val="left" w:pos="720" w:leader="none"/>
        </w:tabs>
        <w:spacing w:lineRule="auto" w:line="240"/>
        <w:jc w:val="right"/>
        <w:rPr>
          <w:b/>
          <w:b/>
        </w:rPr>
      </w:pPr>
      <w:r>
        <w:rPr>
          <w:b/>
        </w:rPr>
        <w:t>Annex II</w:t>
      </w:r>
      <w:r>
        <w:br w:type="page"/>
      </w:r>
    </w:p>
    <w:p>
      <w:pPr>
        <w:pStyle w:val="Normal"/>
        <w:widowControl/>
        <w:overflowPunct w:val="true"/>
        <w:jc w:val="left"/>
        <w:rPr/>
      </w:pPr>
      <w:r>
        <w:rPr/>
      </w:r>
    </w:p>
    <w:p>
      <w:pPr>
        <w:pStyle w:val="Normal"/>
        <w:widowControl/>
        <w:overflowPunct w:val="true"/>
        <w:jc w:val="center"/>
        <w:rPr/>
      </w:pPr>
      <w:r>
        <w:rPr/>
        <mc:AlternateContent>
          <mc:Choice Requires="wps">
            <w:drawing>
              <wp:inline distT="0" distB="0" distL="0" distR="0">
                <wp:extent cx="2779395" cy="1108075"/>
                <wp:effectExtent l="0" t="0" r="0" b="0"/>
                <wp:docPr id="8"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6"/>
                        <a:srcRect l="31822" t="9289" r="31907" b="80542"/>
                        <a:stretch/>
                      </pic:blipFill>
                      <pic:spPr>
                        <a:xfrm>
                          <a:off x="0" y="0"/>
                          <a:ext cx="2778840" cy="1107360"/>
                        </a:xfrm>
                        <a:prstGeom prst="rect">
                          <a:avLst/>
                        </a:prstGeom>
                        <a:ln>
                          <a:noFill/>
                        </a:ln>
                      </pic:spPr>
                    </pic:pic>
                  </a:graphicData>
                </a:graphic>
              </wp:inline>
            </w:drawing>
          </mc:Choice>
          <mc:Fallback>
            <w:pict>
              <v:shape id="shape_0" stroked="f" style="position:absolute;margin-left:0pt;margin-top:-87.25pt;width:218.75pt;height:87.15pt;mso-position-vertical:top" type="shapetype_75">
                <v:imagedata r:id="rId6" o:detectmouseclick="t"/>
                <w10:wrap type="none"/>
                <v:stroke color="#3465a4" joinstyle="round" endcap="flat"/>
              </v:shape>
            </w:pict>
          </mc:Fallback>
        </mc:AlternateContent>
      </w:r>
    </w:p>
    <w:p>
      <w:pPr>
        <w:pStyle w:val="Normal"/>
        <w:widowControl/>
        <w:overflowPunct w:val="true"/>
        <w:jc w:val="center"/>
        <w:rPr/>
      </w:pPr>
      <w:r>
        <w:rPr/>
        <mc:AlternateContent>
          <mc:Choice Requires="wps">
            <w:drawing>
              <wp:inline distT="0" distB="0" distL="0" distR="0">
                <wp:extent cx="972185" cy="501015"/>
                <wp:effectExtent l="0" t="0" r="0" b="0"/>
                <wp:docPr id="9"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7"/>
                        <a:srcRect l="21390" t="19335" r="66083" b="76096"/>
                        <a:stretch/>
                      </pic:blipFill>
                      <pic:spPr>
                        <a:xfrm>
                          <a:off x="0" y="0"/>
                          <a:ext cx="971640" cy="500400"/>
                        </a:xfrm>
                        <a:prstGeom prst="rect">
                          <a:avLst/>
                        </a:prstGeom>
                        <a:ln>
                          <a:noFill/>
                        </a:ln>
                      </pic:spPr>
                    </pic:pic>
                  </a:graphicData>
                </a:graphic>
              </wp:inline>
            </w:drawing>
          </mc:Choice>
          <mc:Fallback>
            <w:pict>
              <v:shape id="shape_0" stroked="f" style="position:absolute;margin-left:0pt;margin-top:-39.45pt;width:76.45pt;height:39.35pt;mso-position-vertical:top" type="shapetype_75">
                <v:imagedata r:id="rId7" o:detectmouseclick="t"/>
                <w10:wrap type="none"/>
                <v:stroke color="#3465a4" joinstyle="round" endcap="flat"/>
              </v:shape>
            </w:pict>
          </mc:Fallback>
        </mc:AlternateContent>
      </w:r>
      <w:r>
        <w:rPr/>
        <mc:AlternateContent>
          <mc:Choice Requires="wps">
            <w:drawing>
              <wp:inline distT="0" distB="0" distL="0" distR="0">
                <wp:extent cx="3051175" cy="501015"/>
                <wp:effectExtent l="0" t="0" r="0" b="0"/>
                <wp:docPr id="10" name=""/>
                <a:graphic xmlns:a="http://schemas.openxmlformats.org/drawingml/2006/main">
                  <a:graphicData uri="http://schemas.openxmlformats.org/drawingml/2006/picture">
                    <pic:pic xmlns:pic="http://schemas.openxmlformats.org/drawingml/2006/picture">
                      <pic:nvPicPr>
                        <pic:cNvPr id="9" name="" descr=""/>
                        <pic:cNvPicPr/>
                      </pic:nvPicPr>
                      <pic:blipFill>
                        <a:blip r:embed="rId8"/>
                        <a:srcRect l="38943" t="19337" r="21231" b="76098"/>
                        <a:stretch/>
                      </pic:blipFill>
                      <pic:spPr>
                        <a:xfrm>
                          <a:off x="0" y="0"/>
                          <a:ext cx="3050640" cy="500400"/>
                        </a:xfrm>
                        <a:prstGeom prst="rect">
                          <a:avLst/>
                        </a:prstGeom>
                        <a:ln>
                          <a:noFill/>
                        </a:ln>
                      </pic:spPr>
                    </pic:pic>
                  </a:graphicData>
                </a:graphic>
              </wp:inline>
            </w:drawing>
          </mc:Choice>
          <mc:Fallback>
            <w:pict>
              <v:shape id="shape_0" stroked="f" style="position:absolute;margin-left:0pt;margin-top:-39.45pt;width:240.15pt;height:39.35pt;mso-position-vertical:top" type="shapetype_75">
                <v:imagedata r:id="rId8" o:detectmouseclick="t"/>
                <w10:wrap type="none"/>
                <v:stroke color="#3465a4" joinstyle="round" endcap="flat"/>
              </v:shape>
            </w:pict>
          </mc:Fallback>
        </mc:AlternateContent>
      </w:r>
    </w:p>
    <w:p>
      <w:pPr>
        <w:pStyle w:val="Normal"/>
        <w:widowControl/>
        <w:overflowPunct w:val="true"/>
        <w:jc w:val="left"/>
        <w:rPr/>
      </w:pPr>
      <w:r>
        <w:rPr/>
        <mc:AlternateContent>
          <mc:Choice Requires="wps">
            <w:drawing>
              <wp:inline distT="0" distB="0" distL="0" distR="0">
                <wp:extent cx="5851525" cy="2115185"/>
                <wp:effectExtent l="0" t="0" r="0" b="0"/>
                <wp:docPr id="11" name=""/>
                <a:graphic xmlns:a="http://schemas.openxmlformats.org/drawingml/2006/main">
                  <a:graphicData uri="http://schemas.openxmlformats.org/drawingml/2006/picture">
                    <pic:pic xmlns:pic="http://schemas.openxmlformats.org/drawingml/2006/picture">
                      <pic:nvPicPr>
                        <pic:cNvPr id="10" name="" descr=""/>
                        <pic:cNvPicPr/>
                      </pic:nvPicPr>
                      <pic:blipFill>
                        <a:blip r:embed="rId6"/>
                        <a:srcRect l="11287" t="23862" r="12452" b="56704"/>
                        <a:stretch/>
                      </pic:blipFill>
                      <pic:spPr>
                        <a:xfrm>
                          <a:off x="0" y="0"/>
                          <a:ext cx="5850720" cy="2114640"/>
                        </a:xfrm>
                        <a:prstGeom prst="rect">
                          <a:avLst/>
                        </a:prstGeom>
                        <a:ln>
                          <a:noFill/>
                        </a:ln>
                      </pic:spPr>
                    </pic:pic>
                  </a:graphicData>
                </a:graphic>
              </wp:inline>
            </w:drawing>
          </mc:Choice>
          <mc:Fallback>
            <w:pict>
              <v:shape id="shape_0" stroked="f" style="position:absolute;margin-left:0pt;margin-top:-166.55pt;width:460.65pt;height:166.45pt;mso-position-vertical:top" type="shapetype_75">
                <v:imagedata r:id="rId6" o:detectmouseclick="t"/>
                <w10:wrap type="none"/>
                <v:stroke color="#3465a4" joinstyle="round" endcap="flat"/>
              </v:shape>
            </w:pict>
          </mc:Fallback>
        </mc:AlternateContent>
      </w:r>
    </w:p>
    <w:p>
      <w:pPr>
        <w:pStyle w:val="Normal"/>
        <w:widowControl/>
        <w:overflowPunct w:val="true"/>
        <w:jc w:val="left"/>
        <w:rPr/>
      </w:pPr>
      <w:r>
        <w:rPr/>
      </w:r>
    </w:p>
    <w:p>
      <w:pPr>
        <w:pStyle w:val="Normal"/>
        <w:widowControl/>
        <w:overflowPunct w:val="true"/>
        <w:jc w:val="left"/>
        <w:rPr/>
      </w:pPr>
      <w:r>
        <w:rPr/>
      </w:r>
    </w:p>
    <w:p>
      <w:pPr>
        <w:pStyle w:val="Normal"/>
        <w:widowControl/>
        <w:overflowPunct w:val="true"/>
        <w:jc w:val="left"/>
        <w:rPr/>
      </w:pPr>
      <w:r>
        <w:rPr/>
      </w:r>
    </w:p>
    <w:p>
      <w:pPr>
        <w:pStyle w:val="F21"/>
        <w:rPr/>
      </w:pPr>
      <w:r>
        <w:rPr/>
      </w:r>
    </w:p>
    <w:p>
      <w:pPr>
        <w:sectPr>
          <w:headerReference w:type="default" r:id="rId9"/>
          <w:footnotePr>
            <w:numFmt w:val="decimal"/>
          </w:footnotePr>
          <w:type w:val="nextPage"/>
          <w:pgSz w:w="11906" w:h="16838"/>
          <w:pgMar w:left="1361" w:right="1332" w:header="907" w:top="964" w:footer="0" w:bottom="1077" w:gutter="0"/>
          <w:pgNumType w:fmt="decimal"/>
          <w:formProt w:val="false"/>
          <w:textDirection w:val="lrTb"/>
          <w:docGrid w:type="default" w:linePitch="367" w:charSpace="0"/>
        </w:sectPr>
        <w:pStyle w:val="F21"/>
        <w:rPr/>
      </w:pPr>
      <w:r>
        <w:rPr/>
      </w:r>
    </w:p>
    <w:p>
      <w:pPr>
        <w:pStyle w:val="F21"/>
        <w:spacing w:lineRule="exact" w:line="20"/>
        <w:jc w:val="right"/>
        <w:rPr/>
      </w:pPr>
      <w:r>
        <w:rPr/>
      </w:r>
    </w:p>
    <w:p>
      <w:pPr>
        <w:pStyle w:val="F21"/>
        <w:jc w:val="right"/>
        <w:rPr>
          <w:rFonts w:eastAsia="華康中黑體"/>
          <w:b/>
          <w:b/>
        </w:rPr>
      </w:pPr>
      <w:bookmarkStart w:id="104" w:name="app_I"/>
      <w:r>
        <w:rPr>
          <w:rFonts w:eastAsia="華康中黑體"/>
          <w:b/>
        </w:rPr>
        <w:t>附錄</w:t>
      </w:r>
      <w:r>
        <w:rPr>
          <w:rFonts w:eastAsia="華康中黑體"/>
          <w:b/>
        </w:rPr>
        <w:t>I</w:t>
      </w:r>
      <w:bookmarkEnd w:id="104"/>
    </w:p>
    <w:p>
      <w:pPr>
        <w:pStyle w:val="F21"/>
        <w:rPr>
          <w:rFonts w:eastAsia="華康中黑體"/>
          <w:b/>
          <w:b/>
          <w:sz w:val="26"/>
        </w:rPr>
      </w:pPr>
      <w:r>
        <w:rPr>
          <w:rFonts w:eastAsia="華康中黑體"/>
          <w:b/>
          <w:sz w:val="26"/>
        </w:rPr>
      </w:r>
    </w:p>
    <w:p>
      <w:pPr>
        <w:pStyle w:val="F21"/>
        <w:jc w:val="center"/>
        <w:rPr>
          <w:rFonts w:ascii="華康中黑體" w:hAnsi="華康中黑體" w:eastAsia="華康中黑體"/>
          <w:b/>
          <w:b/>
          <w:sz w:val="28"/>
          <w:szCs w:val="28"/>
        </w:rPr>
      </w:pPr>
      <w:r>
        <w:rPr>
          <w:rFonts w:ascii="華康中黑體" w:hAnsi="華康中黑體" w:eastAsia="華康中黑體"/>
          <w:b/>
          <w:sz w:val="28"/>
          <w:szCs w:val="28"/>
        </w:rPr>
        <w:t>書面答覆</w:t>
      </w:r>
    </w:p>
    <w:p>
      <w:pPr>
        <w:pStyle w:val="F21"/>
        <w:rPr/>
      </w:pPr>
      <w:r>
        <w:rPr/>
      </w:r>
    </w:p>
    <w:p>
      <w:pPr>
        <w:pStyle w:val="F21"/>
        <w:rPr>
          <w:rFonts w:ascii="華康中黑體" w:hAnsi="華康中黑體" w:eastAsia="華康中黑體"/>
          <w:b/>
          <w:b/>
        </w:rPr>
      </w:pPr>
      <w:r>
        <w:rPr>
          <w:rFonts w:ascii="華康中黑體" w:hAnsi="華康中黑體" w:eastAsia="華康中黑體"/>
          <w:b/>
        </w:rPr>
        <w:t>發展局局長就張宇人議員對第三項質詢的補充質詢所作書面答覆</w:t>
      </w:r>
    </w:p>
    <w:p>
      <w:pPr>
        <w:pStyle w:val="F21"/>
        <w:rPr>
          <w:szCs w:val="27"/>
        </w:rPr>
      </w:pPr>
      <w:r>
        <w:rPr>
          <w:szCs w:val="27"/>
        </w:rPr>
      </w:r>
    </w:p>
    <w:p>
      <w:pPr>
        <w:pStyle w:val="F21"/>
        <w:rPr>
          <w:szCs w:val="27"/>
        </w:rPr>
      </w:pPr>
      <w:r>
        <w:rPr>
          <w:szCs w:val="27"/>
        </w:rPr>
        <w:t>有關規管工廠食堂的法例，根據《食物業規例》</w:t>
      </w:r>
      <w:r>
        <w:rPr>
          <w:szCs w:val="27"/>
        </w:rPr>
        <w:t>(</w:t>
      </w:r>
      <w:r>
        <w:rPr>
          <w:szCs w:val="27"/>
        </w:rPr>
        <w:t>第</w:t>
      </w:r>
      <w:r>
        <w:rPr>
          <w:szCs w:val="27"/>
        </w:rPr>
        <w:t>132X</w:t>
      </w:r>
      <w:r>
        <w:rPr>
          <w:szCs w:val="27"/>
        </w:rPr>
        <w:t>章</w:t>
      </w:r>
      <w:r>
        <w:rPr>
          <w:szCs w:val="27"/>
        </w:rPr>
        <w:t>)</w:t>
      </w:r>
      <w:r>
        <w:rPr>
          <w:szCs w:val="27"/>
        </w:rPr>
        <w:t>，工廠食堂必須向食物環境衞生署</w:t>
      </w:r>
      <w:r>
        <w:rPr>
          <w:szCs w:val="27"/>
        </w:rPr>
        <w:t>(“</w:t>
      </w:r>
      <w:r>
        <w:rPr>
          <w:szCs w:val="27"/>
        </w:rPr>
        <w:t>食環署”</w:t>
      </w:r>
      <w:r>
        <w:rPr>
          <w:szCs w:val="27"/>
        </w:rPr>
        <w:t>)</w:t>
      </w:r>
      <w:r>
        <w:rPr>
          <w:szCs w:val="27"/>
        </w:rPr>
        <w:t>申領工廠食堂牌照。工廠食堂是指在工廠大廈內經營的食物業，業務性質是向受僱在大廈內任何工廠工作的工人，出售或供應膳食或不含酒精的非瓶裝飲品</w:t>
      </w:r>
      <w:r>
        <w:rPr>
          <w:szCs w:val="27"/>
        </w:rPr>
        <w:t>(</w:t>
      </w:r>
      <w:r>
        <w:rPr>
          <w:szCs w:val="27"/>
        </w:rPr>
        <w:t>不包括涼茶</w:t>
      </w:r>
      <w:r>
        <w:rPr>
          <w:szCs w:val="27"/>
        </w:rPr>
        <w:t>)</w:t>
      </w:r>
      <w:r>
        <w:rPr>
          <w:szCs w:val="27"/>
        </w:rPr>
        <w:t>，以供在樓宇內進食。相比其他同等面積的普通食肆，食環署對工廠食堂在食物及環境衞生方面的發牌要求，例如在食物室的面積及衞生設備等，相對較為寬鬆。</w:t>
      </w:r>
    </w:p>
    <w:p>
      <w:pPr>
        <w:pStyle w:val="F21"/>
        <w:rPr>
          <w:szCs w:val="27"/>
        </w:rPr>
      </w:pPr>
      <w:r>
        <w:rPr>
          <w:szCs w:val="27"/>
        </w:rPr>
      </w:r>
    </w:p>
    <w:p>
      <w:pPr>
        <w:pStyle w:val="Normal"/>
        <w:jc w:val="right"/>
        <w:rPr>
          <w:b/>
          <w:b/>
          <w:szCs w:val="28"/>
          <w:lang w:val="en-US"/>
        </w:rPr>
      </w:pPr>
      <w:r>
        <w:rPr>
          <w:b/>
          <w:szCs w:val="28"/>
          <w:lang w:val="en-US"/>
        </w:rPr>
        <w:t>Appendix I</w:t>
      </w:r>
      <w:r>
        <w:br w:type="page"/>
      </w:r>
    </w:p>
    <w:p>
      <w:pPr>
        <w:pStyle w:val="Normal"/>
        <w:overflowPunct w:val="true"/>
        <w:jc w:val="right"/>
        <w:rPr>
          <w:b/>
          <w:b/>
          <w:szCs w:val="28"/>
          <w:lang w:val="en-US"/>
        </w:rPr>
      </w:pPr>
      <w:r>
        <w:rPr>
          <w:b/>
          <w:szCs w:val="28"/>
          <w:lang w:val="en-US"/>
        </w:rPr>
      </w:r>
    </w:p>
    <w:p>
      <w:pPr>
        <w:pStyle w:val="Normal"/>
        <w:overflowPunct w:val="true"/>
        <w:jc w:val="center"/>
        <w:rPr>
          <w:b/>
          <w:b/>
          <w:szCs w:val="28"/>
          <w:lang w:val="en-US"/>
        </w:rPr>
      </w:pPr>
      <w:r>
        <w:rPr>
          <w:b/>
          <w:szCs w:val="28"/>
          <w:lang w:val="en-US"/>
        </w:rPr>
        <w:t>WRITTEN ANSWER</w:t>
      </w:r>
    </w:p>
    <w:p>
      <w:pPr>
        <w:pStyle w:val="Normal"/>
        <w:overflowPunct w:val="true"/>
        <w:jc w:val="center"/>
        <w:rPr>
          <w:b/>
          <w:b/>
          <w:szCs w:val="28"/>
          <w:lang w:val="en-US"/>
        </w:rPr>
      </w:pPr>
      <w:r>
        <w:rPr>
          <w:b/>
          <w:szCs w:val="28"/>
          <w:lang w:val="en-US"/>
        </w:rPr>
      </w:r>
    </w:p>
    <w:p>
      <w:pPr>
        <w:pStyle w:val="Normal"/>
        <w:overflowPunct w:val="true"/>
        <w:rPr>
          <w:b/>
          <w:b/>
          <w:szCs w:val="28"/>
          <w:lang w:val="en-US"/>
        </w:rPr>
      </w:pPr>
      <w:r>
        <w:rPr>
          <w:b/>
          <w:szCs w:val="28"/>
          <w:lang w:val="en-US"/>
        </w:rPr>
        <w:t>Written answer by the Secretary for Development to Mr Tommy CHEUNG's supplementary question to Question 3</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t>As regards reviewing the relevant legislation regulating factory canteens, under the Food Business Regulation (Cap. 132X), a factory canteen licence must be obtained from the Food and Environmental Hygiene Department (FEHD) for any food business in a factory building involving the sale or supply of meals or unbottled non-alcoholic drinks other than Chinese herb tea for consumption on the premises by persons employed in any factory in that factory building.  Compared with general restaurants of similar size, the FEHD has adopted more relaxed licensing requirements for factory canteens in areas of food and environmental hygiene, such as the size of food room and the provision of sanitary fitments.</w:t>
      </w:r>
    </w:p>
    <w:p>
      <w:pPr>
        <w:pStyle w:val="Normal"/>
        <w:overflowPunct w:val="true"/>
        <w:rPr>
          <w:szCs w:val="28"/>
          <w:lang w:val="en-US"/>
        </w:rPr>
      </w:pPr>
      <w:r>
        <w:rPr>
          <w:szCs w:val="28"/>
          <w:lang w:val="en-US"/>
        </w:rPr>
      </w:r>
    </w:p>
    <w:p>
      <w:pPr>
        <w:pStyle w:val="Normal"/>
        <w:overflowPunct w:val="true"/>
        <w:rPr>
          <w:szCs w:val="28"/>
          <w:lang w:val="en-US"/>
        </w:rPr>
      </w:pPr>
      <w:r>
        <w:rPr>
          <w:szCs w:val="28"/>
          <w:lang w:val="en-US"/>
        </w:rPr>
      </w:r>
    </w:p>
    <w:p>
      <w:pPr>
        <w:pStyle w:val="F21"/>
        <w:jc w:val="right"/>
        <w:rPr>
          <w:rFonts w:eastAsia="華康中黑體"/>
          <w:b/>
          <w:b/>
        </w:rPr>
      </w:pPr>
      <w:bookmarkStart w:id="105" w:name="app_II"/>
      <w:r>
        <w:rPr>
          <w:rFonts w:eastAsia="華康中黑體"/>
          <w:b/>
        </w:rPr>
        <w:t>附錄</w:t>
      </w:r>
      <w:r>
        <w:rPr>
          <w:rFonts w:eastAsia="華康中黑體"/>
          <w:b/>
        </w:rPr>
        <w:t>II</w:t>
      </w:r>
      <w:bookmarkEnd w:id="105"/>
      <w:r>
        <w:br w:type="page"/>
      </w:r>
    </w:p>
    <w:p>
      <w:pPr>
        <w:pStyle w:val="F21"/>
        <w:overflowPunct w:val="true"/>
        <w:rPr>
          <w:rFonts w:eastAsia="華康中黑體"/>
          <w:b/>
          <w:b/>
          <w:sz w:val="26"/>
        </w:rPr>
      </w:pPr>
      <w:r>
        <w:rPr>
          <w:rFonts w:eastAsia="華康中黑體"/>
          <w:b/>
          <w:sz w:val="26"/>
        </w:rPr>
      </w:r>
    </w:p>
    <w:p>
      <w:pPr>
        <w:pStyle w:val="F21"/>
        <w:overflowPunct w:val="true"/>
        <w:jc w:val="center"/>
        <w:rPr>
          <w:rFonts w:ascii="華康中黑體" w:hAnsi="華康中黑體" w:eastAsia="華康中黑體"/>
          <w:b/>
          <w:b/>
          <w:sz w:val="28"/>
          <w:szCs w:val="28"/>
        </w:rPr>
      </w:pPr>
      <w:r>
        <w:rPr>
          <w:rFonts w:ascii="華康中黑體" w:hAnsi="華康中黑體" w:eastAsia="華康中黑體"/>
          <w:b/>
          <w:sz w:val="28"/>
          <w:szCs w:val="28"/>
        </w:rPr>
        <w:t>書面答覆</w:t>
      </w:r>
    </w:p>
    <w:p>
      <w:pPr>
        <w:pStyle w:val="F21"/>
        <w:overflowPunct w:val="true"/>
        <w:rPr/>
      </w:pPr>
      <w:r>
        <w:rPr/>
      </w:r>
    </w:p>
    <w:p>
      <w:pPr>
        <w:pStyle w:val="F21"/>
        <w:overflowPunct w:val="true"/>
        <w:rPr>
          <w:rFonts w:ascii="華康中黑體" w:hAnsi="華康中黑體" w:eastAsia="華康中黑體"/>
          <w:b/>
          <w:b/>
        </w:rPr>
      </w:pPr>
      <w:r>
        <w:rPr>
          <w:rFonts w:ascii="華康中黑體" w:hAnsi="華康中黑體" w:eastAsia="華康中黑體"/>
          <w:b/>
        </w:rPr>
        <w:t>環境保護署署長就陳家洛議員對第六項質詢的補充質詢所作書面答覆</w:t>
      </w:r>
    </w:p>
    <w:p>
      <w:pPr>
        <w:pStyle w:val="F21"/>
        <w:overflowPunct w:val="true"/>
        <w:rPr>
          <w:szCs w:val="27"/>
        </w:rPr>
      </w:pPr>
      <w:r>
        <w:rPr>
          <w:szCs w:val="27"/>
        </w:rPr>
      </w:r>
    </w:p>
    <w:p>
      <w:pPr>
        <w:pStyle w:val="F21"/>
        <w:overflowPunct w:val="true"/>
        <w:rPr>
          <w:szCs w:val="27"/>
        </w:rPr>
      </w:pPr>
      <w:r>
        <w:rPr>
          <w:szCs w:val="27"/>
        </w:rPr>
        <w:t>有關政府車輛獲《汽車引擎空轉</w:t>
      </w:r>
      <w:r>
        <w:rPr>
          <w:szCs w:val="27"/>
        </w:rPr>
        <w:t>(</w:t>
      </w:r>
      <w:r>
        <w:rPr>
          <w:szCs w:val="27"/>
        </w:rPr>
        <w:t>定額罰款</w:t>
      </w:r>
      <w:r>
        <w:rPr>
          <w:szCs w:val="27"/>
        </w:rPr>
        <w:t>)</w:t>
      </w:r>
      <w:r>
        <w:rPr>
          <w:szCs w:val="27"/>
        </w:rPr>
        <w:t>條例》</w:t>
      </w:r>
      <w:r>
        <w:rPr>
          <w:szCs w:val="27"/>
        </w:rPr>
        <w:t>(</w:t>
      </w:r>
      <w:r>
        <w:rPr>
          <w:szCs w:val="27"/>
        </w:rPr>
        <w:t>第</w:t>
      </w:r>
      <w:r>
        <w:rPr>
          <w:szCs w:val="27"/>
        </w:rPr>
        <w:t>611</w:t>
      </w:r>
      <w:r>
        <w:rPr>
          <w:szCs w:val="27"/>
        </w:rPr>
        <w:t>章</w:t>
      </w:r>
      <w:r>
        <w:rPr>
          <w:szCs w:val="27"/>
        </w:rPr>
        <w:t>)(“</w:t>
      </w:r>
      <w:r>
        <w:rPr>
          <w:szCs w:val="27"/>
        </w:rPr>
        <w:t>《條例》”</w:t>
      </w:r>
      <w:r>
        <w:rPr>
          <w:szCs w:val="27"/>
        </w:rPr>
        <w:t>)</w:t>
      </w:r>
      <w:r>
        <w:rPr>
          <w:szCs w:val="27"/>
        </w:rPr>
        <w:t>豁免遵守停車熄匙規定，根據《條例》附表</w:t>
      </w:r>
      <w:r>
        <w:rPr>
          <w:szCs w:val="27"/>
        </w:rPr>
        <w:t>1</w:t>
      </w:r>
      <w:r>
        <w:rPr>
          <w:szCs w:val="27"/>
        </w:rPr>
        <w:t>第</w:t>
      </w:r>
      <w:r>
        <w:rPr>
          <w:szCs w:val="27"/>
        </w:rPr>
        <w:t>3</w:t>
      </w:r>
      <w:r>
        <w:rPr>
          <w:szCs w:val="27"/>
        </w:rPr>
        <w:t>條，屬於下列部門用作醫療、緊急或執法的車輛，在執行有關性質的公務時，可獲豁免遵守停車熄匙規定：</w:t>
      </w:r>
    </w:p>
    <w:p>
      <w:pPr>
        <w:pStyle w:val="F21"/>
        <w:overflowPunct w:val="true"/>
        <w:rPr>
          <w:szCs w:val="27"/>
        </w:rPr>
      </w:pPr>
      <w:r>
        <w:rPr>
          <w:szCs w:val="27"/>
        </w:rPr>
      </w:r>
    </w:p>
    <w:p>
      <w:pPr>
        <w:pStyle w:val="F21"/>
        <w:overflowPunct w:val="true"/>
        <w:rPr>
          <w:szCs w:val="27"/>
        </w:rPr>
      </w:pPr>
      <w:r>
        <w:rPr>
          <w:szCs w:val="27"/>
        </w:rPr>
        <w:t>a.</w:t>
        <w:tab/>
      </w:r>
      <w:r>
        <w:rPr>
          <w:szCs w:val="27"/>
        </w:rPr>
        <w:t>醫療輔助隊；</w:t>
      </w:r>
    </w:p>
    <w:p>
      <w:pPr>
        <w:pStyle w:val="F21"/>
        <w:overflowPunct w:val="true"/>
        <w:rPr>
          <w:szCs w:val="27"/>
        </w:rPr>
      </w:pPr>
      <w:r>
        <w:rPr>
          <w:szCs w:val="27"/>
        </w:rPr>
      </w:r>
    </w:p>
    <w:p>
      <w:pPr>
        <w:pStyle w:val="F21"/>
        <w:overflowPunct w:val="true"/>
        <w:rPr>
          <w:szCs w:val="27"/>
        </w:rPr>
      </w:pPr>
      <w:r>
        <w:rPr>
          <w:szCs w:val="27"/>
        </w:rPr>
        <w:t>b.</w:t>
        <w:tab/>
      </w:r>
      <w:r>
        <w:rPr>
          <w:szCs w:val="27"/>
        </w:rPr>
        <w:t>民眾安全服務隊；</w:t>
      </w:r>
    </w:p>
    <w:p>
      <w:pPr>
        <w:pStyle w:val="F21"/>
        <w:overflowPunct w:val="true"/>
        <w:rPr>
          <w:szCs w:val="27"/>
        </w:rPr>
      </w:pPr>
      <w:r>
        <w:rPr>
          <w:szCs w:val="27"/>
        </w:rPr>
      </w:r>
    </w:p>
    <w:p>
      <w:pPr>
        <w:pStyle w:val="F21"/>
        <w:overflowPunct w:val="true"/>
        <w:rPr>
          <w:szCs w:val="27"/>
        </w:rPr>
      </w:pPr>
      <w:r>
        <w:rPr>
          <w:szCs w:val="27"/>
        </w:rPr>
        <w:t>c.</w:t>
        <w:tab/>
      </w:r>
      <w:r>
        <w:rPr>
          <w:szCs w:val="27"/>
        </w:rPr>
        <w:t>懲教署；</w:t>
      </w:r>
    </w:p>
    <w:p>
      <w:pPr>
        <w:pStyle w:val="F21"/>
        <w:overflowPunct w:val="true"/>
        <w:rPr>
          <w:szCs w:val="27"/>
        </w:rPr>
      </w:pPr>
      <w:r>
        <w:rPr>
          <w:szCs w:val="27"/>
        </w:rPr>
      </w:r>
    </w:p>
    <w:p>
      <w:pPr>
        <w:pStyle w:val="F21"/>
        <w:overflowPunct w:val="true"/>
        <w:rPr>
          <w:szCs w:val="27"/>
        </w:rPr>
      </w:pPr>
      <w:r>
        <w:rPr>
          <w:szCs w:val="27"/>
        </w:rPr>
        <w:t>d.</w:t>
        <w:tab/>
      </w:r>
      <w:r>
        <w:rPr>
          <w:szCs w:val="27"/>
        </w:rPr>
        <w:t>香港海關；</w:t>
      </w:r>
    </w:p>
    <w:p>
      <w:pPr>
        <w:pStyle w:val="F21"/>
        <w:overflowPunct w:val="true"/>
        <w:rPr>
          <w:szCs w:val="27"/>
        </w:rPr>
      </w:pPr>
      <w:r>
        <w:rPr>
          <w:szCs w:val="27"/>
        </w:rPr>
      </w:r>
    </w:p>
    <w:p>
      <w:pPr>
        <w:pStyle w:val="F21"/>
        <w:overflowPunct w:val="true"/>
        <w:rPr>
          <w:szCs w:val="27"/>
        </w:rPr>
      </w:pPr>
      <w:r>
        <w:rPr>
          <w:szCs w:val="27"/>
        </w:rPr>
        <w:t>e.</w:t>
        <w:tab/>
      </w:r>
      <w:r>
        <w:rPr>
          <w:szCs w:val="27"/>
        </w:rPr>
        <w:t>消防處；</w:t>
      </w:r>
    </w:p>
    <w:p>
      <w:pPr>
        <w:pStyle w:val="F21"/>
        <w:overflowPunct w:val="true"/>
        <w:rPr>
          <w:szCs w:val="27"/>
        </w:rPr>
      </w:pPr>
      <w:r>
        <w:rPr>
          <w:szCs w:val="27"/>
        </w:rPr>
      </w:r>
    </w:p>
    <w:p>
      <w:pPr>
        <w:pStyle w:val="F21"/>
        <w:overflowPunct w:val="true"/>
        <w:rPr>
          <w:szCs w:val="27"/>
        </w:rPr>
      </w:pPr>
      <w:r>
        <w:rPr>
          <w:szCs w:val="27"/>
        </w:rPr>
        <w:t>f.</w:t>
        <w:tab/>
      </w:r>
      <w:r>
        <w:rPr>
          <w:szCs w:val="27"/>
        </w:rPr>
        <w:t>政府飛行服務隊；</w:t>
      </w:r>
    </w:p>
    <w:p>
      <w:pPr>
        <w:pStyle w:val="F21"/>
        <w:overflowPunct w:val="true"/>
        <w:rPr>
          <w:szCs w:val="27"/>
        </w:rPr>
      </w:pPr>
      <w:r>
        <w:rPr>
          <w:szCs w:val="27"/>
        </w:rPr>
      </w:r>
    </w:p>
    <w:p>
      <w:pPr>
        <w:pStyle w:val="F21"/>
        <w:overflowPunct w:val="true"/>
        <w:rPr>
          <w:szCs w:val="27"/>
        </w:rPr>
      </w:pPr>
      <w:r>
        <w:rPr>
          <w:szCs w:val="27"/>
        </w:rPr>
        <w:t>g.</w:t>
        <w:tab/>
      </w:r>
      <w:r>
        <w:rPr>
          <w:szCs w:val="27"/>
        </w:rPr>
        <w:t>香港警務處；</w:t>
      </w:r>
    </w:p>
    <w:p>
      <w:pPr>
        <w:pStyle w:val="F21"/>
        <w:overflowPunct w:val="true"/>
        <w:rPr>
          <w:szCs w:val="27"/>
        </w:rPr>
      </w:pPr>
      <w:r>
        <w:rPr>
          <w:szCs w:val="27"/>
        </w:rPr>
      </w:r>
    </w:p>
    <w:p>
      <w:pPr>
        <w:pStyle w:val="F21"/>
        <w:overflowPunct w:val="true"/>
        <w:rPr>
          <w:szCs w:val="27"/>
        </w:rPr>
      </w:pPr>
      <w:r>
        <w:rPr>
          <w:szCs w:val="27"/>
        </w:rPr>
        <w:t>h.</w:t>
        <w:tab/>
      </w:r>
      <w:r>
        <w:rPr>
          <w:szCs w:val="27"/>
        </w:rPr>
        <w:t>入境事務處；及</w:t>
      </w:r>
    </w:p>
    <w:p>
      <w:pPr>
        <w:pStyle w:val="F21"/>
        <w:overflowPunct w:val="true"/>
        <w:rPr>
          <w:szCs w:val="27"/>
        </w:rPr>
      </w:pPr>
      <w:r>
        <w:rPr>
          <w:szCs w:val="27"/>
        </w:rPr>
      </w:r>
    </w:p>
    <w:p>
      <w:pPr>
        <w:pStyle w:val="F21"/>
        <w:overflowPunct w:val="true"/>
        <w:rPr>
          <w:szCs w:val="27"/>
        </w:rPr>
      </w:pPr>
      <w:r>
        <w:rPr>
          <w:szCs w:val="27"/>
        </w:rPr>
        <w:t>i.</w:t>
        <w:tab/>
      </w:r>
      <w:r>
        <w:rPr>
          <w:szCs w:val="27"/>
        </w:rPr>
        <w:t>廉政公署</w:t>
      </w:r>
    </w:p>
    <w:p>
      <w:pPr>
        <w:pStyle w:val="F21"/>
        <w:overflowPunct w:val="true"/>
        <w:rPr>
          <w:szCs w:val="27"/>
        </w:rPr>
      </w:pPr>
      <w:r>
        <w:rPr>
          <w:szCs w:val="27"/>
        </w:rPr>
      </w:r>
    </w:p>
    <w:p>
      <w:pPr>
        <w:pStyle w:val="F21"/>
        <w:overflowPunct w:val="true"/>
        <w:rPr>
          <w:szCs w:val="27"/>
        </w:rPr>
      </w:pPr>
      <w:r>
        <w:rPr>
          <w:szCs w:val="27"/>
        </w:rPr>
        <w:t>現時政府車隊中約有</w:t>
      </w:r>
      <w:r>
        <w:rPr>
          <w:szCs w:val="27"/>
        </w:rPr>
        <w:t>55%</w:t>
      </w:r>
      <w:r>
        <w:rPr>
          <w:szCs w:val="27"/>
        </w:rPr>
        <w:t>的政府車輛</w:t>
      </w:r>
      <w:r>
        <w:rPr>
          <w:szCs w:val="27"/>
        </w:rPr>
        <w:t>(</w:t>
      </w:r>
      <w:r>
        <w:rPr>
          <w:szCs w:val="27"/>
        </w:rPr>
        <w:t>即</w:t>
      </w:r>
      <w:r>
        <w:rPr>
          <w:szCs w:val="27"/>
        </w:rPr>
        <w:t>3 472</w:t>
      </w:r>
      <w:r>
        <w:rPr>
          <w:szCs w:val="27"/>
        </w:rPr>
        <w:t>輛</w:t>
      </w:r>
      <w:r>
        <w:rPr>
          <w:szCs w:val="27"/>
        </w:rPr>
        <w:t>)</w:t>
      </w:r>
      <w:r>
        <w:rPr>
          <w:szCs w:val="27"/>
        </w:rPr>
        <w:t>在執行上述有關公務時，可獲豁免遵守停車熄匙規定。</w:t>
      </w:r>
    </w:p>
    <w:p>
      <w:pPr>
        <w:pStyle w:val="F21"/>
        <w:overflowPunct w:val="true"/>
        <w:rPr>
          <w:szCs w:val="27"/>
        </w:rPr>
      </w:pPr>
      <w:r>
        <w:rPr>
          <w:szCs w:val="27"/>
        </w:rPr>
      </w:r>
    </w:p>
    <w:p>
      <w:pPr>
        <w:pStyle w:val="F21"/>
        <w:overflowPunct w:val="true"/>
        <w:rPr>
          <w:szCs w:val="27"/>
        </w:rPr>
      </w:pPr>
      <w:r>
        <w:rPr>
          <w:szCs w:val="27"/>
        </w:rPr>
      </w:r>
    </w:p>
    <w:p>
      <w:pPr>
        <w:pStyle w:val="F21"/>
        <w:overflowPunct w:val="true"/>
        <w:rPr>
          <w:szCs w:val="27"/>
        </w:rPr>
      </w:pPr>
      <w:r>
        <w:rPr>
          <w:szCs w:val="27"/>
        </w:rPr>
      </w:r>
    </w:p>
    <w:p>
      <w:pPr>
        <w:pStyle w:val="Normal"/>
        <w:overflowPunct w:val="true"/>
        <w:jc w:val="right"/>
        <w:rPr>
          <w:b/>
          <w:b/>
          <w:lang w:val="en-US"/>
        </w:rPr>
      </w:pPr>
      <w:r>
        <w:rPr>
          <w:b/>
          <w:lang w:val="en-US"/>
        </w:rPr>
      </w:r>
    </w:p>
    <w:p>
      <w:pPr>
        <w:pStyle w:val="Normal"/>
        <w:jc w:val="right"/>
        <w:rPr>
          <w:b/>
          <w:b/>
        </w:rPr>
      </w:pPr>
      <w:r>
        <w:rPr>
          <w:b/>
        </w:rPr>
        <w:t>Appendix II</w:t>
      </w:r>
      <w:r>
        <w:br w:type="page"/>
      </w:r>
    </w:p>
    <w:p>
      <w:pPr>
        <w:pStyle w:val="Normal"/>
        <w:overflowPunct w:val="true"/>
        <w:jc w:val="right"/>
        <w:rPr>
          <w:b/>
          <w:b/>
        </w:rPr>
      </w:pPr>
      <w:r>
        <w:rPr>
          <w:b/>
        </w:rPr>
      </w:r>
    </w:p>
    <w:p>
      <w:pPr>
        <w:pStyle w:val="Normal"/>
        <w:overflowPunct w:val="true"/>
        <w:jc w:val="center"/>
        <w:rPr>
          <w:b/>
          <w:b/>
        </w:rPr>
      </w:pPr>
      <w:r>
        <w:rPr>
          <w:b/>
        </w:rPr>
        <w:t>WRITTEN ANSWER</w:t>
      </w:r>
    </w:p>
    <w:p>
      <w:pPr>
        <w:pStyle w:val="Normal"/>
        <w:overflowPunct w:val="true"/>
        <w:jc w:val="center"/>
        <w:rPr>
          <w:b/>
          <w:b/>
        </w:rPr>
      </w:pPr>
      <w:r>
        <w:rPr>
          <w:b/>
        </w:rPr>
      </w:r>
    </w:p>
    <w:p>
      <w:pPr>
        <w:pStyle w:val="Normal"/>
        <w:overflowPunct w:val="true"/>
        <w:rPr>
          <w:b/>
          <w:b/>
        </w:rPr>
      </w:pPr>
      <w:r>
        <w:rPr>
          <w:b/>
        </w:rPr>
        <w:t>Written answer by the Director of Environmental Protection to Dr Kenneth CHAN's supplementary question to Question 6</w:t>
      </w:r>
    </w:p>
    <w:p>
      <w:pPr>
        <w:pStyle w:val="Normal"/>
        <w:overflowPunct w:val="true"/>
        <w:rPr/>
      </w:pPr>
      <w:r>
        <w:rPr/>
      </w:r>
    </w:p>
    <w:p>
      <w:pPr>
        <w:pStyle w:val="Normal"/>
        <w:overflowPunct w:val="true"/>
        <w:rPr/>
      </w:pPr>
      <w:r>
        <w:rPr/>
        <w:t>As regards exemption of government vehicles from idling prohibition under the Motor Vehicle Idling (Fixed Penalty) Ordinance (Cap. 611) (the Ordinance), according to section 3 of Schedule 1 of the Ordinance, the idling ban does not apply to medical, emergency or law enforcement vehicles used by:</w:t>
      </w:r>
    </w:p>
    <w:p>
      <w:pPr>
        <w:pStyle w:val="Normal"/>
        <w:overflowPunct w:val="true"/>
        <w:rPr/>
      </w:pPr>
      <w:r>
        <w:rPr/>
      </w:r>
    </w:p>
    <w:p>
      <w:pPr>
        <w:pStyle w:val="Normal"/>
        <w:overflowPunct w:val="true"/>
        <w:rPr/>
      </w:pPr>
      <w:r>
        <w:rPr/>
        <w:t>a.</w:t>
        <w:tab/>
        <w:t>the Auxiliary Medical Service;</w:t>
      </w:r>
    </w:p>
    <w:p>
      <w:pPr>
        <w:pStyle w:val="Normal"/>
        <w:overflowPunct w:val="true"/>
        <w:rPr/>
      </w:pPr>
      <w:r>
        <w:rPr/>
      </w:r>
    </w:p>
    <w:p>
      <w:pPr>
        <w:pStyle w:val="Normal"/>
        <w:overflowPunct w:val="true"/>
        <w:rPr/>
      </w:pPr>
      <w:r>
        <w:rPr/>
        <w:t>b.</w:t>
        <w:tab/>
        <w:t>the Civil Aid Service;</w:t>
      </w:r>
    </w:p>
    <w:p>
      <w:pPr>
        <w:pStyle w:val="Normal"/>
        <w:overflowPunct w:val="true"/>
        <w:rPr/>
      </w:pPr>
      <w:r>
        <w:rPr/>
      </w:r>
    </w:p>
    <w:p>
      <w:pPr>
        <w:pStyle w:val="Normal"/>
        <w:overflowPunct w:val="true"/>
        <w:rPr/>
      </w:pPr>
      <w:r>
        <w:rPr/>
        <w:t>c.</w:t>
        <w:tab/>
        <w:t>the Correctional Services Department;</w:t>
      </w:r>
    </w:p>
    <w:p>
      <w:pPr>
        <w:pStyle w:val="Normal"/>
        <w:overflowPunct w:val="true"/>
        <w:rPr/>
      </w:pPr>
      <w:r>
        <w:rPr/>
      </w:r>
    </w:p>
    <w:p>
      <w:pPr>
        <w:pStyle w:val="Normal"/>
        <w:overflowPunct w:val="true"/>
        <w:rPr/>
      </w:pPr>
      <w:r>
        <w:rPr/>
        <w:t>d.</w:t>
        <w:tab/>
        <w:t>the Customs and Excise Department;</w:t>
      </w:r>
    </w:p>
    <w:p>
      <w:pPr>
        <w:pStyle w:val="Normal"/>
        <w:overflowPunct w:val="true"/>
        <w:rPr/>
      </w:pPr>
      <w:r>
        <w:rPr/>
      </w:r>
    </w:p>
    <w:p>
      <w:pPr>
        <w:pStyle w:val="Normal"/>
        <w:overflowPunct w:val="true"/>
        <w:rPr/>
      </w:pPr>
      <w:r>
        <w:rPr/>
        <w:t>e.</w:t>
        <w:tab/>
        <w:t>the Fire Services Department;</w:t>
      </w:r>
    </w:p>
    <w:p>
      <w:pPr>
        <w:pStyle w:val="Normal"/>
        <w:overflowPunct w:val="true"/>
        <w:rPr/>
      </w:pPr>
      <w:r>
        <w:rPr/>
      </w:r>
    </w:p>
    <w:p>
      <w:pPr>
        <w:pStyle w:val="Normal"/>
        <w:overflowPunct w:val="true"/>
        <w:rPr/>
      </w:pPr>
      <w:r>
        <w:rPr/>
        <w:t>f.</w:t>
        <w:tab/>
        <w:t>the Government Flying Service;</w:t>
      </w:r>
    </w:p>
    <w:p>
      <w:pPr>
        <w:pStyle w:val="Normal"/>
        <w:overflowPunct w:val="true"/>
        <w:rPr/>
      </w:pPr>
      <w:r>
        <w:rPr/>
      </w:r>
    </w:p>
    <w:p>
      <w:pPr>
        <w:pStyle w:val="Normal"/>
        <w:overflowPunct w:val="true"/>
        <w:rPr/>
      </w:pPr>
      <w:r>
        <w:rPr/>
        <w:t>g.</w:t>
        <w:tab/>
        <w:t>the Hong Kong Police Force;</w:t>
      </w:r>
    </w:p>
    <w:p>
      <w:pPr>
        <w:pStyle w:val="Normal"/>
        <w:overflowPunct w:val="true"/>
        <w:rPr/>
      </w:pPr>
      <w:r>
        <w:rPr/>
      </w:r>
    </w:p>
    <w:p>
      <w:pPr>
        <w:pStyle w:val="Normal"/>
        <w:overflowPunct w:val="true"/>
        <w:rPr/>
      </w:pPr>
      <w:r>
        <w:rPr/>
        <w:t>h.</w:t>
        <w:tab/>
        <w:t>the Immigration Department; and</w:t>
      </w:r>
    </w:p>
    <w:p>
      <w:pPr>
        <w:pStyle w:val="Normal"/>
        <w:overflowPunct w:val="true"/>
        <w:rPr/>
      </w:pPr>
      <w:r>
        <w:rPr/>
      </w:r>
    </w:p>
    <w:p>
      <w:pPr>
        <w:pStyle w:val="Normal"/>
        <w:overflowPunct w:val="true"/>
        <w:rPr/>
      </w:pPr>
      <w:r>
        <w:rPr/>
        <w:t>i.</w:t>
        <w:tab/>
        <w:t>the Independent Commission Against Corruption</w:t>
      </w:r>
    </w:p>
    <w:p>
      <w:pPr>
        <w:pStyle w:val="Normal"/>
        <w:overflowPunct w:val="true"/>
        <w:rPr/>
      </w:pPr>
      <w:r>
        <w:rPr/>
      </w:r>
    </w:p>
    <w:p>
      <w:pPr>
        <w:pStyle w:val="Normal"/>
        <w:overflowPunct w:val="true"/>
        <w:rPr/>
      </w:pPr>
      <w:r>
        <w:rPr/>
        <w:t>if idling the vehicle is necessary for conducting an operational activity related to medical, emergency or law enforcement purposes.  At present, about 55% government vehicles (that is, 3 472) are exempted from idling prohibition when conducting such operational activity.</w:t>
      </w:r>
    </w:p>
    <w:p>
      <w:pPr>
        <w:pStyle w:val="Normal"/>
        <w:overflowPunct w:val="true"/>
        <w:rPr/>
      </w:pPr>
      <w:r>
        <w:rPr/>
      </w:r>
    </w:p>
    <w:p>
      <w:pPr>
        <w:pStyle w:val="Normal"/>
        <w:overflowPunct w:val="true"/>
        <w:rPr/>
      </w:pPr>
      <w:r>
        <w:rPr/>
      </w:r>
    </w:p>
    <w:p>
      <w:pPr>
        <w:pStyle w:val="F21"/>
        <w:overflowPunct w:val="true"/>
        <w:rPr>
          <w:lang w:val="en-GB"/>
        </w:rPr>
      </w:pPr>
      <w:r>
        <w:rPr/>
      </w:r>
    </w:p>
    <w:sectPr>
      <w:headerReference w:type="default" r:id="rId10"/>
      <w:footnotePr>
        <w:numFmt w:val="decimal"/>
      </w:footnotePr>
      <w:type w:val="nextPage"/>
      <w:pgSz w:w="11906" w:h="16838"/>
      <w:pgMar w:left="1361" w:right="1332" w:header="907" w:top="964" w:footer="0" w:bottom="1077" w:gutter="0"/>
      <w:pgNumType w:start="1" w:fmt="decimal"/>
      <w:formProt w:val="false"/>
      <w:textDirection w:val="lrTb"/>
      <w:docGrid w:type="default" w:linePitch="367"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CG Times">
    <w:charset w:val="01"/>
    <w:family w:val="roman"/>
    <w:pitch w:val="variable"/>
  </w:font>
  <w:font w:name="Calibri">
    <w:charset w:val="01"/>
    <w:family w:val="roman"/>
    <w:pitch w:val="variable"/>
  </w:font>
  <w:font w:name="Liberation Sans">
    <w:altName w:val="Arial"/>
    <w:charset w:val="01"/>
    <w:family w:val="swiss"/>
    <w:pitch w:val="variable"/>
  </w:font>
  <w:font w:name="華康中黑體">
    <w:charset w:val="01"/>
    <w:family w:val="roman"/>
    <w:pitch w:val="variable"/>
  </w:font>
  <w:font w:name="華康細明體">
    <w:charset w:val="01"/>
    <w:family w:val="roman"/>
    <w:pitch w:val="variable"/>
  </w:font>
  <w:font w:name="細明體">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lineRule="auto" w:line="240"/>
        <w:ind w:left="567" w:hanging="567"/>
        <w:rPr>
          <w:spacing w:val="20"/>
        </w:rPr>
      </w:pPr>
      <w:r>
        <w:rPr>
          <w:rStyle w:val="FootnoteCharacters"/>
        </w:rPr>
        <w:t>(1)</w:t>
      </w:r>
      <w:r>
        <w:rPr>
          <w:rStyle w:val="FootnoteCharacters"/>
          <w:spacing w:val="20"/>
          <w:position w:val="0"/>
          <w:sz w:val="20"/>
          <w:vertAlign w:val="baseline"/>
        </w:rPr>
        <w:tab/>
        <w:t>(1)</w:t>
      </w:r>
      <w:r>
        <w:rPr>
          <w:spacing w:val="20"/>
        </w:rPr>
        <w:t>該報告中，小型企業是指僱用少於</w:t>
      </w:r>
      <w:r>
        <w:rPr>
          <w:spacing w:val="20"/>
        </w:rPr>
        <w:t>20</w:t>
      </w:r>
      <w:r>
        <w:rPr>
          <w:spacing w:val="20"/>
        </w:rPr>
        <w:t>人的企業。</w:t>
      </w:r>
    </w:p>
    <w:p>
      <w:pPr>
        <w:pStyle w:val="Footnote"/>
        <w:spacing w:lineRule="auto" w:line="240"/>
        <w:ind w:left="567" w:hanging="567"/>
        <w:rPr>
          <w:spacing w:val="20"/>
        </w:rPr>
      </w:pPr>
      <w:r>
        <w:rPr/>
      </w:r>
    </w:p>
  </w:footnote>
  <w:footnote w:id="3">
    <w:p>
      <w:pPr>
        <w:pStyle w:val="Footnote"/>
        <w:spacing w:lineRule="auto" w:line="240"/>
        <w:ind w:left="567" w:hanging="567"/>
        <w:rPr>
          <w:spacing w:val="20"/>
        </w:rPr>
      </w:pPr>
      <w:r>
        <w:rPr>
          <w:rStyle w:val="FootnoteCharacters"/>
        </w:rPr>
        <w:t>(2)</w:t>
      </w:r>
      <w:r>
        <w:rPr>
          <w:rStyle w:val="FootnoteCharacters"/>
          <w:spacing w:val="20"/>
          <w:position w:val="0"/>
          <w:sz w:val="20"/>
          <w:vertAlign w:val="baseline"/>
        </w:rPr>
        <w:tab/>
        <w:t>(2)</w:t>
      </w:r>
      <w:r>
        <w:rPr>
          <w:spacing w:val="20"/>
        </w:rPr>
        <w:t>中小企指任何從事製造業而在本港僱用少於</w:t>
      </w:r>
      <w:r>
        <w:rPr>
          <w:spacing w:val="20"/>
        </w:rPr>
        <w:t>100</w:t>
      </w:r>
      <w:r>
        <w:rPr>
          <w:spacing w:val="20"/>
        </w:rPr>
        <w:t>人的企業，或任何從事非製造業而在本港僱用少於</w:t>
      </w:r>
      <w:r>
        <w:rPr>
          <w:spacing w:val="20"/>
        </w:rPr>
        <w:t>50</w:t>
      </w:r>
      <w:r>
        <w:rPr>
          <w:spacing w:val="20"/>
        </w:rPr>
        <w:t>人的企業。</w:t>
      </w:r>
    </w:p>
  </w:footnote>
  <w:footnote w:id="4">
    <w:p>
      <w:pPr>
        <w:pStyle w:val="Footnote"/>
        <w:spacing w:lineRule="auto" w:line="240"/>
        <w:ind w:left="567" w:hanging="567"/>
        <w:rPr>
          <w:spacing w:val="20"/>
        </w:rPr>
      </w:pPr>
      <w:r>
        <w:rPr>
          <w:rStyle w:val="FootnoteCharacters"/>
        </w:rPr>
        <w:t>(1)</w:t>
      </w:r>
      <w:r>
        <w:rPr>
          <w:rStyle w:val="FootnoteCharacters"/>
          <w:spacing w:val="20"/>
          <w:position w:val="0"/>
          <w:sz w:val="20"/>
          <w:vertAlign w:val="baseline"/>
        </w:rPr>
        <w:tab/>
        <w:t>(1)</w:t>
      </w:r>
      <w:r>
        <w:rPr>
          <w:spacing w:val="20"/>
        </w:rPr>
        <w:t>醫管局未有備存</w:t>
      </w:r>
      <w:r>
        <w:rPr>
          <w:spacing w:val="20"/>
        </w:rPr>
        <w:t>2008-2009</w:t>
      </w:r>
      <w:r>
        <w:rPr>
          <w:spacing w:val="20"/>
        </w:rPr>
        <w:t>和</w:t>
      </w:r>
      <w:r>
        <w:rPr>
          <w:spacing w:val="20"/>
        </w:rPr>
        <w:t>2009-2010</w:t>
      </w:r>
      <w:r>
        <w:rPr>
          <w:spacing w:val="20"/>
        </w:rPr>
        <w:t>年度的數據。</w:t>
      </w:r>
    </w:p>
  </w:footnote>
  <w:footnote w:id="5">
    <w:p>
      <w:pPr>
        <w:pStyle w:val="Footnote"/>
        <w:spacing w:lineRule="auto" w:line="240"/>
        <w:ind w:left="567" w:hanging="567"/>
        <w:rPr>
          <w:spacing w:val="20"/>
        </w:rPr>
      </w:pPr>
      <w:r>
        <w:rPr>
          <w:rStyle w:val="FootnoteCharacters"/>
        </w:rPr>
        <w:t>(1)</w:t>
      </w:r>
      <w:r>
        <w:rPr>
          <w:rStyle w:val="FootnoteCharacters"/>
          <w:spacing w:val="20"/>
          <w:position w:val="0"/>
          <w:sz w:val="20"/>
          <w:vertAlign w:val="baseline"/>
        </w:rPr>
        <w:tab/>
        <w:t>(1)</w:t>
      </w:r>
      <w:r>
        <w:rPr>
          <w:spacing w:val="20"/>
        </w:rPr>
        <w:t>LeighFisher</w:t>
      </w:r>
      <w:r>
        <w:rPr>
          <w:spacing w:val="20"/>
        </w:rPr>
        <w:t>是總部位於英國的全球性管理諮詢公司，成立於</w:t>
      </w:r>
      <w:r>
        <w:rPr>
          <w:spacing w:val="20"/>
        </w:rPr>
        <w:t>1946</w:t>
      </w:r>
      <w:r>
        <w:rPr>
          <w:spacing w:val="20"/>
        </w:rPr>
        <w:t>年。該公司每年出版的“機場收費檢討”報告在國際相關的研究中廣泛引用和參考。</w:t>
      </w:r>
    </w:p>
  </w:footnote>
  <w:footnote w:id="6">
    <w:p>
      <w:pPr>
        <w:pStyle w:val="Footnote"/>
        <w:spacing w:lineRule="auto" w:line="240"/>
        <w:ind w:left="567" w:hanging="567"/>
        <w:rPr>
          <w:spacing w:val="20"/>
        </w:rPr>
      </w:pPr>
      <w:r>
        <w:rPr>
          <w:rStyle w:val="FootnoteCharacters"/>
        </w:rPr>
        <w:t>(2)</w:t>
      </w:r>
      <w:r>
        <w:rPr>
          <w:spacing w:val="20"/>
        </w:rPr>
      </w:r>
    </w:p>
    <w:p>
      <w:pPr>
        <w:pStyle w:val="Footnote"/>
        <w:spacing w:lineRule="auto" w:line="240"/>
        <w:ind w:left="567" w:hanging="567"/>
        <w:rPr>
          <w:spacing w:val="20"/>
        </w:rPr>
      </w:pPr>
      <w:r>
        <w:rPr>
          <w:rStyle w:val="FootnoteCharacters"/>
          <w:spacing w:val="20"/>
          <w:position w:val="0"/>
          <w:sz w:val="20"/>
          <w:vertAlign w:val="baseline"/>
        </w:rPr>
        <w:tab/>
        <w:t>(2)</w:t>
      </w:r>
      <w:r>
        <w:rPr>
          <w:spacing w:val="20"/>
        </w:rPr>
        <w:t>機場整體收費包含着陸費、停泊費及客運大樓費等。</w:t>
      </w:r>
    </w:p>
  </w:footnote>
  <w:footnote w:id="7">
    <w:p>
      <w:pPr>
        <w:pStyle w:val="Footnote"/>
        <w:ind w:left="567" w:hanging="567"/>
        <w:rPr/>
      </w:pPr>
      <w:r>
        <w:rPr>
          <w:rStyle w:val="FootnoteCharacters"/>
        </w:rPr>
        <w:t>1</w:t>
      </w:r>
      <w:r>
        <w:rPr/>
      </w:r>
    </w:p>
    <w:p>
      <w:pPr>
        <w:pStyle w:val="Footnote"/>
        <w:snapToGrid w:val="false"/>
        <w:spacing w:lineRule="auto" w:line="240"/>
        <w:ind w:left="567" w:hanging="567"/>
        <w:rPr>
          <w:lang w:val="en-US"/>
        </w:rPr>
      </w:pPr>
      <w:r>
        <w:rPr>
          <w:rStyle w:val="FootnoteCharacters"/>
        </w:rPr>
        <w:tab/>
        <w:t>1</w:t>
      </w:r>
      <w:r>
        <w:rPr/>
        <w:t>改為“弛”。</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21"/>
      <w:ind w:right="-28" w:hanging="0"/>
      <w:jc w:val="center"/>
      <w:rPr/>
    </w:pPr>
    <w:r>
      <w:rPr/>
      <w:t xml:space="preserve">立法會 ─ </w:t>
    </w:r>
    <w:r>
      <w:rPr>
        <w:rFonts w:eastAsia="華康中黑體" w:cs="Times New Roman"/>
        <w:b/>
      </w:rPr>
      <w:t>2013</w:t>
    </w:r>
    <w:r>
      <w:rPr>
        <w:rFonts w:cs="Times New Roman" w:eastAsia="華康中黑體"/>
        <w:b/>
      </w:rPr>
      <w:t>年</w:t>
    </w:r>
    <w:r>
      <w:rPr>
        <w:rFonts w:eastAsia="華康中黑體" w:cs="Times New Roman"/>
        <w:b/>
      </w:rPr>
      <w:t>12</w:t>
    </w:r>
    <w:r>
      <w:rPr>
        <w:rFonts w:cs="Times New Roman" w:eastAsia="華康中黑體"/>
        <w:b/>
      </w:rPr>
      <w:t>月</w:t>
    </w:r>
    <w:r>
      <w:rPr>
        <w:rFonts w:eastAsia="華康中黑體" w:cs="Times New Roman"/>
        <w:b/>
      </w:rPr>
      <w:t>18</w:t>
    </w:r>
    <w:r>
      <w:rPr>
        <w:rFonts w:cs="Times New Roman" w:eastAsia="華康中黑體"/>
        <w:b/>
      </w:rPr>
      <w:t>日</w:t>
    </w:r>
    <w:r>
      <mc:AlternateContent>
        <mc:Choice Requires="wps">
          <w:drawing>
            <wp:anchor behindDoc="0" distT="0" distB="0" distL="0" distR="0" simplePos="0" locked="0" layoutInCell="1" allowOverlap="1" relativeHeight="536">
              <wp:simplePos x="0" y="0"/>
              <wp:positionH relativeFrom="margin">
                <wp:align>outside</wp:align>
              </wp:positionH>
              <wp:positionV relativeFrom="paragraph">
                <wp:posOffset>216535</wp:posOffset>
              </wp:positionV>
              <wp:extent cx="273685" cy="228600"/>
              <wp:effectExtent l="0" t="0" r="0" b="0"/>
              <wp:wrapSquare wrapText="largest"/>
              <wp:docPr id="12" name="Frame1"/>
              <a:graphic xmlns:a="http://schemas.openxmlformats.org/drawingml/2006/main">
                <a:graphicData uri="http://schemas.microsoft.com/office/word/2010/wordprocessingShape">
                  <wps:wsp>
                    <wps:cNvSpPr txBox="1"/>
                    <wps:spPr>
                      <a:xfrm>
                        <a:off x="0" y="0"/>
                        <a:ext cx="273685" cy="228600"/>
                      </a:xfrm>
                      <a:prstGeom prst="rect"/>
                      <a:solidFill>
                        <a:srgbClr val="FFFFFF">
                          <a:alpha val="0"/>
                        </a:srgbClr>
                      </a:solidFill>
                    </wps:spPr>
                    <wps:txbx>
                      <w:txbxContent>
                        <w:p>
                          <w:pPr>
                            <w:pStyle w:val="Header"/>
                            <w:pBdr/>
                            <w:rPr>
                              <w:rStyle w:val="Pagenumber"/>
                              <w:spacing w:val="20"/>
                              <w:sz w:val="26"/>
                              <w:szCs w:val="26"/>
                            </w:rPr>
                          </w:pPr>
                          <w:r>
                            <w:rPr>
                              <w:rStyle w:val="Pagenumber"/>
                              <w:spacing w:val="20"/>
                              <w:sz w:val="26"/>
                              <w:szCs w:val="26"/>
                            </w:rPr>
                            <w:fldChar w:fldCharType="begin"/>
                          </w:r>
                          <w:r>
                            <w:rPr>
                              <w:rStyle w:val="Pagenumber"/>
                              <w:sz w:val="26"/>
                              <w:spacing w:val="20"/>
                              <w:szCs w:val="26"/>
                            </w:rPr>
                            <w:instrText> PAGE </w:instrText>
                          </w:r>
                          <w:r>
                            <w:rPr>
                              <w:rStyle w:val="Pagenumber"/>
                              <w:sz w:val="26"/>
                              <w:spacing w:val="20"/>
                              <w:szCs w:val="26"/>
                            </w:rPr>
                            <w:fldChar w:fldCharType="separate"/>
                          </w:r>
                          <w:r>
                            <w:rPr>
                              <w:rStyle w:val="Pagenumber"/>
                              <w:sz w:val="26"/>
                              <w:spacing w:val="20"/>
                              <w:szCs w:val="26"/>
                            </w:rPr>
                            <w:t>8</w:t>
                          </w:r>
                          <w:r>
                            <w:rPr>
                              <w:rStyle w:val="Pagenumber"/>
                              <w:sz w:val="26"/>
                              <w:spacing w:val="20"/>
                              <w:szCs w:val="26"/>
                            </w:rPr>
                            <w:fldChar w:fldCharType="end"/>
                          </w:r>
                        </w:p>
                      </w:txbxContent>
                    </wps:txbx>
                    <wps:bodyPr anchor="t" lIns="0" tIns="0" rIns="0" bIns="0">
                      <a:spAutoFit/>
                    </wps:bodyPr>
                  </wps:wsp>
                </a:graphicData>
              </a:graphic>
            </wp:anchor>
          </w:drawing>
        </mc:Choice>
        <mc:Fallback>
          <w:pict>
            <v:rect fillcolor="#FFFFFF" style="position:absolute;rotation:0;width:21.55pt;height:18pt;mso-wrap-distance-left:0pt;mso-wrap-distance-right:0pt;mso-wrap-distance-top:0pt;mso-wrap-distance-bottom:0pt;margin-top:17.05pt;mso-position-vertical-relative:text;margin-left:0pt;mso-position-horizontal:outside;mso-position-horizontal-relative:margin">
              <v:fill opacity="0f"/>
              <v:textbox inset="0in,0in,0in,0in">
                <w:txbxContent>
                  <w:p>
                    <w:pPr>
                      <w:pStyle w:val="Header"/>
                      <w:pBdr/>
                      <w:rPr>
                        <w:rStyle w:val="Pagenumber"/>
                        <w:spacing w:val="20"/>
                        <w:sz w:val="26"/>
                        <w:szCs w:val="26"/>
                      </w:rPr>
                    </w:pPr>
                    <w:r>
                      <w:rPr>
                        <w:rStyle w:val="Pagenumber"/>
                        <w:spacing w:val="20"/>
                        <w:sz w:val="26"/>
                        <w:szCs w:val="26"/>
                      </w:rPr>
                      <w:fldChar w:fldCharType="begin"/>
                    </w:r>
                    <w:r>
                      <w:rPr>
                        <w:rStyle w:val="Pagenumber"/>
                        <w:sz w:val="26"/>
                        <w:spacing w:val="20"/>
                        <w:szCs w:val="26"/>
                      </w:rPr>
                      <w:instrText> PAGE </w:instrText>
                    </w:r>
                    <w:r>
                      <w:rPr>
                        <w:rStyle w:val="Pagenumber"/>
                        <w:sz w:val="26"/>
                        <w:spacing w:val="20"/>
                        <w:szCs w:val="26"/>
                      </w:rPr>
                      <w:fldChar w:fldCharType="separate"/>
                    </w:r>
                    <w:r>
                      <w:rPr>
                        <w:rStyle w:val="Pagenumber"/>
                        <w:sz w:val="26"/>
                        <w:spacing w:val="20"/>
                        <w:szCs w:val="26"/>
                      </w:rPr>
                      <w:t>8</w:t>
                    </w:r>
                    <w:r>
                      <w:rPr>
                        <w:rStyle w:val="Pagenumber"/>
                        <w:sz w:val="26"/>
                        <w:spacing w:val="20"/>
                        <w:szCs w:val="26"/>
                      </w:rPr>
                      <w:fldChar w:fldCharType="end"/>
                    </w:r>
                  </w:p>
                </w:txbxContent>
              </v:textbox>
              <w10:wrap type="square" side="largest"/>
            </v:rect>
          </w:pict>
        </mc:Fallback>
      </mc:AlternateContent>
    </w:r>
  </w:p>
  <w:p>
    <w:pPr>
      <w:pStyle w:val="Normal"/>
      <w:ind w:right="-26" w:hanging="0"/>
      <w:jc w:val="center"/>
      <w:rPr/>
    </w:pPr>
    <w:r>
      <w:rPr/>
      <w:t xml:space="preserve">LEGISLATIVE COUNCIL ─ </w:t>
    </w:r>
    <w:r>
      <w:rPr>
        <w:b/>
      </w:rPr>
      <w:t>18 December 2013</w:t>
    </w:r>
  </w:p>
  <w:p>
    <w:pPr>
      <w:pStyle w:val="Normal"/>
      <w:pBdr>
        <w:top w:val="single" w:sz="6" w:space="1" w:color="000000"/>
      </w:pBd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21"/>
      <w:ind w:right="-28" w:hanging="0"/>
      <w:jc w:val="center"/>
      <w:rPr/>
    </w:pPr>
    <w:r>
      <w:rPr/>
      <w:t xml:space="preserve">立法會 ─ </w:t>
    </w:r>
    <w:r>
      <w:rPr>
        <w:rFonts w:eastAsia="華康中黑體" w:cs="Times New Roman"/>
        <w:b/>
      </w:rPr>
      <w:t>2013</w:t>
    </w:r>
    <w:r>
      <w:rPr>
        <w:rFonts w:cs="Times New Roman" w:eastAsia="華康中黑體"/>
        <w:b/>
      </w:rPr>
      <w:t>年</w:t>
    </w:r>
    <w:r>
      <w:rPr>
        <w:rFonts w:eastAsia="華康中黑體" w:cs="Times New Roman"/>
        <w:b/>
      </w:rPr>
      <w:t>12</w:t>
    </w:r>
    <w:r>
      <w:rPr>
        <w:rFonts w:cs="Times New Roman" w:eastAsia="華康中黑體"/>
        <w:b/>
      </w:rPr>
      <w:t>月</w:t>
    </w:r>
    <w:r>
      <w:rPr>
        <w:rFonts w:eastAsia="華康中黑體" w:cs="Times New Roman"/>
        <w:b/>
      </w:rPr>
      <w:t>18</w:t>
    </w:r>
    <w:r>
      <w:rPr>
        <w:rFonts w:cs="Times New Roman" w:eastAsia="華康中黑體"/>
        <w:b/>
      </w:rPr>
      <w:t>日</w:t>
    </w:r>
    <w:r>
      <mc:AlternateContent>
        <mc:Choice Requires="wps">
          <w:drawing>
            <wp:anchor behindDoc="0" distT="0" distB="0" distL="0" distR="0" simplePos="0" locked="0" layoutInCell="1" allowOverlap="1" relativeHeight="540">
              <wp:simplePos x="0" y="0"/>
              <wp:positionH relativeFrom="margin">
                <wp:align>outside</wp:align>
              </wp:positionH>
              <wp:positionV relativeFrom="paragraph">
                <wp:posOffset>216535</wp:posOffset>
              </wp:positionV>
              <wp:extent cx="215265" cy="228600"/>
              <wp:effectExtent l="0" t="0" r="0" b="0"/>
              <wp:wrapSquare wrapText="largest"/>
              <wp:docPr id="13" name="Frame2"/>
              <a:graphic xmlns:a="http://schemas.openxmlformats.org/drawingml/2006/main">
                <a:graphicData uri="http://schemas.microsoft.com/office/word/2010/wordprocessingShape">
                  <wps:wsp>
                    <wps:cNvSpPr txBox="1"/>
                    <wps:spPr>
                      <a:xfrm>
                        <a:off x="0" y="0"/>
                        <a:ext cx="215265" cy="228600"/>
                      </a:xfrm>
                      <a:prstGeom prst="rect"/>
                      <a:solidFill>
                        <a:srgbClr val="FFFFFF">
                          <a:alpha val="0"/>
                        </a:srgbClr>
                      </a:solidFill>
                    </wps:spPr>
                    <wps:txbx>
                      <w:txbxContent>
                        <w:p>
                          <w:pPr>
                            <w:pStyle w:val="Header"/>
                            <w:pBdr/>
                            <w:rPr>
                              <w:rStyle w:val="Pagenumber"/>
                              <w:spacing w:val="20"/>
                              <w:sz w:val="26"/>
                              <w:szCs w:val="26"/>
                            </w:rPr>
                          </w:pPr>
                          <w:r>
                            <w:rPr>
                              <w:rStyle w:val="Pagenumber"/>
                              <w:spacing w:val="20"/>
                              <w:sz w:val="26"/>
                              <w:szCs w:val="26"/>
                            </w:rPr>
                            <w:t>A</w:t>
                          </w:r>
                          <w:r>
                            <w:rPr>
                              <w:rStyle w:val="Pagenumber"/>
                              <w:spacing w:val="20"/>
                              <w:sz w:val="26"/>
                              <w:szCs w:val="26"/>
                            </w:rPr>
                            <w:fldChar w:fldCharType="begin"/>
                          </w:r>
                          <w:r>
                            <w:rPr>
                              <w:rStyle w:val="Pagenumber"/>
                              <w:sz w:val="26"/>
                              <w:spacing w:val="20"/>
                              <w:szCs w:val="26"/>
                            </w:rPr>
                            <w:instrText> PAGE </w:instrText>
                          </w:r>
                          <w:r>
                            <w:rPr>
                              <w:rStyle w:val="Pagenumber"/>
                              <w:sz w:val="26"/>
                              <w:spacing w:val="20"/>
                              <w:szCs w:val="26"/>
                            </w:rPr>
                            <w:fldChar w:fldCharType="separate"/>
                          </w:r>
                          <w:r>
                            <w:rPr>
                              <w:rStyle w:val="Pagenumber"/>
                              <w:sz w:val="26"/>
                              <w:spacing w:val="20"/>
                              <w:szCs w:val="26"/>
                            </w:rPr>
                            <w:t>4</w:t>
                          </w:r>
                          <w:r>
                            <w:rPr>
                              <w:rStyle w:val="Pagenumber"/>
                              <w:sz w:val="26"/>
                              <w:spacing w:val="20"/>
                              <w:szCs w:val="26"/>
                            </w:rPr>
                            <w:fldChar w:fldCharType="end"/>
                          </w:r>
                        </w:p>
                      </w:txbxContent>
                    </wps:txbx>
                    <wps:bodyPr anchor="t" lIns="0" tIns="0" rIns="0" bIns="0">
                      <a:spAutoFit/>
                    </wps:bodyPr>
                  </wps:wsp>
                </a:graphicData>
              </a:graphic>
            </wp:anchor>
          </w:drawing>
        </mc:Choice>
        <mc:Fallback>
          <w:pict>
            <v:rect fillcolor="#FFFFFF" style="position:absolute;rotation:0;width:16.95pt;height:18pt;mso-wrap-distance-left:0pt;mso-wrap-distance-right:0pt;mso-wrap-distance-top:0pt;mso-wrap-distance-bottom:0pt;margin-top:17.05pt;mso-position-vertical-relative:text;margin-left:0pt;mso-position-horizontal:outside;mso-position-horizontal-relative:margin">
              <v:fill opacity="0f"/>
              <v:textbox inset="0in,0in,0in,0in">
                <w:txbxContent>
                  <w:p>
                    <w:pPr>
                      <w:pStyle w:val="Header"/>
                      <w:pBdr/>
                      <w:rPr>
                        <w:rStyle w:val="Pagenumber"/>
                        <w:spacing w:val="20"/>
                        <w:sz w:val="26"/>
                        <w:szCs w:val="26"/>
                      </w:rPr>
                    </w:pPr>
                    <w:r>
                      <w:rPr>
                        <w:rStyle w:val="Pagenumber"/>
                        <w:spacing w:val="20"/>
                        <w:sz w:val="26"/>
                        <w:szCs w:val="26"/>
                      </w:rPr>
                      <w:t>A</w:t>
                    </w:r>
                    <w:r>
                      <w:rPr>
                        <w:rStyle w:val="Pagenumber"/>
                        <w:spacing w:val="20"/>
                        <w:sz w:val="26"/>
                        <w:szCs w:val="26"/>
                      </w:rPr>
                      <w:fldChar w:fldCharType="begin"/>
                    </w:r>
                    <w:r>
                      <w:rPr>
                        <w:rStyle w:val="Pagenumber"/>
                        <w:sz w:val="26"/>
                        <w:spacing w:val="20"/>
                        <w:szCs w:val="26"/>
                      </w:rPr>
                      <w:instrText> PAGE </w:instrText>
                    </w:r>
                    <w:r>
                      <w:rPr>
                        <w:rStyle w:val="Pagenumber"/>
                        <w:sz w:val="26"/>
                        <w:spacing w:val="20"/>
                        <w:szCs w:val="26"/>
                      </w:rPr>
                      <w:fldChar w:fldCharType="separate"/>
                    </w:r>
                    <w:r>
                      <w:rPr>
                        <w:rStyle w:val="Pagenumber"/>
                        <w:sz w:val="26"/>
                        <w:spacing w:val="20"/>
                        <w:szCs w:val="26"/>
                      </w:rPr>
                      <w:t>4</w:t>
                    </w:r>
                    <w:r>
                      <w:rPr>
                        <w:rStyle w:val="Pagenumber"/>
                        <w:sz w:val="26"/>
                        <w:spacing w:val="20"/>
                        <w:szCs w:val="26"/>
                      </w:rPr>
                      <w:fldChar w:fldCharType="end"/>
                    </w:r>
                  </w:p>
                </w:txbxContent>
              </v:textbox>
              <w10:wrap type="square" side="largest"/>
            </v:rect>
          </w:pict>
        </mc:Fallback>
      </mc:AlternateContent>
    </w:r>
  </w:p>
  <w:p>
    <w:pPr>
      <w:pStyle w:val="Normal"/>
      <w:ind w:right="-26" w:hanging="0"/>
      <w:jc w:val="center"/>
      <w:rPr/>
    </w:pPr>
    <w:r>
      <w:rPr/>
      <w:t xml:space="preserve">LEGISLATIVE COUNCIL ─ </w:t>
    </w:r>
    <w:r>
      <w:rPr>
        <w:b/>
      </w:rPr>
      <w:t>18 December 2013</w:t>
    </w:r>
  </w:p>
  <w:p>
    <w:pPr>
      <w:pStyle w:val="Normal"/>
      <w:pBdr>
        <w:top w:val="single" w:sz="6" w:space="1" w:color="000000"/>
      </w:pBd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360" w:hanging="360"/>
      </w:pPr>
    </w:lvl>
    <w:lvl w:ilvl="1">
      <w:start w:val="1"/>
      <w:numFmt w:val="ideographTraditional"/>
      <w:lvlText w:val="%2、"/>
      <w:lvlJc w:val="left"/>
      <w:pPr>
        <w:tabs>
          <w:tab w:val="num" w:pos="0"/>
        </w:tabs>
        <w:ind w:left="960" w:hanging="480"/>
      </w:pPr>
    </w:lvl>
    <w:lvl w:ilvl="2">
      <w:start w:val="1"/>
      <w:numFmt w:val="lowerRoman"/>
      <w:lvlText w:val="%3."/>
      <w:lvlJc w:val="right"/>
      <w:pPr>
        <w:tabs>
          <w:tab w:val="num" w:pos="0"/>
        </w:tabs>
        <w:ind w:left="1440" w:hanging="480"/>
      </w:pPr>
    </w:lvl>
    <w:lvl w:ilvl="3">
      <w:start w:val="1"/>
      <w:numFmt w:val="decimal"/>
      <w:lvlText w:val="%4."/>
      <w:lvlJc w:val="left"/>
      <w:pPr>
        <w:tabs>
          <w:tab w:val="num" w:pos="0"/>
        </w:tabs>
        <w:ind w:left="1920" w:hanging="480"/>
      </w:pPr>
    </w:lvl>
    <w:lvl w:ilvl="4">
      <w:start w:val="1"/>
      <w:numFmt w:val="ideographTraditional"/>
      <w:lvlText w:val="%5、"/>
      <w:lvlJc w:val="left"/>
      <w:pPr>
        <w:tabs>
          <w:tab w:val="num" w:pos="0"/>
        </w:tabs>
        <w:ind w:left="2400" w:hanging="480"/>
      </w:pPr>
    </w:lvl>
    <w:lvl w:ilvl="5">
      <w:start w:val="1"/>
      <w:numFmt w:val="lowerRoman"/>
      <w:lvlText w:val="%6."/>
      <w:lvlJc w:val="right"/>
      <w:pPr>
        <w:tabs>
          <w:tab w:val="num" w:pos="0"/>
        </w:tabs>
        <w:ind w:left="2880" w:hanging="480"/>
      </w:pPr>
    </w:lvl>
    <w:lvl w:ilvl="6">
      <w:start w:val="1"/>
      <w:numFmt w:val="decimal"/>
      <w:lvlText w:val="%7."/>
      <w:lvlJc w:val="left"/>
      <w:pPr>
        <w:tabs>
          <w:tab w:val="num" w:pos="0"/>
        </w:tabs>
        <w:ind w:left="3360" w:hanging="480"/>
      </w:pPr>
    </w:lvl>
    <w:lvl w:ilvl="7">
      <w:start w:val="1"/>
      <w:numFmt w:val="ideographTraditional"/>
      <w:lvlText w:val="%8、"/>
      <w:lvlJc w:val="left"/>
      <w:pPr>
        <w:tabs>
          <w:tab w:val="num" w:pos="0"/>
        </w:tabs>
        <w:ind w:left="3840" w:hanging="480"/>
      </w:pPr>
    </w:lvl>
    <w:lvl w:ilvl="8">
      <w:start w:val="1"/>
      <w:numFmt w:val="lowerRoman"/>
      <w:lvlText w:val="%9."/>
      <w:lvlJc w:val="right"/>
      <w:pPr>
        <w:tabs>
          <w:tab w:val="num" w:pos="0"/>
        </w:tabs>
        <w:ind w:left="4320" w:hanging="48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3"/>
  <w:mirrorMargins/>
  <w:defaultTabStop w:val="567"/>
  <w:compat>
    <w:doNotExpandShiftReturn/>
  </w:compat>
  <w:autoHyphenation w:val="true"/>
  <w:footnotePr>
    <w:numFmt w:val="decimal"/>
    <w:footnote w:id="0"/>
    <w:footnote w:id="1"/>
  </w:footnotePr>
  <w:compat>
    <w:compatSetting w:name="compatibilityMode" w:uri="http://schemas.microsoft.com/office/word" w:val="1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新細明體" w:cs="Times New Roman"/>
        <w:lang w:val="en-US" w:eastAsia="zh-TW" w:bidi="ar-SA"/>
      </w:rPr>
    </w:rPrDefault>
    <w:pPrDefault>
      <w:pPr>
        <w:suppressAutoHyphens w:val="true"/>
      </w:pPr>
    </w:pPrDefault>
  </w:docDefaults>
  <w:latentStyles w:defLockedState="0" w:defUIPriority="99" w:defSemiHidden="1" w:defUnhideWhenUsed="1" w:defQFormat="0" w:count="267">
    <w:lsdException w:name="Normal" w:locked="1" w:uiPriority="0" w:semiHidden="0" w:unhideWhenUsed="0" w:qFormat="1"/>
    <w:lsdException w:name="heading 1" w:locked="1" w:semiHidden="0"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0" w:semiHidden="0" w:unhideWhenUsed="0"/>
    <w:lsdException w:name="toc 2" w:locked="1" w:uiPriority="0" w:semiHidden="0" w:unhideWhenUsed="0"/>
    <w:lsdException w:name="toc 3" w:locked="1" w:uiPriority="0" w:semiHidden="0" w:unhideWhenUsed="0"/>
    <w:lsdException w:name="toc 4" w:locked="1" w:uiPriority="0" w:semiHidden="0" w:unhideWhenUsed="0"/>
    <w:lsdException w:name="toc 5" w:locked="1" w:uiPriority="0" w:semiHidden="0" w:unhideWhenUsed="0"/>
    <w:lsdException w:name="toc 6" w:locked="1" w:uiPriority="0" w:semiHidden="0" w:unhideWhenUsed="0"/>
    <w:lsdException w:name="toc 7" w:locked="1" w:uiPriority="0" w:semiHidden="0" w:unhideWhenUsed="0"/>
    <w:lsdException w:name="toc 8" w:locked="1" w:uiPriority="0" w:semiHidden="0" w:unhideWhenUsed="0"/>
    <w:lsdException w:name="toc 9" w:locked="1" w:uiPriority="0" w:semiHidden="0" w:unhideWhenUsed="0"/>
    <w:lsdException w:name="footnote text" w:uiPriority="0"/>
    <w:lsdException w:name="caption" w:locked="1" w:qFormat="1"/>
    <w:lsdException w:name="footnote reference" w:uiPriority="0"/>
    <w:lsdException w:name="endnote reference" w:uiPriority="0"/>
    <w:lsdException w:name="endnote text" w:uiPriority="0"/>
    <w:lsdException w:name="Title" w:locked="1" w:semiHidden="0" w:unhideWhenUsed="0" w:qFormat="1"/>
    <w:lsdException w:name="Default Paragraph Font" w:locked="1" w:uiPriority="0" w:semiHidden="0" w:unhideWhenUsed="0"/>
    <w:lsdException w:name="Subtitle" w:locked="1" w:semiHidden="0" w:unhideWhenUsed="0" w:qFormat="1"/>
    <w:lsdException w:name="Strong" w:locked="1" w:semiHidden="0" w:unhideWhenUsed="0" w:qFormat="1"/>
    <w:lsdException w:name="Emphasis" w:locked="1" w:semiHidden="0" w:unhideWhenUsed="0" w:qFormat="1"/>
    <w:lsdException w:name="Table Grid" w:locked="1" w:semiHidden="0" w:unhideWhenUsed="0"/>
    <w:lsdException w:name="Placeholder Text" w:unhideWhenUsed="0"/>
    <w:lsdException w:name="No Spacing"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qFormat="1"/>
  </w:latentStyles>
  <w:style w:type="paragraph" w:styleId="Normal" w:default="1">
    <w:name w:val="Normal"/>
    <w:qFormat/>
    <w:rsid w:val="00ff18d9"/>
    <w:pPr>
      <w:widowControl w:val="false"/>
      <w:tabs>
        <w:tab w:val="clear" w:pos="567"/>
        <w:tab w:val="left" w:pos="720" w:leader="none"/>
      </w:tabs>
      <w:bidi w:val="0"/>
      <w:spacing w:lineRule="atLeast" w:line="360" w:before="0" w:after="0"/>
      <w:jc w:val="both"/>
    </w:pPr>
    <w:rPr>
      <w:rFonts w:eastAsia="華康細明體" w:ascii="Times New Roman" w:hAnsi="Times New Roman" w:cs="Times New Roman"/>
      <w:color w:val="auto"/>
      <w:kern w:val="0"/>
      <w:sz w:val="28"/>
      <w:szCs w:val="26"/>
      <w:lang w:val="en-GB" w:eastAsia="zh-TW" w:bidi="ar-SA"/>
    </w:rPr>
  </w:style>
  <w:style w:type="paragraph" w:styleId="Heading1">
    <w:name w:val="Heading 1"/>
    <w:basedOn w:val="Normal"/>
    <w:next w:val="Normal"/>
    <w:link w:val="10"/>
    <w:uiPriority w:val="99"/>
    <w:qFormat/>
    <w:locked/>
    <w:rsid w:val="0098735b"/>
    <w:pPr>
      <w:keepNext w:val="true"/>
      <w:keepLines/>
      <w:widowControl/>
      <w:tabs>
        <w:tab w:val="clear" w:pos="720"/>
      </w:tabs>
      <w:spacing w:lineRule="auto" w:line="276" w:before="480" w:after="0"/>
      <w:jc w:val="left"/>
      <w:outlineLvl w:val="0"/>
    </w:pPr>
    <w:rPr>
      <w:rFonts w:ascii="Cambria" w:hAnsi="Cambria" w:eastAsia="新細明體"/>
      <w:b/>
      <w:bCs/>
      <w:color w:val="365F91"/>
      <w:szCs w:val="28"/>
      <w:lang w:val="en-US"/>
    </w:rPr>
  </w:style>
  <w:style w:type="paragraph" w:styleId="Heading2">
    <w:name w:val="Heading 2"/>
    <w:basedOn w:val="Normal"/>
    <w:next w:val="Normal"/>
    <w:link w:val="20"/>
    <w:uiPriority w:val="99"/>
    <w:unhideWhenUsed/>
    <w:qFormat/>
    <w:locked/>
    <w:rsid w:val="0098735b"/>
    <w:pPr>
      <w:keepNext w:val="true"/>
      <w:keepLines/>
      <w:widowControl/>
      <w:tabs>
        <w:tab w:val="clear" w:pos="720"/>
      </w:tabs>
      <w:spacing w:lineRule="auto" w:line="276" w:before="200" w:after="0"/>
      <w:jc w:val="left"/>
      <w:outlineLvl w:val="1"/>
    </w:pPr>
    <w:rPr>
      <w:rFonts w:ascii="Cambria" w:hAnsi="Cambria" w:eastAsia="新細明體"/>
      <w:b/>
      <w:bCs/>
      <w:color w:val="4F81BD"/>
      <w:sz w:val="26"/>
      <w:lang w:val="en-US"/>
    </w:rPr>
  </w:style>
  <w:style w:type="paragraph" w:styleId="Heading3">
    <w:name w:val="Heading 3"/>
    <w:basedOn w:val="Normal"/>
    <w:next w:val="Normal"/>
    <w:link w:val="30"/>
    <w:uiPriority w:val="99"/>
    <w:unhideWhenUsed/>
    <w:qFormat/>
    <w:locked/>
    <w:rsid w:val="0098735b"/>
    <w:pPr>
      <w:keepNext w:val="true"/>
      <w:keepLines/>
      <w:widowControl/>
      <w:tabs>
        <w:tab w:val="clear" w:pos="720"/>
      </w:tabs>
      <w:spacing w:lineRule="auto" w:line="276" w:before="200" w:after="0"/>
      <w:jc w:val="left"/>
      <w:outlineLvl w:val="2"/>
    </w:pPr>
    <w:rPr>
      <w:rFonts w:ascii="Cambria" w:hAnsi="Cambria" w:eastAsia="新細明體"/>
      <w:b/>
      <w:bCs/>
      <w:color w:val="4F81BD"/>
      <w:sz w:val="22"/>
      <w:szCs w:val="22"/>
      <w:lang w:val="en-US"/>
    </w:rPr>
  </w:style>
  <w:style w:type="paragraph" w:styleId="Heading4">
    <w:name w:val="Heading 4"/>
    <w:basedOn w:val="Normal"/>
    <w:next w:val="Normal"/>
    <w:link w:val="40"/>
    <w:uiPriority w:val="99"/>
    <w:unhideWhenUsed/>
    <w:qFormat/>
    <w:locked/>
    <w:rsid w:val="0098735b"/>
    <w:pPr>
      <w:keepNext w:val="true"/>
      <w:keepLines/>
      <w:widowControl/>
      <w:tabs>
        <w:tab w:val="clear" w:pos="720"/>
      </w:tabs>
      <w:spacing w:lineRule="auto" w:line="276" w:before="200" w:after="0"/>
      <w:jc w:val="left"/>
      <w:outlineLvl w:val="3"/>
    </w:pPr>
    <w:rPr>
      <w:rFonts w:ascii="Cambria" w:hAnsi="Cambria" w:eastAsia="新細明體"/>
      <w:b/>
      <w:bCs/>
      <w:i/>
      <w:iCs/>
      <w:color w:val="4F81BD"/>
      <w:sz w:val="22"/>
      <w:szCs w:val="22"/>
      <w:lang w:val="en-US"/>
    </w:rPr>
  </w:style>
  <w:style w:type="paragraph" w:styleId="Heading5">
    <w:name w:val="Heading 5"/>
    <w:basedOn w:val="Normal"/>
    <w:next w:val="Normal"/>
    <w:link w:val="50"/>
    <w:uiPriority w:val="99"/>
    <w:unhideWhenUsed/>
    <w:qFormat/>
    <w:locked/>
    <w:rsid w:val="0098735b"/>
    <w:pPr>
      <w:keepNext w:val="true"/>
      <w:keepLines/>
      <w:widowControl/>
      <w:tabs>
        <w:tab w:val="clear" w:pos="720"/>
      </w:tabs>
      <w:spacing w:lineRule="auto" w:line="276" w:before="200" w:after="0"/>
      <w:jc w:val="left"/>
      <w:outlineLvl w:val="4"/>
    </w:pPr>
    <w:rPr>
      <w:rFonts w:ascii="Cambria" w:hAnsi="Cambria" w:eastAsia="新細明體"/>
      <w:color w:val="243F60"/>
      <w:sz w:val="22"/>
      <w:szCs w:val="22"/>
      <w:lang w:val="en-US"/>
    </w:rPr>
  </w:style>
  <w:style w:type="paragraph" w:styleId="Heading6">
    <w:name w:val="Heading 6"/>
    <w:basedOn w:val="Normal"/>
    <w:next w:val="Normal"/>
    <w:link w:val="60"/>
    <w:uiPriority w:val="99"/>
    <w:unhideWhenUsed/>
    <w:qFormat/>
    <w:locked/>
    <w:rsid w:val="0098735b"/>
    <w:pPr>
      <w:keepNext w:val="true"/>
      <w:keepLines/>
      <w:widowControl/>
      <w:tabs>
        <w:tab w:val="clear" w:pos="720"/>
      </w:tabs>
      <w:spacing w:lineRule="auto" w:line="276" w:before="200" w:after="0"/>
      <w:jc w:val="left"/>
      <w:outlineLvl w:val="5"/>
    </w:pPr>
    <w:rPr>
      <w:rFonts w:ascii="Cambria" w:hAnsi="Cambria" w:eastAsia="新細明體"/>
      <w:i/>
      <w:iCs/>
      <w:color w:val="243F60"/>
      <w:sz w:val="22"/>
      <w:szCs w:val="22"/>
      <w:lang w:val="en-US"/>
    </w:rPr>
  </w:style>
  <w:style w:type="paragraph" w:styleId="Heading7">
    <w:name w:val="Heading 7"/>
    <w:basedOn w:val="Normal"/>
    <w:next w:val="Normal"/>
    <w:link w:val="70"/>
    <w:uiPriority w:val="99"/>
    <w:unhideWhenUsed/>
    <w:qFormat/>
    <w:locked/>
    <w:rsid w:val="0098735b"/>
    <w:pPr>
      <w:keepNext w:val="true"/>
      <w:keepLines/>
      <w:widowControl/>
      <w:tabs>
        <w:tab w:val="clear" w:pos="720"/>
      </w:tabs>
      <w:spacing w:lineRule="auto" w:line="276" w:before="200" w:after="0"/>
      <w:jc w:val="left"/>
      <w:outlineLvl w:val="6"/>
    </w:pPr>
    <w:rPr>
      <w:rFonts w:ascii="Cambria" w:hAnsi="Cambria" w:eastAsia="新細明體"/>
      <w:i/>
      <w:iCs/>
      <w:color w:val="404040"/>
      <w:sz w:val="22"/>
      <w:szCs w:val="22"/>
      <w:lang w:val="en-US"/>
    </w:rPr>
  </w:style>
  <w:style w:type="paragraph" w:styleId="Heading8">
    <w:name w:val="Heading 8"/>
    <w:basedOn w:val="Normal"/>
    <w:next w:val="Normal"/>
    <w:link w:val="80"/>
    <w:uiPriority w:val="99"/>
    <w:unhideWhenUsed/>
    <w:qFormat/>
    <w:locked/>
    <w:rsid w:val="0098735b"/>
    <w:pPr>
      <w:keepNext w:val="true"/>
      <w:keepLines/>
      <w:widowControl/>
      <w:tabs>
        <w:tab w:val="clear" w:pos="720"/>
      </w:tabs>
      <w:spacing w:lineRule="auto" w:line="276" w:before="200" w:after="0"/>
      <w:jc w:val="left"/>
      <w:outlineLvl w:val="7"/>
    </w:pPr>
    <w:rPr>
      <w:rFonts w:ascii="Cambria" w:hAnsi="Cambria" w:eastAsia="新細明體"/>
      <w:color w:val="4F81BD"/>
      <w:sz w:val="20"/>
      <w:szCs w:val="20"/>
      <w:lang w:val="en-US"/>
    </w:rPr>
  </w:style>
  <w:style w:type="paragraph" w:styleId="Heading9">
    <w:name w:val="Heading 9"/>
    <w:basedOn w:val="Normal"/>
    <w:next w:val="Normal"/>
    <w:link w:val="90"/>
    <w:uiPriority w:val="99"/>
    <w:unhideWhenUsed/>
    <w:qFormat/>
    <w:locked/>
    <w:rsid w:val="0098735b"/>
    <w:pPr>
      <w:keepNext w:val="true"/>
      <w:keepLines/>
      <w:widowControl/>
      <w:tabs>
        <w:tab w:val="clear" w:pos="720"/>
      </w:tabs>
      <w:spacing w:lineRule="auto" w:line="276" w:before="200" w:after="0"/>
      <w:jc w:val="left"/>
      <w:outlineLvl w:val="8"/>
    </w:pPr>
    <w:rPr>
      <w:rFonts w:ascii="Cambria" w:hAnsi="Cambria" w:eastAsia="新細明體"/>
      <w:i/>
      <w:iCs/>
      <w:color w:val="404040"/>
      <w:sz w:val="20"/>
      <w:szCs w:val="20"/>
      <w:lang w:val="en-US"/>
    </w:rPr>
  </w:style>
  <w:style w:type="character" w:styleId="DefaultParagraphFont" w:default="1">
    <w:name w:val="Default Paragraph Font"/>
    <w:uiPriority w:val="1"/>
    <w:semiHidden/>
    <w:unhideWhenUsed/>
    <w:qFormat/>
    <w:rPr/>
  </w:style>
  <w:style w:type="character" w:styleId="1" w:customStyle="1">
    <w:name w:val="標題 1 字元"/>
    <w:basedOn w:val="DefaultParagraphFont"/>
    <w:link w:val="1"/>
    <w:uiPriority w:val="99"/>
    <w:qFormat/>
    <w:rsid w:val="0098735b"/>
    <w:rPr>
      <w:rFonts w:ascii="Cambria" w:hAnsi="Cambria"/>
      <w:b/>
      <w:bCs/>
      <w:color w:val="365F91"/>
      <w:sz w:val="28"/>
      <w:szCs w:val="28"/>
    </w:rPr>
  </w:style>
  <w:style w:type="character" w:styleId="2" w:customStyle="1">
    <w:name w:val="標題 2 字元"/>
    <w:basedOn w:val="DefaultParagraphFont"/>
    <w:link w:val="2"/>
    <w:uiPriority w:val="99"/>
    <w:qFormat/>
    <w:rsid w:val="0098735b"/>
    <w:rPr>
      <w:rFonts w:ascii="Cambria" w:hAnsi="Cambria"/>
      <w:b/>
      <w:bCs/>
      <w:color w:val="4F81BD"/>
      <w:sz w:val="26"/>
      <w:szCs w:val="26"/>
    </w:rPr>
  </w:style>
  <w:style w:type="character" w:styleId="3" w:customStyle="1">
    <w:name w:val="標題 3 字元"/>
    <w:basedOn w:val="DefaultParagraphFont"/>
    <w:link w:val="3"/>
    <w:uiPriority w:val="99"/>
    <w:qFormat/>
    <w:rsid w:val="0098735b"/>
    <w:rPr>
      <w:rFonts w:ascii="Cambria" w:hAnsi="Cambria"/>
      <w:b/>
      <w:bCs/>
      <w:color w:val="4F81BD"/>
      <w:sz w:val="22"/>
      <w:szCs w:val="22"/>
    </w:rPr>
  </w:style>
  <w:style w:type="character" w:styleId="4" w:customStyle="1">
    <w:name w:val="標題 4 字元"/>
    <w:basedOn w:val="DefaultParagraphFont"/>
    <w:link w:val="4"/>
    <w:uiPriority w:val="99"/>
    <w:qFormat/>
    <w:rsid w:val="0098735b"/>
    <w:rPr>
      <w:rFonts w:ascii="Cambria" w:hAnsi="Cambria"/>
      <w:b/>
      <w:bCs/>
      <w:i/>
      <w:iCs/>
      <w:color w:val="4F81BD"/>
      <w:sz w:val="22"/>
      <w:szCs w:val="22"/>
    </w:rPr>
  </w:style>
  <w:style w:type="character" w:styleId="5" w:customStyle="1">
    <w:name w:val="標題 5 字元"/>
    <w:basedOn w:val="DefaultParagraphFont"/>
    <w:link w:val="5"/>
    <w:uiPriority w:val="99"/>
    <w:qFormat/>
    <w:rsid w:val="0098735b"/>
    <w:rPr>
      <w:rFonts w:ascii="Cambria" w:hAnsi="Cambria"/>
      <w:color w:val="243F60"/>
      <w:sz w:val="22"/>
      <w:szCs w:val="22"/>
    </w:rPr>
  </w:style>
  <w:style w:type="character" w:styleId="6" w:customStyle="1">
    <w:name w:val="標題 6 字元"/>
    <w:basedOn w:val="DefaultParagraphFont"/>
    <w:link w:val="6"/>
    <w:uiPriority w:val="99"/>
    <w:qFormat/>
    <w:rsid w:val="0098735b"/>
    <w:rPr>
      <w:rFonts w:ascii="Cambria" w:hAnsi="Cambria"/>
      <w:i/>
      <w:iCs/>
      <w:color w:val="243F60"/>
      <w:sz w:val="22"/>
      <w:szCs w:val="22"/>
    </w:rPr>
  </w:style>
  <w:style w:type="character" w:styleId="7" w:customStyle="1">
    <w:name w:val="標題 7 字元"/>
    <w:basedOn w:val="DefaultParagraphFont"/>
    <w:link w:val="7"/>
    <w:uiPriority w:val="99"/>
    <w:qFormat/>
    <w:rsid w:val="0098735b"/>
    <w:rPr>
      <w:rFonts w:ascii="Cambria" w:hAnsi="Cambria"/>
      <w:i/>
      <w:iCs/>
      <w:color w:val="404040"/>
      <w:sz w:val="22"/>
      <w:szCs w:val="22"/>
    </w:rPr>
  </w:style>
  <w:style w:type="character" w:styleId="8" w:customStyle="1">
    <w:name w:val="標題 8 字元"/>
    <w:basedOn w:val="DefaultParagraphFont"/>
    <w:link w:val="8"/>
    <w:uiPriority w:val="99"/>
    <w:qFormat/>
    <w:rsid w:val="0098735b"/>
    <w:rPr>
      <w:rFonts w:ascii="Cambria" w:hAnsi="Cambria"/>
      <w:color w:val="4F81BD"/>
    </w:rPr>
  </w:style>
  <w:style w:type="character" w:styleId="9" w:customStyle="1">
    <w:name w:val="標題 9 字元"/>
    <w:basedOn w:val="DefaultParagraphFont"/>
    <w:link w:val="9"/>
    <w:uiPriority w:val="99"/>
    <w:qFormat/>
    <w:rsid w:val="0098735b"/>
    <w:rPr>
      <w:rFonts w:ascii="Cambria" w:hAnsi="Cambria"/>
      <w:i/>
      <w:iCs/>
      <w:color w:val="404040"/>
    </w:rPr>
  </w:style>
  <w:style w:type="character" w:styleId="Style5" w:customStyle="1">
    <w:name w:val="註腳文字 字元"/>
    <w:link w:val="a4"/>
    <w:qFormat/>
    <w:locked/>
    <w:rsid w:val="00e27675"/>
    <w:rPr>
      <w:rFonts w:eastAsia="華康細明體" w:cs="Times New Roman"/>
      <w:sz w:val="20"/>
      <w:szCs w:val="20"/>
      <w:lang w:val="en-GB"/>
    </w:rPr>
  </w:style>
  <w:style w:type="character" w:styleId="FootnoteCharacters">
    <w:name w:val="Footnote Characters"/>
    <w:qFormat/>
    <w:rsid w:val="009a20e5"/>
    <w:rPr>
      <w:rFonts w:cs="Times New Roman"/>
      <w:vertAlign w:val="superscript"/>
    </w:rPr>
  </w:style>
  <w:style w:type="character" w:styleId="FootnoteAnchor">
    <w:name w:val="Footnote Anchor"/>
    <w:rPr>
      <w:rFonts w:cs="Times New Roman"/>
      <w:vertAlign w:val="superscript"/>
    </w:rPr>
  </w:style>
  <w:style w:type="character" w:styleId="Style6" w:customStyle="1">
    <w:name w:val="頁首 字元"/>
    <w:link w:val="a7"/>
    <w:uiPriority w:val="99"/>
    <w:qFormat/>
    <w:locked/>
    <w:rsid w:val="00e27675"/>
    <w:rPr>
      <w:rFonts w:eastAsia="華康細明體" w:cs="Times New Roman"/>
      <w:sz w:val="20"/>
      <w:szCs w:val="20"/>
      <w:lang w:val="en-GB"/>
    </w:rPr>
  </w:style>
  <w:style w:type="character" w:styleId="Style7" w:customStyle="1">
    <w:name w:val="頁尾 字元"/>
    <w:link w:val="a9"/>
    <w:uiPriority w:val="99"/>
    <w:qFormat/>
    <w:locked/>
    <w:rsid w:val="00e27675"/>
    <w:rPr>
      <w:rFonts w:eastAsia="華康細明體" w:cs="Times New Roman"/>
      <w:sz w:val="20"/>
      <w:szCs w:val="20"/>
      <w:lang w:val="en-GB"/>
    </w:rPr>
  </w:style>
  <w:style w:type="character" w:styleId="F2" w:customStyle="1">
    <w:name w:val="華康細明F2 字元"/>
    <w:link w:val="F2"/>
    <w:qFormat/>
    <w:locked/>
    <w:rsid w:val="003f0d76"/>
    <w:rPr>
      <w:rFonts w:eastAsia="華康細明體" w:cs="華康細明體"/>
      <w:spacing w:val="20"/>
      <w:sz w:val="27"/>
      <w:szCs w:val="26"/>
    </w:rPr>
  </w:style>
  <w:style w:type="character" w:styleId="Pagenumber">
    <w:name w:val="page number"/>
    <w:uiPriority w:val="99"/>
    <w:qFormat/>
    <w:rsid w:val="00c05979"/>
    <w:rPr>
      <w:rFonts w:cs="Times New Roman"/>
    </w:rPr>
  </w:style>
  <w:style w:type="character" w:styleId="Style8" w:customStyle="1">
    <w:name w:val="註解方塊文字 字元"/>
    <w:link w:val="ad"/>
    <w:uiPriority w:val="99"/>
    <w:qFormat/>
    <w:rsid w:val="004271f2"/>
    <w:rPr>
      <w:rFonts w:ascii="Cambria" w:hAnsi="Cambria" w:eastAsia="新細明體" w:cs="Times New Roman"/>
      <w:kern w:val="0"/>
      <w:sz w:val="18"/>
      <w:szCs w:val="18"/>
      <w:lang w:val="en-GB"/>
    </w:rPr>
  </w:style>
  <w:style w:type="character" w:styleId="VisitedInternetLink">
    <w:name w:val="FollowedHyperlink"/>
    <w:uiPriority w:val="99"/>
    <w:rsid w:val="006a6446"/>
    <w:rPr>
      <w:color w:val="800080"/>
      <w:u w:val="single"/>
    </w:rPr>
  </w:style>
  <w:style w:type="character" w:styleId="InternetLink">
    <w:name w:val="Hyperlink"/>
    <w:uiPriority w:val="99"/>
    <w:rsid w:val="006a6446"/>
    <w:rPr>
      <w:color w:val="auto"/>
      <w:u w:val="single"/>
    </w:rPr>
  </w:style>
  <w:style w:type="character" w:styleId="Style9" w:customStyle="1">
    <w:name w:val="章節附註文字 字元"/>
    <w:link w:val="af1"/>
    <w:qFormat/>
    <w:rsid w:val="00cc467f"/>
    <w:rPr>
      <w:rFonts w:ascii="CG Times" w:hAnsi="CG Times" w:eastAsia="華康細明體"/>
      <w:kern w:val="2"/>
      <w:sz w:val="28"/>
    </w:rPr>
  </w:style>
  <w:style w:type="character" w:styleId="EndnoteCharacters">
    <w:name w:val="Endnote Characters"/>
    <w:qFormat/>
    <w:rsid w:val="00cc467f"/>
    <w:rPr>
      <w:vertAlign w:val="superscript"/>
    </w:rPr>
  </w:style>
  <w:style w:type="character" w:styleId="EndnoteAnchor">
    <w:name w:val="Endnote Anchor"/>
    <w:rPr>
      <w:vertAlign w:val="superscript"/>
    </w:rPr>
  </w:style>
  <w:style w:type="character" w:styleId="St1" w:customStyle="1">
    <w:name w:val="st1"/>
    <w:basedOn w:val="DefaultParagraphFont"/>
    <w:qFormat/>
    <w:rsid w:val="00033914"/>
    <w:rPr/>
  </w:style>
  <w:style w:type="character" w:styleId="11" w:customStyle="1">
    <w:name w:val="註腳文字 字元1"/>
    <w:qFormat/>
    <w:locked/>
    <w:rsid w:val="00fd2978"/>
    <w:rPr>
      <w:rFonts w:eastAsia="華康細明體"/>
      <w:lang w:val="en-GB"/>
    </w:rPr>
  </w:style>
  <w:style w:type="character" w:styleId="12" w:customStyle="1">
    <w:name w:val="頁首 字元1"/>
    <w:qFormat/>
    <w:locked/>
    <w:rsid w:val="00fd2978"/>
    <w:rPr>
      <w:rFonts w:eastAsia="華康細明體"/>
      <w:lang w:val="en-GB"/>
    </w:rPr>
  </w:style>
  <w:style w:type="character" w:styleId="13" w:customStyle="1">
    <w:name w:val="頁尾 字元1"/>
    <w:qFormat/>
    <w:locked/>
    <w:rsid w:val="00fd2978"/>
    <w:rPr>
      <w:rFonts w:eastAsia="華康細明體"/>
      <w:lang w:val="en-GB"/>
    </w:rPr>
  </w:style>
  <w:style w:type="character" w:styleId="14" w:customStyle="1">
    <w:name w:val="註解方塊文字 字元1"/>
    <w:qFormat/>
    <w:locked/>
    <w:rsid w:val="00fd2978"/>
    <w:rPr>
      <w:rFonts w:ascii="Cambria" w:hAnsi="Cambria"/>
      <w:sz w:val="18"/>
      <w:szCs w:val="18"/>
      <w:lang w:val="en-GB"/>
    </w:rPr>
  </w:style>
  <w:style w:type="character" w:styleId="15" w:customStyle="1">
    <w:name w:val="章節附註文字 字元1"/>
    <w:qFormat/>
    <w:locked/>
    <w:rsid w:val="00fd2978"/>
    <w:rPr>
      <w:rFonts w:ascii="CG Times" w:hAnsi="CG Times" w:eastAsia="華康細明體"/>
      <w:kern w:val="2"/>
      <w:sz w:val="28"/>
    </w:rPr>
  </w:style>
  <w:style w:type="character" w:styleId="Style10" w:customStyle="1">
    <w:name w:val="標題 字元"/>
    <w:basedOn w:val="DefaultParagraphFont"/>
    <w:link w:val="af4"/>
    <w:uiPriority w:val="99"/>
    <w:qFormat/>
    <w:rsid w:val="0098735b"/>
    <w:rPr>
      <w:rFonts w:ascii="Cambria" w:hAnsi="Cambria"/>
      <w:color w:val="17365D"/>
      <w:spacing w:val="5"/>
      <w:kern w:val="2"/>
      <w:sz w:val="52"/>
      <w:szCs w:val="52"/>
    </w:rPr>
  </w:style>
  <w:style w:type="character" w:styleId="Style11" w:customStyle="1">
    <w:name w:val="副標題 字元"/>
    <w:basedOn w:val="DefaultParagraphFont"/>
    <w:link w:val="af6"/>
    <w:uiPriority w:val="99"/>
    <w:qFormat/>
    <w:rsid w:val="0098735b"/>
    <w:rPr>
      <w:rFonts w:ascii="Cambria" w:hAnsi="Cambria"/>
      <w:i/>
      <w:iCs/>
      <w:color w:val="4F81BD"/>
      <w:spacing w:val="15"/>
      <w:sz w:val="24"/>
      <w:szCs w:val="24"/>
    </w:rPr>
  </w:style>
  <w:style w:type="character" w:styleId="Strong">
    <w:name w:val="Strong"/>
    <w:uiPriority w:val="99"/>
    <w:qFormat/>
    <w:locked/>
    <w:rsid w:val="0098735b"/>
    <w:rPr>
      <w:b/>
      <w:bCs/>
    </w:rPr>
  </w:style>
  <w:style w:type="character" w:styleId="Emphasis">
    <w:name w:val="Emphasis"/>
    <w:uiPriority w:val="99"/>
    <w:qFormat/>
    <w:locked/>
    <w:rsid w:val="0098735b"/>
    <w:rPr>
      <w:i/>
      <w:iCs/>
    </w:rPr>
  </w:style>
  <w:style w:type="character" w:styleId="Style12" w:customStyle="1">
    <w:name w:val="引文 字元"/>
    <w:basedOn w:val="DefaultParagraphFont"/>
    <w:link w:val="afc"/>
    <w:uiPriority w:val="99"/>
    <w:qFormat/>
    <w:rsid w:val="0098735b"/>
    <w:rPr>
      <w:rFonts w:ascii="Calibri" w:hAnsi="Calibri"/>
      <w:i/>
      <w:iCs/>
      <w:color w:val="000000"/>
      <w:sz w:val="22"/>
      <w:szCs w:val="22"/>
    </w:rPr>
  </w:style>
  <w:style w:type="character" w:styleId="Style13" w:customStyle="1">
    <w:name w:val="鮮明引文 字元"/>
    <w:basedOn w:val="DefaultParagraphFont"/>
    <w:link w:val="afe"/>
    <w:uiPriority w:val="99"/>
    <w:qFormat/>
    <w:rsid w:val="0098735b"/>
    <w:rPr>
      <w:rFonts w:ascii="Calibri" w:hAnsi="Calibri"/>
      <w:b/>
      <w:bCs/>
      <w:i/>
      <w:iCs/>
      <w:color w:val="4F81BD"/>
      <w:sz w:val="22"/>
      <w:szCs w:val="22"/>
    </w:rPr>
  </w:style>
  <w:style w:type="character" w:styleId="SubtleEmphasis">
    <w:name w:val="Subtle Emphasis"/>
    <w:uiPriority w:val="99"/>
    <w:qFormat/>
    <w:rsid w:val="0098735b"/>
    <w:rPr>
      <w:i/>
      <w:iCs/>
      <w:color w:val="808080"/>
    </w:rPr>
  </w:style>
  <w:style w:type="character" w:styleId="IntenseEmphasis">
    <w:name w:val="Intense Emphasis"/>
    <w:uiPriority w:val="99"/>
    <w:qFormat/>
    <w:rsid w:val="0098735b"/>
    <w:rPr>
      <w:b/>
      <w:bCs/>
      <w:i/>
      <w:iCs/>
      <w:color w:val="4F81BD"/>
    </w:rPr>
  </w:style>
  <w:style w:type="character" w:styleId="SubtleReference">
    <w:name w:val="Subtle Reference"/>
    <w:uiPriority w:val="99"/>
    <w:qFormat/>
    <w:rsid w:val="0098735b"/>
    <w:rPr>
      <w:smallCaps/>
      <w:color w:val="C0504D"/>
      <w:u w:val="single"/>
    </w:rPr>
  </w:style>
  <w:style w:type="character" w:styleId="IntenseReference">
    <w:name w:val="Intense Reference"/>
    <w:uiPriority w:val="99"/>
    <w:qFormat/>
    <w:rsid w:val="0098735b"/>
    <w:rPr>
      <w:b/>
      <w:bCs/>
      <w:smallCaps/>
      <w:color w:val="C0504D"/>
      <w:spacing w:val="5"/>
      <w:u w:val="single"/>
    </w:rPr>
  </w:style>
  <w:style w:type="character" w:styleId="BookTitle">
    <w:name w:val="Book Title"/>
    <w:uiPriority w:val="99"/>
    <w:qFormat/>
    <w:rsid w:val="0098735b"/>
    <w:rPr>
      <w:b/>
      <w:bCs/>
      <w:smallCaps/>
      <w:spacing w:val="5"/>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note">
    <w:name w:val="Footnote Text"/>
    <w:basedOn w:val="Normal"/>
    <w:link w:val="a5"/>
    <w:rsid w:val="004b6a4f"/>
    <w:pPr/>
    <w:rPr>
      <w:sz w:val="20"/>
      <w:szCs w:val="20"/>
    </w:rPr>
  </w:style>
  <w:style w:type="paragraph" w:styleId="HeaderandFooter">
    <w:name w:val="Header and Footer"/>
    <w:basedOn w:val="Normal"/>
    <w:qFormat/>
    <w:pPr/>
    <w:rPr/>
  </w:style>
  <w:style w:type="paragraph" w:styleId="Header">
    <w:name w:val="Header"/>
    <w:basedOn w:val="Normal"/>
    <w:link w:val="a8"/>
    <w:uiPriority w:val="99"/>
    <w:rsid w:val="00b075b4"/>
    <w:pPr>
      <w:tabs>
        <w:tab w:val="left" w:pos="720" w:leader="none"/>
        <w:tab w:val="center" w:pos="4153" w:leader="none"/>
        <w:tab w:val="right" w:pos="8306" w:leader="none"/>
      </w:tabs>
    </w:pPr>
    <w:rPr>
      <w:sz w:val="20"/>
      <w:szCs w:val="20"/>
    </w:rPr>
  </w:style>
  <w:style w:type="paragraph" w:styleId="Footer">
    <w:name w:val="Footer"/>
    <w:basedOn w:val="Normal"/>
    <w:link w:val="aa"/>
    <w:uiPriority w:val="99"/>
    <w:rsid w:val="00b075b4"/>
    <w:pPr>
      <w:tabs>
        <w:tab w:val="left" w:pos="720" w:leader="none"/>
        <w:tab w:val="center" w:pos="4153" w:leader="none"/>
        <w:tab w:val="right" w:pos="8306" w:leader="none"/>
      </w:tabs>
    </w:pPr>
    <w:rPr>
      <w:sz w:val="20"/>
      <w:szCs w:val="20"/>
    </w:rPr>
  </w:style>
  <w:style w:type="paragraph" w:styleId="F21" w:customStyle="1">
    <w:name w:val="華康細明F2"/>
    <w:link w:val="F20"/>
    <w:qFormat/>
    <w:rsid w:val="003f0d76"/>
    <w:pPr>
      <w:widowControl w:val="false"/>
      <w:tabs>
        <w:tab w:val="left" w:pos="567" w:leader="none"/>
      </w:tabs>
      <w:bidi w:val="0"/>
      <w:spacing w:lineRule="atLeast" w:line="360" w:before="0" w:after="0"/>
      <w:jc w:val="both"/>
    </w:pPr>
    <w:rPr>
      <w:rFonts w:eastAsia="華康細明體" w:cs="華康細明體" w:ascii="Times New Roman" w:hAnsi="Times New Roman"/>
      <w:color w:val="auto"/>
      <w:spacing w:val="20"/>
      <w:kern w:val="0"/>
      <w:sz w:val="27"/>
      <w:szCs w:val="26"/>
      <w:lang w:val="en-US" w:eastAsia="zh-TW" w:bidi="ar-SA"/>
    </w:rPr>
  </w:style>
  <w:style w:type="paragraph" w:styleId="Style14" w:customStyle="1">
    <w:name w:val="質詢凸排"/>
    <w:basedOn w:val="F21"/>
    <w:qFormat/>
    <w:rsid w:val="00e24de0"/>
    <w:pPr>
      <w:ind w:left="1418" w:hanging="851"/>
    </w:pPr>
    <w:rPr>
      <w:i/>
    </w:rPr>
  </w:style>
  <w:style w:type="paragraph" w:styleId="BalloonText">
    <w:name w:val="Balloon Text"/>
    <w:basedOn w:val="Normal"/>
    <w:link w:val="ae"/>
    <w:uiPriority w:val="99"/>
    <w:unhideWhenUsed/>
    <w:qFormat/>
    <w:rsid w:val="004271f2"/>
    <w:pPr>
      <w:spacing w:lineRule="auto" w:line="240"/>
    </w:pPr>
    <w:rPr>
      <w:rFonts w:ascii="Cambria" w:hAnsi="Cambria" w:eastAsia="新細明體"/>
      <w:sz w:val="18"/>
      <w:szCs w:val="18"/>
    </w:rPr>
  </w:style>
  <w:style w:type="paragraph" w:styleId="Endnote">
    <w:name w:val="Endnote Text"/>
    <w:basedOn w:val="Normal"/>
    <w:link w:val="af2"/>
    <w:rsid w:val="00cc467f"/>
    <w:pPr>
      <w:tabs>
        <w:tab w:val="clear" w:pos="720"/>
      </w:tabs>
      <w:snapToGrid w:val="false"/>
      <w:jc w:val="left"/>
      <w:textAlignment w:val="baseline"/>
    </w:pPr>
    <w:rPr>
      <w:rFonts w:ascii="CG Times" w:hAnsi="CG Times"/>
      <w:kern w:val="2"/>
      <w:szCs w:val="20"/>
      <w:lang w:val="en-US"/>
    </w:rPr>
  </w:style>
  <w:style w:type="paragraph" w:styleId="Title">
    <w:name w:val="Title"/>
    <w:basedOn w:val="Normal"/>
    <w:next w:val="Normal"/>
    <w:link w:val="af5"/>
    <w:uiPriority w:val="99"/>
    <w:qFormat/>
    <w:locked/>
    <w:rsid w:val="0098735b"/>
    <w:pPr>
      <w:widowControl/>
      <w:pBdr>
        <w:bottom w:val="single" w:sz="8" w:space="4" w:color="4F81BD"/>
      </w:pBdr>
      <w:tabs>
        <w:tab w:val="clear" w:pos="720"/>
      </w:tabs>
      <w:spacing w:lineRule="auto" w:line="240" w:before="0" w:after="300"/>
      <w:contextualSpacing/>
      <w:jc w:val="left"/>
    </w:pPr>
    <w:rPr>
      <w:rFonts w:ascii="Cambria" w:hAnsi="Cambria" w:eastAsia="新細明體"/>
      <w:color w:val="17365D"/>
      <w:spacing w:val="5"/>
      <w:kern w:val="2"/>
      <w:sz w:val="52"/>
      <w:szCs w:val="52"/>
      <w:lang w:val="en-US"/>
    </w:rPr>
  </w:style>
  <w:style w:type="paragraph" w:styleId="Subtitle">
    <w:name w:val="Subtitle"/>
    <w:basedOn w:val="Normal"/>
    <w:next w:val="Normal"/>
    <w:link w:val="af7"/>
    <w:uiPriority w:val="99"/>
    <w:qFormat/>
    <w:locked/>
    <w:rsid w:val="0098735b"/>
    <w:pPr>
      <w:widowControl/>
      <w:tabs>
        <w:tab w:val="clear" w:pos="720"/>
      </w:tabs>
      <w:spacing w:lineRule="auto" w:line="276" w:before="0" w:after="200"/>
      <w:jc w:val="left"/>
    </w:pPr>
    <w:rPr>
      <w:rFonts w:ascii="Cambria" w:hAnsi="Cambria" w:eastAsia="新細明體"/>
      <w:i/>
      <w:iCs/>
      <w:color w:val="4F81BD"/>
      <w:spacing w:val="15"/>
      <w:sz w:val="24"/>
      <w:szCs w:val="24"/>
      <w:lang w:val="en-US"/>
    </w:rPr>
  </w:style>
  <w:style w:type="paragraph" w:styleId="NoSpacing">
    <w:name w:val="No Spacing"/>
    <w:uiPriority w:val="99"/>
    <w:qFormat/>
    <w:rsid w:val="0098735b"/>
    <w:pPr>
      <w:widowControl/>
      <w:bidi w:val="0"/>
      <w:spacing w:before="0" w:after="0"/>
      <w:jc w:val="left"/>
    </w:pPr>
    <w:rPr>
      <w:rFonts w:ascii="Calibri" w:hAnsi="Calibri" w:eastAsia="新細明體" w:cs="Times New Roman"/>
      <w:color w:val="auto"/>
      <w:kern w:val="0"/>
      <w:sz w:val="22"/>
      <w:szCs w:val="22"/>
      <w:lang w:val="en-US" w:eastAsia="zh-TW" w:bidi="ar-SA"/>
    </w:rPr>
  </w:style>
  <w:style w:type="paragraph" w:styleId="ListParagraph">
    <w:name w:val="List Paragraph"/>
    <w:basedOn w:val="Normal"/>
    <w:uiPriority w:val="99"/>
    <w:qFormat/>
    <w:rsid w:val="0098735b"/>
    <w:pPr>
      <w:widowControl/>
      <w:tabs>
        <w:tab w:val="clear" w:pos="720"/>
      </w:tabs>
      <w:spacing w:lineRule="auto" w:line="276" w:before="0" w:after="200"/>
      <w:ind w:left="720" w:hanging="0"/>
      <w:contextualSpacing/>
      <w:jc w:val="left"/>
    </w:pPr>
    <w:rPr>
      <w:rFonts w:ascii="Calibri" w:hAnsi="Calibri" w:eastAsia="新細明體"/>
      <w:sz w:val="22"/>
      <w:szCs w:val="22"/>
      <w:lang w:val="en-US"/>
    </w:rPr>
  </w:style>
  <w:style w:type="paragraph" w:styleId="Quote">
    <w:name w:val="Quote"/>
    <w:basedOn w:val="Normal"/>
    <w:next w:val="Normal"/>
    <w:link w:val="afd"/>
    <w:uiPriority w:val="99"/>
    <w:qFormat/>
    <w:rsid w:val="0098735b"/>
    <w:pPr>
      <w:widowControl/>
      <w:tabs>
        <w:tab w:val="clear" w:pos="720"/>
      </w:tabs>
      <w:spacing w:lineRule="auto" w:line="276" w:before="0" w:after="200"/>
      <w:jc w:val="left"/>
    </w:pPr>
    <w:rPr>
      <w:rFonts w:ascii="Calibri" w:hAnsi="Calibri" w:eastAsia="新細明體"/>
      <w:i/>
      <w:iCs/>
      <w:color w:val="000000"/>
      <w:sz w:val="22"/>
      <w:szCs w:val="22"/>
      <w:lang w:val="en-US"/>
    </w:rPr>
  </w:style>
  <w:style w:type="paragraph" w:styleId="IntenseQuote">
    <w:name w:val="Intense Quote"/>
    <w:basedOn w:val="Normal"/>
    <w:next w:val="Normal"/>
    <w:link w:val="aff"/>
    <w:uiPriority w:val="99"/>
    <w:qFormat/>
    <w:rsid w:val="0098735b"/>
    <w:pPr>
      <w:widowControl/>
      <w:pBdr>
        <w:bottom w:val="single" w:sz="4" w:space="4" w:color="4F81BD"/>
      </w:pBdr>
      <w:tabs>
        <w:tab w:val="clear" w:pos="720"/>
      </w:tabs>
      <w:spacing w:lineRule="auto" w:line="276" w:before="200" w:after="280"/>
      <w:ind w:left="936" w:right="936" w:hanging="0"/>
      <w:jc w:val="left"/>
    </w:pPr>
    <w:rPr>
      <w:rFonts w:ascii="Calibri" w:hAnsi="Calibri" w:eastAsia="新細明體"/>
      <w:b/>
      <w:bCs/>
      <w:i/>
      <w:iCs/>
      <w:color w:val="4F81BD"/>
      <w:sz w:val="22"/>
      <w:szCs w:val="22"/>
      <w:lang w:val="en-US"/>
    </w:rPr>
  </w:style>
  <w:style w:type="paragraph" w:styleId="16" w:customStyle="1">
    <w:name w:val="樣式1"/>
    <w:basedOn w:val="Normal"/>
    <w:uiPriority w:val="99"/>
    <w:qFormat/>
    <w:rsid w:val="008e2a73"/>
    <w:pPr>
      <w:widowControl/>
      <w:tabs>
        <w:tab w:val="clear" w:pos="720"/>
      </w:tabs>
      <w:spacing w:lineRule="auto" w:line="276" w:before="0" w:after="200"/>
      <w:jc w:val="left"/>
    </w:pPr>
    <w:rPr>
      <w:rFonts w:ascii="Calibri" w:hAnsi="Calibri" w:eastAsia="新細明體"/>
      <w:sz w:val="22"/>
      <w:szCs w:val="22"/>
      <w:lang w:val="en-US"/>
    </w:rPr>
  </w:style>
  <w:style w:type="paragraph" w:styleId="Caption1">
    <w:name w:val="caption"/>
    <w:basedOn w:val="Normal"/>
    <w:next w:val="Normal"/>
    <w:uiPriority w:val="99"/>
    <w:unhideWhenUsed/>
    <w:qFormat/>
    <w:locked/>
    <w:rsid w:val="008e2a73"/>
    <w:pPr>
      <w:widowControl/>
      <w:tabs>
        <w:tab w:val="clear" w:pos="720"/>
      </w:tabs>
      <w:spacing w:lineRule="auto" w:line="240" w:before="0" w:after="200"/>
      <w:jc w:val="left"/>
    </w:pPr>
    <w:rPr>
      <w:rFonts w:ascii="Calibri" w:hAnsi="Calibri" w:eastAsia="新細明體"/>
      <w:b/>
      <w:bCs/>
      <w:color w:val="4F81BD"/>
      <w:sz w:val="18"/>
      <w:szCs w:val="18"/>
      <w:lang w:val="en-US"/>
    </w:rPr>
  </w:style>
  <w:style w:type="paragraph" w:styleId="TOCHeading">
    <w:name w:val="TOC Heading"/>
    <w:basedOn w:val="Heading1"/>
    <w:next w:val="Normal"/>
    <w:uiPriority w:val="99"/>
    <w:unhideWhenUsed/>
    <w:qFormat/>
    <w:rsid w:val="008e2a73"/>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3">
    <w:name w:val="Table Grid"/>
    <w:basedOn w:val="a1"/>
    <w:uiPriority w:val="99"/>
    <w:rsid w:val="00e24de0"/>
    <w:pPr>
      <w:spacing w:line="360" w:lineRule="atLeast"/>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footnotes" Target="footnote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1F819D-F352-4E6F-A80B-C4A48ECF2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LibreOffice/6.4.7.2$Linux_X86_64 LibreOffice_project/40$Build-2</Application>
  <Pages>192</Pages>
  <Words>222100</Words>
  <Characters>278514</Characters>
  <CharactersWithSpaces>289470</CharactersWithSpaces>
  <Paragraphs>12608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2014-10-23T07:42:00Z</dcterms:created>
  <dc:creator>Ivy</dc:creator>
  <dc:description/>
  <dc:language>en-HK</dc:language>
  <cp:lastModifiedBy>Legco</cp:lastModifiedBy>
  <cp:lastPrinted>2014-07-04T06:03:00Z</cp:lastPrinted>
  <dcterms:modified xsi:type="dcterms:W3CDTF">2014-10-23T07:42:00Z</dcterms:modified>
  <cp:revision>2</cp:revision>
  <dc:subject/>
  <dc:title>會議過程正式紀錄</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4</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